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20"/>
        <w:spacing w:after="0"/>
        <w:tabs>
          <w:tab w:leader="none" w:pos="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400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(484) 380-9263</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2018, the registrant had 15,366,634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Item</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10"/>
          </w:tcPr>
          <w:p>
            <w:pPr>
              <w:jc w:val="center"/>
              <w:ind w:right="3220"/>
              <w:spacing w:after="0"/>
              <w:rPr>
                <w:sz w:val="20"/>
                <w:szCs w:val="20"/>
                <w:color w:val="auto"/>
              </w:rPr>
            </w:pPr>
            <w:r>
              <w:rPr>
                <w:rFonts w:ascii="Arial" w:cs="Arial" w:eastAsia="Arial" w:hAnsi="Arial"/>
                <w:sz w:val="14"/>
                <w:szCs w:val="14"/>
                <w:b w:val="1"/>
                <w:bCs w:val="1"/>
                <w:color w:val="auto"/>
                <w:w w:val="93"/>
              </w:rPr>
              <w:t>Description</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40" w:type="dxa"/>
            <w:vAlign w:val="bottom"/>
            <w:gridSpan w:val="13"/>
          </w:tcPr>
          <w:p>
            <w:pPr>
              <w:jc w:val="center"/>
              <w:ind w:right="2680"/>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Financial Information</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8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2240" w:type="dxa"/>
            <w:vAlign w:val="bottom"/>
            <w:tcBorders>
              <w:top w:val="single" w:sz="8" w:color="0000EE"/>
            </w:tcBorders>
            <w:gridSpan w:val="5"/>
          </w:tcPr>
          <w:p>
            <w:pPr>
              <w:spacing w:after="0"/>
              <w:rPr>
                <w:sz w:val="24"/>
                <w:szCs w:val="24"/>
                <w:color w:val="auto"/>
              </w:rPr>
            </w:pPr>
          </w:p>
        </w:tc>
        <w:tc>
          <w:tcPr>
            <w:tcW w:w="3340" w:type="dxa"/>
            <w:vAlign w:val="bottom"/>
            <w:gridSpan w:val="7"/>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2018 and December 31, 2017</w:t>
              </w:r>
            </w:hyperlink>
          </w:p>
        </w:tc>
        <w:tc>
          <w:tcPr>
            <w:tcW w:w="2780" w:type="dxa"/>
            <w:vAlign w:val="bottom"/>
            <w:gridSpan w:val="6"/>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and Six Months Ended June 30, 2018 and</w:t>
              </w:r>
            </w:hyperlink>
          </w:p>
        </w:tc>
        <w:tc>
          <w:tcPr>
            <w:tcW w:w="42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3"/>
          </w:tcPr>
          <w:p>
            <w:pPr>
              <w:ind w:left="240"/>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2017</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for the Three Months and Six Months Ended June 30,</w:t>
              </w:r>
            </w:hyperlink>
          </w:p>
        </w:tc>
        <w:tc>
          <w:tcPr>
            <w:tcW w:w="4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2018 and 2017</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Six Months Ended June 30, 2018 and 2017</w:t>
              </w:r>
            </w:hyperlink>
          </w:p>
        </w:tc>
        <w:tc>
          <w:tcPr>
            <w:tcW w:w="1320" w:type="dxa"/>
            <w:vAlign w:val="bottom"/>
            <w:gridSpan w:val="4"/>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2.</w:t>
              </w:r>
            </w:hyperlink>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80" w:type="dxa"/>
            <w:vAlign w:val="bottom"/>
            <w:gridSpan w:val="12"/>
          </w:tcPr>
          <w:p>
            <w:pPr>
              <w:jc w:val="center"/>
              <w:ind w:right="3320"/>
              <w:spacing w:after="0"/>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Part II. Other Information</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12"/>
        </w:trPr>
        <w:tc>
          <w:tcPr>
            <w:tcW w:w="64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1.</w:t>
              </w:r>
            </w:hyperlink>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060" w:type="dxa"/>
            <w:vAlign w:val="bottom"/>
            <w:tcBorders>
              <w:top w:val="single" w:sz="8" w:color="0000EE"/>
            </w:tcBorders>
            <w:gridSpan w:val="3"/>
          </w:tcPr>
          <w:p>
            <w:pPr>
              <w:spacing w:after="0"/>
              <w:rPr>
                <w:sz w:val="24"/>
                <w:szCs w:val="24"/>
                <w:color w:val="auto"/>
              </w:rPr>
            </w:pPr>
          </w:p>
        </w:tc>
        <w:tc>
          <w:tcPr>
            <w:tcW w:w="3420" w:type="dxa"/>
            <w:vAlign w:val="bottom"/>
            <w:gridSpan w:val="8"/>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2.</w:t>
              </w:r>
            </w:hyperlink>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3.</w:t>
              </w:r>
            </w:hyperlink>
          </w:p>
        </w:tc>
        <w:tc>
          <w:tcPr>
            <w:tcW w:w="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5.</w:t>
              </w:r>
            </w:hyperlink>
          </w:p>
        </w:tc>
        <w:tc>
          <w:tcPr>
            <w:tcW w:w="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400" w:type="dxa"/>
            <w:vAlign w:val="bottom"/>
            <w:gridSpan w:val="1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6.</w:t>
              </w:r>
            </w:hyperlink>
          </w:p>
        </w:tc>
        <w:tc>
          <w:tcPr>
            <w:tcW w:w="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40" w:type="dxa"/>
            <w:vAlign w:val="bottom"/>
            <w:gridSpan w:val="1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580" w:type="dxa"/>
            <w:vAlign w:val="bottom"/>
            <w:gridSpan w:val="10"/>
          </w:tcPr>
          <w:p>
            <w:pPr>
              <w:jc w:val="right"/>
              <w:ind w:right="1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0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264,861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148,627</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225,444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r>
      <w:tr>
        <w:trPr>
          <w:trHeight w:val="210"/>
        </w:trPr>
        <w:tc>
          <w:tcPr>
            <w:tcW w:w="80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491,273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r>
      <w:tr>
        <w:trPr>
          <w:trHeight w:val="25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491,528</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80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4,848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8,125</w:t>
            </w:r>
          </w:p>
        </w:tc>
        <w:tc>
          <w:tcPr>
            <w:tcW w:w="80" w:type="dxa"/>
            <w:vAlign w:val="bottom"/>
          </w:tcPr>
          <w:p>
            <w:pPr>
              <w:spacing w:after="0"/>
              <w:rPr>
                <w:sz w:val="18"/>
                <w:szCs w:val="18"/>
                <w:color w:val="auto"/>
              </w:rPr>
            </w:pPr>
          </w:p>
        </w:tc>
      </w:tr>
      <w:tr>
        <w:trPr>
          <w:trHeight w:val="210"/>
        </w:trPr>
        <w:tc>
          <w:tcPr>
            <w:tcW w:w="8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804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June 30, 2018 and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w w:val="91"/>
              </w:rPr>
              <w:t>December 31, 2017; 1,969,797 shares issued and outstanding at June 30, 2018 and December 31, 2017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04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par value $0.0001 per share authorized: 200,000,000 at June 30, 2018 and December 31,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w w:val="94"/>
              </w:rPr>
              <w:t>2017; 15,365,384 and 14,227,634 shares issued and outstanding at June 30, 2018 and December 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2017, respectively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16"/>
        </w:trPr>
        <w:tc>
          <w:tcPr>
            <w:tcW w:w="8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605,418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288,750</w:t>
            </w:r>
          </w:p>
        </w:tc>
        <w:tc>
          <w:tcPr>
            <w:tcW w:w="8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(119,285)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(106,461)</w:t>
            </w:r>
          </w:p>
        </w:tc>
      </w:tr>
      <w:tr>
        <w:trPr>
          <w:trHeight w:val="210"/>
        </w:trPr>
        <w:tc>
          <w:tcPr>
            <w:tcW w:w="8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486,092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491,528</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10,307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and diluted weighted average number of common shares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14,383,720</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12,039,005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14,256,501</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11,997,602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(6,460)</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(8,347)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9"/>
                <w:szCs w:val="19"/>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(6,329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(8,375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(12,824)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Accrued expense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68,834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net of disposals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(183,036)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Proceeds from issuance of stock, net of transaction costs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311,825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38,278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2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313,274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0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increase in cash and cash equivalents</w:t>
            </w: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148,627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19,145</w:t>
            </w:r>
          </w:p>
        </w:tc>
      </w:tr>
      <w:tr>
        <w:trPr>
          <w:trHeight w:val="210"/>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right="742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Madrigal Pharmaceuticals, Inc. (the “Company” or “Madrigal”) is a clinical-stage pharmaceutical company developing novel, high-quality, small-molecule drugs addressing major unmet needs in cardiovascular, metabolic, and liver diseases. The Company’s lead compound, MGL-3196, is being advanced for non-alcoholic steatohepatitis (“NASH”), a liver disease that commonly affects people with metabolic diseases such as obesity and diabetes, and indications in dyslipidemia, particularly genetic dyslipidemias such as familial hypercholesterolemia (“FH”), including both homozygous and heterozygous forms of the disease. The Company initiated a Phase 2 study of MGL-3196 in NASH in October 2016. In February 2017, the Company initiated a Phase 2 study of MGL-3196 in patients with Heterozygous Familial Hypercholesterolemia (“HeFH”). Both Phase 2 studies were fully enrolled in 2017, the HeFH study was completed in February 2018, and the NASH study was completed in May 2018.</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Upon the consummation of the Merger, the historical financial statements of Private Madrigal became the Company’s historical financial statements.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ended December 31, 2018 or any subsequent period. These unaudited condensed financial statements should be read in conjunction with the audited consolidated financial statements and the notes to those statements for the year ended December 31, 2017.</w:t>
      </w:r>
    </w:p>
    <w:p>
      <w:pPr>
        <w:spacing w:after="0" w:line="175"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the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its cash in bank accounts, the balance of which, at times, exceeds Federal Deposit Insurance Corporation insured limits.</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167" w:gutter="0" w:footer="0" w:header="0"/>
        </w:sectPr>
      </w:pPr>
    </w:p>
    <w:bookmarkStart w:id="4" w:name="page5"/>
    <w:bookmarkEnd w:id="4"/>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institutions in the United States. The Company invests in money market funds and high-grade, short-term commercial paper and corporate bonds, which management believes are subject to minimal credit and market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six months ended June 30, 2018 and 2017, the Company determined it did not have any securities that were other-than-temporarily impaired.</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six months ended June 30, 2018 and 2017,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June 30, 2018, the Company’s financial assets valued based on Level 1 inputs consisted of cash and cash equivalents in a money market fund and its financial assets valued based on Level 2 inputs consisted of high-grade corporate bonds and commercial paper. During the three and six months ended June 30, 2018 and 2017, the Company did not have any transfers of financial assets between Levels 1 and 2. As of June 30, 2018 and December 31, 2017, the Company did not have any financial liabilities that were recorded at fair value on a recurring basis on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process, and conducted Phase 1 &amp; 2 clinical trials, all of which are considered research and development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w:t>
      </w:r>
    </w:p>
    <w:p>
      <w:pPr>
        <w:sectPr>
          <w:pgSz w:w="11900" w:h="16908" w:orient="portrait"/>
          <w:cols w:equalWidth="0" w:num="1">
            <w:col w:w="11400"/>
          </w:cols>
          <w:pgMar w:left="240" w:top="125" w:right="259" w:bottom="0" w:gutter="0" w:footer="0" w:header="0"/>
        </w:sectPr>
      </w:pPr>
    </w:p>
    <w:bookmarkStart w:id="5" w:name="page6"/>
    <w:bookmarkEnd w:id="5"/>
    <w:p>
      <w:pPr>
        <w:ind w:right="240"/>
        <w:spacing w:after="0" w:line="302" w:lineRule="auto"/>
        <w:rPr>
          <w:sz w:val="20"/>
          <w:szCs w:val="20"/>
          <w:color w:val="auto"/>
        </w:rPr>
      </w:pPr>
      <w:r>
        <w:rPr>
          <w:rFonts w:ascii="Arial" w:cs="Arial" w:eastAsia="Arial" w:hAnsi="Arial"/>
          <w:sz w:val="16"/>
          <w:szCs w:val="16"/>
          <w:color w:val="auto"/>
        </w:rPr>
        <w:t>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and six months ended June 30, 2018 and 2017,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1,137,507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976,711</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104,127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157,262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1,969,797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June 2018, The Financial Accounting Standards Board (“FASB”) issued Accounting Standards Update (“ASU”) No. 2018-07, “Improvements to Nonemployee Share-Based Payment Accounting” to simplify the accounting for share-based payment transactions with non-employees of the Company. The guidance within this accounting standard update generally requires that share-based payment transactions for acquiring goods or services from non-employees of the Company be accounted for under the same guidance and model as all other share-based payment transactions, including employees of the Company.</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For public business entities, ASU 2018-07 is effective for annual and interim reporting periods beginning after December 15, 2018, with early adoption permitted.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elected to early adopt the guidance within this accounting standard update in the second quarter of 2018. There was no significant impact from the adoption.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to provide clarity and reduce both diversity in practice, and cost and complexity when a change is made to the terms or conditions of a share-based payment award. For public business entities, ASU 2017-09 is effective for annual and interim reporting periods beginning after December 15, 2017, with early adoption permitted. The update should be applied prospectively to an award modified on or after the adoption date. The Company adopted ASU No. 2017-09 effective January 1, 2018. There was no significant impact from the adoption.</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2016-15 provides that the amendments in the update should be applied retrospectively to all periods presented, unless deemed impracticable, in which case, prospective application is permitted. The Company adopted ASU No. 2016-15 effective January 1, 2018. There was no significant impact from the adoption.</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prior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adopted ASU No. 2016-01 effective January 1, 2018. There was no significant impact from the adoption.</w:t>
      </w:r>
    </w:p>
    <w:p>
      <w:pPr>
        <w:sectPr>
          <w:pgSz w:w="11900" w:h="16838" w:orient="portrait"/>
          <w:cols w:equalWidth="0" w:num="1">
            <w:col w:w="11420"/>
          </w:cols>
          <w:pgMar w:left="240" w:top="125" w:right="239" w:bottom="0" w:gutter="0" w:footer="0" w:header="0"/>
        </w:sectPr>
      </w:pPr>
    </w:p>
    <w:bookmarkStart w:id="6" w:name="page7"/>
    <w:bookmarkEnd w:id="6"/>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 and Uncertainties</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has incurred losses since inception, including approximately $12.8 million for the six months ended June 30, 2018, resulting in an accumulated deficit of approximately $119.3 million as of June 30, 2018. Management expects to incur losses for the foreseeable future. To date, the Company has funded its operations primarily through the issuance of convertible debt, the proceeds from the Merger on July 22, 2016, and proceeds from sales of the Company’s equity securities (see Note 5).</w:t>
      </w:r>
    </w:p>
    <w:p>
      <w:pPr>
        <w:spacing w:after="0" w:line="18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June 30, 2018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229" w:lineRule="exact"/>
        <w:rPr>
          <w:sz w:val="20"/>
          <w:szCs w:val="20"/>
          <w:color w:val="auto"/>
        </w:rPr>
      </w:pPr>
    </w:p>
    <w:p>
      <w:pPr>
        <w:ind w:right="80" w:firstLine="689"/>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2018 and December 31, 2017 is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60" w:type="dxa"/>
            <w:vAlign w:val="bottom"/>
          </w:tcPr>
          <w:p>
            <w:pPr>
              <w:jc w:val="center"/>
              <w:ind w:left="241"/>
              <w:spacing w:after="0" w:line="119" w:lineRule="exact"/>
              <w:rPr>
                <w:sz w:val="20"/>
                <w:szCs w:val="20"/>
                <w:color w:val="auto"/>
              </w:rPr>
            </w:pPr>
            <w:r>
              <w:rPr>
                <w:rFonts w:ascii="Arial" w:cs="Arial" w:eastAsia="Arial" w:hAnsi="Arial"/>
                <w:sz w:val="13"/>
                <w:szCs w:val="13"/>
                <w:b w:val="1"/>
                <w:bCs w:val="1"/>
                <w:color w:val="auto"/>
              </w:rPr>
              <w:t>Unrealized</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tcPr>
          <w:p>
            <w:pPr>
              <w:jc w:val="center"/>
              <w:ind w:left="261"/>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44"/>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1,615</w:t>
            </w:r>
          </w:p>
        </w:tc>
        <w:tc>
          <w:tcPr>
            <w:tcW w:w="30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340" w:type="dxa"/>
            <w:vAlign w:val="bottom"/>
            <w:gridSpan w:val="2"/>
          </w:tcPr>
          <w:p>
            <w:pPr>
              <w:jc w:val="right"/>
              <w:ind w:right="88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32,424</w:t>
            </w:r>
          </w:p>
        </w:tc>
        <w:tc>
          <w:tcPr>
            <w:tcW w:w="106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32,424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264,861</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225,487</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41</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490,348</w:t>
            </w: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41</w:t>
            </w:r>
          </w:p>
        </w:tc>
        <w:tc>
          <w:tcPr>
            <w:tcW w:w="2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490,305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60" w:type="dxa"/>
            <w:vAlign w:val="bottom"/>
          </w:tcPr>
          <w:p>
            <w:pPr>
              <w:jc w:val="center"/>
              <w:ind w:left="241"/>
              <w:spacing w:after="0" w:line="119" w:lineRule="exact"/>
              <w:rPr>
                <w:sz w:val="20"/>
                <w:szCs w:val="20"/>
                <w:color w:val="auto"/>
              </w:rPr>
            </w:pPr>
            <w:r>
              <w:rPr>
                <w:rFonts w:ascii="Arial" w:cs="Arial" w:eastAsia="Arial" w:hAnsi="Arial"/>
                <w:sz w:val="13"/>
                <w:szCs w:val="13"/>
                <w:b w:val="1"/>
                <w:bCs w:val="1"/>
                <w:color w:val="auto"/>
              </w:rPr>
              <w:t>Unrealized</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tcPr>
          <w:p>
            <w:pPr>
              <w:jc w:val="center"/>
              <w:ind w:left="26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44"/>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340" w:type="dxa"/>
            <w:vAlign w:val="bottom"/>
            <w:gridSpan w:val="2"/>
          </w:tcPr>
          <w:p>
            <w:pPr>
              <w:jc w:val="right"/>
              <w:ind w:right="88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42,931</w:t>
            </w: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191,558</w:t>
            </w: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60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ind w:right="220" w:firstLine="648"/>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Registered Offering</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net proceeds to the Company of approximately $311.8 million, after deducting the June 2018 Underwriters’ discount and other offering costs. The June 2018 Offering closed on June 11, 2018.</w:t>
      </w:r>
    </w:p>
    <w:p>
      <w:pPr>
        <w:sectPr>
          <w:pgSz w:w="11900" w:h="16866" w:orient="portrait"/>
          <w:cols w:equalWidth="0" w:num="1">
            <w:col w:w="11420"/>
          </w:cols>
          <w:pgMar w:left="240" w:top="121" w:right="239" w:bottom="0" w:gutter="0" w:footer="0" w:header="0"/>
        </w:sectPr>
      </w:pPr>
    </w:p>
    <w:bookmarkStart w:id="7" w:name="page8"/>
    <w:bookmarkEnd w:id="7"/>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Registered Offering</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December 2017, the Company entered into an underwriting agreement with Goldman Sachs &amp; Co. LLC, as representative of the several underwriters named therein (the “December 2017 Underwriters”), relating to an underwritten public offering (the “December 2017 Offering”) of 1,731,929 shares of the Company’s common stock, including 225,904 shares of the Company’s common stock purchased by the December 2017 Underwriters pursuant to a 30-day option to purchase such additional shares granted therein, at a public offering price of $83.00 per share. The December 2017 Offering resulted in net proceeds to the Company of approximately $135.5 million, after deducting the December 2017 Underwriters’ discount and other offering costs. The December 2017 Offering closed on December 21,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Private Placement Offering and its Series A Convertible Preferred Stock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69"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As of June 30, 2018, 597,356 shares have been sold under the October 2015 Sales Agreement for an aggregate of approximately $9.6 million in gross proceeds. Net proceeds to the Company were approximately $9.4 million after deducting commissions and other transactions costs. Of those shares sold, none were sold in 2018, and 215,539 were sold in 2017. Approximately $90.4 million remained reserved under the Company’s shelf registration statement and the applicable prospectus supplement for possible future issuance under the October 2015 Sales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June 30, 2018, the Company had options outstanding to purchase 1,137,507 shares of its common stock, which includes options outstanding under its 2006 Stock Plan that was terminated in June 2015. As of June 30, 2018, 1,239,595 shares were available for future issuance.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six months ended June 30, 2018:</w:t>
      </w:r>
    </w:p>
    <w:p>
      <w:pPr>
        <w:spacing w:after="0" w:line="217"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Weighted</w:t>
      </w:r>
    </w:p>
    <w:p>
      <w:pPr>
        <w:ind w:left="6960"/>
        <w:spacing w:after="0" w:line="226" w:lineRule="auto"/>
        <w:rPr>
          <w:sz w:val="20"/>
          <w:szCs w:val="20"/>
          <w:color w:val="auto"/>
        </w:rPr>
      </w:pPr>
      <w:r>
        <w:rPr>
          <w:rFonts w:ascii="Arial" w:cs="Arial" w:eastAsia="Arial" w:hAnsi="Arial"/>
          <w:sz w:val="14"/>
          <w:szCs w:val="14"/>
          <w:b w:val="1"/>
          <w:bCs w:val="1"/>
          <w:color w:val="auto"/>
        </w:rPr>
        <w:t>average</w:t>
      </w:r>
    </w:p>
    <w:p>
      <w:pPr>
        <w:ind w:left="6960"/>
        <w:spacing w:after="0" w:line="222" w:lineRule="auto"/>
        <w:rPr>
          <w:sz w:val="20"/>
          <w:szCs w:val="20"/>
          <w:color w:val="auto"/>
        </w:rPr>
      </w:pPr>
      <w:r>
        <w:rPr>
          <w:rFonts w:ascii="Arial" w:cs="Arial" w:eastAsia="Arial" w:hAnsi="Arial"/>
          <w:sz w:val="14"/>
          <w:szCs w:val="14"/>
          <w:b w:val="1"/>
          <w:bCs w:val="1"/>
          <w:color w:val="auto"/>
        </w:rPr>
        <w:t>exercise</w:t>
      </w:r>
    </w:p>
    <w:p>
      <w:pPr>
        <w:ind w:left="5360"/>
        <w:spacing w:after="0"/>
        <w:tabs>
          <w:tab w:leader="none" w:pos="70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06857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36195"/>
                    </a:xfrm>
                    <a:prstGeom prst="rect">
                      <a:avLst/>
                    </a:prstGeom>
                    <a:noFill/>
                  </pic:spPr>
                </pic:pic>
              </a:graphicData>
            </a:graphic>
          </wp:anchor>
        </w:drawing>
      </w:r>
    </w:p>
    <w:p>
      <w:pPr>
        <w:sectPr>
          <w:pgSz w:w="11900" w:h="16849" w:orient="portrait"/>
          <w:cols w:equalWidth="0" w:num="1">
            <w:col w:w="11420"/>
          </w:cols>
          <w:pgMar w:left="240" w:top="341" w:right="239" w:bottom="0" w:gutter="0" w:footer="0" w:header="0"/>
        </w:sectPr>
      </w:pPr>
    </w:p>
    <w:bookmarkStart w:id="8" w:name="page9"/>
    <w:bookmarkEnd w:id="8"/>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976,777</w:t>
            </w:r>
          </w:p>
        </w:tc>
        <w:tc>
          <w:tcPr>
            <w:tcW w:w="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218,900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canceled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Exercisable at June 30, 2018</w:t>
            </w: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478,898</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$1.4 million and $0, respectively, for the six months ended June 30, 2018 and 2017. The weighted-average grant date fair values, based on the Black-Scholes option model, of options granted during the six months ended June 30, 2018 and 2017 were $129.03 and $12.68,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104,127 unvested restricted shares outstanding at a weighted average grant date fair value of $9.45 at June 30, 2018 and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during the three and six months ended June 2018 and 2017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3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2,104</w:t>
            </w:r>
          </w:p>
        </w:tc>
        <w:tc>
          <w:tcPr>
            <w:tcW w:w="9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stock-based compensation expense included in net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40" w:type="dxa"/>
            <w:vAlign w:val="bottom"/>
            <w:gridSpan w:val="2"/>
          </w:tcPr>
          <w:p>
            <w:pPr>
              <w:jc w:val="right"/>
              <w:ind w:right="239"/>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stock-based compensation expense as of June 30, 2018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Unrecognized</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stock</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expense</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79"/>
              </w:rPr>
              <w:t>2.38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1780" w:type="dxa"/>
            <w:vAlign w:val="bottom"/>
            <w:gridSpan w:val="2"/>
          </w:tcPr>
          <w:p>
            <w:pPr>
              <w:ind w:left="1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79"/>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7. Commitments and Contingencies</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six months ended June 30, 2018 and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entered into customary contractual arrangements and letters of intent in preparation for and in support of the Phase 2 clinical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are based on our beliefs and assumptions and on information currently available to us. Forward-looking statements include information with respect to our clinical trials, research and development activities, the timing and success of future development of MGL-3196, our possible or assumed future results of operations and expenses, business strategies and plans, capital needs and financing plans, trends, market sizing, competitive position, industry environment and potential growth opportunities, among other things. Forward-looking statements include all statements that are not historical facts and, in some cases, can be identified by terms such as “anticipates,” “believes,” “could,”</w:t>
      </w:r>
    </w:p>
    <w:p>
      <w:pPr>
        <w:sectPr>
          <w:pgSz w:w="11900" w:h="16928" w:orient="portrait"/>
          <w:cols w:equalWidth="0" w:num="1">
            <w:col w:w="11460"/>
          </w:cols>
          <w:pgMar w:left="240" w:top="140" w:right="199" w:bottom="0" w:gutter="0" w:footer="0" w:header="0"/>
        </w:sectPr>
      </w:pPr>
    </w:p>
    <w:bookmarkStart w:id="9" w:name="page10"/>
    <w:bookmarkEnd w:id="9"/>
    <w:p>
      <w:pPr>
        <w:spacing w:after="0" w:line="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“estimates,” “expects,” “intends,” “may,” “plans,” “potential,” “predicts,” “projects,” “seeks,” “should,” “will,” “would” or similar expressions and the negatives of those terms.</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2017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sections entitled “Risk Factors” included elsewhere in this report. Our operating results are not necessarily indicative of results that may occur for the full fiscal year or any other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We have an ongoing 36-week, open-label extension study in 31 participating NASH patients from the Phase 2 clinical trial, which includes 14 patients who received placebo in the main study. We are also developing MGL-3196 for dyslipidemia, including genetic dyslipidemias such as heterozygous familial hypercholesterolemia, or HeFH. We enrolled 116 patients and completed a Phase 2 clinical trial in HeFH patients, and we reported the results in February 2018. In addition to the NASH and HeFH Phase 2 clinical trials, MGL-3196 has also been studied in six completed Phase 1 trials in a total of 183 subjects. MGL-3196 appeared to be safe and was well-tolerated in these trials, which included a single ascending dose trial, a multiple ascending dose trial, two drug interaction trials with statins, a multiple dose mass balance study, and a single dose relative bioavailability study of tablet formulations versus capsule formulation.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1300" w:right="200" w:hanging="644"/>
        <w:spacing w:after="0" w:line="258"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providers and consultants that conduct clinical trials;</w:t>
      </w:r>
    </w:p>
    <w:p>
      <w:pPr>
        <w:spacing w:after="0" w:line="1"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related to development and production of nonclinical and clinical trial supplies, including fees paid to contract manufacturers;</w:t>
      </w:r>
    </w:p>
    <w:p>
      <w:pPr>
        <w:spacing w:after="0" w:line="20" w:lineRule="exact"/>
        <w:rPr>
          <w:rFonts w:ascii="Arial" w:cs="Arial" w:eastAsia="Arial" w:hAnsi="Arial"/>
          <w:sz w:val="17"/>
          <w:szCs w:val="17"/>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initiate our Phase 3 clinical program and continue to conduct our Phase 2 clinical program and manufacturing and toxicology studies. Product candidates in later stages of clinical development generally have higher development costs than those in earlier stages of clinical development, due primarily to the increased size and duration of later-stage clinical trials, additional drug manufacturing requirements, and later stage toxicology studies such as carcinogenicity studies. Our research and development expenses increased between 2017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w:t>
      </w:r>
    </w:p>
    <w:p>
      <w:pPr>
        <w:sectPr>
          <w:pgSz w:w="11900" w:h="16908" w:orient="portrait"/>
          <w:cols w:equalWidth="0" w:num="1">
            <w:col w:w="11400"/>
          </w:cols>
          <w:pgMar w:left="240" w:top="125" w:right="259" w:bottom="0" w:gutter="0" w:footer="0" w:header="0"/>
        </w:sectPr>
      </w:pPr>
    </w:p>
    <w:bookmarkStart w:id="10" w:name="page11"/>
    <w:bookmarkEnd w:id="10"/>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General and administrative expenses consist primarily of management costs, costs associated with obtaining and maintaining our patent portfolio, professional fees for accounting, auditing, consulting and legal services, and allocated overhead expenses.</w:t>
      </w:r>
    </w:p>
    <w:p>
      <w:pPr>
        <w:spacing w:after="0" w:line="17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U.S. Securities and Exchange Commission, or SEC, requirements. We expect these potential increases will likely include management costs, legal fees, accounting fees, directors’ and officers’ liability insurance premiums and expenses associated with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2018, as compared to those disclosed in our Annual Report on Form 10-K for the fiscal year ended December 31, 2017 filed with the SEC on March 13,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three months ended June 30, 2018 and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Increase / (Decrease)</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6,816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(1,707)</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2,717</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1,623</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5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(1,166)</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1540" w:type="dxa"/>
            <w:vAlign w:val="bottom"/>
            <w:gridSpan w:val="3"/>
          </w:tcPr>
          <w:p>
            <w:pPr>
              <w:jc w:val="right"/>
              <w:ind w:right="100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5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8,347</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(1,887)</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research and development expenses were $5.1 million for the three months ended June 30, 2018, compared to $6.8 million in the corresponding period in 2017. Research and development expenses decreased by $1.7 million in the 2018 period due primarily to the completion of treatment in our Phase 2 clinical trials in 2018. We expect our research and development expenses to increase over time as we advance our clinical and preclinical development programs for MGL-3196.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Our general and administrative expenses were $2.7 million for the three months ended June 30, 2018, compared to $1.6 million in the corresponding period in 2017. General and administrative expenses increased by $1.1 million in the 2018 period due primarily to increase in non-cash stock compensation from stock option awards. We believe our general and administrative expenses may increase over time as we advance our clinical and preclinical development programs, which will likely result in an increase in our headcount, consulting services, and related overhead needed to support those efforts.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net interest income was $1.2 million for the three months ended June 30, 2018, compared to $0.1 million for the three months ended June 30, 2017. The increase in interest income was due primarily to a higher average principal balance in our investment account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six months ended June 30, 2018 and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2"/>
              </w:rPr>
              <w:t>Increase / (Decrease)</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53"/>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4,588</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3,318</w:t>
            </w: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1,270</w:t>
            </w:r>
          </w:p>
        </w:tc>
        <w:tc>
          <w:tcPr>
            <w:tcW w:w="5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38%</w:t>
            </w: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(200)</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432"/>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research and development expenses were $10.3 million for the six months ended June 30, 2018, compared to $11.2 million in the corresponding period in 2017. Research and development expenses decreased by $0.9 million in the 2018 period due primarily to completion of treatment in our Phase 2 clinical trials in 2018. We expect our research and development expenses to increase over time as we advance our clinical and preclinical development programs for MGL-3196.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general and administrative expenses were $4.6 million for the six months ended June 30, 2018, compared to $3.3 million in the corresponding period in 2017. General and administrative expenses increased by $1.3 million in the 2018 period due primarily to increase in non-cash stock compensation from stock option awards. We believe our general and administrative expenses may increase over time as we advance our clinical and preclinical development programs, which will likely result in an increase in our headcount, consulting services, and related overhead needed to support those efforts.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net interest income was $1.9 million for the six months ended June 30, 2018, compared to $0.2 million for the six months ended June 30, 2017. The increase in interest income was due primarily to a higher average principal balance in our investment account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2018, we had cash, cash equivalents and marketable securities totaling $490.3 million compared to $191.5 million as of December 31, 2017, with the increase primarily attributable to the proceeds from the June 2018 Offering, partially offset by our net operating loss. To date, we have funded our operations primarily through the issuance of convertible debt, the issuance of shares of common stock and preferred stock, and the proceeds from the merger with Synta.</w:t>
      </w:r>
    </w:p>
    <w:p>
      <w:pPr>
        <w:spacing w:after="0" w:line="18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most significant use of capital pertains to salaries and benefits for our employees, hiring additional personnel, including clinical, scientific, operational, financial and management personnel, and external research and development expenses, such as clinical trials and preclinical activity related to our product candidates.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June 30, 2018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r>
      <w:tr>
        <w:trPr>
          <w:trHeight w:val="523"/>
        </w:trPr>
        <w:tc>
          <w:tcPr>
            <w:tcW w:w="4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2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2780" w:type="dxa"/>
            <w:vAlign w:val="bottom"/>
          </w:tcPr>
          <w:p>
            <w:pPr>
              <w:spacing w:after="0"/>
              <w:rPr>
                <w:sz w:val="12"/>
                <w:szCs w:val="12"/>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shd w:val="clear" w:color="auto" w:fill="CCEEFF"/>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Net cash used by investing activities</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(183,036)</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(11,205)</w:t>
            </w:r>
          </w:p>
        </w:tc>
        <w:tc>
          <w:tcPr>
            <w:tcW w:w="27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38,278</w:t>
            </w:r>
          </w:p>
        </w:tc>
        <w:tc>
          <w:tcPr>
            <w:tcW w:w="2780" w:type="dxa"/>
            <w:vAlign w:val="bottom"/>
          </w:tcPr>
          <w:p>
            <w:pPr>
              <w:spacing w:after="0"/>
              <w:rPr>
                <w:sz w:val="18"/>
                <w:szCs w:val="18"/>
                <w:color w:val="auto"/>
              </w:rPr>
            </w:pP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3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116,234</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-1296670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-1296670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operating activities was $14.0 million for the six months ended June 30, 2018, compared to $11.4 million for the six months ended June 30, 2017.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Net cash used in investing activities was $183.0 million for the six months ended June 30, 2018, compared to $11.2 million used in investing activities for six months ended June 30, 2018. Net cash used in investing activities for the six months ended June 30, 2018 consisted of $251.9 million of purchases of</w:t>
      </w:r>
    </w:p>
    <w:p>
      <w:pPr>
        <w:sectPr>
          <w:pgSz w:w="11900" w:h="16894" w:orient="portrait"/>
          <w:cols w:equalWidth="0" w:num="1">
            <w:col w:w="11460"/>
          </w:cols>
          <w:pgMar w:left="240" w:top="140" w:right="199" w:bottom="0" w:gutter="0" w:footer="0" w:header="0"/>
        </w:sectPr>
      </w:pPr>
    </w:p>
    <w:bookmarkStart w:id="12" w:name="page13"/>
    <w:bookmarkEnd w:id="12"/>
    <w:p>
      <w:pPr>
        <w:jc w:val="both"/>
        <w:ind w:right="400"/>
        <w:spacing w:after="0" w:line="264" w:lineRule="auto"/>
        <w:rPr>
          <w:sz w:val="20"/>
          <w:szCs w:val="20"/>
          <w:color w:val="auto"/>
        </w:rPr>
      </w:pPr>
      <w:r>
        <w:rPr>
          <w:rFonts w:ascii="Arial" w:cs="Arial" w:eastAsia="Arial" w:hAnsi="Arial"/>
          <w:sz w:val="18"/>
          <w:szCs w:val="18"/>
          <w:color w:val="auto"/>
        </w:rPr>
        <w:t>marketable securities for our investment portfolio, partially offset by $68.8 million from sales and maturities of marketable securities. Net cash used by investing activities for the six months ended June 30, 2017 consisted of $31.1 million of purchases of marketable securities for our investment portfolio, partially offset by $20.0 million from sales and maturities of marketable securities.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provided by financing activities was $313.3 million for the six months ended June 30, 2018, compared to $38.3 million for the six months ended June 30, 2017. Net cash provided by financing activities for the six months ended June 30, 2018 consisted of net proceeds from the issuance of common stock pursuant to the June 2018 Offering and the exercise of stock options. Net cash provided by financing activities for the six months ended June 30, 2017 consisted of net proceeds from the sale of common stock under the October 2015 Sales Agreement and net proceeds from the sale of preferred stock and common stock in the June 2017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significant changes to contractual obligations and commitments occurred during the six months ended June 30, 2018, as compared to those disclosed in our Annual Report on Form 10-K for the fiscal year ended December 31, 2017, filed with the SEC on March 13,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cash, cash equivalents and marketable securities as of June 30, 2018 consisted of readily available checking account balances, money market funds, and high-grade corporate and government obligations that are classified as available-for-sale.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cash equivalents and marketable securities have a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0" w:gutter="0" w:footer="0" w:header="0"/>
        </w:sectPr>
      </w:pPr>
    </w:p>
    <w:bookmarkStart w:id="13" w:name="page14"/>
    <w:bookmarkEnd w:id="13"/>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have incurred significant operating losses since our inception and expect to incur significant losses for the foreseeable future as we continue our clinical trial and development programs for MGL-3196 and other future product candidates. As of June 30, 2018, we had an accumulated deficit of approximately $119.3 million. Losses have principally resulted from costs incurred in our preclinical and clinical trials, research and development programs and from our general and administrative expenses. As of June 30, 2018, we had cash, cash equivalents and marketable securities of approximately $490.3 million. In the future, we intend to continue to conduct research and development, clinical testing, regulatory compliance and, if MGL-3196 or other future product candidates are approved, sales and marketing activities that, together with anticipated general and administrative expenses, will likely result in us incurring further significant losses for the foreseeable future.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generate no revenue from product sales, and we may never be able to commercialize MGL-3196 or other future product candidates. We do not currently have the required approvals to market MGL-3196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business depends on the success of MGL-3196, which is still in clinical development and has not completed a pivotal trial. If we are unable to obtain regulatory approval for and successfully commercialize MGL-3196, or we experience significant delays in doing so, our business will be materially harmed.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date, the sole focus of our product development has been MGL-3196, a liver-directed selective thyroid hormone receptor beta agonist for potential use in non-alcoholic steatohepatitis, or NASH, and familial hypercholesterolemia, or FH. Successful continued development and ultimate regulatory approval of MGL-3196 for NASH or genetic dyslipidemias, such as FH, is critical to the future success of our business. We have invested, and will continue to invest, a significant portion of our time and financial resources in the clinical development of MGL-3196. We will need to raise sufficient funds to successfully complete our clinical development program for MGL-3196 in NASH and FH. The future regulatory and commercial success of MGL-3196 is subject to a number of risks, including the following:</w:t>
      </w:r>
    </w:p>
    <w:p>
      <w:pPr>
        <w:spacing w:after="0" w:line="193" w:lineRule="exact"/>
        <w:rPr>
          <w:sz w:val="20"/>
          <w:szCs w:val="20"/>
          <w:color w:val="auto"/>
        </w:rPr>
      </w:pPr>
    </w:p>
    <w:p>
      <w:pPr>
        <w:ind w:left="660" w:right="280" w:hanging="328"/>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MGL-3196, including, but not limited to, our currently ongoing Phase 2 clinical trials and our planned registrational clinical trials to obtain drug approval;</w:t>
      </w:r>
    </w:p>
    <w:p>
      <w:pPr>
        <w:spacing w:after="0" w:line="170" w:lineRule="exact"/>
        <w:rPr>
          <w:rFonts w:ascii="Arial" w:cs="Arial" w:eastAsia="Arial" w:hAnsi="Arial"/>
          <w:sz w:val="18"/>
          <w:szCs w:val="18"/>
          <w:color w:val="auto"/>
        </w:rPr>
      </w:pPr>
    </w:p>
    <w:p>
      <w:pPr>
        <w:ind w:left="660" w:right="240" w:hanging="328"/>
        <w:spacing w:after="0" w:line="312" w:lineRule="auto"/>
        <w:tabs>
          <w:tab w:leader="none" w:pos="6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mechanism of action of MGL-3196 is complex and we do not know the degree to which it will translate into a therapeutic benefit, if any, in NASH, FH or any other indication, and we do not know the degree to which the complex mechanism of action may contribute to long term safety issues or adverse events, if any, when MGL-3196 is taken for prolonged periods such as in the treatment of NASH, FH or any other indication;</w:t>
      </w:r>
    </w:p>
    <w:p>
      <w:pPr>
        <w:spacing w:after="0" w:line="146"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obtain adequate evidence from clinical trials of efficacy and safety for MGL-3196 in NASH, FH or any other indication;</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know the degree to which MGL-3196 will be accepted as a therapy by physicians, patients and payors, even if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clinical programs for MGL-3196, we may experience variability in patients, adjustments to clinical trial procedures and the need for additional clinical trial sites, which could delay our clinical trial progress;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MGL-3196, which could delay or prevent further clinical development;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cannot be certain what efficacy endpoints FDA or foreign clinical or regulatory agencies may require in a Phase 3 clinical trial of NASH or FH or for approval of our product candidates; we also cannot be certain if we will be able to gain accelerated approval of any of our product candidates based on surrogate endpoints;</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foreign clinical or regulatory agencies will likely require efficacy endpoints for Phase 3 clinical trials for the treatment of NASH or FH that differ from the endpoints of our current Phase 2 trials and the results of our Phase 3 clinical trials may not be as favorable as the results we have observed to date in our current trials;</w:t>
      </w:r>
    </w:p>
    <w:p>
      <w:pPr>
        <w:spacing w:after="0" w:line="181" w:lineRule="exact"/>
        <w:rPr>
          <w:rFonts w:ascii="Arial" w:cs="Arial" w:eastAsia="Arial" w:hAnsi="Arial"/>
          <w:sz w:val="18"/>
          <w:szCs w:val="18"/>
          <w:color w:val="auto"/>
        </w:rPr>
      </w:pPr>
    </w:p>
    <w:p>
      <w:pPr>
        <w:ind w:left="660" w:hanging="328"/>
        <w:spacing w:after="0" w:line="342" w:lineRule="auto"/>
        <w:tabs>
          <w:tab w:leader="none" w:pos="624"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differences in the design of our planned Phase 3 clinical trials of the treatment of NASH, including the use of a new tablet formulation of MGL-3196 and the inclusion of patients with more advanced NASH, could cause the results of our Phase 3 trials to be less favorable than the results we</w:t>
      </w:r>
    </w:p>
    <w:p>
      <w:pPr>
        <w:sectPr>
          <w:pgSz w:w="11900" w:h="16908" w:orient="portrait"/>
          <w:cols w:equalWidth="0" w:num="1">
            <w:col w:w="11400"/>
          </w:cols>
          <w:pgMar w:left="240" w:top="121" w:right="259" w:bottom="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observed in our Phase 2 trials in NASH;</w:t>
      </w:r>
    </w:p>
    <w:p>
      <w:pPr>
        <w:spacing w:after="0" w:line="225" w:lineRule="exact"/>
        <w:rPr>
          <w:sz w:val="20"/>
          <w:szCs w:val="20"/>
          <w:color w:val="auto"/>
        </w:rPr>
      </w:pPr>
    </w:p>
    <w:p>
      <w:pPr>
        <w:jc w:val="both"/>
        <w:ind w:left="660" w:right="8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obtain accelerated approval of a product candidate based on a surrogate endpoint, we will likely be required to conduct a post-approval clinical outcomes trial to confirm the clinical benefit of the product candidate and if the post-approval trial is not successful we may not be able to continue marketing the product;</w:t>
      </w:r>
    </w:p>
    <w:p>
      <w:pPr>
        <w:spacing w:after="0" w:line="181"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cannot be certain of the number and type of clinical trials and non-clinical studies that FDA or other regulatory agencies will require in order to approve MGL-3196 for NASH or FH;</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approved for NASH, MGL-3196 will likely compete with the off-label use of currently marketed products and other therapies in development that may reach approval for NASH prior to MGL-3196;</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approved for FH, MGL-3196 will likely compete with currently approved and marketed products and other therapies in development that may reach approval for FH prior to MGL-3196;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MGL-3196,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MGL-3196. If we or any of our future development partners are unable to develop, or obtain regulatory approval for, or, if approved, successfully commercialize MGL-3196, we may not be able to generate sufficient revenue to continue our business.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MGL-3196, may not have favorable results in later clinical trials or receive regulatory approval.</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Phase 2 results or of results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Phase 3 clinical trial in NASH. Furthermore, our future trials will need to demonstrate sufficient safety and efficacy in significantly larger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78"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Because MGL-3196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47"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MGL-3196 has not yet received regulatory approval for the treatment of NASH, FH or any other indication, and unexpected problems may arise that could cause us to delay, suspend or terminate our development efforts in any or all indications. Further, MGL-3196 has not yet demonstrated efficacy in patients with NASH or FH, and the long-term safety consequences of a liver-directed thyroid hormone receptor beta agonist are not known. Regulatory approval of new product candidates such as MGL-3196 can be more expensive and take longer than approval for candidates for the treatment of more well-understood diseases with previously approved products.</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1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any of the following, could delay or impede completely the completion of our ongoing and planned clinical trials and negatively affect our ability to obtain regulatory approval for, and to market and sell, a particular product candidate:</w:t>
      </w:r>
    </w:p>
    <w:p>
      <w:pPr>
        <w:spacing w:after="0" w:line="187"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ectPr>
          <w:pgSz w:w="11900" w:h="16838" w:orient="portrait"/>
          <w:cols w:equalWidth="0" w:num="1">
            <w:col w:w="11400"/>
          </w:cols>
          <w:pgMar w:left="240" w:top="125" w:right="259" w:bottom="100" w:gutter="0" w:footer="0" w:header="0"/>
        </w:sectPr>
      </w:pPr>
    </w:p>
    <w:bookmarkStart w:id="15" w:name="page16"/>
    <w:bookmarkEnd w:id="15"/>
    <w:p>
      <w:pPr>
        <w:spacing w:after="0" w:line="11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4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do not know whether our clinical trials will begin as planned, will need to be restructured, will enroll an adequate number of patients on time,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We may not be able to initiate, continue, or complete clinical trials required by the FDA or foreign regulatory agencies for MGL-3196 if we are unable to locate and enroll a sufficient number of eligible patients to participate in these clinical trials. We expect our Phase 3 clinical trials of MGL-3196 will require that we enroll significantly more patients than were enrolled in our Phase 2 trials. Patient enrollment,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proposed clinical trials, patient willingness to undergo a liver biopsy in our NASH trials, and identification of patients willing to participate in our FH trials due to the rarity of the disease, are also risk factors. Potential patients for MGL-3196 may not be adequately diagnosed or identified with the diseases which we are targeting or may not meet the entry criteria for our studies.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MGL-3196 and statins in 39 normal healthy volunteers, which showed MGL-3196 to have a favorable safety profile and to be well-tolerated. We have completed a Phase 2 clinical trial in NASH including patients taking low dose statins. We have also completed a Phase 2 clinical trial in HeFH including patients taking high dose statins. In general, drug interactions between MGL-3196 and statins and any other drug that might result in adverse events could delay development in later clinical trials.</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will be required to identify and enroll a sufficient number of patients for each of our ongoing and planned clinical trials of MGL-3196 for NASH and FH indications, respectively. We also may encounter difficulties in identifying and enrolling NASH patients and FH patients with a stage of disease appropriate for our ongoing or future clinical trials. We may not be able to initiate or continue clinical trials if we are unable to locate a sufficient number of eligible patients to participate in the clinical trials required by the FDA or other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53" w:orient="portrait"/>
          <w:cols w:equalWidth="0" w:num="1">
            <w:col w:w="11420"/>
          </w:cols>
          <w:pgMar w:left="240" w:top="125" w:right="239" w:bottom="0" w:gutter="0" w:footer="0" w:header="0"/>
        </w:sectPr>
      </w:pP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ectPr>
          <w:pgSz w:w="11900" w:h="16953" w:orient="portrait"/>
          <w:cols w:equalWidth="0" w:num="1">
            <w:col w:w="11420"/>
          </w:cols>
          <w:pgMar w:left="240" w:top="125" w:right="239" w:bottom="0" w:gutter="0" w:footer="0" w:header="0"/>
          <w:type w:val="continuous"/>
        </w:sectPr>
      </w:pPr>
    </w:p>
    <w:bookmarkStart w:id="16" w:name="page17"/>
    <w:bookmarkEnd w:id="16"/>
    <w:p>
      <w:pPr>
        <w:ind w:right="20"/>
        <w:spacing w:after="0" w:line="289" w:lineRule="auto"/>
        <w:rPr>
          <w:sz w:val="20"/>
          <w:szCs w:val="20"/>
          <w:color w:val="auto"/>
        </w:rPr>
      </w:pPr>
      <w:r>
        <w:rPr>
          <w:rFonts w:ascii="Arial" w:cs="Arial" w:eastAsia="Arial" w:hAnsi="Arial"/>
          <w:sz w:val="16"/>
          <w:szCs w:val="16"/>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6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181"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 and our product candidates may become obsolete.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MGL-3196.</w:t>
      </w:r>
    </w:p>
    <w:p>
      <w:pPr>
        <w:spacing w:after="0" w:line="169"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ectPr>
          <w:pgSz w:w="11900" w:h="16838" w:orient="portrait"/>
          <w:cols w:equalWidth="0" w:num="1">
            <w:col w:w="11420"/>
          </w:cols>
          <w:pgMar w:left="240" w:top="341" w:right="239" w:bottom="45" w:gutter="0" w:footer="0" w:header="0"/>
        </w:sectPr>
      </w:pPr>
    </w:p>
    <w:bookmarkStart w:id="17" w:name="page18"/>
    <w:bookmarkEnd w:id="17"/>
    <w:p>
      <w:pPr>
        <w:jc w:val="both"/>
        <w:ind w:right="180"/>
        <w:spacing w:after="0" w:line="279" w:lineRule="auto"/>
        <w:rPr>
          <w:sz w:val="20"/>
          <w:szCs w:val="20"/>
          <w:color w:val="auto"/>
        </w:rPr>
      </w:pPr>
      <w:r>
        <w:rPr>
          <w:rFonts w:ascii="Arial" w:cs="Arial" w:eastAsia="Arial" w:hAnsi="Arial"/>
          <w:sz w:val="17"/>
          <w:szCs w:val="17"/>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171"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22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2010, the Patient Protection and Affordable Care Act, or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 require the promulgation of detailed regulations implementing the statutory provisions, which have not yet been fully implemented.</w:t>
      </w:r>
    </w:p>
    <w:p>
      <w:pPr>
        <w:sectPr>
          <w:pgSz w:w="11900" w:h="16838" w:orient="portrait"/>
          <w:cols w:equalWidth="0" w:num="1">
            <w:col w:w="11420"/>
          </w:cols>
          <w:pgMar w:left="240" w:top="125" w:right="239" w:bottom="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188"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0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third-party product liability claims that could result from the production, use or consumption of the product, as well as for alleged infringements of any patent or other intellectual property right by a third party.</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the development and commercialization of MGL-3196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highly dependent on principal members of our management team, including our Chief Executive Officer, Paul A. Friedman, M.D., and our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have no marketing, sales or distribution capabilities and have limited sales or marketing experience within our organization. If our product candidate, MGL-3196, is approved, we intend either to establish a sales and marketing organization with technical expertise and supporting distribution capabilities to commercialize MGL-3196, or to outsource this function to a third party. Either of these options would be expensive and time-consuming. Some or all of these costs may be incurred in advance of any approval of MGL-3196.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MGL-3196 and other future product candidates.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MGL-3196 or any other future product candidate, we may never obtain approval or commercialize our products outside of the United States, which would limit our ability to realize their full market potential.</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ectPr>
          <w:pgSz w:w="11900" w:h="16838" w:orient="portrait"/>
          <w:cols w:equalWidth="0" w:num="1">
            <w:col w:w="11420"/>
          </w:cols>
          <w:pgMar w:left="240" w:top="125" w:right="239" w:bottom="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18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9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addition, we and/or our partners may be subject to patient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w:t>
      </w:r>
    </w:p>
    <w:p>
      <w:pPr>
        <w:sectPr>
          <w:pgSz w:w="11900" w:h="16838" w:orient="portrait"/>
          <w:cols w:equalWidth="0" w:num="1">
            <w:col w:w="11420"/>
          </w:cols>
          <w:pgMar w:left="240" w:top="125" w:right="239" w:bottom="0" w:gutter="0" w:footer="0" w:header="0"/>
        </w:sectPr>
      </w:pPr>
    </w:p>
    <w:bookmarkStart w:id="21" w:name="page22"/>
    <w:bookmarkEnd w:id="21"/>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wholesale prices that were then used by federal programs to set reimbursement rates; engaging in off-label promotion; and submitting inflated best price information to the Medicaid Rebate Program to reduce liability for Medicaid rebates.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66"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1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responsible for confirming that each of our clinical trials is conducted in accordance with FDA requirements and our general investigational plan and protocol.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entails risks to which we would not be subject if we manufactured our product candidates or products ourselves, including:</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14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We previously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reporting obligations or fail to prevent fraud; and in that case, our stockholders could lose confidence in our financial reporting, which would harm our business and could negatively impact the price of our stock.</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If we fail to maintain an effective system of internal controls, we may be unable to report our financial results accurately or prevent fraud; and, in that case, our stockholders could lose confidence in our financial reporting, which would harm our business and could negatively impact the price of our stock. On March 31, 2017, we filed with the SEC an amendment to our Quarterly Report on Form 10-Q for the quarter ended September 30, 2016 to correct certain errors therein. Management reported a material weakness in our system of internal controls over financial reporting as of September 30, 2016. A material weakness is a deficiency, or combination of deficiencies, in internal control over financial reporting, such that there is a reasonable possibility that a material misstatement of our annual or interim financial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statements will not be prevented or detected on a timely basis. We remediated this material weakness. We cannot assure you that the measures we have taken to date will be sufficient to avoid future material weaknesses. Even when we conclude that our internal control over financial reporting provides reasonable</w:t>
      </w:r>
    </w:p>
    <w:p>
      <w:pPr>
        <w:sectPr>
          <w:pgSz w:w="11900" w:h="16975" w:orient="portrait"/>
          <w:cols w:equalWidth="0" w:num="1">
            <w:col w:w="11400"/>
          </w:cols>
          <w:pgMar w:left="240" w:top="125" w:right="259" w:bottom="0" w:gutter="0" w:footer="0" w:header="0"/>
        </w:sectPr>
      </w:pPr>
    </w:p>
    <w:bookmarkStart w:id="22" w:name="page23"/>
    <w:bookmarkEnd w:id="22"/>
    <w:p>
      <w:pPr>
        <w:spacing w:after="0" w:line="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U.S. generally accepted accounting principles, or GAAP, because of its inherent limitations, internal control over financial reporting may not prevent or detect fraud or misstatements.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reporting obligations as a public company will require significant managerial, operational and financial resources for the foreseeable future. If we fail to maintain the adequacy of our internal control over financial reporting, we may not be able to produce reliable financial reports or help prevent fraud. Our failure to maintain effective internal control over financial reporting could prevent us from filing our periodic reports on a timely basis which could result in the loss of investor confidence in the reliability of our financial statements, harm our business and negatively impact the trading price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MGL-3196 granted to us by Roche.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entered into a Research, Development and Commercialization Agreement, or the Roche Agreement, with Hoffmann-La Roche, or Roche, on December 18, 2008. Pursuant to the terms of the Roche Agreement, we assumed control of all development and commercialization of MGL-3196 and hold exclusive worldwide rights for all potential indications. Under the Roche Agreement, Roche exclusively licensed certain patent rights and know-how relating to MGL-3196 in exchange for consideration consisting of an upfront payment, milestone payments tied to the achievement of product development and regulatory milestones, and royalty payments based on net sales of products containing MGL-3196 or another licensed product, subject to certain reductions.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thereof, on the last to occur of (i) the expiration of the last valid claim of a licensed patent covering the manufacture, use or sale of products containing MGL-3196, or (ii) ten years after the first sale of a product containing MGL-3196.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Under the Roche Agreement, Roche controls prosecution of the licensed patent rights, although we have a right to comment.</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have, nor have we had, any material disputes with Roche regarding the Roche Agreement. However, if there is any future dispute between us and Roche regarding the parties’ rights under the Roche Agreement, our ability to develop and commercialize MGL-3196, or any other product candidate covered by the Roche Agreement, may be materially harmed. Any uncured, material breach under the Roche Agreement could result in our loss of exclusive rights to MGL-3196 and may lead to a complete termination of the Roche Agreement and force us to cease product development efforts for MGL-3196.</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147"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have licensed rights to issued composition-of-matter patents in the United States and other jurisdictions for MGL-3196, we cannot be certain that the claims in issued composition-of-matter patents will not be found invalid or unenforceable if</w:t>
      </w:r>
    </w:p>
    <w:p>
      <w:pPr>
        <w:sectPr>
          <w:pgSz w:w="11900" w:h="16862" w:orient="portrait"/>
          <w:cols w:equalWidth="0" w:num="1">
            <w:col w:w="11380"/>
          </w:cols>
          <w:pgMar w:left="240" w:top="125" w:right="279" w:bottom="0" w:gutter="0" w:footer="0" w:header="0"/>
        </w:sectPr>
      </w:pPr>
    </w:p>
    <w:bookmarkStart w:id="23" w:name="page24"/>
    <w:bookmarkEnd w:id="23"/>
    <w:p>
      <w:pPr>
        <w:spacing w:after="0" w:line="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licensed composition-of-matter patent licensed from Roche for MGL-3196 is expected to expire in the United States in 2026. Our co-owned patents and pending patent applications that cover our particular solid form, dosage, method of manufacturing, and uses of MGL-3196 to treat various indications are expected to expire in 2033.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65" w:lineRule="exact"/>
        <w:rPr>
          <w:sz w:val="20"/>
          <w:szCs w:val="20"/>
          <w:color w:val="auto"/>
        </w:rPr>
      </w:pPr>
    </w:p>
    <w:p>
      <w:pPr>
        <w:ind w:left="660" w:hanging="328"/>
        <w:spacing w:after="0" w:line="259"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6"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make the inventions covered by pending patent applications or issued patents;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4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file patent applications for our product candidates or the compositions developed, or for their uses;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our licensor(s)’ disclosures in patent applications may not be sufficient to meet the statutory requirements for patentability;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others may design around our owned and licensed patent claims to produce competitive products which fall outside of the scope of the patents;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licensor(s)’ patents;</w:t>
      </w:r>
    </w:p>
    <w:p>
      <w:pPr>
        <w:spacing w:after="0" w:line="225" w:lineRule="exact"/>
        <w:rPr>
          <w:rFonts w:ascii="Arial" w:cs="Arial" w:eastAsia="Arial" w:hAnsi="Arial"/>
          <w:sz w:val="18"/>
          <w:szCs w:val="18"/>
          <w:color w:val="auto"/>
        </w:rPr>
      </w:pPr>
    </w:p>
    <w:p>
      <w:pPr>
        <w:jc w:val="both"/>
        <w:ind w:left="660" w:right="260" w:hanging="328"/>
        <w:spacing w:after="0" w:line="312" w:lineRule="auto"/>
        <w:tabs>
          <w:tab w:leader="none" w:pos="6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146" w:lineRule="exact"/>
        <w:rPr>
          <w:rFonts w:ascii="Arial" w:cs="Arial" w:eastAsia="Arial" w:hAnsi="Arial"/>
          <w:sz w:val="16"/>
          <w:szCs w:val="16"/>
          <w:color w:val="auto"/>
        </w:rPr>
      </w:pPr>
    </w:p>
    <w:p>
      <w:pPr>
        <w:ind w:left="660" w:right="80" w:hanging="328"/>
        <w:spacing w:after="0" w:line="264"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ectPr>
          <w:pgSz w:w="11900" w:h="16854" w:orient="portrait"/>
          <w:cols w:equalWidth="0" w:num="1">
            <w:col w:w="11400"/>
          </w:cols>
          <w:pgMar w:left="240" w:top="125" w:right="259" w:bottom="0" w:gutter="0" w:footer="0" w:header="0"/>
        </w:sectPr>
      </w:pPr>
    </w:p>
    <w:bookmarkStart w:id="24" w:name="page25"/>
    <w:bookmarkEnd w:id="24"/>
    <w:p>
      <w:pPr>
        <w:spacing w:after="0" w:line="8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are maintained in secrecy until the application is published, we may be unaware of third party patents that may be infringed by commercialization of MGL-3196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158"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 us from commercializing MGL-3196 for NASH or FH or our other product candidates until the asserted patent expires or is held finally invalid or not infringed in a court of law;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no third party has asserted a claim of patent infringement against us as of the filing date of this report, others may hold proprietary rights that could prevent MGL-3196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MGL-3196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MGL-3196 or our other product candidates, which could harm our business, financial condition and operating results.</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ectPr>
          <w:pgSz w:w="11900" w:h="16927" w:orient="portrait"/>
          <w:cols w:equalWidth="0" w:num="1">
            <w:col w:w="11400"/>
          </w:cols>
          <w:pgMar w:left="240" w:top="341" w:right="259" w:bottom="0" w:gutter="0" w:footer="0" w:header="0"/>
        </w:sectPr>
      </w:pPr>
    </w:p>
    <w:bookmarkStart w:id="25" w:name="page26"/>
    <w:bookmarkEnd w:id="25"/>
    <w:p>
      <w:pPr>
        <w:spacing w:after="0" w:line="2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While we have licensed from Roche issued composition-of-matter patents directed at MGL-3196 in the United States and other countries, filing, prosecuting and defending patents on MGL-3196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w:t>
      </w:r>
    </w:p>
    <w:p>
      <w:pPr>
        <w:sectPr>
          <w:pgSz w:w="11900" w:h="16865" w:orient="portrait"/>
          <w:cols w:equalWidth="0" w:num="1">
            <w:col w:w="11420"/>
          </w:cols>
          <w:pgMar w:left="240" w:top="341" w:right="239" w:bottom="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United States. These products may compete with MGL-3196, and our patents or other intellectual property rights may not be effective or sufficient to prevent them from competing.</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obtain the capital necessary to fund our operations, we will be unable to successfully develop and commercialize MGL-3196 and other future product candidates.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Although we believe that our existing cash and cash equivalents will be sufficient to fund our current operations through at least the next 12 months, we may require additional working capital in order to complete the remaining clinical development for MGL-3196 and our other product candidates through potential regulatory approval and through potential commercialization of these product candidates. In particular, in order to initiate our Phase 3 clinical program for MGL-3196 in NASH, we may need to collaborate with a strategic partner or raise additional working capital. We expect our spending levels to increase in connection with our clinical trials of MGL-3196 as well as other corporate activities. The amount and timing of any expenditure needed to implement our development and commercialization programs will depend on numerous factors, including:</w:t>
      </w:r>
    </w:p>
    <w:p>
      <w:pPr>
        <w:spacing w:after="0" w:line="178" w:lineRule="exact"/>
        <w:rPr>
          <w:sz w:val="20"/>
          <w:szCs w:val="20"/>
          <w:color w:val="auto"/>
        </w:rPr>
      </w:pPr>
    </w:p>
    <w:p>
      <w:pPr>
        <w:ind w:left="660" w:right="380" w:hanging="328"/>
        <w:spacing w:after="0" w:line="342" w:lineRule="auto"/>
        <w:tabs>
          <w:tab w:leader="none" w:pos="6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type, number, scope, progress, expansion costs, results of and timing of our ongoing or future clinical trials or the need for additional clinical trials of MGL-3196 for NASH and FH or any of our other product candidates which we are pursuing or may choose to pursue in the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MGL-3196 for NASH and FH and any of our other product candidates;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MGL-3196 for NASH and FH and any of our other product candidates, including commercial manufacturing if any product candidate is approved;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and timing of establishing sales, marketing and reimbursement capabilities and enhanced internal controls over financial reporting;</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any new product candidates that we may develop, in-license or acquire;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225"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Some of these factors are outside of our control. We do not expect our existing capital resources to be sufficient to enable us to fund the completion of our clinical trials and commercialization of our product candidates. We expect that we will need to raise substantial additional funds in the future.</w:t>
      </w:r>
    </w:p>
    <w:p>
      <w:pPr>
        <w:spacing w:after="0" w:line="147" w:lineRule="exact"/>
        <w:rPr>
          <w:sz w:val="20"/>
          <w:szCs w:val="20"/>
          <w:color w:val="auto"/>
        </w:rPr>
      </w:pPr>
    </w:p>
    <w:p>
      <w:pPr>
        <w:jc w:val="both"/>
        <w:ind w:right="340"/>
        <w:spacing w:after="0" w:line="257"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are unable to obtain additional funding on a timely basis, we may be unable to complete ongoing and planned clinical trials for MGL-3196 for NASH and FH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ectPr>
          <w:pgSz w:w="11900" w:h="16838" w:orient="portrait"/>
          <w:cols w:equalWidth="0" w:num="1">
            <w:col w:w="11420"/>
          </w:cols>
          <w:pgMar w:left="240" w:top="125" w:right="239" w:bottom="0" w:gutter="0" w:footer="0" w:header="0"/>
        </w:sectPr>
      </w:pPr>
    </w:p>
    <w:bookmarkStart w:id="27" w:name="page28"/>
    <w:bookmarkEnd w:id="27"/>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 in addition to global and industry-wide events:</w:t>
      </w:r>
    </w:p>
    <w:p>
      <w:pPr>
        <w:spacing w:after="0" w:line="181"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losses we may incur;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concern as to the safety and efficacy of products developed by us or others;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that event, the market price of our common stock could materially decline.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small number of our stockholders beneficially own a substantial amount of our common stock and have substantial control over us; therefore, your ability to influence corporate matters may be limited.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stockholders affiliated with our officers and directors collectively beneficially own or control approximately 39.3% of our outstanding common stock as of June 30, 2018 and acting together, may have the ability to affect matters submitted to our stockholders for approval. This concentration of ownership may have the effect of delaying, deferring or preventing a strategic transaction, even if such a transaction would benefit other stockholders.</w:t>
      </w:r>
    </w:p>
    <w:p>
      <w:pPr>
        <w:spacing w:after="0" w:line="16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by us, by our existing stockholders, or by the holders of our Series A Convertible Preferred Stock upon conversion, or the perception that these sales might occur, could significantly reduce the market price of our common stock and impair our ability to raise adequate capital through the sale of additional equity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Stockholders' Sales of Shares, Including Those Issued under the Securities Purchase Agreement</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June 30, 2018, there were 1,969,797 shares of Series A Convertible Preferred stock outstanding, all of which are readily convertible into common stock at the option of the holders. In addition, there are an additional 1,137,507 shares of our common stock issuable upon the exercise of outstanding stock options. Sales of a substantial number of shares of our common stock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w:t>
      </w:r>
    </w:p>
    <w:p>
      <w:pPr>
        <w:sectPr>
          <w:pgSz w:w="11900" w:h="16941" w:orient="portrait"/>
          <w:cols w:equalWidth="0" w:num="1">
            <w:col w:w="11400"/>
          </w:cols>
          <w:pgMar w:left="240" w:top="125" w:right="259" w:bottom="0" w:gutter="0" w:footer="0" w:header="0"/>
        </w:sectPr>
      </w:pPr>
    </w:p>
    <w:bookmarkStart w:id="28" w:name="page29"/>
    <w:bookmarkEnd w:id="28"/>
    <w:p>
      <w:pPr>
        <w:ind w:right="600"/>
        <w:spacing w:after="0" w:line="277" w:lineRule="auto"/>
        <w:rPr>
          <w:sz w:val="20"/>
          <w:szCs w:val="20"/>
          <w:color w:val="auto"/>
        </w:rPr>
      </w:pPr>
      <w:r>
        <w:rPr>
          <w:rFonts w:ascii="Arial" w:cs="Arial" w:eastAsia="Arial" w:hAnsi="Arial"/>
          <w:sz w:val="18"/>
          <w:szCs w:val="18"/>
          <w:color w:val="auto"/>
        </w:rPr>
        <w:t>Such sales also may impair our ability to raise capital through the sale of additional shares in the future at a time and price that our management deems acceptable,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w:t>
            </w:r>
          </w:p>
        </w:tc>
        <w:tc>
          <w:tcPr>
            <w:tcW w:w="3060" w:type="dxa"/>
            <w:vAlign w:val="bottom"/>
            <w:gridSpan w:val="21"/>
            <w:vMerge w:val="restart"/>
          </w:tcPr>
          <w:p>
            <w:pPr>
              <w:ind w:left="74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560" w:type="dxa"/>
            <w:vAlign w:val="bottom"/>
            <w:gridSpan w:val="4"/>
            <w:vMerge w:val="continue"/>
          </w:tcPr>
          <w:p>
            <w:pPr>
              <w:spacing w:after="0"/>
              <w:rPr>
                <w:sz w:val="12"/>
                <w:szCs w:val="12"/>
                <w:color w:val="auto"/>
              </w:rPr>
            </w:pPr>
          </w:p>
        </w:tc>
        <w:tc>
          <w:tcPr>
            <w:tcW w:w="3060" w:type="dxa"/>
            <w:vAlign w:val="bottom"/>
            <w:gridSpan w:val="21"/>
            <w:vMerge w:val="continue"/>
          </w:tcPr>
          <w:p>
            <w:pPr>
              <w:spacing w:after="0"/>
              <w:rPr>
                <w:sz w:val="12"/>
                <w:szCs w:val="12"/>
                <w:color w:val="auto"/>
              </w:rPr>
            </w:pPr>
          </w:p>
        </w:tc>
        <w:tc>
          <w:tcPr>
            <w:tcW w:w="840" w:type="dxa"/>
            <w:vAlign w:val="bottom"/>
          </w:tcPr>
          <w:p>
            <w:pPr>
              <w:jc w:val="center"/>
              <w:ind w:left="102"/>
              <w:spacing w:after="0" w:line="142" w:lineRule="exact"/>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File No.</w:t>
            </w: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Exhibit</w:t>
            </w: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Borders>
              <w:top w:val="single" w:sz="8" w:color="auto"/>
            </w:tcBorders>
          </w:tcPr>
          <w:p>
            <w:pPr>
              <w:ind w:left="380"/>
              <w:spacing w:after="0" w:line="170" w:lineRule="exact"/>
              <w:rPr>
                <w:sz w:val="20"/>
                <w:szCs w:val="20"/>
                <w:color w:val="auto"/>
              </w:rPr>
            </w:pPr>
            <w:r>
              <w:rPr>
                <w:rFonts w:ascii="Arial" w:cs="Arial" w:eastAsia="Arial" w:hAnsi="Arial"/>
                <w:sz w:val="18"/>
                <w:szCs w:val="18"/>
                <w:color w:val="auto"/>
              </w:rPr>
              <w:t>1.1</w:t>
            </w: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top w:val="single" w:sz="8" w:color="auto"/>
              <w:bottom w:val="single" w:sz="8" w:color="0000EE"/>
            </w:tcBorders>
            <w:gridSpan w:val="10"/>
          </w:tcPr>
          <w:p>
            <w:pPr>
              <w:spacing w:after="0" w:line="170"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Underwriting Agreement, dated</w:t>
              </w:r>
            </w:hyperlink>
          </w:p>
        </w:tc>
        <w:tc>
          <w:tcPr>
            <w:tcW w:w="380" w:type="dxa"/>
            <w:vAlign w:val="bottom"/>
            <w:tcBorders>
              <w:top w:val="single" w:sz="8" w:color="auto"/>
            </w:tcBorders>
            <w:gridSpan w:val="10"/>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top w:val="single" w:sz="8" w:color="auto"/>
            </w:tcBorders>
          </w:tcPr>
          <w:p>
            <w:pPr>
              <w:jc w:val="center"/>
              <w:ind w:left="122"/>
              <w:spacing w:after="0" w:line="170" w:lineRule="exact"/>
              <w:rPr>
                <w:sz w:val="20"/>
                <w:szCs w:val="20"/>
                <w:color w:val="auto"/>
              </w:rPr>
            </w:pPr>
            <w:r>
              <w:rPr>
                <w:rFonts w:ascii="Arial" w:cs="Arial" w:eastAsia="Arial" w:hAnsi="Arial"/>
                <w:sz w:val="18"/>
                <w:szCs w:val="18"/>
                <w:color w:val="auto"/>
                <w:w w:val="99"/>
              </w:rPr>
              <w:t>8-K</w:t>
            </w:r>
          </w:p>
        </w:tc>
        <w:tc>
          <w:tcPr>
            <w:tcW w:w="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001-33277</w:t>
            </w:r>
          </w:p>
        </w:tc>
        <w:tc>
          <w:tcPr>
            <w:tcW w:w="280" w:type="dxa"/>
            <w:vAlign w:val="bottom"/>
          </w:tcPr>
          <w:p>
            <w:pPr>
              <w:spacing w:after="0"/>
              <w:rPr>
                <w:sz w:val="14"/>
                <w:szCs w:val="14"/>
                <w:color w:val="auto"/>
              </w:rPr>
            </w:pPr>
          </w:p>
        </w:tc>
        <w:tc>
          <w:tcPr>
            <w:tcW w:w="9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2018-06-08</w:t>
            </w:r>
          </w:p>
        </w:tc>
        <w:tc>
          <w:tcPr>
            <w:tcW w:w="2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57">
              <w:r>
                <w:rPr>
                  <w:rFonts w:ascii="Arial" w:cs="Arial" w:eastAsia="Arial" w:hAnsi="Arial"/>
                  <w:sz w:val="18"/>
                  <w:szCs w:val="18"/>
                  <w:color w:val="0000EE"/>
                  <w:w w:val="87"/>
                </w:rPr>
                <w:t>June 6, 2018, by and between</w:t>
              </w:r>
            </w:hyperlink>
          </w:p>
        </w:tc>
        <w:tc>
          <w:tcPr>
            <w:tcW w:w="92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Madrigal Pharmaceuticals, Inc.,</w:t>
              </w:r>
            </w:hyperlink>
          </w:p>
        </w:tc>
        <w:tc>
          <w:tcPr>
            <w:tcW w:w="76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Goldman Sachs &amp; Co. LLC as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Representative of the Underwriters</w:t>
              </w:r>
            </w:hyperlink>
          </w:p>
        </w:tc>
        <w:tc>
          <w:tcPr>
            <w:tcW w:w="5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set forth therein, and the selling</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stockholders of Madrigal</w:t>
              </w:r>
            </w:hyperlink>
          </w:p>
        </w:tc>
        <w:tc>
          <w:tcPr>
            <w:tcW w:w="460" w:type="dxa"/>
            <w:vAlign w:val="bottom"/>
            <w:tcBorders>
              <w:top w:val="single" w:sz="8" w:color="0000EE"/>
            </w:tcBorders>
            <w:gridSpan w:val="6"/>
          </w:tcPr>
          <w:p>
            <w:pPr>
              <w:spacing w:after="0"/>
              <w:rPr>
                <w:sz w:val="17"/>
                <w:szCs w:val="17"/>
                <w:color w:val="auto"/>
              </w:rPr>
            </w:pPr>
          </w:p>
        </w:tc>
        <w:tc>
          <w:tcPr>
            <w:tcW w:w="78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Pharmaceuticals, Inc. named therein.</w:t>
              </w:r>
            </w:hyperlink>
          </w:p>
        </w:tc>
        <w:tc>
          <w:tcPr>
            <w:tcW w:w="3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ind w:left="4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Principal Executive</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Officer pursuant to Rule 13a-</w:t>
              </w:r>
            </w:hyperlink>
          </w:p>
        </w:tc>
        <w:tc>
          <w:tcPr>
            <w:tcW w:w="440" w:type="dxa"/>
            <w:vAlign w:val="bottom"/>
            <w:tcBorders>
              <w:top w:val="single" w:sz="8" w:color="0000EE"/>
            </w:tcBorders>
            <w:gridSpan w:val="12"/>
          </w:tcPr>
          <w:p>
            <w:pPr>
              <w:spacing w:after="0"/>
              <w:rPr>
                <w:sz w:val="17"/>
                <w:szCs w:val="17"/>
                <w:color w:val="auto"/>
              </w:rPr>
            </w:pPr>
          </w:p>
        </w:tc>
        <w:tc>
          <w:tcPr>
            <w:tcW w:w="5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14(a) or Rule 15d-14(a) of the</w:t>
              </w:r>
            </w:hyperlink>
          </w:p>
        </w:tc>
        <w:tc>
          <w:tcPr>
            <w:tcW w:w="8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Securities Exchange Act of 1934, as</w:t>
              </w:r>
            </w:hyperlink>
          </w:p>
        </w:tc>
        <w:tc>
          <w:tcPr>
            <w:tcW w:w="4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adopted pursuant to Section 302 of</w:t>
              </w:r>
            </w:hyperlink>
          </w:p>
        </w:tc>
        <w:tc>
          <w:tcPr>
            <w:tcW w:w="5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the Sarbanes-Oxley Act of 2002.</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2"/>
          </w:tcPr>
          <w:p>
            <w:pPr>
              <w:ind w:left="4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Certification of Principal Financial</w:t>
              </w:r>
            </w:hyperlink>
          </w:p>
        </w:tc>
        <w:tc>
          <w:tcPr>
            <w:tcW w:w="52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Officer pursuant to Rule 13a-</w:t>
              </w:r>
            </w:hyperlink>
          </w:p>
        </w:tc>
        <w:tc>
          <w:tcPr>
            <w:tcW w:w="9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14(a) or Rule 15d-14(a) of the</w:t>
              </w:r>
            </w:hyperlink>
          </w:p>
        </w:tc>
        <w:tc>
          <w:tcPr>
            <w:tcW w:w="8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Securities Exchange Act of 1934, as</w:t>
              </w:r>
            </w:hyperlink>
          </w:p>
        </w:tc>
        <w:tc>
          <w:tcPr>
            <w:tcW w:w="4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adopted pursuant to Section 302 of</w:t>
              </w:r>
            </w:hyperlink>
          </w:p>
        </w:tc>
        <w:tc>
          <w:tcPr>
            <w:tcW w:w="5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the Sarbanes-Oxley Act of 2002.</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w:t>
            </w:r>
          </w:p>
        </w:tc>
        <w:tc>
          <w:tcPr>
            <w:tcW w:w="3060" w:type="dxa"/>
            <w:vAlign w:val="bottom"/>
            <w:gridSpan w:val="21"/>
            <w:vMerge w:val="restart"/>
          </w:tcPr>
          <w:p>
            <w:pPr>
              <w:ind w:left="74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560" w:type="dxa"/>
            <w:vAlign w:val="bottom"/>
            <w:gridSpan w:val="4"/>
            <w:vMerge w:val="continue"/>
          </w:tcPr>
          <w:p>
            <w:pPr>
              <w:spacing w:after="0"/>
              <w:rPr>
                <w:sz w:val="12"/>
                <w:szCs w:val="12"/>
                <w:color w:val="auto"/>
              </w:rPr>
            </w:pPr>
          </w:p>
        </w:tc>
        <w:tc>
          <w:tcPr>
            <w:tcW w:w="3060" w:type="dxa"/>
            <w:vAlign w:val="bottom"/>
            <w:gridSpan w:val="21"/>
            <w:vMerge w:val="continue"/>
          </w:tcPr>
          <w:p>
            <w:pPr>
              <w:spacing w:after="0"/>
              <w:rPr>
                <w:sz w:val="12"/>
                <w:szCs w:val="12"/>
                <w:color w:val="auto"/>
              </w:rPr>
            </w:pPr>
          </w:p>
        </w:tc>
        <w:tc>
          <w:tcPr>
            <w:tcW w:w="840" w:type="dxa"/>
            <w:vAlign w:val="bottom"/>
          </w:tcPr>
          <w:p>
            <w:pPr>
              <w:jc w:val="center"/>
              <w:ind w:left="102"/>
              <w:spacing w:after="0" w:line="142" w:lineRule="exact"/>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File No.</w:t>
            </w: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Exhibit</w:t>
            </w: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Borders>
              <w:top w:val="single" w:sz="8" w:color="auto"/>
            </w:tcBorders>
          </w:tcPr>
          <w:p>
            <w:pPr>
              <w:ind w:left="380"/>
              <w:spacing w:after="0" w:line="170" w:lineRule="exact"/>
              <w:rPr>
                <w:sz w:val="20"/>
                <w:szCs w:val="20"/>
                <w:color w:val="auto"/>
              </w:rPr>
            </w:pPr>
            <w:r>
              <w:rPr>
                <w:rFonts w:ascii="Arial" w:cs="Arial" w:eastAsia="Arial" w:hAnsi="Arial"/>
                <w:sz w:val="18"/>
                <w:szCs w:val="18"/>
                <w:color w:val="auto"/>
              </w:rPr>
              <w:t>32.1*</w:t>
            </w: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tcBorders>
              <w:top w:val="single" w:sz="8" w:color="auto"/>
              <w:bottom w:val="single" w:sz="8" w:color="0000EE"/>
            </w:tcBorders>
            <w:gridSpan w:val="17"/>
          </w:tcPr>
          <w:p>
            <w:pPr>
              <w:spacing w:after="0" w:line="170"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Certifications of Principal Executive</w:t>
              </w:r>
            </w:hyperlink>
          </w:p>
        </w:tc>
        <w:tc>
          <w:tcPr>
            <w:tcW w:w="60" w:type="dxa"/>
            <w:vAlign w:val="bottom"/>
            <w:tcBorders>
              <w:top w:val="single" w:sz="8" w:color="auto"/>
            </w:tcBorders>
            <w:gridSpan w:val="3"/>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Officer and Principal Financial</w:t>
              </w:r>
            </w:hyperlink>
          </w:p>
        </w:tc>
        <w:tc>
          <w:tcPr>
            <w:tcW w:w="82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Officer, pursuant to 18 U.S.C.</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Section 1350, as adopted pursuant to</w:t>
              </w:r>
            </w:hyperlink>
          </w:p>
        </w:tc>
        <w:tc>
          <w:tcPr>
            <w:tcW w:w="4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Section 906 of the Sarbanes-Oxley</w:t>
              </w:r>
            </w:hyperlink>
          </w:p>
        </w:tc>
        <w:tc>
          <w:tcPr>
            <w:tcW w:w="54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6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101.INS</w:t>
            </w:r>
          </w:p>
        </w:tc>
        <w:tc>
          <w:tcPr>
            <w:tcW w:w="306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101.SCH</w:t>
            </w:r>
          </w:p>
        </w:tc>
        <w:tc>
          <w:tcPr>
            <w:tcW w:w="3060" w:type="dxa"/>
            <w:vAlign w:val="bottom"/>
            <w:gridSpan w:val="21"/>
          </w:tcPr>
          <w:p>
            <w:pPr>
              <w:spacing w:after="0"/>
              <w:rPr>
                <w:sz w:val="20"/>
                <w:szCs w:val="20"/>
                <w:color w:val="auto"/>
              </w:rPr>
            </w:pPr>
            <w:r>
              <w:rPr>
                <w:rFonts w:ascii="Arial" w:cs="Arial" w:eastAsia="Arial" w:hAnsi="Arial"/>
                <w:sz w:val="18"/>
                <w:szCs w:val="18"/>
                <w:color w:val="auto"/>
              </w:rPr>
              <w:t>XBRL Taxonomy Extension Schema</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101.CAL</w:t>
            </w:r>
          </w:p>
        </w:tc>
        <w:tc>
          <w:tcPr>
            <w:tcW w:w="30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21"/>
          </w:tcPr>
          <w:p>
            <w:pPr>
              <w:spacing w:after="0"/>
              <w:rPr>
                <w:sz w:val="20"/>
                <w:szCs w:val="20"/>
                <w:color w:val="auto"/>
              </w:rPr>
            </w:pPr>
            <w:r>
              <w:rPr>
                <w:rFonts w:ascii="Arial" w:cs="Arial" w:eastAsia="Arial" w:hAnsi="Arial"/>
                <w:sz w:val="18"/>
                <w:szCs w:val="18"/>
                <w:color w:val="auto"/>
              </w:rPr>
              <w:t>Calculation Linkbase Document.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101.LAB</w:t>
            </w:r>
          </w:p>
        </w:tc>
        <w:tc>
          <w:tcPr>
            <w:tcW w:w="3060" w:type="dxa"/>
            <w:vAlign w:val="bottom"/>
            <w:gridSpan w:val="21"/>
          </w:tcPr>
          <w:p>
            <w:pPr>
              <w:spacing w:after="0"/>
              <w:rPr>
                <w:sz w:val="20"/>
                <w:szCs w:val="20"/>
                <w:color w:val="auto"/>
              </w:rPr>
            </w:pPr>
            <w:r>
              <w:rPr>
                <w:rFonts w:ascii="Arial" w:cs="Arial" w:eastAsia="Arial" w:hAnsi="Arial"/>
                <w:sz w:val="18"/>
                <w:szCs w:val="18"/>
                <w:color w:val="auto"/>
              </w:rPr>
              <w:t>XBRL Taxonomy Extension Label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101.PRE</w:t>
            </w:r>
          </w:p>
        </w:tc>
        <w:tc>
          <w:tcPr>
            <w:tcW w:w="30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21"/>
          </w:tcPr>
          <w:p>
            <w:pPr>
              <w:spacing w:after="0"/>
              <w:rPr>
                <w:sz w:val="20"/>
                <w:szCs w:val="20"/>
                <w:color w:val="auto"/>
              </w:rPr>
            </w:pPr>
            <w:r>
              <w:rPr>
                <w:rFonts w:ascii="Arial" w:cs="Arial" w:eastAsia="Arial" w:hAnsi="Arial"/>
                <w:sz w:val="18"/>
                <w:szCs w:val="18"/>
                <w:color w:val="auto"/>
              </w:rPr>
              <w:t>Presentation Linkbase Document.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-3337560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-3337560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9" w:name="page30"/>
    <w:bookmarkEnd w:id="29"/>
    <w:tbl>
      <w:tblPr>
        <w:tblLayout w:type="fixed"/>
        <w:tblInd w:w="40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020" w:type="dxa"/>
            <w:vAlign w:val="bottom"/>
          </w:tcPr>
          <w:p>
            <w:pPr>
              <w:ind w:left="260"/>
              <w:spacing w:after="0"/>
              <w:rPr>
                <w:sz w:val="20"/>
                <w:szCs w:val="20"/>
                <w:color w:val="auto"/>
              </w:rPr>
            </w:pPr>
            <w:r>
              <w:rPr>
                <w:rFonts w:ascii="Arial" w:cs="Arial" w:eastAsia="Arial" w:hAnsi="Arial"/>
                <w:sz w:val="18"/>
                <w:szCs w:val="18"/>
                <w:color w:val="auto"/>
              </w:rPr>
              <w:t>XBRL Taxonomy Extension</w:t>
            </w:r>
          </w:p>
        </w:tc>
        <w:tc>
          <w:tcPr>
            <w:tcW w:w="3600" w:type="dxa"/>
            <w:vAlign w:val="bottom"/>
          </w:tcPr>
          <w:p>
            <w:pPr>
              <w:ind w:left="3460"/>
              <w:spacing w:after="0"/>
              <w:rPr>
                <w:sz w:val="20"/>
                <w:szCs w:val="20"/>
                <w:color w:val="auto"/>
              </w:rPr>
            </w:pPr>
            <w:r>
              <w:rPr>
                <w:rFonts w:ascii="Arial" w:cs="Arial" w:eastAsia="Arial" w:hAnsi="Arial"/>
                <w:sz w:val="18"/>
                <w:szCs w:val="18"/>
                <w:color w:val="auto"/>
                <w:w w:val="99"/>
              </w:rPr>
              <w:t>X</w:t>
            </w:r>
          </w:p>
        </w:tc>
      </w:tr>
      <w:tr>
        <w:trPr>
          <w:trHeight w:val="230"/>
        </w:trPr>
        <w:tc>
          <w:tcPr>
            <w:tcW w:w="900" w:type="dxa"/>
            <w:vAlign w:val="bottom"/>
          </w:tcPr>
          <w:p>
            <w:pPr>
              <w:spacing w:after="0"/>
              <w:rPr>
                <w:sz w:val="20"/>
                <w:szCs w:val="20"/>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Definition Linkbase Document.</w:t>
            </w:r>
          </w:p>
        </w:tc>
        <w:tc>
          <w:tcPr>
            <w:tcW w:w="3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MADRIGAL PHARMACEUTICALS, INC.</w:t>
            </w: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August 7, 2018</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August 7, 2018</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211"/>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Marc R. Schneebaum</w:t>
            </w:r>
          </w:p>
        </w:tc>
      </w:tr>
    </w:tbl>
    <w:p>
      <w:pPr>
        <w:ind w:left="628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40" w:hanging="652"/>
        <w:spacing w:after="0" w:line="264" w:lineRule="auto"/>
        <w:tabs>
          <w:tab w:leader="none" w:pos="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652"/>
        <w:spacing w:after="0" w:line="308" w:lineRule="auto"/>
        <w:tabs>
          <w:tab w:leader="none" w:pos="6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652"/>
        <w:spacing w:after="0" w:line="264" w:lineRule="auto"/>
        <w:tabs>
          <w:tab w:leader="none" w:pos="6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60" w:hanging="652"/>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660" w:hanging="652"/>
        <w:spacing w:after="0" w:line="277" w:lineRule="auto"/>
        <w:tabs>
          <w:tab w:leader="none" w:pos="6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40" w:hanging="652"/>
        <w:spacing w:after="0" w:line="264" w:lineRule="auto"/>
        <w:tabs>
          <w:tab w:leader="none" w:pos="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652"/>
        <w:spacing w:after="0" w:line="308" w:lineRule="auto"/>
        <w:tabs>
          <w:tab w:leader="none" w:pos="6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652"/>
        <w:spacing w:after="0" w:line="264" w:lineRule="auto"/>
        <w:tabs>
          <w:tab w:leader="none" w:pos="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660" w:hanging="652"/>
        <w:spacing w:after="0" w:line="277" w:lineRule="auto"/>
        <w:tabs>
          <w:tab w:leader="none" w:pos="6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Quarterly Report on Form 10-Q for the quarterly period ended June 30,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 August 7, 2018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Dated: August 7, 2018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5"/>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57" Type="http://schemas.openxmlformats.org/officeDocument/2006/relationships/hyperlink" Target="http://www.sec.gov/Archives/edgar/data/1157601/000110465918039204/a18-15071_1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2019-12-28T20:37:45Z</dcterms:created>
  <dcterms:modified xsi:type="dcterms:W3CDTF">2019-12-28T20:37:45Z</dcterms:modified>
</cp:coreProperties>
</file>