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220980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316"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UNITED STATES</w:t>
      </w:r>
    </w:p>
    <w:p>
      <w:pPr>
        <w:spacing w:after="0" w:line="33"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182"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10-Q</w:t>
      </w:r>
    </w:p>
    <w:p>
      <w:pPr>
        <w:spacing w:after="0" w:line="236"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16" w:lineRule="exact"/>
        <w:rPr>
          <w:sz w:val="24"/>
          <w:szCs w:val="24"/>
          <w:color w:val="auto"/>
        </w:rPr>
      </w:pPr>
    </w:p>
    <w:p>
      <w:pPr>
        <w:ind w:left="660" w:right="400" w:hanging="328"/>
        <w:spacing w:after="0" w:line="256" w:lineRule="auto"/>
        <w:tabs>
          <w:tab w:leader="none" w:pos="525" w:val="left"/>
        </w:tabs>
        <w:numPr>
          <w:ilvl w:val="0"/>
          <w:numId w:val="1"/>
        </w:numPr>
        <w:rPr>
          <w:rFonts w:ascii="Arial" w:cs="Arial" w:eastAsia="Arial" w:hAnsi="Arial"/>
          <w:sz w:val="22"/>
          <w:szCs w:val="22"/>
          <w:b w:val="1"/>
          <w:bCs w:val="1"/>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172"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 the quarterly period ended March 31, 2018</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OR</w:t>
      </w:r>
    </w:p>
    <w:p>
      <w:pPr>
        <w:spacing w:after="0" w:line="216" w:lineRule="exact"/>
        <w:rPr>
          <w:sz w:val="24"/>
          <w:szCs w:val="24"/>
          <w:color w:val="auto"/>
        </w:rPr>
      </w:pPr>
    </w:p>
    <w:p>
      <w:pPr>
        <w:ind w:left="660" w:right="340" w:hanging="328"/>
        <w:spacing w:after="0" w:line="256" w:lineRule="auto"/>
        <w:tabs>
          <w:tab w:leader="none" w:pos="566" w:val="left"/>
        </w:tabs>
        <w:numPr>
          <w:ilvl w:val="0"/>
          <w:numId w:val="2"/>
        </w:numPr>
        <w:rPr>
          <w:rFonts w:ascii="Arial" w:cs="Arial" w:eastAsia="Arial" w:hAnsi="Arial"/>
          <w:sz w:val="22"/>
          <w:szCs w:val="22"/>
          <w:b w:val="1"/>
          <w:bCs w:val="1"/>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72" w:lineRule="exact"/>
        <w:rPr>
          <w:sz w:val="24"/>
          <w:szCs w:val="24"/>
          <w:color w:val="auto"/>
        </w:rPr>
      </w:pPr>
    </w:p>
    <w:p>
      <w:pPr>
        <w:jc w:val="center"/>
        <w:ind w:right="260"/>
        <w:spacing w:after="0"/>
        <w:tabs>
          <w:tab w:leader="none" w:pos="30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file number: 001-33277</w:t>
      </w:r>
    </w:p>
    <w:p>
      <w:pPr>
        <w:spacing w:after="0" w:line="202"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MADRIGAL PHARMACEUTICALS, INC.</w:t>
      </w:r>
    </w:p>
    <w:p>
      <w:pPr>
        <w:spacing w:after="0" w:line="40"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pacing w:after="0" w:line="205" w:lineRule="exact"/>
        <w:rPr>
          <w:sz w:val="24"/>
          <w:szCs w:val="24"/>
          <w:color w:val="auto"/>
        </w:rPr>
      </w:pPr>
    </w:p>
    <w:tbl>
      <w:tblPr>
        <w:tblLayout w:type="fixed"/>
        <w:tblInd w:w="1380" w:type="dxa"/>
        <w:tblCellMar>
          <w:top w:w="0" w:type="dxa"/>
          <w:left w:w="0" w:type="dxa"/>
          <w:bottom w:w="0" w:type="dxa"/>
          <w:right w:w="0" w:type="dxa"/>
        </w:tblCellMar>
      </w:tblPr>
      <w:tr>
        <w:trPr>
          <w:trHeight w:val="220"/>
        </w:trPr>
        <w:tc>
          <w:tcPr>
            <w:tcW w:w="4400" w:type="dxa"/>
            <w:vAlign w:val="bottom"/>
          </w:tcPr>
          <w:p>
            <w:pPr>
              <w:jc w:val="center"/>
              <w:ind w:right="1450"/>
              <w:spacing w:after="0"/>
              <w:rPr>
                <w:sz w:val="20"/>
                <w:szCs w:val="20"/>
                <w:color w:val="auto"/>
              </w:rPr>
            </w:pPr>
            <w:r>
              <w:rPr>
                <w:rFonts w:ascii="Arial" w:cs="Arial" w:eastAsia="Arial" w:hAnsi="Arial"/>
                <w:sz w:val="18"/>
                <w:szCs w:val="18"/>
                <w:b w:val="1"/>
                <w:bCs w:val="1"/>
                <w:color w:val="auto"/>
                <w:w w:val="93"/>
              </w:rPr>
              <w:t>Delaware</w:t>
            </w:r>
          </w:p>
        </w:tc>
        <w:tc>
          <w:tcPr>
            <w:tcW w:w="4160" w:type="dxa"/>
            <w:vAlign w:val="bottom"/>
          </w:tcPr>
          <w:p>
            <w:pPr>
              <w:jc w:val="right"/>
              <w:ind w:right="790"/>
              <w:spacing w:after="0"/>
              <w:rPr>
                <w:sz w:val="20"/>
                <w:szCs w:val="20"/>
                <w:color w:val="auto"/>
              </w:rPr>
            </w:pPr>
            <w:r>
              <w:rPr>
                <w:rFonts w:ascii="Arial" w:cs="Arial" w:eastAsia="Arial" w:hAnsi="Arial"/>
                <w:sz w:val="18"/>
                <w:szCs w:val="18"/>
                <w:b w:val="1"/>
                <w:bCs w:val="1"/>
                <w:color w:val="auto"/>
              </w:rPr>
              <w:t>04-3508648</w:t>
            </w:r>
          </w:p>
        </w:tc>
      </w:tr>
      <w:tr>
        <w:trPr>
          <w:trHeight w:val="216"/>
        </w:trPr>
        <w:tc>
          <w:tcPr>
            <w:tcW w:w="4400" w:type="dxa"/>
            <w:vAlign w:val="bottom"/>
          </w:tcPr>
          <w:p>
            <w:pPr>
              <w:jc w:val="center"/>
              <w:ind w:right="1450"/>
              <w:spacing w:after="0"/>
              <w:rPr>
                <w:sz w:val="20"/>
                <w:szCs w:val="20"/>
                <w:color w:val="auto"/>
              </w:rPr>
            </w:pPr>
            <w:r>
              <w:rPr>
                <w:rFonts w:ascii="Arial" w:cs="Arial" w:eastAsia="Arial" w:hAnsi="Arial"/>
                <w:sz w:val="18"/>
                <w:szCs w:val="18"/>
                <w:color w:val="auto"/>
                <w:w w:val="92"/>
              </w:rPr>
              <w:t>(State or other jurisdiction</w:t>
            </w:r>
          </w:p>
        </w:tc>
        <w:tc>
          <w:tcPr>
            <w:tcW w:w="4160" w:type="dxa"/>
            <w:vAlign w:val="bottom"/>
          </w:tcPr>
          <w:p>
            <w:pPr>
              <w:jc w:val="center"/>
              <w:ind w:left="1450"/>
              <w:spacing w:after="0"/>
              <w:rPr>
                <w:sz w:val="20"/>
                <w:szCs w:val="20"/>
                <w:color w:val="auto"/>
              </w:rPr>
            </w:pPr>
            <w:r>
              <w:rPr>
                <w:rFonts w:ascii="Arial" w:cs="Arial" w:eastAsia="Arial" w:hAnsi="Arial"/>
                <w:sz w:val="18"/>
                <w:szCs w:val="18"/>
                <w:color w:val="auto"/>
                <w:w w:val="94"/>
              </w:rPr>
              <w:t>(I.R.S. Employer Identification No.)</w:t>
            </w:r>
          </w:p>
        </w:tc>
      </w:tr>
      <w:tr>
        <w:trPr>
          <w:trHeight w:val="230"/>
        </w:trPr>
        <w:tc>
          <w:tcPr>
            <w:tcW w:w="4400" w:type="dxa"/>
            <w:vAlign w:val="bottom"/>
          </w:tcPr>
          <w:p>
            <w:pPr>
              <w:jc w:val="center"/>
              <w:ind w:right="1430"/>
              <w:spacing w:after="0"/>
              <w:rPr>
                <w:sz w:val="20"/>
                <w:szCs w:val="20"/>
                <w:color w:val="auto"/>
              </w:rPr>
            </w:pPr>
            <w:r>
              <w:rPr>
                <w:rFonts w:ascii="Arial" w:cs="Arial" w:eastAsia="Arial" w:hAnsi="Arial"/>
                <w:sz w:val="18"/>
                <w:szCs w:val="18"/>
                <w:color w:val="auto"/>
                <w:w w:val="92"/>
              </w:rPr>
              <w:t>of incorporation or organization)</w:t>
            </w:r>
          </w:p>
        </w:tc>
        <w:tc>
          <w:tcPr>
            <w:tcW w:w="4160" w:type="dxa"/>
            <w:vAlign w:val="bottom"/>
          </w:tcPr>
          <w:p>
            <w:pPr>
              <w:spacing w:after="0"/>
              <w:rPr>
                <w:sz w:val="20"/>
                <w:szCs w:val="20"/>
                <w:color w:val="auto"/>
              </w:rPr>
            </w:pPr>
          </w:p>
        </w:tc>
      </w:tr>
      <w:tr>
        <w:trPr>
          <w:trHeight w:val="414"/>
        </w:trPr>
        <w:tc>
          <w:tcPr>
            <w:tcW w:w="4400" w:type="dxa"/>
            <w:vAlign w:val="bottom"/>
          </w:tcPr>
          <w:p>
            <w:pPr>
              <w:jc w:val="center"/>
              <w:ind w:right="1450"/>
              <w:spacing w:after="0"/>
              <w:rPr>
                <w:sz w:val="20"/>
                <w:szCs w:val="20"/>
                <w:color w:val="auto"/>
              </w:rPr>
            </w:pPr>
            <w:r>
              <w:rPr>
                <w:rFonts w:ascii="Arial" w:cs="Arial" w:eastAsia="Arial" w:hAnsi="Arial"/>
                <w:sz w:val="18"/>
                <w:szCs w:val="18"/>
                <w:b w:val="1"/>
                <w:bCs w:val="1"/>
                <w:color w:val="auto"/>
                <w:w w:val="91"/>
              </w:rPr>
              <w:t>Four Tower Bridge</w:t>
            </w:r>
          </w:p>
        </w:tc>
        <w:tc>
          <w:tcPr>
            <w:tcW w:w="4160" w:type="dxa"/>
            <w:vAlign w:val="bottom"/>
          </w:tcPr>
          <w:p>
            <w:pPr>
              <w:spacing w:after="0"/>
              <w:rPr>
                <w:sz w:val="24"/>
                <w:szCs w:val="24"/>
                <w:color w:val="auto"/>
              </w:rPr>
            </w:pPr>
          </w:p>
        </w:tc>
      </w:tr>
      <w:tr>
        <w:trPr>
          <w:trHeight w:val="216"/>
        </w:trPr>
        <w:tc>
          <w:tcPr>
            <w:tcW w:w="4400" w:type="dxa"/>
            <w:vAlign w:val="bottom"/>
          </w:tcPr>
          <w:p>
            <w:pPr>
              <w:jc w:val="center"/>
              <w:ind w:right="1450"/>
              <w:spacing w:after="0"/>
              <w:rPr>
                <w:sz w:val="20"/>
                <w:szCs w:val="20"/>
                <w:color w:val="auto"/>
              </w:rPr>
            </w:pPr>
            <w:r>
              <w:rPr>
                <w:rFonts w:ascii="Arial" w:cs="Arial" w:eastAsia="Arial" w:hAnsi="Arial"/>
                <w:sz w:val="18"/>
                <w:szCs w:val="18"/>
                <w:b w:val="1"/>
                <w:bCs w:val="1"/>
                <w:color w:val="auto"/>
                <w:w w:val="93"/>
              </w:rPr>
              <w:t>200 Barr Harbor Drive, Suite 400</w:t>
            </w:r>
          </w:p>
        </w:tc>
        <w:tc>
          <w:tcPr>
            <w:tcW w:w="4160" w:type="dxa"/>
            <w:vAlign w:val="bottom"/>
          </w:tcPr>
          <w:p>
            <w:pPr>
              <w:spacing w:after="0"/>
              <w:rPr>
                <w:sz w:val="18"/>
                <w:szCs w:val="18"/>
                <w:color w:val="auto"/>
              </w:rPr>
            </w:pPr>
          </w:p>
        </w:tc>
      </w:tr>
      <w:tr>
        <w:trPr>
          <w:trHeight w:val="220"/>
        </w:trPr>
        <w:tc>
          <w:tcPr>
            <w:tcW w:w="4400" w:type="dxa"/>
            <w:vAlign w:val="bottom"/>
          </w:tcPr>
          <w:p>
            <w:pPr>
              <w:jc w:val="center"/>
              <w:ind w:right="1450"/>
              <w:spacing w:after="0"/>
              <w:rPr>
                <w:sz w:val="20"/>
                <w:szCs w:val="20"/>
                <w:color w:val="auto"/>
              </w:rPr>
            </w:pPr>
            <w:r>
              <w:rPr>
                <w:rFonts w:ascii="Arial" w:cs="Arial" w:eastAsia="Arial" w:hAnsi="Arial"/>
                <w:sz w:val="18"/>
                <w:szCs w:val="18"/>
                <w:b w:val="1"/>
                <w:bCs w:val="1"/>
                <w:color w:val="auto"/>
                <w:w w:val="87"/>
              </w:rPr>
              <w:t>West Conshohocken, Pennsylvania</w:t>
            </w:r>
          </w:p>
        </w:tc>
        <w:tc>
          <w:tcPr>
            <w:tcW w:w="4160" w:type="dxa"/>
            <w:vAlign w:val="bottom"/>
          </w:tcPr>
          <w:p>
            <w:pPr>
              <w:jc w:val="right"/>
              <w:ind w:right="1010"/>
              <w:spacing w:after="0"/>
              <w:rPr>
                <w:sz w:val="20"/>
                <w:szCs w:val="20"/>
                <w:color w:val="auto"/>
              </w:rPr>
            </w:pPr>
            <w:r>
              <w:rPr>
                <w:rFonts w:ascii="Arial" w:cs="Arial" w:eastAsia="Arial" w:hAnsi="Arial"/>
                <w:sz w:val="18"/>
                <w:szCs w:val="18"/>
                <w:b w:val="1"/>
                <w:bCs w:val="1"/>
                <w:color w:val="auto"/>
              </w:rPr>
              <w:t>19428</w:t>
            </w:r>
          </w:p>
        </w:tc>
      </w:tr>
      <w:tr>
        <w:trPr>
          <w:trHeight w:val="230"/>
        </w:trPr>
        <w:tc>
          <w:tcPr>
            <w:tcW w:w="4400" w:type="dxa"/>
            <w:vAlign w:val="bottom"/>
          </w:tcPr>
          <w:p>
            <w:pPr>
              <w:jc w:val="center"/>
              <w:ind w:right="1450"/>
              <w:spacing w:after="0"/>
              <w:rPr>
                <w:sz w:val="20"/>
                <w:szCs w:val="20"/>
                <w:color w:val="auto"/>
              </w:rPr>
            </w:pPr>
            <w:r>
              <w:rPr>
                <w:rFonts w:ascii="Arial" w:cs="Arial" w:eastAsia="Arial" w:hAnsi="Arial"/>
                <w:sz w:val="18"/>
                <w:szCs w:val="18"/>
                <w:color w:val="auto"/>
                <w:w w:val="92"/>
              </w:rPr>
              <w:t>(Address of principal executive offices)</w:t>
            </w:r>
          </w:p>
        </w:tc>
        <w:tc>
          <w:tcPr>
            <w:tcW w:w="4160" w:type="dxa"/>
            <w:vAlign w:val="bottom"/>
          </w:tcPr>
          <w:p>
            <w:pPr>
              <w:jc w:val="center"/>
              <w:ind w:left="1430"/>
              <w:spacing w:after="0"/>
              <w:rPr>
                <w:sz w:val="20"/>
                <w:szCs w:val="20"/>
                <w:color w:val="auto"/>
              </w:rPr>
            </w:pPr>
            <w:r>
              <w:rPr>
                <w:rFonts w:ascii="Arial" w:cs="Arial" w:eastAsia="Arial" w:hAnsi="Arial"/>
                <w:sz w:val="18"/>
                <w:szCs w:val="18"/>
                <w:color w:val="auto"/>
                <w:w w:val="94"/>
              </w:rPr>
              <w:t>(Zip Code)</w:t>
            </w:r>
          </w:p>
        </w:tc>
      </w:tr>
    </w:tbl>
    <w:p>
      <w:pPr>
        <w:spacing w:after="0" w:line="198"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(484) 380-9263</w:t>
      </w:r>
    </w:p>
    <w:p>
      <w:pPr>
        <w:spacing w:after="0" w:line="200" w:lineRule="exact"/>
        <w:rPr>
          <w:sz w:val="24"/>
          <w:szCs w:val="24"/>
          <w:color w:val="auto"/>
        </w:rPr>
      </w:pPr>
    </w:p>
    <w:p>
      <w:pPr>
        <w:spacing w:after="0" w:line="245"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Former name, former address and former fiscal year, if changed since last report:</w:t>
      </w:r>
    </w:p>
    <w:p>
      <w:pPr>
        <w:spacing w:after="0" w:line="225" w:lineRule="exact"/>
        <w:rPr>
          <w:sz w:val="24"/>
          <w:szCs w:val="24"/>
          <w:color w:val="auto"/>
        </w:rPr>
      </w:pPr>
    </w:p>
    <w:p>
      <w:pPr>
        <w:ind w:right="480"/>
        <w:spacing w:after="0" w:line="264"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o</w:t>
      </w:r>
    </w:p>
    <w:p>
      <w:pPr>
        <w:spacing w:after="0" w:line="181" w:lineRule="exact"/>
        <w:rPr>
          <w:sz w:val="24"/>
          <w:szCs w:val="24"/>
          <w:color w:val="auto"/>
        </w:rPr>
      </w:pPr>
    </w:p>
    <w:p>
      <w:pPr>
        <w:jc w:val="both"/>
        <w:spacing w:after="0" w:line="264"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x No o</w:t>
      </w:r>
    </w:p>
    <w:p>
      <w:pPr>
        <w:spacing w:after="0" w:line="181" w:lineRule="exact"/>
        <w:rPr>
          <w:sz w:val="24"/>
          <w:szCs w:val="24"/>
          <w:color w:val="auto"/>
        </w:rPr>
      </w:pPr>
    </w:p>
    <w:p>
      <w:pPr>
        <w:ind w:right="40"/>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81" w:lineRule="exact"/>
        <w:rPr>
          <w:sz w:val="24"/>
          <w:szCs w:val="24"/>
          <w:color w:val="auto"/>
        </w:rPr>
      </w:pPr>
    </w:p>
    <w:tbl>
      <w:tblPr>
        <w:tblLayout w:type="fixed"/>
        <w:tblInd w:w="1140" w:type="dxa"/>
        <w:tblCellMar>
          <w:top w:w="0" w:type="dxa"/>
          <w:left w:w="0" w:type="dxa"/>
          <w:bottom w:w="0" w:type="dxa"/>
          <w:right w:w="0" w:type="dxa"/>
        </w:tblCellMar>
      </w:tblPr>
      <w:tr>
        <w:trPr>
          <w:trHeight w:val="230"/>
        </w:trPr>
        <w:tc>
          <w:tcPr>
            <w:tcW w:w="4880" w:type="dxa"/>
            <w:vAlign w:val="bottom"/>
          </w:tcPr>
          <w:p>
            <w:pPr>
              <w:jc w:val="center"/>
              <w:ind w:right="1450"/>
              <w:spacing w:after="0"/>
              <w:rPr>
                <w:sz w:val="20"/>
                <w:szCs w:val="20"/>
                <w:color w:val="auto"/>
              </w:rPr>
            </w:pPr>
            <w:r>
              <w:rPr>
                <w:rFonts w:ascii="Arial" w:cs="Arial" w:eastAsia="Arial" w:hAnsi="Arial"/>
                <w:sz w:val="18"/>
                <w:szCs w:val="18"/>
                <w:color w:val="auto"/>
                <w:w w:val="90"/>
              </w:rPr>
              <w:t>Large accelerated filer o</w:t>
            </w:r>
          </w:p>
        </w:tc>
        <w:tc>
          <w:tcPr>
            <w:tcW w:w="3660" w:type="dxa"/>
            <w:vAlign w:val="bottom"/>
          </w:tcPr>
          <w:p>
            <w:pPr>
              <w:jc w:val="center"/>
              <w:ind w:left="1470"/>
              <w:spacing w:after="0"/>
              <w:rPr>
                <w:sz w:val="20"/>
                <w:szCs w:val="20"/>
                <w:color w:val="auto"/>
              </w:rPr>
            </w:pPr>
            <w:r>
              <w:rPr>
                <w:rFonts w:ascii="Arial" w:cs="Arial" w:eastAsia="Arial" w:hAnsi="Arial"/>
                <w:sz w:val="18"/>
                <w:szCs w:val="18"/>
                <w:color w:val="auto"/>
                <w:w w:val="93"/>
              </w:rPr>
              <w:t>Accelerated filer x</w:t>
            </w:r>
          </w:p>
        </w:tc>
      </w:tr>
      <w:tr>
        <w:trPr>
          <w:trHeight w:val="418"/>
        </w:trPr>
        <w:tc>
          <w:tcPr>
            <w:tcW w:w="4880" w:type="dxa"/>
            <w:vAlign w:val="bottom"/>
          </w:tcPr>
          <w:p>
            <w:pPr>
              <w:jc w:val="center"/>
              <w:ind w:right="1450"/>
              <w:spacing w:after="0"/>
              <w:rPr>
                <w:sz w:val="20"/>
                <w:szCs w:val="20"/>
                <w:color w:val="auto"/>
              </w:rPr>
            </w:pPr>
            <w:r>
              <w:rPr>
                <w:rFonts w:ascii="Arial" w:cs="Arial" w:eastAsia="Arial" w:hAnsi="Arial"/>
                <w:sz w:val="18"/>
                <w:szCs w:val="18"/>
                <w:color w:val="auto"/>
                <w:w w:val="91"/>
              </w:rPr>
              <w:t>Non-accelerated filer o</w:t>
            </w:r>
          </w:p>
        </w:tc>
        <w:tc>
          <w:tcPr>
            <w:tcW w:w="3660" w:type="dxa"/>
            <w:vAlign w:val="bottom"/>
          </w:tcPr>
          <w:p>
            <w:pPr>
              <w:jc w:val="center"/>
              <w:ind w:left="1470"/>
              <w:spacing w:after="0"/>
              <w:rPr>
                <w:sz w:val="20"/>
                <w:szCs w:val="20"/>
                <w:color w:val="auto"/>
              </w:rPr>
            </w:pPr>
            <w:r>
              <w:rPr>
                <w:rFonts w:ascii="Arial" w:cs="Arial" w:eastAsia="Arial" w:hAnsi="Arial"/>
                <w:sz w:val="18"/>
                <w:szCs w:val="18"/>
                <w:color w:val="auto"/>
                <w:w w:val="91"/>
              </w:rPr>
              <w:t>Smaller reporting company o</w:t>
            </w:r>
          </w:p>
        </w:tc>
      </w:tr>
      <w:tr>
        <w:trPr>
          <w:trHeight w:val="230"/>
        </w:trPr>
        <w:tc>
          <w:tcPr>
            <w:tcW w:w="4880" w:type="dxa"/>
            <w:vAlign w:val="bottom"/>
          </w:tcPr>
          <w:p>
            <w:pPr>
              <w:jc w:val="center"/>
              <w:ind w:right="1450"/>
              <w:spacing w:after="0"/>
              <w:rPr>
                <w:sz w:val="20"/>
                <w:szCs w:val="20"/>
                <w:color w:val="auto"/>
              </w:rPr>
            </w:pPr>
            <w:r>
              <w:rPr>
                <w:rFonts w:ascii="Arial" w:cs="Arial" w:eastAsia="Arial" w:hAnsi="Arial"/>
                <w:sz w:val="18"/>
                <w:szCs w:val="18"/>
                <w:color w:val="auto"/>
                <w:w w:val="91"/>
              </w:rPr>
              <w:t>(Do not check if a smaller reporting company)</w:t>
            </w:r>
          </w:p>
        </w:tc>
        <w:tc>
          <w:tcPr>
            <w:tcW w:w="3660" w:type="dxa"/>
            <w:vAlign w:val="bottom"/>
          </w:tcPr>
          <w:p>
            <w:pPr>
              <w:jc w:val="center"/>
              <w:ind w:left="1470"/>
              <w:spacing w:after="0"/>
              <w:rPr>
                <w:sz w:val="20"/>
                <w:szCs w:val="20"/>
                <w:color w:val="auto"/>
              </w:rPr>
            </w:pPr>
            <w:r>
              <w:rPr>
                <w:rFonts w:ascii="Arial" w:cs="Arial" w:eastAsia="Arial" w:hAnsi="Arial"/>
                <w:sz w:val="18"/>
                <w:szCs w:val="18"/>
                <w:color w:val="auto"/>
                <w:w w:val="91"/>
              </w:rPr>
              <w:t>Emerging growth company o</w:t>
            </w:r>
          </w:p>
        </w:tc>
      </w:tr>
    </w:tbl>
    <w:p>
      <w:pPr>
        <w:spacing w:after="0" w:line="202" w:lineRule="exact"/>
        <w:rPr>
          <w:sz w:val="24"/>
          <w:szCs w:val="24"/>
          <w:color w:val="auto"/>
        </w:rPr>
      </w:pPr>
    </w:p>
    <w:p>
      <w:pPr>
        <w:ind w:right="140"/>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7(a)(2)(B) of the Securities Act. o</w:t>
      </w:r>
    </w:p>
    <w:p>
      <w:pPr>
        <w:spacing w:after="0" w:line="170"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Exchange Act). Yes o No x</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As of May 3, 2018, the registrant had 14,250,726 shares of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194945</wp:posOffset>
            </wp:positionV>
            <wp:extent cx="72466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433070</wp:posOffset>
            </wp:positionV>
            <wp:extent cx="7267575" cy="29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ectPr>
          <w:pgSz w:w="11900" w:h="16838" w:orient="portrait"/>
          <w:cols w:equalWidth="0" w:num="1">
            <w:col w:w="11420"/>
          </w:cols>
          <w:pgMar w:left="240" w:top="233" w:right="239" w:bottom="0" w:gutter="0" w:footer="0" w:header="0"/>
        </w:sectPr>
      </w:pPr>
    </w:p>
    <w:bookmarkStart w:id="1" w:name="page2"/>
    <w:bookmarkEnd w:id="1"/>
    <w:p>
      <w:pPr>
        <w:jc w:val="center"/>
        <w:ind w:right="40"/>
        <w:spacing w:after="0"/>
        <w:rPr>
          <w:sz w:val="20"/>
          <w:szCs w:val="20"/>
          <w:color w:val="auto"/>
        </w:rPr>
      </w:pPr>
      <w:r>
        <w:rPr>
          <w:rFonts w:ascii="Arial" w:cs="Arial" w:eastAsia="Arial" w:hAnsi="Arial"/>
          <w:sz w:val="18"/>
          <w:szCs w:val="18"/>
          <w:b w:val="1"/>
          <w:bCs w:val="1"/>
          <w:color w:val="auto"/>
        </w:rPr>
        <w:t>MADRIGAL PHARMACEUTICALS, INC.</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TABLE OF CONTENTS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280" w:type="dxa"/>
            <w:vAlign w:val="bottom"/>
            <w:gridSpan w:val="4"/>
          </w:tcPr>
          <w:p>
            <w:pPr>
              <w:spacing w:after="0"/>
              <w:rPr>
                <w:sz w:val="20"/>
                <w:szCs w:val="20"/>
                <w:color w:val="auto"/>
              </w:rPr>
            </w:pPr>
            <w:r>
              <w:rPr>
                <w:rFonts w:ascii="Arial" w:cs="Arial" w:eastAsia="Arial" w:hAnsi="Arial"/>
                <w:sz w:val="14"/>
                <w:szCs w:val="14"/>
                <w:b w:val="1"/>
                <w:bCs w:val="1"/>
                <w:color w:val="auto"/>
              </w:rPr>
              <w:t>Item</w:t>
            </w: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840" w:type="dxa"/>
            <w:vAlign w:val="bottom"/>
            <w:gridSpan w:val="8"/>
          </w:tcPr>
          <w:p>
            <w:pPr>
              <w:jc w:val="center"/>
              <w:ind w:right="2100"/>
              <w:spacing w:after="0"/>
              <w:rPr>
                <w:sz w:val="20"/>
                <w:szCs w:val="20"/>
                <w:color w:val="auto"/>
              </w:rPr>
            </w:pPr>
            <w:r>
              <w:rPr>
                <w:rFonts w:ascii="Arial" w:cs="Arial" w:eastAsia="Arial" w:hAnsi="Arial"/>
                <w:sz w:val="14"/>
                <w:szCs w:val="14"/>
                <w:b w:val="1"/>
                <w:bCs w:val="1"/>
                <w:color w:val="auto"/>
                <w:w w:val="90"/>
              </w:rPr>
              <w:t>Description</w:t>
            </w: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gridSpan w:val="4"/>
          </w:tcPr>
          <w:p>
            <w:pPr>
              <w:jc w:val="right"/>
              <w:ind w:right="460"/>
              <w:spacing w:after="0"/>
              <w:rPr>
                <w:sz w:val="20"/>
                <w:szCs w:val="20"/>
                <w:color w:val="auto"/>
              </w:rPr>
            </w:pPr>
            <w:r>
              <w:rPr>
                <w:rFonts w:ascii="Arial" w:cs="Arial" w:eastAsia="Arial" w:hAnsi="Arial"/>
                <w:sz w:val="14"/>
                <w:szCs w:val="14"/>
                <w:b w:val="1"/>
                <w:bCs w:val="1"/>
                <w:color w:val="auto"/>
              </w:rPr>
              <w:t>Page</w:t>
            </w:r>
          </w:p>
        </w:tc>
      </w:tr>
      <w:tr>
        <w:trPr>
          <w:trHeight w:val="385"/>
        </w:trPr>
        <w:tc>
          <w:tcPr>
            <w:tcW w:w="54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320" w:type="dxa"/>
            <w:vAlign w:val="bottom"/>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42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2260" w:type="dxa"/>
            <w:vAlign w:val="bottom"/>
            <w:tcBorders>
              <w:top w:val="single" w:sz="8" w:color="auto"/>
              <w:bottom w:val="single" w:sz="8" w:color="0000EE"/>
            </w:tcBorders>
            <w:gridSpan w:val="7"/>
          </w:tcPr>
          <w:p>
            <w:pPr>
              <w:jc w:val="center"/>
              <w:spacing w:after="0"/>
              <w:rPr>
                <w:rFonts w:ascii="Arial" w:cs="Arial" w:eastAsia="Arial" w:hAnsi="Arial"/>
                <w:sz w:val="18"/>
                <w:szCs w:val="18"/>
                <w:b w:val="1"/>
                <w:bCs w:val="1"/>
                <w:color w:val="0000EE"/>
                <w:w w:val="95"/>
              </w:rPr>
            </w:pPr>
            <w:hyperlink w:anchor="page2">
              <w:r>
                <w:rPr>
                  <w:rFonts w:ascii="Arial" w:cs="Arial" w:eastAsia="Arial" w:hAnsi="Arial"/>
                  <w:sz w:val="18"/>
                  <w:szCs w:val="18"/>
                  <w:b w:val="1"/>
                  <w:bCs w:val="1"/>
                  <w:color w:val="0000EE"/>
                  <w:w w:val="95"/>
                </w:rPr>
                <w:t>Part I. Financial Information</w:t>
              </w:r>
            </w:hyperlink>
          </w:p>
        </w:tc>
        <w:tc>
          <w:tcPr>
            <w:tcW w:w="1340" w:type="dxa"/>
            <w:vAlign w:val="bottom"/>
            <w:tcBorders>
              <w:top w:val="single" w:sz="8" w:color="auto"/>
            </w:tcBorders>
            <w:gridSpan w:val="3"/>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40" w:type="dxa"/>
            <w:vAlign w:val="bottom"/>
          </w:tcPr>
          <w:p>
            <w:pPr>
              <w:spacing w:after="0"/>
              <w:rPr>
                <w:sz w:val="24"/>
                <w:szCs w:val="24"/>
                <w:color w:val="auto"/>
              </w:rPr>
            </w:pPr>
          </w:p>
        </w:tc>
      </w:tr>
      <w:tr>
        <w:trPr>
          <w:trHeight w:val="412"/>
        </w:trPr>
        <w:tc>
          <w:tcPr>
            <w:tcW w:w="540" w:type="dxa"/>
            <w:vAlign w:val="bottom"/>
            <w:tcBorders>
              <w:bottom w:val="single" w:sz="8" w:color="0000EE"/>
            </w:tcBorders>
          </w:tcPr>
          <w:p>
            <w:pPr>
              <w:spacing w:after="0"/>
              <w:rPr>
                <w:rFonts w:ascii="Arial" w:cs="Arial" w:eastAsia="Arial" w:hAnsi="Arial"/>
                <w:sz w:val="18"/>
                <w:szCs w:val="18"/>
                <w:color w:val="0000EE"/>
                <w:w w:val="90"/>
              </w:rPr>
            </w:pPr>
            <w:hyperlink w:anchor="page2">
              <w:r>
                <w:rPr>
                  <w:rFonts w:ascii="Arial" w:cs="Arial" w:eastAsia="Arial" w:hAnsi="Arial"/>
                  <w:sz w:val="18"/>
                  <w:szCs w:val="18"/>
                  <w:color w:val="0000EE"/>
                  <w:w w:val="90"/>
                </w:rPr>
                <w:t>Item 1.</w:t>
              </w:r>
            </w:hyperlink>
          </w:p>
        </w:tc>
        <w:tc>
          <w:tcPr>
            <w:tcW w:w="740" w:type="dxa"/>
            <w:vAlign w:val="bottom"/>
            <w:gridSpan w:val="3"/>
          </w:tcPr>
          <w:p>
            <w:pPr>
              <w:spacing w:after="0"/>
              <w:rPr>
                <w:sz w:val="24"/>
                <w:szCs w:val="24"/>
                <w:color w:val="auto"/>
              </w:rPr>
            </w:pPr>
          </w:p>
        </w:tc>
        <w:tc>
          <w:tcPr>
            <w:tcW w:w="4300" w:type="dxa"/>
            <w:vAlign w:val="bottom"/>
            <w:tcBorders>
              <w:bottom w:val="single" w:sz="8" w:color="0000EE"/>
            </w:tcBorders>
            <w:gridSpan w:val="11"/>
          </w:tcPr>
          <w:p>
            <w:pPr>
              <w:spacing w:after="0"/>
              <w:rPr>
                <w:rFonts w:ascii="Arial" w:cs="Arial" w:eastAsia="Arial" w:hAnsi="Arial"/>
                <w:sz w:val="18"/>
                <w:szCs w:val="18"/>
                <w:color w:val="0000EE"/>
                <w:w w:val="89"/>
              </w:rPr>
            </w:pPr>
            <w:hyperlink w:anchor="page2">
              <w:r>
                <w:rPr>
                  <w:rFonts w:ascii="Arial" w:cs="Arial" w:eastAsia="Arial" w:hAnsi="Arial"/>
                  <w:sz w:val="18"/>
                  <w:szCs w:val="18"/>
                  <w:color w:val="0000EE"/>
                  <w:w w:val="89"/>
                </w:rPr>
                <w:t>Condensed Consolidated Financial Statements (Unaudited):</w:t>
              </w:r>
            </w:hyperlink>
          </w:p>
        </w:tc>
        <w:tc>
          <w:tcPr>
            <w:tcW w:w="2520" w:type="dxa"/>
            <w:vAlign w:val="bottom"/>
            <w:gridSpan w:val="7"/>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20" w:type="dxa"/>
            <w:vAlign w:val="bottom"/>
            <w:gridSpan w:val="5"/>
          </w:tcPr>
          <w:p>
            <w:pPr>
              <w:jc w:val="right"/>
              <w:ind w:right="40"/>
              <w:spacing w:after="0"/>
              <w:rPr>
                <w:sz w:val="20"/>
                <w:szCs w:val="20"/>
                <w:color w:val="auto"/>
              </w:rPr>
            </w:pPr>
            <w:r>
              <w:rPr>
                <w:rFonts w:ascii="Arial" w:cs="Arial" w:eastAsia="Arial" w:hAnsi="Arial"/>
                <w:sz w:val="18"/>
                <w:szCs w:val="18"/>
                <w:color w:val="auto"/>
              </w:rPr>
              <w:t>3</w:t>
            </w:r>
          </w:p>
        </w:tc>
      </w:tr>
      <w:tr>
        <w:trPr>
          <w:trHeight w:val="196"/>
        </w:trPr>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820" w:type="dxa"/>
            <w:vAlign w:val="bottom"/>
            <w:gridSpan w:val="18"/>
          </w:tcPr>
          <w:p>
            <w:pPr>
              <w:spacing w:after="0" w:line="196" w:lineRule="exact"/>
              <w:rPr>
                <w:rFonts w:ascii="Arial" w:cs="Arial" w:eastAsia="Arial" w:hAnsi="Arial"/>
                <w:sz w:val="18"/>
                <w:szCs w:val="18"/>
                <w:color w:val="0000EE"/>
                <w:w w:val="99"/>
              </w:rPr>
            </w:pPr>
            <w:hyperlink w:anchor="page2">
              <w:r>
                <w:rPr>
                  <w:rFonts w:ascii="Arial" w:cs="Arial" w:eastAsia="Arial" w:hAnsi="Arial"/>
                  <w:sz w:val="18"/>
                  <w:szCs w:val="18"/>
                  <w:color w:val="0000EE"/>
                  <w:w w:val="99"/>
                </w:rPr>
                <w:t>Condensed Consolidated Balance Sheets at March 31, 2018 and December 31, 2017</w:t>
              </w:r>
            </w:hyperlink>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20" w:type="dxa"/>
            <w:vAlign w:val="bottom"/>
            <w:gridSpan w:val="5"/>
          </w:tcPr>
          <w:p>
            <w:pPr>
              <w:jc w:val="right"/>
              <w:ind w:right="40"/>
              <w:spacing w:after="0" w:line="196" w:lineRule="exact"/>
              <w:rPr>
                <w:sz w:val="20"/>
                <w:szCs w:val="20"/>
                <w:color w:val="auto"/>
              </w:rPr>
            </w:pPr>
            <w:r>
              <w:rPr>
                <w:rFonts w:ascii="Arial" w:cs="Arial" w:eastAsia="Arial" w:hAnsi="Arial"/>
                <w:sz w:val="18"/>
                <w:szCs w:val="18"/>
                <w:color w:val="auto"/>
              </w:rPr>
              <w:t>3</w:t>
            </w:r>
          </w:p>
        </w:tc>
      </w:tr>
      <w:tr>
        <w:trPr>
          <w:trHeight w:val="20"/>
        </w:trPr>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020" w:type="dxa"/>
            <w:vAlign w:val="bottom"/>
            <w:gridSpan w:val="2"/>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18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20" w:type="dxa"/>
            <w:vAlign w:val="bottom"/>
            <w:gridSpan w:val="5"/>
          </w:tcPr>
          <w:p>
            <w:pPr>
              <w:spacing w:after="0" w:line="20" w:lineRule="exact"/>
              <w:rPr>
                <w:sz w:val="1"/>
                <w:szCs w:val="1"/>
                <w:color w:val="auto"/>
              </w:rPr>
            </w:pPr>
          </w:p>
        </w:tc>
      </w:tr>
      <w:tr>
        <w:trPr>
          <w:trHeight w:val="196"/>
        </w:trPr>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680" w:type="dxa"/>
            <w:vAlign w:val="bottom"/>
            <w:gridSpan w:val="25"/>
          </w:tcPr>
          <w:p>
            <w:pPr>
              <w:spacing w:after="0" w:line="196" w:lineRule="exact"/>
              <w:rPr>
                <w:rFonts w:ascii="Arial" w:cs="Arial" w:eastAsia="Arial" w:hAnsi="Arial"/>
                <w:sz w:val="18"/>
                <w:szCs w:val="18"/>
                <w:color w:val="0000EE"/>
              </w:rPr>
            </w:pPr>
            <w:hyperlink w:anchor="page3">
              <w:r>
                <w:rPr>
                  <w:rFonts w:ascii="Arial" w:cs="Arial" w:eastAsia="Arial" w:hAnsi="Arial"/>
                  <w:sz w:val="18"/>
                  <w:szCs w:val="18"/>
                  <w:color w:val="0000EE"/>
                </w:rPr>
                <w:t>Condensed Consolidated Statements of Operations for the Three Months Ended March 31, 2018 and 2017</w:t>
              </w:r>
            </w:hyperlink>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20" w:type="dxa"/>
            <w:vAlign w:val="bottom"/>
            <w:gridSpan w:val="5"/>
          </w:tcPr>
          <w:p>
            <w:pPr>
              <w:jc w:val="right"/>
              <w:ind w:right="40"/>
              <w:spacing w:after="0" w:line="196" w:lineRule="exact"/>
              <w:rPr>
                <w:sz w:val="20"/>
                <w:szCs w:val="20"/>
                <w:color w:val="auto"/>
              </w:rPr>
            </w:pPr>
            <w:r>
              <w:rPr>
                <w:rFonts w:ascii="Arial" w:cs="Arial" w:eastAsia="Arial" w:hAnsi="Arial"/>
                <w:sz w:val="18"/>
                <w:szCs w:val="18"/>
                <w:color w:val="auto"/>
              </w:rPr>
              <w:t>4</w:t>
            </w:r>
          </w:p>
        </w:tc>
      </w:tr>
      <w:tr>
        <w:trPr>
          <w:trHeight w:val="20"/>
        </w:trPr>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020" w:type="dxa"/>
            <w:vAlign w:val="bottom"/>
            <w:gridSpan w:val="2"/>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1060" w:type="dxa"/>
            <w:vAlign w:val="bottom"/>
            <w:gridSpan w:val="3"/>
            <w:shd w:val="clear" w:color="auto" w:fill="0000EE"/>
          </w:tcPr>
          <w:p>
            <w:pPr>
              <w:spacing w:after="0" w:line="20" w:lineRule="exact"/>
              <w:rPr>
                <w:sz w:val="1"/>
                <w:szCs w:val="1"/>
                <w:color w:val="auto"/>
              </w:rPr>
            </w:pPr>
          </w:p>
        </w:tc>
        <w:tc>
          <w:tcPr>
            <w:tcW w:w="1180" w:type="dxa"/>
            <w:vAlign w:val="bottom"/>
            <w:gridSpan w:val="4"/>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20" w:type="dxa"/>
            <w:vAlign w:val="bottom"/>
            <w:gridSpan w:val="5"/>
          </w:tcPr>
          <w:p>
            <w:pPr>
              <w:spacing w:after="0" w:line="20" w:lineRule="exact"/>
              <w:rPr>
                <w:sz w:val="1"/>
                <w:szCs w:val="1"/>
                <w:color w:val="auto"/>
              </w:rPr>
            </w:pPr>
          </w:p>
        </w:tc>
      </w:tr>
      <w:tr>
        <w:trPr>
          <w:trHeight w:val="196"/>
        </w:trPr>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360" w:type="dxa"/>
            <w:vAlign w:val="bottom"/>
            <w:tcBorders>
              <w:bottom w:val="single" w:sz="8" w:color="0000EE"/>
            </w:tcBorders>
            <w:gridSpan w:val="23"/>
          </w:tcPr>
          <w:p>
            <w:pPr>
              <w:spacing w:after="0" w:line="196" w:lineRule="exact"/>
              <w:rPr>
                <w:rFonts w:ascii="Arial" w:cs="Arial" w:eastAsia="Arial" w:hAnsi="Arial"/>
                <w:sz w:val="18"/>
                <w:szCs w:val="18"/>
                <w:color w:val="0000EE"/>
                <w:w w:val="89"/>
              </w:rPr>
            </w:pPr>
            <w:hyperlink w:anchor="page3">
              <w:r>
                <w:rPr>
                  <w:rFonts w:ascii="Arial" w:cs="Arial" w:eastAsia="Arial" w:hAnsi="Arial"/>
                  <w:sz w:val="18"/>
                  <w:szCs w:val="18"/>
                  <w:color w:val="0000EE"/>
                  <w:w w:val="89"/>
                </w:rPr>
                <w:t>Condensed Consolidated Statements of Comprehensive Loss for the Three Months Ended March 31, 2018 and 2017</w:t>
              </w:r>
            </w:hyperlink>
          </w:p>
        </w:tc>
        <w:tc>
          <w:tcPr>
            <w:tcW w:w="320" w:type="dxa"/>
            <w:vAlign w:val="bottom"/>
            <w:gridSpan w:val="2"/>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20" w:type="dxa"/>
            <w:vAlign w:val="bottom"/>
            <w:gridSpan w:val="5"/>
          </w:tcPr>
          <w:p>
            <w:pPr>
              <w:jc w:val="right"/>
              <w:ind w:right="40"/>
              <w:spacing w:after="0" w:line="196" w:lineRule="exact"/>
              <w:rPr>
                <w:sz w:val="20"/>
                <w:szCs w:val="20"/>
                <w:color w:val="auto"/>
              </w:rPr>
            </w:pPr>
            <w:r>
              <w:rPr>
                <w:rFonts w:ascii="Arial" w:cs="Arial" w:eastAsia="Arial" w:hAnsi="Arial"/>
                <w:sz w:val="18"/>
                <w:szCs w:val="18"/>
                <w:color w:val="auto"/>
              </w:rPr>
              <w:t>5</w:t>
            </w:r>
          </w:p>
        </w:tc>
      </w:tr>
      <w:tr>
        <w:trPr>
          <w:trHeight w:val="196"/>
        </w:trPr>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680" w:type="dxa"/>
            <w:vAlign w:val="bottom"/>
            <w:gridSpan w:val="25"/>
          </w:tcPr>
          <w:p>
            <w:pPr>
              <w:spacing w:after="0" w:line="196" w:lineRule="exact"/>
              <w:rPr>
                <w:rFonts w:ascii="Arial" w:cs="Arial" w:eastAsia="Arial" w:hAnsi="Arial"/>
                <w:sz w:val="18"/>
                <w:szCs w:val="18"/>
                <w:color w:val="0000EE"/>
              </w:rPr>
            </w:pPr>
            <w:hyperlink w:anchor="page3">
              <w:r>
                <w:rPr>
                  <w:rFonts w:ascii="Arial" w:cs="Arial" w:eastAsia="Arial" w:hAnsi="Arial"/>
                  <w:sz w:val="18"/>
                  <w:szCs w:val="18"/>
                  <w:color w:val="0000EE"/>
                </w:rPr>
                <w:t>Condensed Consolidated Statements of Cash Flows for the Three Months Ended March 31, 2018 and 2017</w:t>
              </w:r>
            </w:hyperlink>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20" w:type="dxa"/>
            <w:vAlign w:val="bottom"/>
            <w:gridSpan w:val="5"/>
          </w:tcPr>
          <w:p>
            <w:pPr>
              <w:jc w:val="right"/>
              <w:ind w:right="40"/>
              <w:spacing w:after="0" w:line="196" w:lineRule="exact"/>
              <w:rPr>
                <w:sz w:val="20"/>
                <w:szCs w:val="20"/>
                <w:color w:val="auto"/>
              </w:rPr>
            </w:pPr>
            <w:r>
              <w:rPr>
                <w:rFonts w:ascii="Arial" w:cs="Arial" w:eastAsia="Arial" w:hAnsi="Arial"/>
                <w:sz w:val="18"/>
                <w:szCs w:val="18"/>
                <w:color w:val="auto"/>
              </w:rPr>
              <w:t>6</w:t>
            </w:r>
          </w:p>
        </w:tc>
      </w:tr>
      <w:tr>
        <w:trPr>
          <w:trHeight w:val="196"/>
        </w:trPr>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980" w:type="dxa"/>
            <w:vAlign w:val="bottom"/>
            <w:tcBorders>
              <w:top w:val="single" w:sz="8" w:color="0000EE"/>
              <w:bottom w:val="single" w:sz="8" w:color="0000EE"/>
            </w:tcBorders>
            <w:gridSpan w:val="10"/>
          </w:tcPr>
          <w:p>
            <w:pPr>
              <w:spacing w:after="0" w:line="196" w:lineRule="exact"/>
              <w:rPr>
                <w:rFonts w:ascii="Arial" w:cs="Arial" w:eastAsia="Arial" w:hAnsi="Arial"/>
                <w:sz w:val="18"/>
                <w:szCs w:val="18"/>
                <w:color w:val="0000EE"/>
                <w:w w:val="88"/>
              </w:rPr>
            </w:pPr>
            <w:hyperlink w:anchor="page4">
              <w:r>
                <w:rPr>
                  <w:rFonts w:ascii="Arial" w:cs="Arial" w:eastAsia="Arial" w:hAnsi="Arial"/>
                  <w:sz w:val="18"/>
                  <w:szCs w:val="18"/>
                  <w:color w:val="0000EE"/>
                  <w:w w:val="88"/>
                </w:rPr>
                <w:t>Notes to Condensed Consolidated Financial Statements</w:t>
              </w:r>
            </w:hyperlink>
          </w:p>
        </w:tc>
        <w:tc>
          <w:tcPr>
            <w:tcW w:w="2840" w:type="dxa"/>
            <w:vAlign w:val="bottom"/>
            <w:tcBorders>
              <w:top w:val="single" w:sz="8" w:color="0000EE"/>
            </w:tcBorders>
            <w:gridSpan w:val="8"/>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36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6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20" w:type="dxa"/>
            <w:vAlign w:val="bottom"/>
            <w:gridSpan w:val="5"/>
          </w:tcPr>
          <w:p>
            <w:pPr>
              <w:jc w:val="right"/>
              <w:ind w:right="40"/>
              <w:spacing w:after="0" w:line="196" w:lineRule="exact"/>
              <w:rPr>
                <w:sz w:val="20"/>
                <w:szCs w:val="20"/>
                <w:color w:val="auto"/>
              </w:rPr>
            </w:pPr>
            <w:r>
              <w:rPr>
                <w:rFonts w:ascii="Arial" w:cs="Arial" w:eastAsia="Arial" w:hAnsi="Arial"/>
                <w:sz w:val="18"/>
                <w:szCs w:val="18"/>
                <w:color w:val="auto"/>
              </w:rPr>
              <w:t>7</w:t>
            </w:r>
          </w:p>
        </w:tc>
      </w:tr>
      <w:tr>
        <w:trPr>
          <w:trHeight w:val="196"/>
        </w:trPr>
        <w:tc>
          <w:tcPr>
            <w:tcW w:w="540" w:type="dxa"/>
            <w:vAlign w:val="bottom"/>
          </w:tcPr>
          <w:p>
            <w:pPr>
              <w:spacing w:after="0" w:line="196" w:lineRule="exact"/>
              <w:rPr>
                <w:rFonts w:ascii="Arial" w:cs="Arial" w:eastAsia="Arial" w:hAnsi="Arial"/>
                <w:sz w:val="18"/>
                <w:szCs w:val="18"/>
                <w:color w:val="0000EE"/>
                <w:w w:val="90"/>
              </w:rPr>
            </w:pPr>
            <w:hyperlink w:anchor="page9">
              <w:r>
                <w:rPr>
                  <w:rFonts w:ascii="Arial" w:cs="Arial" w:eastAsia="Arial" w:hAnsi="Arial"/>
                  <w:sz w:val="18"/>
                  <w:szCs w:val="18"/>
                  <w:color w:val="0000EE"/>
                  <w:w w:val="90"/>
                </w:rPr>
                <w:t>Item 2.</w:t>
              </w:r>
            </w:hyperlink>
          </w:p>
        </w:tc>
        <w:tc>
          <w:tcPr>
            <w:tcW w:w="740" w:type="dxa"/>
            <w:vAlign w:val="bottom"/>
            <w:gridSpan w:val="3"/>
          </w:tcPr>
          <w:p>
            <w:pPr>
              <w:spacing w:after="0"/>
              <w:rPr>
                <w:sz w:val="17"/>
                <w:szCs w:val="17"/>
                <w:color w:val="auto"/>
              </w:rPr>
            </w:pPr>
          </w:p>
        </w:tc>
        <w:tc>
          <w:tcPr>
            <w:tcW w:w="6820" w:type="dxa"/>
            <w:vAlign w:val="bottom"/>
            <w:gridSpan w:val="18"/>
          </w:tcPr>
          <w:p>
            <w:pPr>
              <w:spacing w:after="0" w:line="196" w:lineRule="exact"/>
              <w:rPr>
                <w:rFonts w:ascii="Arial" w:cs="Arial" w:eastAsia="Arial" w:hAnsi="Arial"/>
                <w:sz w:val="18"/>
                <w:szCs w:val="18"/>
                <w:color w:val="0000EE"/>
                <w:w w:val="95"/>
              </w:rPr>
            </w:pPr>
            <w:hyperlink w:anchor="page9">
              <w:r>
                <w:rPr>
                  <w:rFonts w:ascii="Arial" w:cs="Arial" w:eastAsia="Arial" w:hAnsi="Arial"/>
                  <w:sz w:val="18"/>
                  <w:szCs w:val="18"/>
                  <w:color w:val="0000EE"/>
                  <w:w w:val="95"/>
                </w:rPr>
                <w:t>Management’s Discussion and Analysis of Financial Condition and Results of Operations</w:t>
              </w:r>
            </w:hyperlink>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20" w:type="dxa"/>
            <w:vAlign w:val="bottom"/>
            <w:gridSpan w:val="5"/>
          </w:tcPr>
          <w:p>
            <w:pPr>
              <w:jc w:val="right"/>
              <w:ind w:right="40"/>
              <w:spacing w:after="0" w:line="196" w:lineRule="exact"/>
              <w:rPr>
                <w:sz w:val="20"/>
                <w:szCs w:val="20"/>
                <w:color w:val="auto"/>
              </w:rPr>
            </w:pPr>
            <w:r>
              <w:rPr>
                <w:rFonts w:ascii="Arial" w:cs="Arial" w:eastAsia="Arial" w:hAnsi="Arial"/>
                <w:sz w:val="18"/>
                <w:szCs w:val="18"/>
                <w:color w:val="auto"/>
              </w:rPr>
              <w:t>15</w:t>
            </w:r>
          </w:p>
        </w:tc>
      </w:tr>
      <w:tr>
        <w:trPr>
          <w:trHeight w:val="196"/>
        </w:trPr>
        <w:tc>
          <w:tcPr>
            <w:tcW w:w="54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90"/>
              </w:rPr>
            </w:pPr>
            <w:hyperlink w:anchor="page12">
              <w:r>
                <w:rPr>
                  <w:rFonts w:ascii="Arial" w:cs="Arial" w:eastAsia="Arial" w:hAnsi="Arial"/>
                  <w:sz w:val="18"/>
                  <w:szCs w:val="18"/>
                  <w:color w:val="0000EE"/>
                  <w:w w:val="90"/>
                </w:rPr>
                <w:t>Item 3.</w:t>
              </w:r>
            </w:hyperlink>
          </w:p>
        </w:tc>
        <w:tc>
          <w:tcPr>
            <w:tcW w:w="740" w:type="dxa"/>
            <w:vAlign w:val="bottom"/>
            <w:gridSpan w:val="3"/>
          </w:tcPr>
          <w:p>
            <w:pPr>
              <w:spacing w:after="0"/>
              <w:rPr>
                <w:sz w:val="17"/>
                <w:szCs w:val="17"/>
                <w:color w:val="auto"/>
              </w:rPr>
            </w:pPr>
          </w:p>
        </w:tc>
        <w:tc>
          <w:tcPr>
            <w:tcW w:w="4360" w:type="dxa"/>
            <w:vAlign w:val="bottom"/>
            <w:tcBorders>
              <w:top w:val="single" w:sz="8" w:color="0000EE"/>
              <w:bottom w:val="single" w:sz="8" w:color="0000EE"/>
            </w:tcBorders>
            <w:gridSpan w:val="13"/>
          </w:tcPr>
          <w:p>
            <w:pPr>
              <w:spacing w:after="0" w:line="196" w:lineRule="exact"/>
              <w:rPr>
                <w:rFonts w:ascii="Arial" w:cs="Arial" w:eastAsia="Arial" w:hAnsi="Arial"/>
                <w:sz w:val="18"/>
                <w:szCs w:val="18"/>
                <w:color w:val="0000EE"/>
                <w:w w:val="92"/>
              </w:rPr>
            </w:pPr>
            <w:hyperlink w:anchor="page12">
              <w:r>
                <w:rPr>
                  <w:rFonts w:ascii="Arial" w:cs="Arial" w:eastAsia="Arial" w:hAnsi="Arial"/>
                  <w:sz w:val="18"/>
                  <w:szCs w:val="18"/>
                  <w:color w:val="0000EE"/>
                  <w:w w:val="92"/>
                </w:rPr>
                <w:t>Quantitative and Qualitative Disclosures About Market Risk</w:t>
              </w:r>
            </w:hyperlink>
          </w:p>
        </w:tc>
        <w:tc>
          <w:tcPr>
            <w:tcW w:w="2080" w:type="dxa"/>
            <w:vAlign w:val="bottom"/>
            <w:tcBorders>
              <w:top w:val="single" w:sz="8" w:color="0000EE"/>
            </w:tcBorders>
            <w:gridSpan w:val="4"/>
          </w:tcPr>
          <w:p>
            <w:pPr>
              <w:spacing w:after="0"/>
              <w:rPr>
                <w:sz w:val="17"/>
                <w:szCs w:val="17"/>
                <w:color w:val="auto"/>
              </w:rPr>
            </w:pPr>
          </w:p>
        </w:tc>
        <w:tc>
          <w:tcPr>
            <w:tcW w:w="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20" w:type="dxa"/>
            <w:vAlign w:val="bottom"/>
            <w:gridSpan w:val="5"/>
          </w:tcPr>
          <w:p>
            <w:pPr>
              <w:jc w:val="right"/>
              <w:ind w:right="40"/>
              <w:spacing w:after="0" w:line="196" w:lineRule="exact"/>
              <w:rPr>
                <w:sz w:val="20"/>
                <w:szCs w:val="20"/>
                <w:color w:val="auto"/>
              </w:rPr>
            </w:pPr>
            <w:r>
              <w:rPr>
                <w:rFonts w:ascii="Arial" w:cs="Arial" w:eastAsia="Arial" w:hAnsi="Arial"/>
                <w:sz w:val="18"/>
                <w:szCs w:val="18"/>
                <w:color w:val="auto"/>
              </w:rPr>
              <w:t>18</w:t>
            </w:r>
          </w:p>
        </w:tc>
      </w:tr>
      <w:tr>
        <w:trPr>
          <w:trHeight w:val="196"/>
        </w:trPr>
        <w:tc>
          <w:tcPr>
            <w:tcW w:w="1280" w:type="dxa"/>
            <w:vAlign w:val="bottom"/>
            <w:gridSpan w:val="4"/>
          </w:tcPr>
          <w:p>
            <w:pPr>
              <w:spacing w:after="0" w:line="196" w:lineRule="exact"/>
              <w:rPr>
                <w:rFonts w:ascii="Arial" w:cs="Arial" w:eastAsia="Arial" w:hAnsi="Arial"/>
                <w:sz w:val="18"/>
                <w:szCs w:val="18"/>
                <w:color w:val="0000EE"/>
              </w:rPr>
            </w:pPr>
            <w:hyperlink w:anchor="page12">
              <w:r>
                <w:rPr>
                  <w:rFonts w:ascii="Arial" w:cs="Arial" w:eastAsia="Arial" w:hAnsi="Arial"/>
                  <w:sz w:val="18"/>
                  <w:szCs w:val="18"/>
                  <w:color w:val="0000EE"/>
                </w:rPr>
                <w:t>Item 4.</w:t>
              </w:r>
            </w:hyperlink>
          </w:p>
        </w:tc>
        <w:tc>
          <w:tcPr>
            <w:tcW w:w="6820" w:type="dxa"/>
            <w:vAlign w:val="bottom"/>
            <w:gridSpan w:val="18"/>
          </w:tcPr>
          <w:p>
            <w:pPr>
              <w:spacing w:after="0" w:line="196" w:lineRule="exact"/>
              <w:rPr>
                <w:rFonts w:ascii="Arial" w:cs="Arial" w:eastAsia="Arial" w:hAnsi="Arial"/>
                <w:sz w:val="18"/>
                <w:szCs w:val="18"/>
                <w:color w:val="0000EE"/>
              </w:rPr>
            </w:pPr>
            <w:hyperlink w:anchor="page12">
              <w:r>
                <w:rPr>
                  <w:rFonts w:ascii="Arial" w:cs="Arial" w:eastAsia="Arial" w:hAnsi="Arial"/>
                  <w:sz w:val="18"/>
                  <w:szCs w:val="18"/>
                  <w:color w:val="0000EE"/>
                </w:rPr>
                <w:t>Controls and Procedures</w:t>
              </w:r>
            </w:hyperlink>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20" w:type="dxa"/>
            <w:vAlign w:val="bottom"/>
            <w:gridSpan w:val="5"/>
          </w:tcPr>
          <w:p>
            <w:pPr>
              <w:jc w:val="right"/>
              <w:ind w:right="40"/>
              <w:spacing w:after="0" w:line="196" w:lineRule="exact"/>
              <w:rPr>
                <w:sz w:val="20"/>
                <w:szCs w:val="20"/>
                <w:color w:val="auto"/>
              </w:rPr>
            </w:pPr>
            <w:r>
              <w:rPr>
                <w:rFonts w:ascii="Arial" w:cs="Arial" w:eastAsia="Arial" w:hAnsi="Arial"/>
                <w:sz w:val="18"/>
                <w:szCs w:val="18"/>
                <w:color w:val="auto"/>
              </w:rPr>
              <w:t>19</w:t>
            </w:r>
          </w:p>
        </w:tc>
      </w:tr>
      <w:tr>
        <w:trPr>
          <w:trHeight w:val="412"/>
        </w:trPr>
        <w:tc>
          <w:tcPr>
            <w:tcW w:w="540" w:type="dxa"/>
            <w:vAlign w:val="bottom"/>
            <w:tcBorders>
              <w:top w:val="single" w:sz="8" w:color="0000EE"/>
            </w:tcBorders>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8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40" w:type="dxa"/>
            <w:vAlign w:val="bottom"/>
            <w:tcBorders>
              <w:top w:val="single" w:sz="8" w:color="0000EE"/>
            </w:tcBorders>
          </w:tcPr>
          <w:p>
            <w:pPr>
              <w:spacing w:after="0"/>
              <w:rPr>
                <w:sz w:val="24"/>
                <w:szCs w:val="24"/>
                <w:color w:val="auto"/>
              </w:rPr>
            </w:pPr>
          </w:p>
        </w:tc>
        <w:tc>
          <w:tcPr>
            <w:tcW w:w="5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500" w:type="dxa"/>
            <w:vAlign w:val="bottom"/>
            <w:gridSpan w:val="9"/>
          </w:tcPr>
          <w:p>
            <w:pPr>
              <w:jc w:val="center"/>
              <w:ind w:right="1440"/>
              <w:spacing w:after="0"/>
              <w:rPr>
                <w:rFonts w:ascii="Arial" w:cs="Arial" w:eastAsia="Arial" w:hAnsi="Arial"/>
                <w:sz w:val="18"/>
                <w:szCs w:val="18"/>
                <w:b w:val="1"/>
                <w:bCs w:val="1"/>
                <w:color w:val="0000EE"/>
                <w:w w:val="97"/>
              </w:rPr>
            </w:pPr>
            <w:hyperlink w:anchor="page13">
              <w:r>
                <w:rPr>
                  <w:rFonts w:ascii="Arial" w:cs="Arial" w:eastAsia="Arial" w:hAnsi="Arial"/>
                  <w:sz w:val="18"/>
                  <w:szCs w:val="18"/>
                  <w:b w:val="1"/>
                  <w:bCs w:val="1"/>
                  <w:color w:val="0000EE"/>
                  <w:w w:val="97"/>
                </w:rPr>
                <w:t>Part II. Other Information</w:t>
              </w:r>
            </w:hyperlink>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412"/>
        </w:trPr>
        <w:tc>
          <w:tcPr>
            <w:tcW w:w="540" w:type="dxa"/>
            <w:vAlign w:val="bottom"/>
            <w:tcBorders>
              <w:bottom w:val="single" w:sz="8" w:color="0000EE"/>
            </w:tcBorders>
          </w:tcPr>
          <w:p>
            <w:pPr>
              <w:spacing w:after="0"/>
              <w:rPr>
                <w:rFonts w:ascii="Arial" w:cs="Arial" w:eastAsia="Arial" w:hAnsi="Arial"/>
                <w:sz w:val="18"/>
                <w:szCs w:val="18"/>
                <w:color w:val="0000EE"/>
                <w:w w:val="90"/>
              </w:rPr>
            </w:pPr>
            <w:hyperlink w:anchor="page13">
              <w:r>
                <w:rPr>
                  <w:rFonts w:ascii="Arial" w:cs="Arial" w:eastAsia="Arial" w:hAnsi="Arial"/>
                  <w:sz w:val="18"/>
                  <w:szCs w:val="18"/>
                  <w:color w:val="0000EE"/>
                  <w:w w:val="90"/>
                </w:rPr>
                <w:t>Item 1.</w:t>
              </w:r>
            </w:hyperlink>
          </w:p>
        </w:tc>
        <w:tc>
          <w:tcPr>
            <w:tcW w:w="740" w:type="dxa"/>
            <w:vAlign w:val="bottom"/>
            <w:gridSpan w:val="3"/>
          </w:tcPr>
          <w:p>
            <w:pPr>
              <w:spacing w:after="0"/>
              <w:rPr>
                <w:sz w:val="24"/>
                <w:szCs w:val="24"/>
                <w:color w:val="auto"/>
              </w:rPr>
            </w:pPr>
          </w:p>
        </w:tc>
        <w:tc>
          <w:tcPr>
            <w:tcW w:w="1320" w:type="dxa"/>
            <w:vAlign w:val="bottom"/>
            <w:tcBorders>
              <w:bottom w:val="single" w:sz="8" w:color="0000EE"/>
            </w:tcBorders>
            <w:gridSpan w:val="5"/>
          </w:tcPr>
          <w:p>
            <w:pPr>
              <w:spacing w:after="0"/>
              <w:rPr>
                <w:rFonts w:ascii="Arial" w:cs="Arial" w:eastAsia="Arial" w:hAnsi="Arial"/>
                <w:sz w:val="18"/>
                <w:szCs w:val="18"/>
                <w:color w:val="0000EE"/>
                <w:w w:val="87"/>
              </w:rPr>
            </w:pPr>
            <w:hyperlink w:anchor="page13">
              <w:r>
                <w:rPr>
                  <w:rFonts w:ascii="Arial" w:cs="Arial" w:eastAsia="Arial" w:hAnsi="Arial"/>
                  <w:sz w:val="18"/>
                  <w:szCs w:val="18"/>
                  <w:color w:val="0000EE"/>
                  <w:w w:val="87"/>
                </w:rPr>
                <w:t>Legal Proceedings</w:t>
              </w:r>
            </w:hyperlink>
          </w:p>
        </w:tc>
        <w:tc>
          <w:tcPr>
            <w:tcW w:w="2000" w:type="dxa"/>
            <w:vAlign w:val="bottom"/>
            <w:gridSpan w:val="4"/>
          </w:tcPr>
          <w:p>
            <w:pPr>
              <w:spacing w:after="0"/>
              <w:rPr>
                <w:sz w:val="24"/>
                <w:szCs w:val="24"/>
                <w:color w:val="auto"/>
              </w:rPr>
            </w:pPr>
          </w:p>
        </w:tc>
        <w:tc>
          <w:tcPr>
            <w:tcW w:w="2060" w:type="dxa"/>
            <w:vAlign w:val="bottom"/>
            <w:tcBorders>
              <w:top w:val="single" w:sz="8" w:color="0000EE"/>
            </w:tcBorders>
            <w:gridSpan w:val="5"/>
          </w:tcPr>
          <w:p>
            <w:pPr>
              <w:spacing w:after="0"/>
              <w:rPr>
                <w:sz w:val="24"/>
                <w:szCs w:val="24"/>
                <w:color w:val="auto"/>
              </w:rPr>
            </w:pPr>
          </w:p>
        </w:tc>
        <w:tc>
          <w:tcPr>
            <w:tcW w:w="1440" w:type="dxa"/>
            <w:vAlign w:val="bottom"/>
            <w:gridSpan w:val="4"/>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20" w:type="dxa"/>
            <w:vAlign w:val="bottom"/>
            <w:gridSpan w:val="5"/>
          </w:tcPr>
          <w:p>
            <w:pPr>
              <w:jc w:val="right"/>
              <w:ind w:right="40"/>
              <w:spacing w:after="0"/>
              <w:rPr>
                <w:sz w:val="20"/>
                <w:szCs w:val="20"/>
                <w:color w:val="auto"/>
              </w:rPr>
            </w:pPr>
            <w:r>
              <w:rPr>
                <w:rFonts w:ascii="Arial" w:cs="Arial" w:eastAsia="Arial" w:hAnsi="Arial"/>
                <w:sz w:val="18"/>
                <w:szCs w:val="18"/>
                <w:color w:val="auto"/>
              </w:rPr>
              <w:t>20</w:t>
            </w:r>
          </w:p>
        </w:tc>
      </w:tr>
      <w:tr>
        <w:trPr>
          <w:trHeight w:val="196"/>
        </w:trPr>
        <w:tc>
          <w:tcPr>
            <w:tcW w:w="1280" w:type="dxa"/>
            <w:vAlign w:val="bottom"/>
            <w:gridSpan w:val="4"/>
          </w:tcPr>
          <w:p>
            <w:pPr>
              <w:spacing w:after="0" w:line="196" w:lineRule="exact"/>
              <w:rPr>
                <w:rFonts w:ascii="Arial" w:cs="Arial" w:eastAsia="Arial" w:hAnsi="Arial"/>
                <w:sz w:val="18"/>
                <w:szCs w:val="18"/>
                <w:color w:val="0000EE"/>
              </w:rPr>
            </w:pPr>
            <w:hyperlink w:anchor="page13">
              <w:r>
                <w:rPr>
                  <w:rFonts w:ascii="Arial" w:cs="Arial" w:eastAsia="Arial" w:hAnsi="Arial"/>
                  <w:sz w:val="18"/>
                  <w:szCs w:val="18"/>
                  <w:color w:val="0000EE"/>
                </w:rPr>
                <w:t>Item 1A.</w:t>
              </w:r>
            </w:hyperlink>
          </w:p>
        </w:tc>
        <w:tc>
          <w:tcPr>
            <w:tcW w:w="6820" w:type="dxa"/>
            <w:vAlign w:val="bottom"/>
            <w:gridSpan w:val="18"/>
          </w:tcPr>
          <w:p>
            <w:pPr>
              <w:spacing w:after="0" w:line="196" w:lineRule="exact"/>
              <w:rPr>
                <w:rFonts w:ascii="Arial" w:cs="Arial" w:eastAsia="Arial" w:hAnsi="Arial"/>
                <w:sz w:val="18"/>
                <w:szCs w:val="18"/>
                <w:color w:val="0000EE"/>
              </w:rPr>
            </w:pPr>
            <w:hyperlink w:anchor="page13">
              <w:r>
                <w:rPr>
                  <w:rFonts w:ascii="Arial" w:cs="Arial" w:eastAsia="Arial" w:hAnsi="Arial"/>
                  <w:sz w:val="18"/>
                  <w:szCs w:val="18"/>
                  <w:color w:val="0000EE"/>
                </w:rPr>
                <w:t>Risk Factors</w:t>
              </w:r>
            </w:hyperlink>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20" w:type="dxa"/>
            <w:vAlign w:val="bottom"/>
            <w:gridSpan w:val="5"/>
          </w:tcPr>
          <w:p>
            <w:pPr>
              <w:jc w:val="right"/>
              <w:ind w:right="40"/>
              <w:spacing w:after="0" w:line="196" w:lineRule="exact"/>
              <w:rPr>
                <w:sz w:val="20"/>
                <w:szCs w:val="20"/>
                <w:color w:val="auto"/>
              </w:rPr>
            </w:pPr>
            <w:r>
              <w:rPr>
                <w:rFonts w:ascii="Arial" w:cs="Arial" w:eastAsia="Arial" w:hAnsi="Arial"/>
                <w:sz w:val="18"/>
                <w:szCs w:val="18"/>
                <w:color w:val="auto"/>
              </w:rPr>
              <w:t>20</w:t>
            </w:r>
          </w:p>
        </w:tc>
      </w:tr>
      <w:tr>
        <w:trPr>
          <w:trHeight w:val="20"/>
        </w:trPr>
        <w:tc>
          <w:tcPr>
            <w:tcW w:w="54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40" w:type="dxa"/>
            <w:vAlign w:val="bottom"/>
            <w:tcBorders>
              <w:right w:val="single" w:sz="8" w:color="0000EE"/>
            </w:tcBorders>
            <w:gridSpan w:val="2"/>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0" w:type="dxa"/>
            <w:vAlign w:val="bottom"/>
            <w:gridSpan w:val="3"/>
          </w:tcPr>
          <w:p>
            <w:pPr>
              <w:spacing w:after="0" w:line="20" w:lineRule="exact"/>
              <w:rPr>
                <w:sz w:val="1"/>
                <w:szCs w:val="1"/>
                <w:color w:val="auto"/>
              </w:rPr>
            </w:pPr>
          </w:p>
        </w:tc>
        <w:tc>
          <w:tcPr>
            <w:tcW w:w="2040" w:type="dxa"/>
            <w:vAlign w:val="bottom"/>
            <w:gridSpan w:val="5"/>
          </w:tcPr>
          <w:p>
            <w:pPr>
              <w:spacing w:after="0" w:line="20" w:lineRule="exact"/>
              <w:rPr>
                <w:sz w:val="1"/>
                <w:szCs w:val="1"/>
                <w:color w:val="auto"/>
              </w:rPr>
            </w:pPr>
          </w:p>
        </w:tc>
        <w:tc>
          <w:tcPr>
            <w:tcW w:w="2480" w:type="dxa"/>
            <w:vAlign w:val="bottom"/>
            <w:gridSpan w:val="6"/>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20" w:type="dxa"/>
            <w:vAlign w:val="bottom"/>
            <w:gridSpan w:val="5"/>
          </w:tcPr>
          <w:p>
            <w:pPr>
              <w:spacing w:after="0" w:line="20" w:lineRule="exact"/>
              <w:rPr>
                <w:sz w:val="1"/>
                <w:szCs w:val="1"/>
                <w:color w:val="auto"/>
              </w:rPr>
            </w:pPr>
          </w:p>
        </w:tc>
      </w:tr>
      <w:tr>
        <w:trPr>
          <w:trHeight w:val="196"/>
        </w:trPr>
        <w:tc>
          <w:tcPr>
            <w:tcW w:w="640" w:type="dxa"/>
            <w:vAlign w:val="bottom"/>
            <w:tcBorders>
              <w:bottom w:val="single" w:sz="8" w:color="0000EE"/>
            </w:tcBorders>
            <w:gridSpan w:val="2"/>
          </w:tcPr>
          <w:p>
            <w:pPr>
              <w:spacing w:after="0" w:line="196" w:lineRule="exact"/>
              <w:rPr>
                <w:rFonts w:ascii="Arial" w:cs="Arial" w:eastAsia="Arial" w:hAnsi="Arial"/>
                <w:sz w:val="18"/>
                <w:szCs w:val="18"/>
                <w:color w:val="0000EE"/>
              </w:rPr>
            </w:pPr>
            <w:hyperlink w:anchor="page13">
              <w:r>
                <w:rPr>
                  <w:rFonts w:ascii="Arial" w:cs="Arial" w:eastAsia="Arial" w:hAnsi="Arial"/>
                  <w:sz w:val="18"/>
                  <w:szCs w:val="18"/>
                  <w:color w:val="0000EE"/>
                </w:rPr>
                <w:t>Item 2.</w:t>
              </w:r>
            </w:hyperlink>
          </w:p>
        </w:tc>
        <w:tc>
          <w:tcPr>
            <w:tcW w:w="640" w:type="dxa"/>
            <w:vAlign w:val="bottom"/>
            <w:tcBorders>
              <w:bottom w:val="single" w:sz="8" w:color="0000EE"/>
            </w:tcBorders>
            <w:gridSpan w:val="2"/>
          </w:tcPr>
          <w:p>
            <w:pPr>
              <w:spacing w:after="0"/>
              <w:rPr>
                <w:sz w:val="17"/>
                <w:szCs w:val="17"/>
                <w:color w:val="auto"/>
              </w:rPr>
            </w:pPr>
          </w:p>
        </w:tc>
        <w:tc>
          <w:tcPr>
            <w:tcW w:w="4340" w:type="dxa"/>
            <w:vAlign w:val="bottom"/>
            <w:tcBorders>
              <w:bottom w:val="single" w:sz="8" w:color="0000EE"/>
            </w:tcBorders>
            <w:gridSpan w:val="12"/>
          </w:tcPr>
          <w:p>
            <w:pPr>
              <w:spacing w:after="0" w:line="196" w:lineRule="exact"/>
              <w:rPr>
                <w:rFonts w:ascii="Arial" w:cs="Arial" w:eastAsia="Arial" w:hAnsi="Arial"/>
                <w:sz w:val="18"/>
                <w:szCs w:val="18"/>
                <w:color w:val="0000EE"/>
                <w:w w:val="89"/>
              </w:rPr>
            </w:pPr>
            <w:hyperlink w:anchor="page13">
              <w:r>
                <w:rPr>
                  <w:rFonts w:ascii="Arial" w:cs="Arial" w:eastAsia="Arial" w:hAnsi="Arial"/>
                  <w:sz w:val="18"/>
                  <w:szCs w:val="18"/>
                  <w:color w:val="0000EE"/>
                  <w:w w:val="89"/>
                </w:rPr>
                <w:t>Unregistered Sales of Equity Securities and Use of Proceeds</w:t>
              </w:r>
            </w:hyperlink>
          </w:p>
        </w:tc>
        <w:tc>
          <w:tcPr>
            <w:tcW w:w="2480" w:type="dxa"/>
            <w:vAlign w:val="bottom"/>
            <w:gridSpan w:val="6"/>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20" w:type="dxa"/>
            <w:vAlign w:val="bottom"/>
            <w:gridSpan w:val="5"/>
          </w:tcPr>
          <w:p>
            <w:pPr>
              <w:jc w:val="right"/>
              <w:ind w:right="40"/>
              <w:spacing w:after="0" w:line="196" w:lineRule="exact"/>
              <w:rPr>
                <w:sz w:val="20"/>
                <w:szCs w:val="20"/>
                <w:color w:val="auto"/>
              </w:rPr>
            </w:pPr>
            <w:r>
              <w:rPr>
                <w:rFonts w:ascii="Arial" w:cs="Arial" w:eastAsia="Arial" w:hAnsi="Arial"/>
                <w:sz w:val="18"/>
                <w:szCs w:val="18"/>
                <w:color w:val="auto"/>
              </w:rPr>
              <w:t>20</w:t>
            </w:r>
          </w:p>
        </w:tc>
      </w:tr>
      <w:tr>
        <w:trPr>
          <w:trHeight w:val="196"/>
        </w:trPr>
        <w:tc>
          <w:tcPr>
            <w:tcW w:w="1280" w:type="dxa"/>
            <w:vAlign w:val="bottom"/>
            <w:gridSpan w:val="4"/>
          </w:tcPr>
          <w:p>
            <w:pPr>
              <w:spacing w:after="0" w:line="196" w:lineRule="exact"/>
              <w:rPr>
                <w:rFonts w:ascii="Arial" w:cs="Arial" w:eastAsia="Arial" w:hAnsi="Arial"/>
                <w:sz w:val="18"/>
                <w:szCs w:val="18"/>
                <w:color w:val="0000EE"/>
              </w:rPr>
            </w:pPr>
            <w:hyperlink w:anchor="page13">
              <w:r>
                <w:rPr>
                  <w:rFonts w:ascii="Arial" w:cs="Arial" w:eastAsia="Arial" w:hAnsi="Arial"/>
                  <w:sz w:val="18"/>
                  <w:szCs w:val="18"/>
                  <w:color w:val="0000EE"/>
                </w:rPr>
                <w:t>Item 3.</w:t>
              </w:r>
            </w:hyperlink>
          </w:p>
        </w:tc>
        <w:tc>
          <w:tcPr>
            <w:tcW w:w="6820" w:type="dxa"/>
            <w:vAlign w:val="bottom"/>
            <w:gridSpan w:val="18"/>
          </w:tcPr>
          <w:p>
            <w:pPr>
              <w:spacing w:after="0" w:line="196" w:lineRule="exact"/>
              <w:rPr>
                <w:rFonts w:ascii="Arial" w:cs="Arial" w:eastAsia="Arial" w:hAnsi="Arial"/>
                <w:sz w:val="18"/>
                <w:szCs w:val="18"/>
                <w:color w:val="0000EE"/>
              </w:rPr>
            </w:pPr>
            <w:hyperlink w:anchor="page13">
              <w:r>
                <w:rPr>
                  <w:rFonts w:ascii="Arial" w:cs="Arial" w:eastAsia="Arial" w:hAnsi="Arial"/>
                  <w:sz w:val="18"/>
                  <w:szCs w:val="18"/>
                  <w:color w:val="0000EE"/>
                </w:rPr>
                <w:t>Defaults Upon Senior Securities</w:t>
              </w:r>
            </w:hyperlink>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20" w:type="dxa"/>
            <w:vAlign w:val="bottom"/>
            <w:gridSpan w:val="5"/>
          </w:tcPr>
          <w:p>
            <w:pPr>
              <w:jc w:val="right"/>
              <w:ind w:right="40"/>
              <w:spacing w:after="0" w:line="196" w:lineRule="exact"/>
              <w:rPr>
                <w:sz w:val="20"/>
                <w:szCs w:val="20"/>
                <w:color w:val="auto"/>
              </w:rPr>
            </w:pPr>
            <w:r>
              <w:rPr>
                <w:rFonts w:ascii="Arial" w:cs="Arial" w:eastAsia="Arial" w:hAnsi="Arial"/>
                <w:sz w:val="18"/>
                <w:szCs w:val="18"/>
                <w:color w:val="auto"/>
              </w:rPr>
              <w:t>20</w:t>
            </w:r>
          </w:p>
        </w:tc>
      </w:tr>
      <w:tr>
        <w:trPr>
          <w:trHeight w:val="196"/>
        </w:trPr>
        <w:tc>
          <w:tcPr>
            <w:tcW w:w="54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90"/>
              </w:rPr>
            </w:pPr>
            <w:hyperlink w:anchor="page13">
              <w:r>
                <w:rPr>
                  <w:rFonts w:ascii="Arial" w:cs="Arial" w:eastAsia="Arial" w:hAnsi="Arial"/>
                  <w:sz w:val="18"/>
                  <w:szCs w:val="18"/>
                  <w:color w:val="0000EE"/>
                  <w:w w:val="90"/>
                </w:rPr>
                <w:t>Item 4.</w:t>
              </w:r>
            </w:hyperlink>
          </w:p>
        </w:tc>
        <w:tc>
          <w:tcPr>
            <w:tcW w:w="740" w:type="dxa"/>
            <w:vAlign w:val="bottom"/>
            <w:tcBorders>
              <w:top w:val="single" w:sz="8" w:color="0000EE"/>
            </w:tcBorders>
            <w:gridSpan w:val="3"/>
          </w:tcPr>
          <w:p>
            <w:pPr>
              <w:spacing w:after="0"/>
              <w:rPr>
                <w:sz w:val="17"/>
                <w:szCs w:val="17"/>
                <w:color w:val="auto"/>
              </w:rPr>
            </w:pPr>
          </w:p>
        </w:tc>
        <w:tc>
          <w:tcPr>
            <w:tcW w:w="1760" w:type="dxa"/>
            <w:vAlign w:val="bottom"/>
            <w:tcBorders>
              <w:top w:val="single" w:sz="8" w:color="0000EE"/>
              <w:bottom w:val="single" w:sz="8" w:color="0000EE"/>
            </w:tcBorders>
            <w:gridSpan w:val="6"/>
          </w:tcPr>
          <w:p>
            <w:pPr>
              <w:spacing w:after="0" w:line="196" w:lineRule="exact"/>
              <w:rPr>
                <w:rFonts w:ascii="Arial" w:cs="Arial" w:eastAsia="Arial" w:hAnsi="Arial"/>
                <w:sz w:val="18"/>
                <w:szCs w:val="18"/>
                <w:color w:val="0000EE"/>
                <w:w w:val="90"/>
              </w:rPr>
            </w:pPr>
            <w:hyperlink w:anchor="page13">
              <w:r>
                <w:rPr>
                  <w:rFonts w:ascii="Arial" w:cs="Arial" w:eastAsia="Arial" w:hAnsi="Arial"/>
                  <w:sz w:val="18"/>
                  <w:szCs w:val="18"/>
                  <w:color w:val="0000EE"/>
                  <w:w w:val="90"/>
                </w:rPr>
                <w:t>Mine Safety Disclosures</w:t>
              </w:r>
            </w:hyperlink>
          </w:p>
        </w:tc>
        <w:tc>
          <w:tcPr>
            <w:tcW w:w="540" w:type="dxa"/>
            <w:vAlign w:val="bottom"/>
            <w:tcBorders>
              <w:top w:val="single" w:sz="8" w:color="0000EE"/>
            </w:tcBorders>
          </w:tcPr>
          <w:p>
            <w:pPr>
              <w:spacing w:after="0"/>
              <w:rPr>
                <w:sz w:val="17"/>
                <w:szCs w:val="17"/>
                <w:color w:val="auto"/>
              </w:rPr>
            </w:pPr>
          </w:p>
        </w:tc>
        <w:tc>
          <w:tcPr>
            <w:tcW w:w="4520" w:type="dxa"/>
            <w:vAlign w:val="bottom"/>
            <w:gridSpan w:val="11"/>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20" w:type="dxa"/>
            <w:vAlign w:val="bottom"/>
            <w:gridSpan w:val="5"/>
          </w:tcPr>
          <w:p>
            <w:pPr>
              <w:jc w:val="right"/>
              <w:ind w:right="40"/>
              <w:spacing w:after="0" w:line="196" w:lineRule="exact"/>
              <w:rPr>
                <w:sz w:val="20"/>
                <w:szCs w:val="20"/>
                <w:color w:val="auto"/>
              </w:rPr>
            </w:pPr>
            <w:r>
              <w:rPr>
                <w:rFonts w:ascii="Arial" w:cs="Arial" w:eastAsia="Arial" w:hAnsi="Arial"/>
                <w:sz w:val="18"/>
                <w:szCs w:val="18"/>
                <w:color w:val="auto"/>
              </w:rPr>
              <w:t>20</w:t>
            </w:r>
          </w:p>
        </w:tc>
      </w:tr>
      <w:tr>
        <w:trPr>
          <w:trHeight w:val="196"/>
        </w:trPr>
        <w:tc>
          <w:tcPr>
            <w:tcW w:w="540" w:type="dxa"/>
            <w:vAlign w:val="bottom"/>
            <w:tcBorders>
              <w:bottom w:val="single" w:sz="8" w:color="0000EE"/>
            </w:tcBorders>
          </w:tcPr>
          <w:p>
            <w:pPr>
              <w:spacing w:after="0" w:line="196" w:lineRule="exact"/>
              <w:rPr>
                <w:rFonts w:ascii="Arial" w:cs="Arial" w:eastAsia="Arial" w:hAnsi="Arial"/>
                <w:sz w:val="18"/>
                <w:szCs w:val="18"/>
                <w:color w:val="0000EE"/>
                <w:w w:val="90"/>
              </w:rPr>
            </w:pPr>
            <w:hyperlink w:anchor="page13">
              <w:r>
                <w:rPr>
                  <w:rFonts w:ascii="Arial" w:cs="Arial" w:eastAsia="Arial" w:hAnsi="Arial"/>
                  <w:sz w:val="18"/>
                  <w:szCs w:val="18"/>
                  <w:color w:val="0000EE"/>
                  <w:w w:val="90"/>
                </w:rPr>
                <w:t>Item 5.</w:t>
              </w:r>
            </w:hyperlink>
          </w:p>
        </w:tc>
        <w:tc>
          <w:tcPr>
            <w:tcW w:w="740" w:type="dxa"/>
            <w:vAlign w:val="bottom"/>
            <w:gridSpan w:val="3"/>
          </w:tcPr>
          <w:p>
            <w:pPr>
              <w:spacing w:after="0"/>
              <w:rPr>
                <w:sz w:val="17"/>
                <w:szCs w:val="17"/>
                <w:color w:val="auto"/>
              </w:rPr>
            </w:pPr>
          </w:p>
        </w:tc>
        <w:tc>
          <w:tcPr>
            <w:tcW w:w="1300" w:type="dxa"/>
            <w:vAlign w:val="bottom"/>
            <w:tcBorders>
              <w:bottom w:val="single" w:sz="8" w:color="0000EE"/>
            </w:tcBorders>
            <w:gridSpan w:val="4"/>
          </w:tcPr>
          <w:p>
            <w:pPr>
              <w:spacing w:after="0" w:line="196" w:lineRule="exact"/>
              <w:rPr>
                <w:rFonts w:ascii="Arial" w:cs="Arial" w:eastAsia="Arial" w:hAnsi="Arial"/>
                <w:sz w:val="18"/>
                <w:szCs w:val="18"/>
                <w:color w:val="0000EE"/>
                <w:w w:val="91"/>
              </w:rPr>
            </w:pPr>
            <w:hyperlink w:anchor="page13">
              <w:r>
                <w:rPr>
                  <w:rFonts w:ascii="Arial" w:cs="Arial" w:eastAsia="Arial" w:hAnsi="Arial"/>
                  <w:sz w:val="18"/>
                  <w:szCs w:val="18"/>
                  <w:color w:val="0000EE"/>
                  <w:w w:val="91"/>
                </w:rPr>
                <w:t>Other Information</w:t>
              </w:r>
            </w:hyperlink>
          </w:p>
        </w:tc>
        <w:tc>
          <w:tcPr>
            <w:tcW w:w="5520" w:type="dxa"/>
            <w:vAlign w:val="bottom"/>
            <w:gridSpan w:val="14"/>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20" w:type="dxa"/>
            <w:vAlign w:val="bottom"/>
            <w:gridSpan w:val="5"/>
          </w:tcPr>
          <w:p>
            <w:pPr>
              <w:jc w:val="right"/>
              <w:ind w:right="40"/>
              <w:spacing w:after="0" w:line="196" w:lineRule="exact"/>
              <w:rPr>
                <w:sz w:val="20"/>
                <w:szCs w:val="20"/>
                <w:color w:val="auto"/>
              </w:rPr>
            </w:pPr>
            <w:r>
              <w:rPr>
                <w:rFonts w:ascii="Arial" w:cs="Arial" w:eastAsia="Arial" w:hAnsi="Arial"/>
                <w:sz w:val="18"/>
                <w:szCs w:val="18"/>
                <w:color w:val="auto"/>
              </w:rPr>
              <w:t>20</w:t>
            </w:r>
          </w:p>
        </w:tc>
      </w:tr>
      <w:tr>
        <w:trPr>
          <w:trHeight w:val="196"/>
        </w:trPr>
        <w:tc>
          <w:tcPr>
            <w:tcW w:w="540" w:type="dxa"/>
            <w:vAlign w:val="bottom"/>
          </w:tcPr>
          <w:p>
            <w:pPr>
              <w:spacing w:after="0" w:line="196" w:lineRule="exact"/>
              <w:rPr>
                <w:rFonts w:ascii="Arial" w:cs="Arial" w:eastAsia="Arial" w:hAnsi="Arial"/>
                <w:sz w:val="18"/>
                <w:szCs w:val="18"/>
                <w:color w:val="0000EE"/>
                <w:w w:val="90"/>
              </w:rPr>
            </w:pPr>
            <w:hyperlink w:anchor="page13">
              <w:r>
                <w:rPr>
                  <w:rFonts w:ascii="Arial" w:cs="Arial" w:eastAsia="Arial" w:hAnsi="Arial"/>
                  <w:sz w:val="18"/>
                  <w:szCs w:val="18"/>
                  <w:color w:val="0000EE"/>
                  <w:w w:val="90"/>
                </w:rPr>
                <w:t>Item 6.</w:t>
              </w:r>
            </w:hyperlink>
          </w:p>
        </w:tc>
        <w:tc>
          <w:tcPr>
            <w:tcW w:w="740" w:type="dxa"/>
            <w:vAlign w:val="bottom"/>
            <w:gridSpan w:val="3"/>
          </w:tcPr>
          <w:p>
            <w:pPr>
              <w:spacing w:after="0"/>
              <w:rPr>
                <w:sz w:val="17"/>
                <w:szCs w:val="17"/>
                <w:color w:val="auto"/>
              </w:rPr>
            </w:pPr>
          </w:p>
        </w:tc>
        <w:tc>
          <w:tcPr>
            <w:tcW w:w="6820" w:type="dxa"/>
            <w:vAlign w:val="bottom"/>
            <w:gridSpan w:val="18"/>
          </w:tcPr>
          <w:p>
            <w:pPr>
              <w:spacing w:after="0" w:line="196" w:lineRule="exact"/>
              <w:rPr>
                <w:rFonts w:ascii="Arial" w:cs="Arial" w:eastAsia="Arial" w:hAnsi="Arial"/>
                <w:sz w:val="18"/>
                <w:szCs w:val="18"/>
                <w:color w:val="0000EE"/>
              </w:rPr>
            </w:pPr>
            <w:hyperlink w:anchor="page13">
              <w:r>
                <w:rPr>
                  <w:rFonts w:ascii="Arial" w:cs="Arial" w:eastAsia="Arial" w:hAnsi="Arial"/>
                  <w:sz w:val="18"/>
                  <w:szCs w:val="18"/>
                  <w:color w:val="0000EE"/>
                </w:rPr>
                <w:t>Exhibits</w:t>
              </w:r>
            </w:hyperlink>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20" w:type="dxa"/>
            <w:vAlign w:val="bottom"/>
            <w:gridSpan w:val="5"/>
          </w:tcPr>
          <w:p>
            <w:pPr>
              <w:jc w:val="right"/>
              <w:ind w:right="40"/>
              <w:spacing w:after="0" w:line="196" w:lineRule="exact"/>
              <w:rPr>
                <w:sz w:val="20"/>
                <w:szCs w:val="20"/>
                <w:color w:val="auto"/>
              </w:rPr>
            </w:pPr>
            <w:r>
              <w:rPr>
                <w:rFonts w:ascii="Arial" w:cs="Arial" w:eastAsia="Arial" w:hAnsi="Arial"/>
                <w:sz w:val="18"/>
                <w:szCs w:val="18"/>
                <w:color w:val="auto"/>
              </w:rPr>
              <w:t>20</w:t>
            </w:r>
          </w:p>
        </w:tc>
      </w:tr>
      <w:tr>
        <w:trPr>
          <w:trHeight w:val="20"/>
        </w:trPr>
        <w:tc>
          <w:tcPr>
            <w:tcW w:w="54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80" w:type="dxa"/>
            <w:vAlign w:val="bottom"/>
            <w:gridSpan w:val="16"/>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20" w:type="dxa"/>
            <w:vAlign w:val="bottom"/>
            <w:gridSpan w:val="5"/>
          </w:tcPr>
          <w:p>
            <w:pPr>
              <w:spacing w:after="0" w:line="20" w:lineRule="exact"/>
              <w:rPr>
                <w:sz w:val="1"/>
                <w:szCs w:val="1"/>
                <w:color w:val="auto"/>
              </w:rPr>
            </w:pPr>
          </w:p>
        </w:tc>
      </w:tr>
      <w:tr>
        <w:trPr>
          <w:trHeight w:val="196"/>
        </w:trPr>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820" w:type="dxa"/>
            <w:vAlign w:val="bottom"/>
            <w:gridSpan w:val="18"/>
          </w:tcPr>
          <w:p>
            <w:pPr>
              <w:spacing w:after="0" w:line="196" w:lineRule="exact"/>
              <w:rPr>
                <w:rFonts w:ascii="Arial" w:cs="Arial" w:eastAsia="Arial" w:hAnsi="Arial"/>
                <w:sz w:val="18"/>
                <w:szCs w:val="18"/>
                <w:color w:val="0000EE"/>
              </w:rPr>
            </w:pPr>
            <w:hyperlink w:anchor="page14">
              <w:r>
                <w:rPr>
                  <w:rFonts w:ascii="Arial" w:cs="Arial" w:eastAsia="Arial" w:hAnsi="Arial"/>
                  <w:sz w:val="18"/>
                  <w:szCs w:val="18"/>
                  <w:color w:val="0000EE"/>
                </w:rPr>
                <w:t>Signatures</w:t>
              </w:r>
            </w:hyperlink>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20" w:type="dxa"/>
            <w:vAlign w:val="bottom"/>
            <w:gridSpan w:val="5"/>
          </w:tcPr>
          <w:p>
            <w:pPr>
              <w:jc w:val="right"/>
              <w:ind w:right="40"/>
              <w:spacing w:after="0" w:line="196" w:lineRule="exact"/>
              <w:rPr>
                <w:sz w:val="20"/>
                <w:szCs w:val="20"/>
                <w:color w:val="auto"/>
              </w:rPr>
            </w:pPr>
            <w:r>
              <w:rPr>
                <w:rFonts w:ascii="Arial" w:cs="Arial" w:eastAsia="Arial" w:hAnsi="Arial"/>
                <w:sz w:val="18"/>
                <w:szCs w:val="18"/>
                <w:color w:val="auto"/>
              </w:rPr>
              <w:t>22</w:t>
            </w:r>
          </w:p>
        </w:tc>
      </w:tr>
      <w:tr>
        <w:trPr>
          <w:trHeight w:val="453"/>
        </w:trPr>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8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60" w:type="dxa"/>
            <w:vAlign w:val="bottom"/>
            <w:gridSpan w:val="5"/>
          </w:tcPr>
          <w:p>
            <w:pPr>
              <w:jc w:val="center"/>
              <w:ind w:right="2320"/>
              <w:spacing w:after="0"/>
              <w:rPr>
                <w:sz w:val="20"/>
                <w:szCs w:val="20"/>
                <w:color w:val="auto"/>
              </w:rPr>
            </w:pPr>
            <w:r>
              <w:rPr>
                <w:rFonts w:ascii="Arial" w:cs="Arial" w:eastAsia="Arial" w:hAnsi="Arial"/>
                <w:sz w:val="18"/>
                <w:szCs w:val="18"/>
                <w:color w:val="auto"/>
              </w:rPr>
              <w:t>i</w:t>
            </w: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2"/>
        </w:trPr>
        <w:tc>
          <w:tcPr>
            <w:tcW w:w="54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640" w:type="dxa"/>
            <w:vAlign w:val="bottom"/>
            <w:tcBorders>
              <w:bottom w:val="single" w:sz="8" w:color="808080"/>
            </w:tcBorders>
            <w:gridSpan w:val="2"/>
          </w:tcPr>
          <w:p>
            <w:pPr>
              <w:spacing w:after="0"/>
              <w:rPr>
                <w:sz w:val="11"/>
                <w:szCs w:val="11"/>
                <w:color w:val="auto"/>
              </w:rPr>
            </w:pPr>
          </w:p>
        </w:tc>
        <w:tc>
          <w:tcPr>
            <w:tcW w:w="580" w:type="dxa"/>
            <w:vAlign w:val="bottom"/>
            <w:tcBorders>
              <w:bottom w:val="single" w:sz="8" w:color="808080"/>
            </w:tcBorders>
          </w:tcPr>
          <w:p>
            <w:pPr>
              <w:spacing w:after="0"/>
              <w:rPr>
                <w:sz w:val="11"/>
                <w:szCs w:val="11"/>
                <w:color w:val="auto"/>
              </w:rPr>
            </w:pPr>
          </w:p>
        </w:tc>
        <w:tc>
          <w:tcPr>
            <w:tcW w:w="160" w:type="dxa"/>
            <w:vAlign w:val="bottom"/>
            <w:tcBorders>
              <w:bottom w:val="single" w:sz="8" w:color="808080"/>
            </w:tcBorders>
          </w:tcPr>
          <w:p>
            <w:pPr>
              <w:spacing w:after="0"/>
              <w:rPr>
                <w:sz w:val="11"/>
                <w:szCs w:val="11"/>
                <w:color w:val="auto"/>
              </w:rPr>
            </w:pPr>
          </w:p>
        </w:tc>
        <w:tc>
          <w:tcPr>
            <w:tcW w:w="140" w:type="dxa"/>
            <w:vAlign w:val="bottom"/>
            <w:tcBorders>
              <w:bottom w:val="single" w:sz="8" w:color="808080"/>
            </w:tcBorders>
          </w:tcPr>
          <w:p>
            <w:pPr>
              <w:spacing w:after="0"/>
              <w:rPr>
                <w:sz w:val="11"/>
                <w:szCs w:val="11"/>
                <w:color w:val="auto"/>
              </w:rPr>
            </w:pPr>
          </w:p>
        </w:tc>
        <w:tc>
          <w:tcPr>
            <w:tcW w:w="42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440" w:type="dxa"/>
            <w:vAlign w:val="bottom"/>
            <w:tcBorders>
              <w:bottom w:val="single" w:sz="8" w:color="808080"/>
            </w:tcBorders>
          </w:tcPr>
          <w:p>
            <w:pPr>
              <w:spacing w:after="0"/>
              <w:rPr>
                <w:sz w:val="11"/>
                <w:szCs w:val="11"/>
                <w:color w:val="auto"/>
              </w:rPr>
            </w:pPr>
          </w:p>
        </w:tc>
        <w:tc>
          <w:tcPr>
            <w:tcW w:w="540" w:type="dxa"/>
            <w:vAlign w:val="bottom"/>
            <w:tcBorders>
              <w:bottom w:val="single" w:sz="8" w:color="808080"/>
            </w:tcBorders>
          </w:tcPr>
          <w:p>
            <w:pPr>
              <w:spacing w:after="0"/>
              <w:rPr>
                <w:sz w:val="11"/>
                <w:szCs w:val="11"/>
                <w:color w:val="auto"/>
              </w:rPr>
            </w:pPr>
          </w:p>
        </w:tc>
        <w:tc>
          <w:tcPr>
            <w:tcW w:w="92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660" w:type="dxa"/>
            <w:vAlign w:val="bottom"/>
            <w:tcBorders>
              <w:bottom w:val="single" w:sz="8" w:color="808080"/>
            </w:tcBorders>
          </w:tcPr>
          <w:p>
            <w:pPr>
              <w:spacing w:after="0"/>
              <w:rPr>
                <w:sz w:val="11"/>
                <w:szCs w:val="11"/>
                <w:color w:val="auto"/>
              </w:rPr>
            </w:pPr>
          </w:p>
        </w:tc>
        <w:tc>
          <w:tcPr>
            <w:tcW w:w="32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102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560" w:type="dxa"/>
            <w:vAlign w:val="bottom"/>
            <w:tcBorders>
              <w:bottom w:val="single" w:sz="8" w:color="808080"/>
            </w:tcBorders>
          </w:tcPr>
          <w:p>
            <w:pPr>
              <w:spacing w:after="0"/>
              <w:rPr>
                <w:sz w:val="11"/>
                <w:szCs w:val="11"/>
                <w:color w:val="auto"/>
              </w:rPr>
            </w:pPr>
          </w:p>
        </w:tc>
        <w:tc>
          <w:tcPr>
            <w:tcW w:w="400" w:type="dxa"/>
            <w:vAlign w:val="bottom"/>
            <w:tcBorders>
              <w:bottom w:val="single" w:sz="8" w:color="808080"/>
            </w:tcBorders>
          </w:tcPr>
          <w:p>
            <w:pPr>
              <w:spacing w:after="0"/>
              <w:rPr>
                <w:sz w:val="11"/>
                <w:szCs w:val="11"/>
                <w:color w:val="auto"/>
              </w:rPr>
            </w:pPr>
          </w:p>
        </w:tc>
        <w:tc>
          <w:tcPr>
            <w:tcW w:w="380" w:type="dxa"/>
            <w:vAlign w:val="bottom"/>
            <w:tcBorders>
              <w:bottom w:val="single" w:sz="8" w:color="808080"/>
            </w:tcBorders>
          </w:tcPr>
          <w:p>
            <w:pPr>
              <w:spacing w:after="0"/>
              <w:rPr>
                <w:sz w:val="11"/>
                <w:szCs w:val="11"/>
                <w:color w:val="auto"/>
              </w:rPr>
            </w:pPr>
          </w:p>
        </w:tc>
        <w:tc>
          <w:tcPr>
            <w:tcW w:w="200" w:type="dxa"/>
            <w:vAlign w:val="bottom"/>
            <w:tcBorders>
              <w:bottom w:val="single" w:sz="8" w:color="808080"/>
            </w:tcBorders>
          </w:tcPr>
          <w:p>
            <w:pPr>
              <w:spacing w:after="0"/>
              <w:rPr>
                <w:sz w:val="11"/>
                <w:szCs w:val="11"/>
                <w:color w:val="auto"/>
              </w:rPr>
            </w:pPr>
          </w:p>
        </w:tc>
        <w:tc>
          <w:tcPr>
            <w:tcW w:w="240" w:type="dxa"/>
            <w:vAlign w:val="bottom"/>
            <w:tcBorders>
              <w:bottom w:val="single" w:sz="8" w:color="808080"/>
            </w:tcBorders>
          </w:tcPr>
          <w:p>
            <w:pPr>
              <w:spacing w:after="0"/>
              <w:rPr>
                <w:sz w:val="11"/>
                <w:szCs w:val="11"/>
                <w:color w:val="auto"/>
              </w:rPr>
            </w:pPr>
          </w:p>
        </w:tc>
        <w:tc>
          <w:tcPr>
            <w:tcW w:w="360" w:type="dxa"/>
            <w:vAlign w:val="bottom"/>
            <w:tcBorders>
              <w:bottom w:val="single" w:sz="8" w:color="808080"/>
            </w:tcBorders>
          </w:tcPr>
          <w:p>
            <w:pPr>
              <w:spacing w:after="0"/>
              <w:rPr>
                <w:sz w:val="11"/>
                <w:szCs w:val="11"/>
                <w:color w:val="auto"/>
              </w:rPr>
            </w:pPr>
          </w:p>
        </w:tc>
        <w:tc>
          <w:tcPr>
            <w:tcW w:w="60" w:type="dxa"/>
            <w:vAlign w:val="bottom"/>
            <w:tcBorders>
              <w:bottom w:val="single" w:sz="8" w:color="808080"/>
            </w:tcBorders>
          </w:tcPr>
          <w:p>
            <w:pPr>
              <w:spacing w:after="0"/>
              <w:rPr>
                <w:sz w:val="11"/>
                <w:szCs w:val="11"/>
                <w:color w:val="auto"/>
              </w:rPr>
            </w:pPr>
          </w:p>
        </w:tc>
        <w:tc>
          <w:tcPr>
            <w:tcW w:w="68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140" w:type="dxa"/>
            <w:vAlign w:val="bottom"/>
            <w:tcBorders>
              <w:bottom w:val="single" w:sz="8" w:color="808080"/>
            </w:tcBorders>
          </w:tcPr>
          <w:p>
            <w:pPr>
              <w:spacing w:after="0"/>
              <w:rPr>
                <w:sz w:val="11"/>
                <w:szCs w:val="11"/>
                <w:color w:val="auto"/>
              </w:rPr>
            </w:pPr>
          </w:p>
        </w:tc>
        <w:tc>
          <w:tcPr>
            <w:tcW w:w="140" w:type="dxa"/>
            <w:vAlign w:val="bottom"/>
            <w:tcBorders>
              <w:bottom w:val="single" w:sz="8" w:color="808080"/>
            </w:tcBorders>
          </w:tcPr>
          <w:p>
            <w:pPr>
              <w:spacing w:after="0"/>
              <w:rPr>
                <w:sz w:val="11"/>
                <w:szCs w:val="11"/>
                <w:color w:val="auto"/>
              </w:rPr>
            </w:pPr>
          </w:p>
        </w:tc>
        <w:tc>
          <w:tcPr>
            <w:tcW w:w="104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8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r>
      <w:tr>
        <w:trPr>
          <w:trHeight w:val="523"/>
        </w:trPr>
        <w:tc>
          <w:tcPr>
            <w:tcW w:w="8100" w:type="dxa"/>
            <w:vAlign w:val="bottom"/>
            <w:gridSpan w:val="22"/>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453"/>
        </w:trPr>
        <w:tc>
          <w:tcPr>
            <w:tcW w:w="5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520" w:type="dxa"/>
            <w:vAlign w:val="bottom"/>
            <w:gridSpan w:val="11"/>
          </w:tcPr>
          <w:p>
            <w:pPr>
              <w:jc w:val="center"/>
              <w:ind w:right="240"/>
              <w:spacing w:after="0"/>
              <w:rPr>
                <w:sz w:val="20"/>
                <w:szCs w:val="20"/>
                <w:color w:val="auto"/>
              </w:rPr>
            </w:pPr>
            <w:r>
              <w:rPr>
                <w:rFonts w:ascii="Arial" w:cs="Arial" w:eastAsia="Arial" w:hAnsi="Arial"/>
                <w:sz w:val="18"/>
                <w:szCs w:val="18"/>
                <w:b w:val="1"/>
                <w:bCs w:val="1"/>
                <w:color w:val="auto"/>
              </w:rPr>
              <w:t>PART I - FINANCIAL INFORMATION</w:t>
            </w: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432"/>
        </w:trPr>
        <w:tc>
          <w:tcPr>
            <w:tcW w:w="8100" w:type="dxa"/>
            <w:vAlign w:val="bottom"/>
            <w:gridSpan w:val="22"/>
          </w:tcPr>
          <w:p>
            <w:pPr>
              <w:spacing w:after="0"/>
              <w:rPr>
                <w:sz w:val="20"/>
                <w:szCs w:val="20"/>
                <w:color w:val="auto"/>
              </w:rPr>
            </w:pPr>
            <w:r>
              <w:rPr>
                <w:rFonts w:ascii="Arial" w:cs="Arial" w:eastAsia="Arial" w:hAnsi="Arial"/>
                <w:sz w:val="18"/>
                <w:szCs w:val="18"/>
                <w:b w:val="1"/>
                <w:bCs w:val="1"/>
                <w:color w:val="auto"/>
              </w:rPr>
              <w:t>Item 1. Financial Statements.</w:t>
            </w: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414"/>
        </w:trPr>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520" w:type="dxa"/>
            <w:vAlign w:val="bottom"/>
            <w:gridSpan w:val="11"/>
          </w:tcPr>
          <w:p>
            <w:pPr>
              <w:jc w:val="center"/>
              <w:ind w:right="260"/>
              <w:spacing w:after="0"/>
              <w:rPr>
                <w:sz w:val="20"/>
                <w:szCs w:val="20"/>
                <w:color w:val="auto"/>
              </w:rPr>
            </w:pPr>
            <w:r>
              <w:rPr>
                <w:rFonts w:ascii="Arial" w:cs="Arial" w:eastAsia="Arial" w:hAnsi="Arial"/>
                <w:sz w:val="18"/>
                <w:szCs w:val="18"/>
                <w:b w:val="1"/>
                <w:bCs w:val="1"/>
                <w:color w:val="auto"/>
              </w:rPr>
              <w:t>MADRIGAL PHARMACEUTICALS, INC.</w:t>
            </w: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16"/>
        </w:trPr>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520" w:type="dxa"/>
            <w:vAlign w:val="bottom"/>
            <w:gridSpan w:val="11"/>
          </w:tcPr>
          <w:p>
            <w:pPr>
              <w:jc w:val="center"/>
              <w:ind w:right="260"/>
              <w:spacing w:after="0"/>
              <w:rPr>
                <w:sz w:val="20"/>
                <w:szCs w:val="20"/>
                <w:color w:val="auto"/>
              </w:rPr>
            </w:pPr>
            <w:r>
              <w:rPr>
                <w:rFonts w:ascii="Arial" w:cs="Arial" w:eastAsia="Arial" w:hAnsi="Arial"/>
                <w:sz w:val="18"/>
                <w:szCs w:val="18"/>
                <w:b w:val="1"/>
                <w:bCs w:val="1"/>
                <w:color w:val="auto"/>
                <w:w w:val="87"/>
              </w:rPr>
              <w:t>Condensed Consolidated Balance Sheets</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520" w:type="dxa"/>
            <w:vAlign w:val="bottom"/>
            <w:gridSpan w:val="11"/>
          </w:tcPr>
          <w:p>
            <w:pPr>
              <w:jc w:val="center"/>
              <w:ind w:right="260"/>
              <w:spacing w:after="0"/>
              <w:rPr>
                <w:sz w:val="20"/>
                <w:szCs w:val="20"/>
                <w:color w:val="auto"/>
              </w:rPr>
            </w:pPr>
            <w:r>
              <w:rPr>
                <w:rFonts w:ascii="Arial" w:cs="Arial" w:eastAsia="Arial" w:hAnsi="Arial"/>
                <w:sz w:val="18"/>
                <w:szCs w:val="18"/>
                <w:b w:val="1"/>
                <w:bCs w:val="1"/>
                <w:color w:val="auto"/>
                <w:w w:val="88"/>
              </w:rPr>
              <w:t>(in thousands, except share and per share amounts)</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34"/>
        </w:trPr>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840" w:type="dxa"/>
            <w:vAlign w:val="bottom"/>
            <w:gridSpan w:val="8"/>
          </w:tcPr>
          <w:p>
            <w:pPr>
              <w:jc w:val="center"/>
              <w:ind w:right="1940"/>
              <w:spacing w:after="0"/>
              <w:rPr>
                <w:sz w:val="20"/>
                <w:szCs w:val="20"/>
                <w:color w:val="auto"/>
              </w:rPr>
            </w:pPr>
            <w:r>
              <w:rPr>
                <w:rFonts w:ascii="Arial" w:cs="Arial" w:eastAsia="Arial" w:hAnsi="Arial"/>
                <w:sz w:val="18"/>
                <w:szCs w:val="18"/>
                <w:b w:val="1"/>
                <w:bCs w:val="1"/>
                <w:color w:val="auto"/>
                <w:w w:val="91"/>
              </w:rPr>
              <w:t>(unaudited)</w:t>
            </w: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342"/>
        </w:trPr>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20" w:type="dxa"/>
            <w:vAlign w:val="bottom"/>
            <w:gridSpan w:val="5"/>
          </w:tcPr>
          <w:p>
            <w:pPr>
              <w:jc w:val="center"/>
              <w:ind w:right="520"/>
              <w:spacing w:after="0"/>
              <w:rPr>
                <w:sz w:val="20"/>
                <w:szCs w:val="20"/>
                <w:color w:val="auto"/>
              </w:rPr>
            </w:pPr>
            <w:r>
              <w:rPr>
                <w:rFonts w:ascii="Arial" w:cs="Arial" w:eastAsia="Arial" w:hAnsi="Arial"/>
                <w:sz w:val="14"/>
                <w:szCs w:val="14"/>
                <w:b w:val="1"/>
                <w:bCs w:val="1"/>
                <w:color w:val="auto"/>
                <w:w w:val="95"/>
              </w:rPr>
              <w:t>March 31,</w:t>
            </w: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20" w:type="dxa"/>
            <w:vAlign w:val="bottom"/>
            <w:gridSpan w:val="5"/>
          </w:tcPr>
          <w:p>
            <w:pPr>
              <w:jc w:val="right"/>
              <w:ind w:right="400"/>
              <w:spacing w:after="0"/>
              <w:rPr>
                <w:sz w:val="20"/>
                <w:szCs w:val="20"/>
                <w:color w:val="auto"/>
              </w:rPr>
            </w:pPr>
            <w:r>
              <w:rPr>
                <w:rFonts w:ascii="Arial" w:cs="Arial" w:eastAsia="Arial" w:hAnsi="Arial"/>
                <w:sz w:val="14"/>
                <w:szCs w:val="14"/>
                <w:b w:val="1"/>
                <w:bCs w:val="1"/>
                <w:color w:val="auto"/>
                <w:w w:val="98"/>
              </w:rPr>
              <w:t>December 31,</w:t>
            </w:r>
          </w:p>
        </w:tc>
      </w:tr>
      <w:tr>
        <w:trPr>
          <w:trHeight w:val="171"/>
        </w:trPr>
        <w:tc>
          <w:tcPr>
            <w:tcW w:w="54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320" w:type="dxa"/>
            <w:vAlign w:val="bottom"/>
            <w:tcBorders>
              <w:bottom w:val="single" w:sz="8" w:color="CCEEFF"/>
            </w:tcBorders>
          </w:tcPr>
          <w:p>
            <w:pPr>
              <w:spacing w:after="0"/>
              <w:rPr>
                <w:sz w:val="14"/>
                <w:szCs w:val="14"/>
                <w:color w:val="auto"/>
              </w:rPr>
            </w:pPr>
          </w:p>
        </w:tc>
        <w:tc>
          <w:tcPr>
            <w:tcW w:w="320" w:type="dxa"/>
            <w:vAlign w:val="bottom"/>
            <w:tcBorders>
              <w:bottom w:val="single" w:sz="8" w:color="CCEEFF"/>
            </w:tcBorders>
          </w:tcPr>
          <w:p>
            <w:pPr>
              <w:spacing w:after="0"/>
              <w:rPr>
                <w:sz w:val="14"/>
                <w:szCs w:val="14"/>
                <w:color w:val="auto"/>
              </w:rPr>
            </w:pPr>
          </w:p>
        </w:tc>
        <w:tc>
          <w:tcPr>
            <w:tcW w:w="580" w:type="dxa"/>
            <w:vAlign w:val="bottom"/>
            <w:tcBorders>
              <w:bottom w:val="single" w:sz="8" w:color="CCEEFF"/>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42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440" w:type="dxa"/>
            <w:vAlign w:val="bottom"/>
            <w:tcBorders>
              <w:bottom w:val="single" w:sz="8" w:color="CCEEFF"/>
            </w:tcBorders>
          </w:tcPr>
          <w:p>
            <w:pPr>
              <w:spacing w:after="0"/>
              <w:rPr>
                <w:sz w:val="14"/>
                <w:szCs w:val="14"/>
                <w:color w:val="auto"/>
              </w:rPr>
            </w:pPr>
          </w:p>
        </w:tc>
        <w:tc>
          <w:tcPr>
            <w:tcW w:w="540" w:type="dxa"/>
            <w:vAlign w:val="bottom"/>
            <w:tcBorders>
              <w:bottom w:val="single" w:sz="8" w:color="CCEEFF"/>
            </w:tcBorders>
          </w:tcPr>
          <w:p>
            <w:pPr>
              <w:spacing w:after="0"/>
              <w:rPr>
                <w:sz w:val="14"/>
                <w:szCs w:val="14"/>
                <w:color w:val="auto"/>
              </w:rPr>
            </w:pPr>
          </w:p>
        </w:tc>
        <w:tc>
          <w:tcPr>
            <w:tcW w:w="92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660" w:type="dxa"/>
            <w:vAlign w:val="bottom"/>
            <w:tcBorders>
              <w:bottom w:val="single" w:sz="8" w:color="CCEEFF"/>
            </w:tcBorders>
          </w:tcPr>
          <w:p>
            <w:pPr>
              <w:spacing w:after="0"/>
              <w:rPr>
                <w:sz w:val="14"/>
                <w:szCs w:val="14"/>
                <w:color w:val="auto"/>
              </w:rPr>
            </w:pPr>
          </w:p>
        </w:tc>
        <w:tc>
          <w:tcPr>
            <w:tcW w:w="320" w:type="dxa"/>
            <w:vAlign w:val="bottom"/>
            <w:tcBorders>
              <w:bottom w:val="single" w:sz="8" w:color="CCEEFF"/>
            </w:tcBorders>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02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560" w:type="dxa"/>
            <w:vAlign w:val="bottom"/>
            <w:tcBorders>
              <w:bottom w:val="single" w:sz="8" w:color="CCEEFF"/>
            </w:tcBorders>
          </w:tcPr>
          <w:p>
            <w:pPr>
              <w:spacing w:after="0"/>
              <w:rPr>
                <w:sz w:val="14"/>
                <w:szCs w:val="14"/>
                <w:color w:val="auto"/>
              </w:rPr>
            </w:pPr>
          </w:p>
        </w:tc>
        <w:tc>
          <w:tcPr>
            <w:tcW w:w="400" w:type="dxa"/>
            <w:vAlign w:val="bottom"/>
            <w:tcBorders>
              <w:bottom w:val="single" w:sz="8" w:color="CCEEFF"/>
            </w:tcBorders>
          </w:tcPr>
          <w:p>
            <w:pPr>
              <w:spacing w:after="0"/>
              <w:rPr>
                <w:sz w:val="14"/>
                <w:szCs w:val="14"/>
                <w:color w:val="auto"/>
              </w:rPr>
            </w:pPr>
          </w:p>
        </w:tc>
        <w:tc>
          <w:tcPr>
            <w:tcW w:w="380" w:type="dxa"/>
            <w:vAlign w:val="bottom"/>
            <w:tcBorders>
              <w:bottom w:val="single" w:sz="8" w:color="CCEEFF"/>
            </w:tcBorders>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gridSpan w:val="3"/>
          </w:tcPr>
          <w:p>
            <w:pPr>
              <w:jc w:val="right"/>
              <w:ind w:right="410"/>
              <w:spacing w:after="0"/>
              <w:rPr>
                <w:sz w:val="20"/>
                <w:szCs w:val="20"/>
                <w:color w:val="auto"/>
              </w:rPr>
            </w:pPr>
            <w:r>
              <w:rPr>
                <w:rFonts w:ascii="Arial" w:cs="Arial" w:eastAsia="Arial" w:hAnsi="Arial"/>
                <w:sz w:val="14"/>
                <w:szCs w:val="14"/>
                <w:b w:val="1"/>
                <w:bCs w:val="1"/>
                <w:color w:val="auto"/>
              </w:rPr>
              <w:t>2018</w:t>
            </w:r>
          </w:p>
        </w:tc>
        <w:tc>
          <w:tcPr>
            <w:tcW w:w="40" w:type="dxa"/>
            <w:vAlign w:val="bottom"/>
            <w:tcBorders>
              <w:bottom w:val="single" w:sz="8" w:color="auto"/>
            </w:tcBorders>
          </w:tcPr>
          <w:p>
            <w:pPr>
              <w:spacing w:after="0"/>
              <w:rPr>
                <w:sz w:val="14"/>
                <w:szCs w:val="14"/>
                <w:color w:val="auto"/>
              </w:rPr>
            </w:pPr>
          </w:p>
        </w:tc>
        <w:tc>
          <w:tcPr>
            <w:tcW w:w="280" w:type="dxa"/>
            <w:vAlign w:val="bottom"/>
            <w:tcBorders>
              <w:bottom w:val="single" w:sz="8" w:color="CCEEFF"/>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gridSpan w:val="2"/>
          </w:tcPr>
          <w:p>
            <w:pPr>
              <w:jc w:val="right"/>
              <w:ind w:right="459"/>
              <w:spacing w:after="0"/>
              <w:rPr>
                <w:sz w:val="20"/>
                <w:szCs w:val="20"/>
                <w:color w:val="auto"/>
              </w:rPr>
            </w:pPr>
            <w:r>
              <w:rPr>
                <w:rFonts w:ascii="Arial" w:cs="Arial" w:eastAsia="Arial" w:hAnsi="Arial"/>
                <w:sz w:val="14"/>
                <w:szCs w:val="14"/>
                <w:b w:val="1"/>
                <w:bCs w:val="1"/>
                <w:color w:val="auto"/>
              </w:rPr>
              <w:t>2017</w:t>
            </w:r>
          </w:p>
        </w:tc>
        <w:tc>
          <w:tcPr>
            <w:tcW w:w="2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40" w:type="dxa"/>
            <w:vAlign w:val="bottom"/>
          </w:tcPr>
          <w:p>
            <w:pPr>
              <w:spacing w:after="0"/>
              <w:rPr>
                <w:sz w:val="14"/>
                <w:szCs w:val="14"/>
                <w:color w:val="auto"/>
              </w:rPr>
            </w:pPr>
          </w:p>
        </w:tc>
      </w:tr>
      <w:tr>
        <w:trPr>
          <w:trHeight w:val="196"/>
        </w:trPr>
        <w:tc>
          <w:tcPr>
            <w:tcW w:w="1280" w:type="dxa"/>
            <w:vAlign w:val="bottom"/>
            <w:tcBorders>
              <w:right w:val="single" w:sz="8" w:color="CCEEFF"/>
            </w:tcBorders>
            <w:gridSpan w:val="4"/>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5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r>
      <w:tr>
        <w:trPr>
          <w:trHeight w:val="216"/>
        </w:trPr>
        <w:tc>
          <w:tcPr>
            <w:tcW w:w="1280" w:type="dxa"/>
            <w:vAlign w:val="bottom"/>
            <w:gridSpan w:val="4"/>
          </w:tcPr>
          <w:p>
            <w:pPr>
              <w:spacing w:after="0"/>
              <w:rPr>
                <w:sz w:val="20"/>
                <w:szCs w:val="20"/>
                <w:color w:val="auto"/>
              </w:rPr>
            </w:pPr>
            <w:r>
              <w:rPr>
                <w:rFonts w:ascii="Arial" w:cs="Arial" w:eastAsia="Arial" w:hAnsi="Arial"/>
                <w:sz w:val="18"/>
                <w:szCs w:val="18"/>
                <w:color w:val="auto"/>
              </w:rPr>
              <w:t>Current assets:</w:t>
            </w: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8100" w:type="dxa"/>
            <w:vAlign w:val="bottom"/>
            <w:gridSpan w:val="22"/>
            <w:shd w:val="clear" w:color="auto" w:fill="CCEEFF"/>
          </w:tcPr>
          <w:p>
            <w:pPr>
              <w:ind w:left="180"/>
              <w:spacing w:after="0"/>
              <w:rPr>
                <w:sz w:val="20"/>
                <w:szCs w:val="20"/>
                <w:color w:val="auto"/>
              </w:rPr>
            </w:pPr>
            <w:r>
              <w:rPr>
                <w:rFonts w:ascii="Arial" w:cs="Arial" w:eastAsia="Arial" w:hAnsi="Arial"/>
                <w:sz w:val="18"/>
                <w:szCs w:val="18"/>
                <w:color w:val="auto"/>
              </w:rPr>
              <w:t>Cash and cash equivalents</w:t>
            </w:r>
          </w:p>
        </w:tc>
        <w:tc>
          <w:tcPr>
            <w:tcW w:w="44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420" w:type="dxa"/>
            <w:vAlign w:val="bottom"/>
            <w:gridSpan w:val="5"/>
            <w:shd w:val="clear" w:color="auto" w:fill="CCEEFF"/>
          </w:tcPr>
          <w:p>
            <w:pPr>
              <w:jc w:val="right"/>
              <w:ind w:right="280"/>
              <w:spacing w:after="0"/>
              <w:rPr>
                <w:sz w:val="20"/>
                <w:szCs w:val="20"/>
                <w:color w:val="auto"/>
              </w:rPr>
            </w:pPr>
            <w:r>
              <w:rPr>
                <w:rFonts w:ascii="Arial" w:cs="Arial" w:eastAsia="Arial" w:hAnsi="Arial"/>
                <w:sz w:val="18"/>
                <w:szCs w:val="18"/>
                <w:color w:val="auto"/>
              </w:rPr>
              <w:t>38,125</w:t>
            </w:r>
          </w:p>
        </w:tc>
        <w:tc>
          <w:tcPr>
            <w:tcW w:w="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79"/>
              </w:rPr>
              <w:t>$</w:t>
            </w:r>
          </w:p>
        </w:tc>
        <w:tc>
          <w:tcPr>
            <w:tcW w:w="12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148,627</w:t>
            </w:r>
          </w:p>
        </w:tc>
        <w:tc>
          <w:tcPr>
            <w:tcW w:w="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8100" w:type="dxa"/>
            <w:vAlign w:val="bottom"/>
            <w:gridSpan w:val="22"/>
          </w:tcPr>
          <w:p>
            <w:pPr>
              <w:ind w:left="180"/>
              <w:spacing w:after="0"/>
              <w:rPr>
                <w:sz w:val="20"/>
                <w:szCs w:val="20"/>
                <w:color w:val="auto"/>
              </w:rPr>
            </w:pPr>
            <w:r>
              <w:rPr>
                <w:rFonts w:ascii="Arial" w:cs="Arial" w:eastAsia="Arial" w:hAnsi="Arial"/>
                <w:sz w:val="18"/>
                <w:szCs w:val="18"/>
                <w:color w:val="auto"/>
              </w:rPr>
              <w:t>Marketable securities</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gridSpan w:val="5"/>
          </w:tcPr>
          <w:p>
            <w:pPr>
              <w:jc w:val="right"/>
              <w:ind w:right="280"/>
              <w:spacing w:after="0"/>
              <w:rPr>
                <w:sz w:val="20"/>
                <w:szCs w:val="20"/>
                <w:color w:val="auto"/>
              </w:rPr>
            </w:pPr>
            <w:r>
              <w:rPr>
                <w:rFonts w:ascii="Arial" w:cs="Arial" w:eastAsia="Arial" w:hAnsi="Arial"/>
                <w:sz w:val="18"/>
                <w:szCs w:val="18"/>
                <w:color w:val="auto"/>
              </w:rPr>
              <w:t>144,700</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3"/>
          </w:tcPr>
          <w:p>
            <w:pPr>
              <w:jc w:val="right"/>
              <w:ind w:right="20"/>
              <w:spacing w:after="0"/>
              <w:rPr>
                <w:sz w:val="20"/>
                <w:szCs w:val="20"/>
                <w:color w:val="auto"/>
              </w:rPr>
            </w:pPr>
            <w:r>
              <w:rPr>
                <w:rFonts w:ascii="Arial" w:cs="Arial" w:eastAsia="Arial" w:hAnsi="Arial"/>
                <w:sz w:val="18"/>
                <w:szCs w:val="18"/>
                <w:color w:val="auto"/>
              </w:rPr>
              <w:t>42,900</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8100" w:type="dxa"/>
            <w:vAlign w:val="bottom"/>
            <w:gridSpan w:val="22"/>
            <w:shd w:val="clear" w:color="auto" w:fill="CCEEFF"/>
          </w:tcPr>
          <w:p>
            <w:pPr>
              <w:ind w:left="180"/>
              <w:spacing w:after="0"/>
              <w:rPr>
                <w:sz w:val="20"/>
                <w:szCs w:val="20"/>
                <w:color w:val="auto"/>
              </w:rPr>
            </w:pPr>
            <w:r>
              <w:rPr>
                <w:rFonts w:ascii="Arial" w:cs="Arial" w:eastAsia="Arial" w:hAnsi="Arial"/>
                <w:sz w:val="18"/>
                <w:szCs w:val="18"/>
                <w:color w:val="auto"/>
              </w:rPr>
              <w:t>Prepaid expenses and other current assets</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20" w:type="dxa"/>
            <w:vAlign w:val="bottom"/>
            <w:gridSpan w:val="5"/>
            <w:shd w:val="clear" w:color="auto" w:fill="CCEEFF"/>
          </w:tcPr>
          <w:p>
            <w:pPr>
              <w:jc w:val="right"/>
              <w:ind w:right="280"/>
              <w:spacing w:after="0"/>
              <w:rPr>
                <w:sz w:val="20"/>
                <w:szCs w:val="20"/>
                <w:color w:val="auto"/>
              </w:rPr>
            </w:pPr>
            <w:r>
              <w:rPr>
                <w:rFonts w:ascii="Arial" w:cs="Arial" w:eastAsia="Arial" w:hAnsi="Arial"/>
                <w:sz w:val="18"/>
                <w:szCs w:val="18"/>
                <w:color w:val="auto"/>
              </w:rPr>
              <w:t>374</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485</w:t>
            </w:r>
          </w:p>
        </w:tc>
        <w:tc>
          <w:tcPr>
            <w:tcW w:w="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r>
      <w:tr>
        <w:trPr>
          <w:trHeight w:val="210"/>
        </w:trPr>
        <w:tc>
          <w:tcPr>
            <w:tcW w:w="8100" w:type="dxa"/>
            <w:vAlign w:val="bottom"/>
            <w:gridSpan w:val="22"/>
          </w:tcPr>
          <w:p>
            <w:pPr>
              <w:ind w:left="360"/>
              <w:spacing w:after="0"/>
              <w:rPr>
                <w:sz w:val="20"/>
                <w:szCs w:val="20"/>
                <w:color w:val="auto"/>
              </w:rPr>
            </w:pPr>
            <w:r>
              <w:rPr>
                <w:rFonts w:ascii="Arial" w:cs="Arial" w:eastAsia="Arial" w:hAnsi="Arial"/>
                <w:sz w:val="18"/>
                <w:szCs w:val="18"/>
                <w:color w:val="auto"/>
              </w:rPr>
              <w:t>Total current assets</w:t>
            </w:r>
          </w:p>
        </w:tc>
        <w:tc>
          <w:tcPr>
            <w:tcW w:w="2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gridSpan w:val="4"/>
          </w:tcPr>
          <w:p>
            <w:pPr>
              <w:jc w:val="right"/>
              <w:spacing w:after="0"/>
              <w:rPr>
                <w:sz w:val="20"/>
                <w:szCs w:val="20"/>
                <w:color w:val="auto"/>
              </w:rPr>
            </w:pPr>
            <w:r>
              <w:rPr>
                <w:rFonts w:ascii="Arial" w:cs="Arial" w:eastAsia="Arial" w:hAnsi="Arial"/>
                <w:sz w:val="18"/>
                <w:szCs w:val="18"/>
                <w:color w:val="auto"/>
              </w:rPr>
              <w:t>183,199</w:t>
            </w:r>
          </w:p>
        </w:tc>
        <w:tc>
          <w:tcPr>
            <w:tcW w:w="280" w:type="dxa"/>
            <w:vAlign w:val="bottom"/>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192,012</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8100" w:type="dxa"/>
            <w:vAlign w:val="bottom"/>
            <w:gridSpan w:val="22"/>
            <w:shd w:val="clear" w:color="auto" w:fill="CCEEFF"/>
          </w:tcPr>
          <w:p>
            <w:pPr>
              <w:ind w:left="180"/>
              <w:spacing w:after="0"/>
              <w:rPr>
                <w:sz w:val="20"/>
                <w:szCs w:val="20"/>
                <w:color w:val="auto"/>
              </w:rPr>
            </w:pPr>
            <w:r>
              <w:rPr>
                <w:rFonts w:ascii="Arial" w:cs="Arial" w:eastAsia="Arial" w:hAnsi="Arial"/>
                <w:sz w:val="18"/>
                <w:szCs w:val="18"/>
                <w:color w:val="auto"/>
              </w:rPr>
              <w:t>Property and equipment, net</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20" w:type="dxa"/>
            <w:vAlign w:val="bottom"/>
            <w:gridSpan w:val="5"/>
            <w:shd w:val="clear" w:color="auto" w:fill="CCEEFF"/>
          </w:tcPr>
          <w:p>
            <w:pPr>
              <w:jc w:val="right"/>
              <w:ind w:right="280"/>
              <w:spacing w:after="0"/>
              <w:rPr>
                <w:sz w:val="20"/>
                <w:szCs w:val="20"/>
                <w:color w:val="auto"/>
              </w:rPr>
            </w:pPr>
            <w:r>
              <w:rPr>
                <w:rFonts w:ascii="Arial" w:cs="Arial" w:eastAsia="Arial" w:hAnsi="Arial"/>
                <w:sz w:val="18"/>
                <w:szCs w:val="18"/>
                <w:color w:val="auto"/>
              </w:rPr>
              <w:t>279</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301</w:t>
            </w:r>
          </w:p>
        </w:tc>
        <w:tc>
          <w:tcPr>
            <w:tcW w:w="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r>
      <w:tr>
        <w:trPr>
          <w:trHeight w:val="250"/>
        </w:trPr>
        <w:tc>
          <w:tcPr>
            <w:tcW w:w="1280" w:type="dxa"/>
            <w:vAlign w:val="bottom"/>
            <w:tcBorders>
              <w:bottom w:val="single" w:sz="8" w:color="CCEEFF"/>
            </w:tcBorders>
            <w:gridSpan w:val="4"/>
          </w:tcPr>
          <w:p>
            <w:pPr>
              <w:ind w:left="360"/>
              <w:spacing w:after="0"/>
              <w:rPr>
                <w:sz w:val="20"/>
                <w:szCs w:val="20"/>
                <w:color w:val="auto"/>
              </w:rPr>
            </w:pPr>
            <w:r>
              <w:rPr>
                <w:rFonts w:ascii="Arial" w:cs="Arial" w:eastAsia="Arial" w:hAnsi="Arial"/>
                <w:sz w:val="18"/>
                <w:szCs w:val="18"/>
                <w:color w:val="auto"/>
                <w:w w:val="90"/>
              </w:rPr>
              <w:t>Total assets</w:t>
            </w:r>
          </w:p>
        </w:tc>
        <w:tc>
          <w:tcPr>
            <w:tcW w:w="580" w:type="dxa"/>
            <w:vAlign w:val="bottom"/>
            <w:tcBorders>
              <w:bottom w:val="single" w:sz="8" w:color="CCEEFF"/>
            </w:tcBorders>
          </w:tcPr>
          <w:p>
            <w:pPr>
              <w:spacing w:after="0"/>
              <w:rPr>
                <w:sz w:val="21"/>
                <w:szCs w:val="21"/>
                <w:color w:val="auto"/>
              </w:rPr>
            </w:pPr>
          </w:p>
        </w:tc>
        <w:tc>
          <w:tcPr>
            <w:tcW w:w="160" w:type="dxa"/>
            <w:vAlign w:val="bottom"/>
            <w:tcBorders>
              <w:bottom w:val="single" w:sz="8" w:color="CCEEFF"/>
            </w:tcBorders>
          </w:tcPr>
          <w:p>
            <w:pPr>
              <w:spacing w:after="0"/>
              <w:rPr>
                <w:sz w:val="21"/>
                <w:szCs w:val="21"/>
                <w:color w:val="auto"/>
              </w:rPr>
            </w:pPr>
          </w:p>
        </w:tc>
        <w:tc>
          <w:tcPr>
            <w:tcW w:w="140" w:type="dxa"/>
            <w:vAlign w:val="bottom"/>
            <w:tcBorders>
              <w:bottom w:val="single" w:sz="8" w:color="CCEEFF"/>
            </w:tcBorders>
          </w:tcPr>
          <w:p>
            <w:pPr>
              <w:spacing w:after="0"/>
              <w:rPr>
                <w:sz w:val="21"/>
                <w:szCs w:val="21"/>
                <w:color w:val="auto"/>
              </w:rPr>
            </w:pPr>
          </w:p>
        </w:tc>
        <w:tc>
          <w:tcPr>
            <w:tcW w:w="42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440" w:type="dxa"/>
            <w:vAlign w:val="bottom"/>
            <w:tcBorders>
              <w:bottom w:val="single" w:sz="8" w:color="CCEEFF"/>
            </w:tcBorders>
          </w:tcPr>
          <w:p>
            <w:pPr>
              <w:spacing w:after="0"/>
              <w:rPr>
                <w:sz w:val="21"/>
                <w:szCs w:val="21"/>
                <w:color w:val="auto"/>
              </w:rPr>
            </w:pPr>
          </w:p>
        </w:tc>
        <w:tc>
          <w:tcPr>
            <w:tcW w:w="540" w:type="dxa"/>
            <w:vAlign w:val="bottom"/>
            <w:tcBorders>
              <w:bottom w:val="single" w:sz="8" w:color="CCEEFF"/>
            </w:tcBorders>
          </w:tcPr>
          <w:p>
            <w:pPr>
              <w:spacing w:after="0"/>
              <w:rPr>
                <w:sz w:val="21"/>
                <w:szCs w:val="21"/>
                <w:color w:val="auto"/>
              </w:rPr>
            </w:pPr>
          </w:p>
        </w:tc>
        <w:tc>
          <w:tcPr>
            <w:tcW w:w="92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660" w:type="dxa"/>
            <w:vAlign w:val="bottom"/>
            <w:tcBorders>
              <w:bottom w:val="single" w:sz="8" w:color="CCEEFF"/>
            </w:tcBorders>
          </w:tcPr>
          <w:p>
            <w:pPr>
              <w:spacing w:after="0"/>
              <w:rPr>
                <w:sz w:val="21"/>
                <w:szCs w:val="21"/>
                <w:color w:val="auto"/>
              </w:rPr>
            </w:pPr>
          </w:p>
        </w:tc>
        <w:tc>
          <w:tcPr>
            <w:tcW w:w="320" w:type="dxa"/>
            <w:vAlign w:val="bottom"/>
            <w:tcBorders>
              <w:bottom w:val="single" w:sz="8" w:color="CCEEFF"/>
            </w:tcBorders>
          </w:tcPr>
          <w:p>
            <w:pPr>
              <w:spacing w:after="0"/>
              <w:rPr>
                <w:sz w:val="21"/>
                <w:szCs w:val="21"/>
                <w:color w:val="auto"/>
              </w:rPr>
            </w:pPr>
          </w:p>
        </w:tc>
        <w:tc>
          <w:tcPr>
            <w:tcW w:w="4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102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560" w:type="dxa"/>
            <w:vAlign w:val="bottom"/>
            <w:tcBorders>
              <w:bottom w:val="single" w:sz="8" w:color="CCEEFF"/>
            </w:tcBorders>
          </w:tcPr>
          <w:p>
            <w:pPr>
              <w:spacing w:after="0"/>
              <w:rPr>
                <w:sz w:val="21"/>
                <w:szCs w:val="21"/>
                <w:color w:val="auto"/>
              </w:rPr>
            </w:pPr>
          </w:p>
        </w:tc>
        <w:tc>
          <w:tcPr>
            <w:tcW w:w="400" w:type="dxa"/>
            <w:vAlign w:val="bottom"/>
            <w:tcBorders>
              <w:bottom w:val="single" w:sz="8" w:color="CCEEFF"/>
            </w:tcBorders>
          </w:tcPr>
          <w:p>
            <w:pPr>
              <w:spacing w:after="0"/>
              <w:rPr>
                <w:sz w:val="21"/>
                <w:szCs w:val="21"/>
                <w:color w:val="auto"/>
              </w:rPr>
            </w:pPr>
          </w:p>
        </w:tc>
        <w:tc>
          <w:tcPr>
            <w:tcW w:w="380" w:type="dxa"/>
            <w:vAlign w:val="bottom"/>
            <w:tcBorders>
              <w:bottom w:val="single" w:sz="8" w:color="CCEEFF"/>
            </w:tcBorders>
          </w:tcPr>
          <w:p>
            <w:pPr>
              <w:spacing w:after="0"/>
              <w:rPr>
                <w:sz w:val="21"/>
                <w:szCs w:val="21"/>
                <w:color w:val="auto"/>
              </w:rPr>
            </w:pPr>
          </w:p>
        </w:tc>
        <w:tc>
          <w:tcPr>
            <w:tcW w:w="200" w:type="dxa"/>
            <w:vAlign w:val="bottom"/>
            <w:tcBorders>
              <w:bottom w:val="single" w:sz="8" w:color="CCEEFF"/>
            </w:tcBorders>
          </w:tcPr>
          <w:p>
            <w:pPr>
              <w:spacing w:after="0"/>
              <w:rPr>
                <w:sz w:val="21"/>
                <w:szCs w:val="21"/>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gridSpan w:val="4"/>
          </w:tcPr>
          <w:p>
            <w:pPr>
              <w:jc w:val="right"/>
              <w:spacing w:after="0"/>
              <w:rPr>
                <w:sz w:val="20"/>
                <w:szCs w:val="20"/>
                <w:color w:val="auto"/>
              </w:rPr>
            </w:pPr>
            <w:r>
              <w:rPr>
                <w:rFonts w:ascii="Arial" w:cs="Arial" w:eastAsia="Arial" w:hAnsi="Arial"/>
                <w:sz w:val="18"/>
                <w:szCs w:val="18"/>
                <w:color w:val="auto"/>
              </w:rPr>
              <w:t>183,478</w:t>
            </w:r>
          </w:p>
        </w:tc>
        <w:tc>
          <w:tcPr>
            <w:tcW w:w="280" w:type="dxa"/>
            <w:vAlign w:val="bottom"/>
            <w:tcBorders>
              <w:bottom w:val="single" w:sz="8" w:color="CCEEFF"/>
            </w:tcBorders>
          </w:tcPr>
          <w:p>
            <w:pPr>
              <w:spacing w:after="0"/>
              <w:rPr>
                <w:sz w:val="21"/>
                <w:szCs w:val="21"/>
                <w:color w:val="auto"/>
              </w:rPr>
            </w:pPr>
          </w:p>
        </w:tc>
        <w:tc>
          <w:tcPr>
            <w:tcW w:w="180" w:type="dxa"/>
            <w:vAlign w:val="bottom"/>
            <w:tcBorders>
              <w:top w:val="single" w:sz="8" w:color="auto"/>
              <w:bottom w:val="single" w:sz="8" w:color="auto"/>
            </w:tcBorders>
            <w:gridSpan w:val="2"/>
          </w:tcPr>
          <w:p>
            <w:pPr>
              <w:jc w:val="right"/>
              <w:ind w:right="8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192,313</w:t>
            </w:r>
          </w:p>
        </w:tc>
        <w:tc>
          <w:tcPr>
            <w:tcW w:w="2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40" w:type="dxa"/>
            <w:vAlign w:val="bottom"/>
          </w:tcPr>
          <w:p>
            <w:pPr>
              <w:spacing w:after="0"/>
              <w:rPr>
                <w:sz w:val="21"/>
                <w:szCs w:val="21"/>
                <w:color w:val="auto"/>
              </w:rPr>
            </w:pPr>
          </w:p>
        </w:tc>
      </w:tr>
      <w:tr>
        <w:trPr>
          <w:trHeight w:val="170"/>
        </w:trPr>
        <w:tc>
          <w:tcPr>
            <w:tcW w:w="8100" w:type="dxa"/>
            <w:vAlign w:val="bottom"/>
            <w:gridSpan w:val="22"/>
            <w:shd w:val="clear" w:color="auto" w:fill="CCEEFF"/>
          </w:tcPr>
          <w:p>
            <w:pPr>
              <w:spacing w:after="0" w:line="170" w:lineRule="exact"/>
              <w:rPr>
                <w:sz w:val="20"/>
                <w:szCs w:val="20"/>
                <w:color w:val="auto"/>
              </w:rPr>
            </w:pPr>
            <w:r>
              <w:rPr>
                <w:rFonts w:ascii="Arial" w:cs="Arial" w:eastAsia="Arial" w:hAnsi="Arial"/>
                <w:sz w:val="18"/>
                <w:szCs w:val="18"/>
                <w:b w:val="1"/>
                <w:bCs w:val="1"/>
                <w:color w:val="auto"/>
              </w:rPr>
              <w:t>Liabilities and Stockholders’ Equity</w:t>
            </w:r>
          </w:p>
        </w:tc>
        <w:tc>
          <w:tcPr>
            <w:tcW w:w="2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 w:type="dxa"/>
            <w:vAlign w:val="bottom"/>
          </w:tcPr>
          <w:p>
            <w:pPr>
              <w:spacing w:after="0"/>
              <w:rPr>
                <w:sz w:val="14"/>
                <w:szCs w:val="14"/>
                <w:color w:val="auto"/>
              </w:rPr>
            </w:pPr>
          </w:p>
        </w:tc>
      </w:tr>
      <w:tr>
        <w:trPr>
          <w:trHeight w:val="216"/>
        </w:trPr>
        <w:tc>
          <w:tcPr>
            <w:tcW w:w="8100" w:type="dxa"/>
            <w:vAlign w:val="bottom"/>
            <w:gridSpan w:val="22"/>
          </w:tcPr>
          <w:p>
            <w:pPr>
              <w:spacing w:after="0"/>
              <w:rPr>
                <w:sz w:val="20"/>
                <w:szCs w:val="20"/>
                <w:color w:val="auto"/>
              </w:rPr>
            </w:pPr>
            <w:r>
              <w:rPr>
                <w:rFonts w:ascii="Arial" w:cs="Arial" w:eastAsia="Arial" w:hAnsi="Arial"/>
                <w:sz w:val="18"/>
                <w:szCs w:val="18"/>
                <w:color w:val="auto"/>
              </w:rPr>
              <w:t>Current liabilities:</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8100" w:type="dxa"/>
            <w:vAlign w:val="bottom"/>
            <w:gridSpan w:val="22"/>
            <w:shd w:val="clear" w:color="auto" w:fill="CCEEFF"/>
          </w:tcPr>
          <w:p>
            <w:pPr>
              <w:ind w:left="180"/>
              <w:spacing w:after="0"/>
              <w:rPr>
                <w:sz w:val="20"/>
                <w:szCs w:val="20"/>
                <w:color w:val="auto"/>
              </w:rPr>
            </w:pPr>
            <w:r>
              <w:rPr>
                <w:rFonts w:ascii="Arial" w:cs="Arial" w:eastAsia="Arial" w:hAnsi="Arial"/>
                <w:sz w:val="18"/>
                <w:szCs w:val="18"/>
                <w:color w:val="auto"/>
              </w:rPr>
              <w:t>Accounts payable</w:t>
            </w:r>
          </w:p>
        </w:tc>
        <w:tc>
          <w:tcPr>
            <w:tcW w:w="44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420" w:type="dxa"/>
            <w:vAlign w:val="bottom"/>
            <w:gridSpan w:val="5"/>
            <w:shd w:val="clear" w:color="auto" w:fill="CCEEFF"/>
          </w:tcPr>
          <w:p>
            <w:pPr>
              <w:jc w:val="right"/>
              <w:ind w:right="280"/>
              <w:spacing w:after="0"/>
              <w:rPr>
                <w:sz w:val="20"/>
                <w:szCs w:val="20"/>
                <w:color w:val="auto"/>
              </w:rPr>
            </w:pPr>
            <w:r>
              <w:rPr>
                <w:rFonts w:ascii="Arial" w:cs="Arial" w:eastAsia="Arial" w:hAnsi="Arial"/>
                <w:sz w:val="18"/>
                <w:szCs w:val="18"/>
                <w:color w:val="auto"/>
              </w:rPr>
              <w:t>1,420</w:t>
            </w:r>
          </w:p>
        </w:tc>
        <w:tc>
          <w:tcPr>
            <w:tcW w:w="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79"/>
              </w:rPr>
              <w:t>$</w:t>
            </w:r>
          </w:p>
        </w:tc>
        <w:tc>
          <w:tcPr>
            <w:tcW w:w="12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1,929</w:t>
            </w:r>
          </w:p>
        </w:tc>
        <w:tc>
          <w:tcPr>
            <w:tcW w:w="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8100" w:type="dxa"/>
            <w:vAlign w:val="bottom"/>
            <w:gridSpan w:val="22"/>
          </w:tcPr>
          <w:p>
            <w:pPr>
              <w:ind w:left="180"/>
              <w:spacing w:after="0"/>
              <w:rPr>
                <w:sz w:val="20"/>
                <w:szCs w:val="20"/>
                <w:color w:val="auto"/>
              </w:rPr>
            </w:pPr>
            <w:r>
              <w:rPr>
                <w:rFonts w:ascii="Arial" w:cs="Arial" w:eastAsia="Arial" w:hAnsi="Arial"/>
                <w:sz w:val="18"/>
                <w:szCs w:val="18"/>
                <w:color w:val="auto"/>
              </w:rPr>
              <w:t>Accrued expenses</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gridSpan w:val="5"/>
          </w:tcPr>
          <w:p>
            <w:pPr>
              <w:jc w:val="right"/>
              <w:ind w:right="280"/>
              <w:spacing w:after="0"/>
              <w:rPr>
                <w:sz w:val="20"/>
                <w:szCs w:val="20"/>
                <w:color w:val="auto"/>
              </w:rPr>
            </w:pPr>
            <w:r>
              <w:rPr>
                <w:rFonts w:ascii="Arial" w:cs="Arial" w:eastAsia="Arial" w:hAnsi="Arial"/>
                <w:sz w:val="18"/>
                <w:szCs w:val="18"/>
                <w:color w:val="auto"/>
              </w:rPr>
              <w:t>4,874</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3"/>
          </w:tcPr>
          <w:p>
            <w:pPr>
              <w:jc w:val="right"/>
              <w:ind w:right="20"/>
              <w:spacing w:after="0"/>
              <w:rPr>
                <w:sz w:val="20"/>
                <w:szCs w:val="20"/>
                <w:color w:val="auto"/>
              </w:rPr>
            </w:pPr>
            <w:r>
              <w:rPr>
                <w:rFonts w:ascii="Arial" w:cs="Arial" w:eastAsia="Arial" w:hAnsi="Arial"/>
                <w:sz w:val="18"/>
                <w:szCs w:val="18"/>
                <w:color w:val="auto"/>
              </w:rPr>
              <w:t>8,125</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0"/>
        </w:trPr>
        <w:tc>
          <w:tcPr>
            <w:tcW w:w="8100" w:type="dxa"/>
            <w:vAlign w:val="bottom"/>
            <w:tcBorders>
              <w:top w:val="single" w:sz="8" w:color="CCEEFF"/>
            </w:tcBorders>
            <w:gridSpan w:val="22"/>
            <w:shd w:val="clear" w:color="auto" w:fill="CCEEFF"/>
          </w:tcPr>
          <w:p>
            <w:pPr>
              <w:ind w:left="360"/>
              <w:spacing w:after="0"/>
              <w:rPr>
                <w:sz w:val="20"/>
                <w:szCs w:val="20"/>
                <w:color w:val="auto"/>
              </w:rPr>
            </w:pPr>
            <w:r>
              <w:rPr>
                <w:rFonts w:ascii="Arial" w:cs="Arial" w:eastAsia="Arial" w:hAnsi="Arial"/>
                <w:sz w:val="18"/>
                <w:szCs w:val="18"/>
                <w:color w:val="auto"/>
              </w:rPr>
              <w:t>Total current liabilities</w:t>
            </w:r>
          </w:p>
        </w:tc>
        <w:tc>
          <w:tcPr>
            <w:tcW w:w="2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gridSpan w:val="4"/>
            <w:shd w:val="clear" w:color="auto" w:fill="CCEEFF"/>
          </w:tcPr>
          <w:p>
            <w:pPr>
              <w:jc w:val="right"/>
              <w:spacing w:after="0"/>
              <w:rPr>
                <w:sz w:val="20"/>
                <w:szCs w:val="20"/>
                <w:color w:val="auto"/>
              </w:rPr>
            </w:pPr>
            <w:r>
              <w:rPr>
                <w:rFonts w:ascii="Arial" w:cs="Arial" w:eastAsia="Arial" w:hAnsi="Arial"/>
                <w:sz w:val="18"/>
                <w:szCs w:val="18"/>
                <w:color w:val="auto"/>
              </w:rPr>
              <w:t>6,294</w:t>
            </w:r>
          </w:p>
        </w:tc>
        <w:tc>
          <w:tcPr>
            <w:tcW w:w="28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auto"/>
              <w:bottom w:val="single" w:sz="8" w:color="auto"/>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118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10,054</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r>
      <w:tr>
        <w:trPr>
          <w:trHeight w:val="210"/>
        </w:trPr>
        <w:tc>
          <w:tcPr>
            <w:tcW w:w="8100" w:type="dxa"/>
            <w:vAlign w:val="bottom"/>
            <w:tcBorders>
              <w:bottom w:val="single" w:sz="8" w:color="CCEEFF"/>
            </w:tcBorders>
            <w:gridSpan w:val="22"/>
          </w:tcPr>
          <w:p>
            <w:pPr>
              <w:ind w:left="360"/>
              <w:spacing w:after="0"/>
              <w:rPr>
                <w:sz w:val="20"/>
                <w:szCs w:val="20"/>
                <w:color w:val="auto"/>
              </w:rPr>
            </w:pPr>
            <w:r>
              <w:rPr>
                <w:rFonts w:ascii="Arial" w:cs="Arial" w:eastAsia="Arial" w:hAnsi="Arial"/>
                <w:sz w:val="18"/>
                <w:szCs w:val="18"/>
                <w:color w:val="auto"/>
              </w:rPr>
              <w:t>Total liabilities</w:t>
            </w:r>
          </w:p>
        </w:tc>
        <w:tc>
          <w:tcPr>
            <w:tcW w:w="2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color w:val="auto"/>
              </w:rPr>
              <w:t>6,294</w:t>
            </w:r>
          </w:p>
        </w:tc>
        <w:tc>
          <w:tcPr>
            <w:tcW w:w="280" w:type="dxa"/>
            <w:vAlign w:val="bottom"/>
            <w:tcBorders>
              <w:bottom w:val="single" w:sz="8" w:color="CCEEFF"/>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10,054</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40" w:type="dxa"/>
            <w:vAlign w:val="bottom"/>
          </w:tcPr>
          <w:p>
            <w:pPr>
              <w:spacing w:after="0"/>
              <w:rPr>
                <w:sz w:val="18"/>
                <w:szCs w:val="18"/>
                <w:color w:val="auto"/>
              </w:rPr>
            </w:pPr>
          </w:p>
        </w:tc>
      </w:tr>
      <w:tr>
        <w:trPr>
          <w:trHeight w:val="196"/>
        </w:trPr>
        <w:tc>
          <w:tcPr>
            <w:tcW w:w="8100" w:type="dxa"/>
            <w:vAlign w:val="bottom"/>
            <w:gridSpan w:val="22"/>
            <w:shd w:val="clear" w:color="auto" w:fill="CCEEFF"/>
          </w:tcPr>
          <w:p>
            <w:pPr>
              <w:spacing w:after="0" w:line="196" w:lineRule="exact"/>
              <w:rPr>
                <w:sz w:val="20"/>
                <w:szCs w:val="20"/>
                <w:color w:val="auto"/>
              </w:rPr>
            </w:pPr>
            <w:r>
              <w:rPr>
                <w:rFonts w:ascii="Arial" w:cs="Arial" w:eastAsia="Arial" w:hAnsi="Arial"/>
                <w:sz w:val="18"/>
                <w:szCs w:val="18"/>
                <w:color w:val="auto"/>
              </w:rPr>
              <w:t>Stockholders’ equity:</w:t>
            </w: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r>
      <w:tr>
        <w:trPr>
          <w:trHeight w:val="202"/>
        </w:trPr>
        <w:tc>
          <w:tcPr>
            <w:tcW w:w="8100" w:type="dxa"/>
            <w:vAlign w:val="bottom"/>
            <w:gridSpan w:val="22"/>
          </w:tcPr>
          <w:p>
            <w:pPr>
              <w:ind w:left="180"/>
              <w:spacing w:after="0" w:line="201" w:lineRule="exact"/>
              <w:rPr>
                <w:sz w:val="20"/>
                <w:szCs w:val="20"/>
                <w:color w:val="auto"/>
              </w:rPr>
            </w:pPr>
            <w:r>
              <w:rPr>
                <w:rFonts w:ascii="Arial" w:cs="Arial" w:eastAsia="Arial" w:hAnsi="Arial"/>
                <w:sz w:val="18"/>
                <w:szCs w:val="18"/>
                <w:color w:val="auto"/>
              </w:rPr>
              <w:t>Preferred stock, par value $0.0001 per share authorized: 5,000,000 shares at March 31, 2018 and</w:t>
            </w: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30"/>
        </w:trPr>
        <w:tc>
          <w:tcPr>
            <w:tcW w:w="8100" w:type="dxa"/>
            <w:vAlign w:val="bottom"/>
            <w:gridSpan w:val="22"/>
          </w:tcPr>
          <w:p>
            <w:pPr>
              <w:ind w:left="360"/>
              <w:spacing w:after="0"/>
              <w:rPr>
                <w:sz w:val="20"/>
                <w:szCs w:val="20"/>
                <w:color w:val="auto"/>
              </w:rPr>
            </w:pPr>
            <w:r>
              <w:rPr>
                <w:rFonts w:ascii="Arial" w:cs="Arial" w:eastAsia="Arial" w:hAnsi="Arial"/>
                <w:sz w:val="18"/>
                <w:szCs w:val="18"/>
                <w:color w:val="auto"/>
                <w:w w:val="91"/>
              </w:rPr>
              <w:t>December 31, 2017; 1,969,797 shares issued and outstanding at March 31, 2018 and December 31, 2017</w:t>
            </w: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0" w:type="dxa"/>
            <w:vAlign w:val="bottom"/>
            <w:gridSpan w:val="3"/>
          </w:tcPr>
          <w:p>
            <w:pPr>
              <w:jc w:val="right"/>
              <w:ind w:right="28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80" w:type="dxa"/>
            <w:vAlign w:val="bottom"/>
            <w:gridSpan w:val="4"/>
          </w:tcPr>
          <w:p>
            <w:pPr>
              <w:jc w:val="right"/>
              <w:ind w:right="140"/>
              <w:spacing w:after="0"/>
              <w:rPr>
                <w:sz w:val="20"/>
                <w:szCs w:val="20"/>
                <w:color w:val="auto"/>
              </w:rPr>
            </w:pPr>
            <w:r>
              <w:rPr>
                <w:rFonts w:ascii="Arial" w:cs="Arial" w:eastAsia="Arial" w:hAnsi="Arial"/>
                <w:sz w:val="18"/>
                <w:szCs w:val="18"/>
                <w:color w:val="auto"/>
              </w:rPr>
              <w:t>—</w:t>
            </w:r>
          </w:p>
        </w:tc>
      </w:tr>
      <w:tr>
        <w:trPr>
          <w:trHeight w:val="202"/>
        </w:trPr>
        <w:tc>
          <w:tcPr>
            <w:tcW w:w="8100" w:type="dxa"/>
            <w:vAlign w:val="bottom"/>
            <w:gridSpan w:val="22"/>
            <w:shd w:val="clear" w:color="auto" w:fill="CCEEFF"/>
          </w:tcPr>
          <w:p>
            <w:pPr>
              <w:ind w:left="180"/>
              <w:spacing w:after="0" w:line="201" w:lineRule="exact"/>
              <w:rPr>
                <w:sz w:val="20"/>
                <w:szCs w:val="20"/>
                <w:color w:val="auto"/>
              </w:rPr>
            </w:pPr>
            <w:r>
              <w:rPr>
                <w:rFonts w:ascii="Arial" w:cs="Arial" w:eastAsia="Arial" w:hAnsi="Arial"/>
                <w:sz w:val="18"/>
                <w:szCs w:val="18"/>
                <w:color w:val="auto"/>
                <w:w w:val="92"/>
              </w:rPr>
              <w:t>Common stock, par value $0.0001 per share authorized: 200,000,000 at March 31, 2018 and December 31,</w:t>
            </w: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r>
      <w:tr>
        <w:trPr>
          <w:trHeight w:val="216"/>
        </w:trPr>
        <w:tc>
          <w:tcPr>
            <w:tcW w:w="8100" w:type="dxa"/>
            <w:vAlign w:val="bottom"/>
            <w:gridSpan w:val="22"/>
            <w:shd w:val="clear" w:color="auto" w:fill="CCEEFF"/>
          </w:tcPr>
          <w:p>
            <w:pPr>
              <w:ind w:left="360"/>
              <w:spacing w:after="0"/>
              <w:rPr>
                <w:sz w:val="20"/>
                <w:szCs w:val="20"/>
                <w:color w:val="auto"/>
              </w:rPr>
            </w:pPr>
            <w:r>
              <w:rPr>
                <w:rFonts w:ascii="Arial" w:cs="Arial" w:eastAsia="Arial" w:hAnsi="Arial"/>
                <w:sz w:val="18"/>
                <w:szCs w:val="18"/>
                <w:color w:val="auto"/>
                <w:w w:val="93"/>
              </w:rPr>
              <w:t>2017; 14,250,726 and 14,227,634 shares issued and outstanding at March 31, 2018 and December 31,</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r>
      <w:tr>
        <w:trPr>
          <w:trHeight w:val="230"/>
        </w:trPr>
        <w:tc>
          <w:tcPr>
            <w:tcW w:w="8100" w:type="dxa"/>
            <w:vAlign w:val="bottom"/>
            <w:gridSpan w:val="22"/>
            <w:shd w:val="clear" w:color="auto" w:fill="CCEEFF"/>
          </w:tcPr>
          <w:p>
            <w:pPr>
              <w:ind w:left="360"/>
              <w:spacing w:after="0"/>
              <w:rPr>
                <w:sz w:val="20"/>
                <w:szCs w:val="20"/>
                <w:color w:val="auto"/>
              </w:rPr>
            </w:pPr>
            <w:r>
              <w:rPr>
                <w:rFonts w:ascii="Arial" w:cs="Arial" w:eastAsia="Arial" w:hAnsi="Arial"/>
                <w:sz w:val="18"/>
                <w:szCs w:val="18"/>
                <w:color w:val="auto"/>
              </w:rPr>
              <w:t>2017, respectively</w:t>
            </w:r>
          </w:p>
        </w:tc>
        <w:tc>
          <w:tcPr>
            <w:tcW w:w="2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420" w:type="dxa"/>
            <w:vAlign w:val="bottom"/>
            <w:gridSpan w:val="5"/>
            <w:shd w:val="clear" w:color="auto" w:fill="CCEEFF"/>
          </w:tcPr>
          <w:p>
            <w:pPr>
              <w:jc w:val="right"/>
              <w:ind w:right="280"/>
              <w:spacing w:after="0"/>
              <w:rPr>
                <w:sz w:val="20"/>
                <w:szCs w:val="20"/>
                <w:color w:val="auto"/>
              </w:rPr>
            </w:pPr>
            <w:r>
              <w:rPr>
                <w:rFonts w:ascii="Arial" w:cs="Arial" w:eastAsia="Arial" w:hAnsi="Arial"/>
                <w:sz w:val="18"/>
                <w:szCs w:val="18"/>
                <w:color w:val="auto"/>
              </w:rPr>
              <w:t>1</w:t>
            </w:r>
          </w:p>
        </w:tc>
        <w:tc>
          <w:tcPr>
            <w:tcW w:w="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w:t>
            </w:r>
          </w:p>
        </w:tc>
        <w:tc>
          <w:tcPr>
            <w:tcW w:w="80" w:type="dxa"/>
            <w:vAlign w:val="bottom"/>
            <w:shd w:val="clear" w:color="auto" w:fill="CCEEFF"/>
          </w:tcPr>
          <w:p>
            <w:pPr>
              <w:spacing w:after="0"/>
              <w:rPr>
                <w:sz w:val="20"/>
                <w:szCs w:val="20"/>
                <w:color w:val="auto"/>
              </w:rPr>
            </w:pPr>
          </w:p>
        </w:tc>
        <w:tc>
          <w:tcPr>
            <w:tcW w:w="40" w:type="dxa"/>
            <w:vAlign w:val="bottom"/>
          </w:tcPr>
          <w:p>
            <w:pPr>
              <w:spacing w:after="0"/>
              <w:rPr>
                <w:sz w:val="20"/>
                <w:szCs w:val="20"/>
                <w:color w:val="auto"/>
              </w:rPr>
            </w:pPr>
          </w:p>
        </w:tc>
      </w:tr>
      <w:tr>
        <w:trPr>
          <w:trHeight w:val="216"/>
        </w:trPr>
        <w:tc>
          <w:tcPr>
            <w:tcW w:w="8100" w:type="dxa"/>
            <w:vAlign w:val="bottom"/>
            <w:gridSpan w:val="22"/>
          </w:tcPr>
          <w:p>
            <w:pPr>
              <w:ind w:left="180"/>
              <w:spacing w:after="0"/>
              <w:rPr>
                <w:sz w:val="20"/>
                <w:szCs w:val="20"/>
                <w:color w:val="auto"/>
              </w:rPr>
            </w:pPr>
            <w:r>
              <w:rPr>
                <w:rFonts w:ascii="Arial" w:cs="Arial" w:eastAsia="Arial" w:hAnsi="Arial"/>
                <w:sz w:val="18"/>
                <w:szCs w:val="18"/>
                <w:color w:val="auto"/>
              </w:rPr>
              <w:t>Additional paid-in-capital</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gridSpan w:val="5"/>
          </w:tcPr>
          <w:p>
            <w:pPr>
              <w:jc w:val="right"/>
              <w:ind w:right="280"/>
              <w:spacing w:after="0"/>
              <w:rPr>
                <w:sz w:val="20"/>
                <w:szCs w:val="20"/>
                <w:color w:val="auto"/>
              </w:rPr>
            </w:pPr>
            <w:r>
              <w:rPr>
                <w:rFonts w:ascii="Arial" w:cs="Arial" w:eastAsia="Arial" w:hAnsi="Arial"/>
                <w:sz w:val="18"/>
                <w:szCs w:val="18"/>
                <w:color w:val="auto"/>
              </w:rPr>
              <w:t>290,182</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3"/>
          </w:tcPr>
          <w:p>
            <w:pPr>
              <w:jc w:val="right"/>
              <w:ind w:right="20"/>
              <w:spacing w:after="0"/>
              <w:rPr>
                <w:sz w:val="20"/>
                <w:szCs w:val="20"/>
                <w:color w:val="auto"/>
              </w:rPr>
            </w:pPr>
            <w:r>
              <w:rPr>
                <w:rFonts w:ascii="Arial" w:cs="Arial" w:eastAsia="Arial" w:hAnsi="Arial"/>
                <w:sz w:val="18"/>
                <w:szCs w:val="18"/>
                <w:color w:val="auto"/>
              </w:rPr>
              <w:t>288,750</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8100" w:type="dxa"/>
            <w:vAlign w:val="bottom"/>
            <w:gridSpan w:val="22"/>
            <w:shd w:val="clear" w:color="auto" w:fill="CCEEFF"/>
          </w:tcPr>
          <w:p>
            <w:pPr>
              <w:ind w:left="180"/>
              <w:spacing w:after="0"/>
              <w:rPr>
                <w:sz w:val="20"/>
                <w:szCs w:val="20"/>
                <w:color w:val="auto"/>
              </w:rPr>
            </w:pPr>
            <w:r>
              <w:rPr>
                <w:rFonts w:ascii="Arial" w:cs="Arial" w:eastAsia="Arial" w:hAnsi="Arial"/>
                <w:sz w:val="18"/>
                <w:szCs w:val="18"/>
                <w:color w:val="auto"/>
              </w:rPr>
              <w:t>Accumulated other comprehensive loss</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20" w:type="dxa"/>
            <w:vAlign w:val="bottom"/>
            <w:gridSpan w:val="5"/>
            <w:shd w:val="clear" w:color="auto" w:fill="CCEEFF"/>
          </w:tcPr>
          <w:p>
            <w:pPr>
              <w:jc w:val="right"/>
              <w:ind w:right="220"/>
              <w:spacing w:after="0"/>
              <w:rPr>
                <w:sz w:val="20"/>
                <w:szCs w:val="20"/>
                <w:color w:val="auto"/>
              </w:rPr>
            </w:pPr>
            <w:r>
              <w:rPr>
                <w:rFonts w:ascii="Arial" w:cs="Arial" w:eastAsia="Arial" w:hAnsi="Arial"/>
                <w:sz w:val="18"/>
                <w:szCs w:val="18"/>
                <w:color w:val="auto"/>
              </w:rPr>
              <w:t>(174)</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(31)</w:t>
            </w:r>
          </w:p>
        </w:tc>
        <w:tc>
          <w:tcPr>
            <w:tcW w:w="40" w:type="dxa"/>
            <w:vAlign w:val="bottom"/>
          </w:tcPr>
          <w:p>
            <w:pPr>
              <w:spacing w:after="0"/>
              <w:rPr>
                <w:sz w:val="18"/>
                <w:szCs w:val="18"/>
                <w:color w:val="auto"/>
              </w:rPr>
            </w:pPr>
          </w:p>
        </w:tc>
      </w:tr>
      <w:tr>
        <w:trPr>
          <w:trHeight w:val="216"/>
        </w:trPr>
        <w:tc>
          <w:tcPr>
            <w:tcW w:w="8100" w:type="dxa"/>
            <w:vAlign w:val="bottom"/>
            <w:gridSpan w:val="22"/>
          </w:tcPr>
          <w:p>
            <w:pPr>
              <w:ind w:left="180"/>
              <w:spacing w:after="0"/>
              <w:rPr>
                <w:sz w:val="20"/>
                <w:szCs w:val="20"/>
                <w:color w:val="auto"/>
              </w:rPr>
            </w:pPr>
            <w:r>
              <w:rPr>
                <w:rFonts w:ascii="Arial" w:cs="Arial" w:eastAsia="Arial" w:hAnsi="Arial"/>
                <w:sz w:val="18"/>
                <w:szCs w:val="18"/>
                <w:color w:val="auto"/>
              </w:rPr>
              <w:t>Accumulated deficit</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gridSpan w:val="5"/>
          </w:tcPr>
          <w:p>
            <w:pPr>
              <w:jc w:val="right"/>
              <w:ind w:right="220"/>
              <w:spacing w:after="0"/>
              <w:rPr>
                <w:sz w:val="20"/>
                <w:szCs w:val="20"/>
                <w:color w:val="auto"/>
              </w:rPr>
            </w:pPr>
            <w:r>
              <w:rPr>
                <w:rFonts w:ascii="Arial" w:cs="Arial" w:eastAsia="Arial" w:hAnsi="Arial"/>
                <w:sz w:val="18"/>
                <w:szCs w:val="18"/>
                <w:color w:val="auto"/>
              </w:rPr>
              <w:t>(112,825)</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4"/>
          </w:tcPr>
          <w:p>
            <w:pPr>
              <w:jc w:val="right"/>
              <w:ind w:right="40"/>
              <w:spacing w:after="0"/>
              <w:rPr>
                <w:sz w:val="20"/>
                <w:szCs w:val="20"/>
                <w:color w:val="auto"/>
              </w:rPr>
            </w:pPr>
            <w:r>
              <w:rPr>
                <w:rFonts w:ascii="Arial" w:cs="Arial" w:eastAsia="Arial" w:hAnsi="Arial"/>
                <w:sz w:val="18"/>
                <w:szCs w:val="18"/>
                <w:color w:val="auto"/>
              </w:rPr>
              <w:t>(106,461)</w:t>
            </w:r>
          </w:p>
        </w:tc>
        <w:tc>
          <w:tcPr>
            <w:tcW w:w="40" w:type="dxa"/>
            <w:vAlign w:val="bottom"/>
          </w:tcPr>
          <w:p>
            <w:pPr>
              <w:spacing w:after="0"/>
              <w:rPr>
                <w:sz w:val="18"/>
                <w:szCs w:val="18"/>
                <w:color w:val="auto"/>
              </w:rPr>
            </w:pPr>
          </w:p>
        </w:tc>
      </w:tr>
      <w:tr>
        <w:trPr>
          <w:trHeight w:val="210"/>
        </w:trPr>
        <w:tc>
          <w:tcPr>
            <w:tcW w:w="8100" w:type="dxa"/>
            <w:vAlign w:val="bottom"/>
            <w:tcBorders>
              <w:top w:val="single" w:sz="8" w:color="CCEEFF"/>
            </w:tcBorders>
            <w:gridSpan w:val="22"/>
            <w:shd w:val="clear" w:color="auto" w:fill="CCEEFF"/>
          </w:tcPr>
          <w:p>
            <w:pPr>
              <w:ind w:left="360"/>
              <w:spacing w:after="0"/>
              <w:rPr>
                <w:sz w:val="20"/>
                <w:szCs w:val="20"/>
                <w:color w:val="auto"/>
              </w:rPr>
            </w:pPr>
            <w:r>
              <w:rPr>
                <w:rFonts w:ascii="Arial" w:cs="Arial" w:eastAsia="Arial" w:hAnsi="Arial"/>
                <w:sz w:val="18"/>
                <w:szCs w:val="18"/>
                <w:color w:val="auto"/>
              </w:rPr>
              <w:t>Total stockholders’ equity</w:t>
            </w:r>
          </w:p>
        </w:tc>
        <w:tc>
          <w:tcPr>
            <w:tcW w:w="2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gridSpan w:val="4"/>
            <w:shd w:val="clear" w:color="auto" w:fill="CCEEFF"/>
          </w:tcPr>
          <w:p>
            <w:pPr>
              <w:jc w:val="right"/>
              <w:spacing w:after="0"/>
              <w:rPr>
                <w:sz w:val="20"/>
                <w:szCs w:val="20"/>
                <w:color w:val="auto"/>
              </w:rPr>
            </w:pPr>
            <w:r>
              <w:rPr>
                <w:rFonts w:ascii="Arial" w:cs="Arial" w:eastAsia="Arial" w:hAnsi="Arial"/>
                <w:sz w:val="18"/>
                <w:szCs w:val="18"/>
                <w:color w:val="auto"/>
              </w:rPr>
              <w:t>177,184</w:t>
            </w:r>
          </w:p>
        </w:tc>
        <w:tc>
          <w:tcPr>
            <w:tcW w:w="28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auto"/>
              <w:bottom w:val="single" w:sz="8" w:color="auto"/>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118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182,259</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r>
      <w:tr>
        <w:trPr>
          <w:trHeight w:val="210"/>
        </w:trPr>
        <w:tc>
          <w:tcPr>
            <w:tcW w:w="8100" w:type="dxa"/>
            <w:vAlign w:val="bottom"/>
            <w:gridSpan w:val="22"/>
          </w:tcPr>
          <w:p>
            <w:pPr>
              <w:ind w:left="360"/>
              <w:spacing w:after="0"/>
              <w:rPr>
                <w:sz w:val="20"/>
                <w:szCs w:val="20"/>
                <w:color w:val="auto"/>
              </w:rPr>
            </w:pPr>
            <w:r>
              <w:rPr>
                <w:rFonts w:ascii="Arial" w:cs="Arial" w:eastAsia="Arial" w:hAnsi="Arial"/>
                <w:sz w:val="18"/>
                <w:szCs w:val="18"/>
                <w:color w:val="auto"/>
              </w:rPr>
              <w:t>Total liabilities and stockholders’ equity</w:t>
            </w:r>
          </w:p>
        </w:tc>
        <w:tc>
          <w:tcPr>
            <w:tcW w:w="200" w:type="dxa"/>
            <w:vAlign w:val="bottom"/>
          </w:tcPr>
          <w:p>
            <w:pPr>
              <w:spacing w:after="0"/>
              <w:rPr>
                <w:sz w:val="18"/>
                <w:szCs w:val="18"/>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color w:val="auto"/>
              </w:rPr>
              <w:t>183,478</w:t>
            </w:r>
          </w:p>
        </w:tc>
        <w:tc>
          <w:tcPr>
            <w:tcW w:w="280" w:type="dxa"/>
            <w:vAlign w:val="bottom"/>
          </w:tcPr>
          <w:p>
            <w:pPr>
              <w:spacing w:after="0"/>
              <w:rPr>
                <w:sz w:val="18"/>
                <w:szCs w:val="18"/>
                <w:color w:val="auto"/>
              </w:rPr>
            </w:pPr>
          </w:p>
        </w:tc>
        <w:tc>
          <w:tcPr>
            <w:tcW w:w="18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192,313</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0"/>
        </w:trPr>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-5464175</wp:posOffset>
            </wp:positionV>
            <wp:extent cx="12700"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-5464175</wp:posOffset>
            </wp:positionV>
            <wp:extent cx="12700"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182"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See accompanying notes to condensed consolidated financial statements.</w:t>
      </w:r>
    </w:p>
    <w:p>
      <w:pPr>
        <w:sectPr>
          <w:pgSz w:w="11900" w:h="16838" w:orient="portrait"/>
          <w:cols w:equalWidth="0" w:num="1">
            <w:col w:w="11460"/>
          </w:cols>
          <w:pgMar w:left="240" w:top="121" w:right="199" w:bottom="165" w:gutter="0" w:footer="0" w:header="0"/>
        </w:sectPr>
      </w:pP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88900</wp:posOffset>
            </wp:positionV>
            <wp:extent cx="7267575" cy="298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60"/>
          </w:cols>
          <w:pgMar w:left="240" w:top="121" w:right="199" w:bottom="165" w:gutter="0" w:footer="0" w:header="0"/>
          <w:type w:val="continuous"/>
        </w:sectPr>
      </w:pPr>
    </w:p>
    <w:bookmarkStart w:id="2" w:name="page3"/>
    <w:bookmarkEnd w:id="2"/>
    <w:p>
      <w:pPr>
        <w:spacing w:after="0" w:line="62"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MADRIGAL PHARMACEUTICALS, INC.</w:t>
      </w:r>
    </w:p>
    <w:p>
      <w:pPr>
        <w:spacing w:after="0" w:line="27" w:lineRule="exact"/>
        <w:rPr>
          <w:sz w:val="20"/>
          <w:szCs w:val="20"/>
          <w:color w:val="auto"/>
        </w:rPr>
      </w:pPr>
    </w:p>
    <w:p>
      <w:pPr>
        <w:ind w:left="3760"/>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ind w:left="3740"/>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84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820" w:type="dxa"/>
            <w:vAlign w:val="bottom"/>
            <w:gridSpan w:val="5"/>
          </w:tcPr>
          <w:p>
            <w:pPr>
              <w:jc w:val="right"/>
              <w:ind w:right="620"/>
              <w:spacing w:after="0"/>
              <w:rPr>
                <w:sz w:val="20"/>
                <w:szCs w:val="20"/>
                <w:color w:val="auto"/>
              </w:rPr>
            </w:pPr>
            <w:r>
              <w:rPr>
                <w:rFonts w:ascii="Arial" w:cs="Arial" w:eastAsia="Arial" w:hAnsi="Arial"/>
                <w:sz w:val="14"/>
                <w:szCs w:val="14"/>
                <w:b w:val="1"/>
                <w:bCs w:val="1"/>
                <w:color w:val="auto"/>
              </w:rPr>
              <w:t>Three Months Ended March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300" w:type="dxa"/>
            <w:vAlign w:val="bottom"/>
            <w:tcBorders>
              <w:top w:val="single" w:sz="8" w:color="auto"/>
              <w:bottom w:val="single" w:sz="8" w:color="auto"/>
            </w:tcBorders>
          </w:tcPr>
          <w:p>
            <w:pPr>
              <w:spacing w:after="0"/>
              <w:rPr>
                <w:sz w:val="12"/>
                <w:szCs w:val="12"/>
                <w:color w:val="auto"/>
              </w:rPr>
            </w:pPr>
          </w:p>
        </w:tc>
        <w:tc>
          <w:tcPr>
            <w:tcW w:w="1080" w:type="dxa"/>
            <w:vAlign w:val="bottom"/>
            <w:tcBorders>
              <w:top w:val="single" w:sz="8" w:color="auto"/>
              <w:bottom w:val="single" w:sz="8" w:color="auto"/>
            </w:tcBorders>
          </w:tcPr>
          <w:p>
            <w:pPr>
              <w:jc w:val="right"/>
              <w:ind w:right="453"/>
              <w:spacing w:after="0" w:line="142" w:lineRule="exact"/>
              <w:rPr>
                <w:sz w:val="20"/>
                <w:szCs w:val="20"/>
                <w:color w:val="auto"/>
              </w:rPr>
            </w:pPr>
            <w:r>
              <w:rPr>
                <w:rFonts w:ascii="Arial" w:cs="Arial" w:eastAsia="Arial" w:hAnsi="Arial"/>
                <w:sz w:val="14"/>
                <w:szCs w:val="14"/>
                <w:b w:val="1"/>
                <w:bCs w:val="1"/>
                <w:color w:val="auto"/>
              </w:rPr>
              <w:t>2018</w:t>
            </w:r>
          </w:p>
        </w:tc>
        <w:tc>
          <w:tcPr>
            <w:tcW w:w="280" w:type="dxa"/>
            <w:vAlign w:val="bottom"/>
            <w:tcBorders>
              <w:top w:val="single" w:sz="8" w:color="auto"/>
            </w:tcBorders>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1040" w:type="dxa"/>
            <w:vAlign w:val="bottom"/>
            <w:tcBorders>
              <w:top w:val="single" w:sz="8" w:color="auto"/>
              <w:bottom w:val="single" w:sz="8" w:color="auto"/>
            </w:tcBorders>
          </w:tcPr>
          <w:p>
            <w:pPr>
              <w:jc w:val="right"/>
              <w:ind w:right="452"/>
              <w:spacing w:after="0" w:line="142" w:lineRule="exact"/>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8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14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tcPr>
          <w:p>
            <w:pPr>
              <w:ind w:left="160"/>
              <w:spacing w:after="0"/>
              <w:rPr>
                <w:sz w:val="20"/>
                <w:szCs w:val="20"/>
                <w:color w:val="auto"/>
              </w:rPr>
            </w:pPr>
            <w:r>
              <w:rPr>
                <w:rFonts w:ascii="Arial" w:cs="Arial" w:eastAsia="Arial" w:hAnsi="Arial"/>
                <w:sz w:val="18"/>
                <w:szCs w:val="18"/>
                <w:color w:val="auto"/>
              </w:rPr>
              <w:t>Total revenues</w:t>
            </w:r>
          </w:p>
        </w:tc>
        <w:tc>
          <w:tcPr>
            <w:tcW w:w="174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14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tcPr>
          <w:p>
            <w:pPr>
              <w:ind w:left="160"/>
              <w:spacing w:after="0"/>
              <w:rPr>
                <w:sz w:val="20"/>
                <w:szCs w:val="20"/>
                <w:color w:val="auto"/>
              </w:rPr>
            </w:pPr>
            <w:r>
              <w:rPr>
                <w:rFonts w:ascii="Arial" w:cs="Arial" w:eastAsia="Arial" w:hAnsi="Arial"/>
                <w:sz w:val="18"/>
                <w:szCs w:val="18"/>
                <w:color w:val="auto"/>
              </w:rPr>
              <w:t>Research and development</w:t>
            </w:r>
          </w:p>
        </w:tc>
        <w:tc>
          <w:tcPr>
            <w:tcW w:w="1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gridSpan w:val="2"/>
          </w:tcPr>
          <w:p>
            <w:pPr>
              <w:jc w:val="right"/>
              <w:ind w:right="280"/>
              <w:spacing w:after="0"/>
              <w:rPr>
                <w:sz w:val="20"/>
                <w:szCs w:val="20"/>
                <w:color w:val="auto"/>
              </w:rPr>
            </w:pPr>
            <w:r>
              <w:rPr>
                <w:rFonts w:ascii="Arial" w:cs="Arial" w:eastAsia="Arial" w:hAnsi="Arial"/>
                <w:sz w:val="18"/>
                <w:szCs w:val="18"/>
                <w:color w:val="auto"/>
              </w:rPr>
              <w:t>5,198</w:t>
            </w: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4,380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General and administrative</w:t>
            </w:r>
          </w:p>
        </w:tc>
        <w:tc>
          <w:tcPr>
            <w:tcW w:w="14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1,871</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1,695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840" w:type="dxa"/>
            <w:vAlign w:val="bottom"/>
            <w:tcBorders>
              <w:bottom w:val="single" w:sz="8" w:color="CCEEFF"/>
            </w:tcBorders>
          </w:tcPr>
          <w:p>
            <w:pPr>
              <w:ind w:left="160"/>
              <w:spacing w:after="0"/>
              <w:rPr>
                <w:sz w:val="20"/>
                <w:szCs w:val="20"/>
                <w:color w:val="auto"/>
              </w:rPr>
            </w:pPr>
            <w:r>
              <w:rPr>
                <w:rFonts w:ascii="Arial" w:cs="Arial" w:eastAsia="Arial" w:hAnsi="Arial"/>
                <w:sz w:val="18"/>
                <w:szCs w:val="18"/>
                <w:color w:val="auto"/>
              </w:rPr>
              <w:t>Total operating expenses</w:t>
            </w:r>
          </w:p>
        </w:tc>
        <w:tc>
          <w:tcPr>
            <w:tcW w:w="1440" w:type="dxa"/>
            <w:vAlign w:val="bottom"/>
            <w:tcBorders>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7,069</w:t>
            </w:r>
          </w:p>
        </w:tc>
        <w:tc>
          <w:tcPr>
            <w:tcW w:w="280" w:type="dxa"/>
            <w:vAlign w:val="bottom"/>
            <w:tcBorders>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6,075</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8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Loss from operations</w:t>
            </w:r>
          </w:p>
        </w:tc>
        <w:tc>
          <w:tcPr>
            <w:tcW w:w="14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(7,069)</w:t>
            </w: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(6,075)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tcPr>
          <w:p>
            <w:pPr>
              <w:ind w:left="160"/>
              <w:spacing w:after="0"/>
              <w:rPr>
                <w:sz w:val="20"/>
                <w:szCs w:val="20"/>
                <w:color w:val="auto"/>
              </w:rPr>
            </w:pPr>
            <w:r>
              <w:rPr>
                <w:rFonts w:ascii="Arial" w:cs="Arial" w:eastAsia="Arial" w:hAnsi="Arial"/>
                <w:sz w:val="18"/>
                <w:szCs w:val="18"/>
                <w:color w:val="auto"/>
              </w:rPr>
              <w:t>Interest income</w:t>
            </w:r>
          </w:p>
        </w:tc>
        <w:tc>
          <w:tcPr>
            <w:tcW w:w="1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gridSpan w:val="2"/>
          </w:tcPr>
          <w:p>
            <w:pPr>
              <w:jc w:val="right"/>
              <w:ind w:right="280"/>
              <w:spacing w:after="0"/>
              <w:rPr>
                <w:sz w:val="20"/>
                <w:szCs w:val="20"/>
                <w:color w:val="auto"/>
              </w:rPr>
            </w:pPr>
            <w:r>
              <w:rPr>
                <w:rFonts w:ascii="Arial" w:cs="Arial" w:eastAsia="Arial" w:hAnsi="Arial"/>
                <w:sz w:val="18"/>
                <w:szCs w:val="18"/>
                <w:color w:val="auto"/>
              </w:rPr>
              <w:t>705</w:t>
            </w: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840" w:type="dxa"/>
            <w:vAlign w:val="bottom"/>
            <w:tcBorders>
              <w:top w:val="single" w:sz="8" w:color="CCEEFF"/>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Net loss</w:t>
            </w:r>
          </w:p>
        </w:tc>
        <w:tc>
          <w:tcPr>
            <w:tcW w:w="1440" w:type="dxa"/>
            <w:vAlign w:val="bottom"/>
            <w:tcBorders>
              <w:top w:val="single" w:sz="8" w:color="CCEEFF"/>
              <w:bottom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(6,364)</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(5,999)</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40" w:type="dxa"/>
            <w:vAlign w:val="bottom"/>
            <w:vMerge w:val="restart"/>
          </w:tcPr>
          <w:p>
            <w:pPr>
              <w:spacing w:after="0"/>
              <w:rPr>
                <w:sz w:val="20"/>
                <w:szCs w:val="20"/>
                <w:color w:val="auto"/>
              </w:rPr>
            </w:pPr>
            <w:r>
              <w:rPr>
                <w:rFonts w:ascii="Arial" w:cs="Arial" w:eastAsia="Arial" w:hAnsi="Arial"/>
                <w:sz w:val="18"/>
                <w:szCs w:val="18"/>
                <w:color w:val="auto"/>
              </w:rPr>
              <w:t>Net loss per common share:</w:t>
            </w:r>
          </w:p>
        </w:tc>
        <w:tc>
          <w:tcPr>
            <w:tcW w:w="14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20" w:type="dxa"/>
            <w:vAlign w:val="bottom"/>
          </w:tcPr>
          <w:p>
            <w:pPr>
              <w:spacing w:after="0"/>
              <w:rPr>
                <w:sz w:val="14"/>
                <w:szCs w:val="14"/>
                <w:color w:val="auto"/>
              </w:rPr>
            </w:pPr>
          </w:p>
        </w:tc>
        <w:tc>
          <w:tcPr>
            <w:tcW w:w="6840" w:type="dxa"/>
            <w:vAlign w:val="bottom"/>
            <w:vMerge w:val="continue"/>
          </w:tcPr>
          <w:p>
            <w:pPr>
              <w:spacing w:after="0"/>
              <w:rPr>
                <w:sz w:val="14"/>
                <w:szCs w:val="14"/>
                <w:color w:val="auto"/>
              </w:rPr>
            </w:pPr>
          </w:p>
        </w:tc>
        <w:tc>
          <w:tcPr>
            <w:tcW w:w="14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Basic and diluted net loss per common share</w:t>
            </w:r>
          </w:p>
        </w:tc>
        <w:tc>
          <w:tcPr>
            <w:tcW w:w="174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(0.45)</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(0.50)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840" w:type="dxa"/>
            <w:vAlign w:val="bottom"/>
          </w:tcPr>
          <w:p>
            <w:pPr>
              <w:spacing w:after="0"/>
              <w:rPr>
                <w:sz w:val="20"/>
                <w:szCs w:val="20"/>
                <w:color w:val="auto"/>
              </w:rPr>
            </w:pPr>
            <w:r>
              <w:rPr>
                <w:rFonts w:ascii="Arial" w:cs="Arial" w:eastAsia="Arial" w:hAnsi="Arial"/>
                <w:sz w:val="18"/>
                <w:szCs w:val="18"/>
                <w:color w:val="auto"/>
              </w:rPr>
              <w:t>Basic and diluted weighted average number of common shares outstanding</w:t>
            </w:r>
          </w:p>
        </w:tc>
        <w:tc>
          <w:tcPr>
            <w:tcW w:w="14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60" w:type="dxa"/>
            <w:vAlign w:val="bottom"/>
            <w:gridSpan w:val="2"/>
          </w:tcPr>
          <w:p>
            <w:pPr>
              <w:jc w:val="right"/>
              <w:ind w:right="280"/>
              <w:spacing w:after="0"/>
              <w:rPr>
                <w:sz w:val="20"/>
                <w:szCs w:val="20"/>
                <w:color w:val="auto"/>
              </w:rPr>
            </w:pPr>
            <w:r>
              <w:rPr>
                <w:rFonts w:ascii="Arial" w:cs="Arial" w:eastAsia="Arial" w:hAnsi="Arial"/>
                <w:sz w:val="18"/>
                <w:szCs w:val="18"/>
                <w:color w:val="auto"/>
              </w:rPr>
              <w:t>14,127,868</w:t>
            </w:r>
          </w:p>
        </w:tc>
        <w:tc>
          <w:tcPr>
            <w:tcW w:w="320" w:type="dxa"/>
            <w:vAlign w:val="bottom"/>
          </w:tcPr>
          <w:p>
            <w:pPr>
              <w:spacing w:after="0"/>
              <w:rPr>
                <w:sz w:val="20"/>
                <w:szCs w:val="20"/>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11,955,739</w:t>
            </w:r>
          </w:p>
        </w:tc>
        <w:tc>
          <w:tcPr>
            <w:tcW w:w="0" w:type="dxa"/>
            <w:vAlign w:val="bottom"/>
          </w:tcPr>
          <w:p>
            <w:pPr>
              <w:spacing w:after="0"/>
              <w:rPr>
                <w:sz w:val="1"/>
                <w:szCs w:val="1"/>
                <w:color w:val="auto"/>
              </w:rPr>
            </w:pPr>
          </w:p>
        </w:tc>
      </w:tr>
    </w:tbl>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MADRIGAL PHARMACEUTICALS,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14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252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Three Months Ended March 31,</w:t>
            </w:r>
          </w:p>
        </w:tc>
        <w:tc>
          <w:tcPr>
            <w:tcW w:w="50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140" w:type="dxa"/>
            <w:vAlign w:val="bottom"/>
          </w:tcPr>
          <w:p>
            <w:pPr>
              <w:spacing w:after="0"/>
              <w:rPr>
                <w:sz w:val="12"/>
                <w:szCs w:val="12"/>
                <w:color w:val="auto"/>
              </w:rPr>
            </w:pPr>
          </w:p>
        </w:tc>
        <w:tc>
          <w:tcPr>
            <w:tcW w:w="2140" w:type="dxa"/>
            <w:vAlign w:val="bottom"/>
          </w:tcPr>
          <w:p>
            <w:pPr>
              <w:spacing w:after="0"/>
              <w:rPr>
                <w:sz w:val="12"/>
                <w:szCs w:val="12"/>
                <w:color w:val="auto"/>
              </w:rPr>
            </w:pPr>
          </w:p>
        </w:tc>
        <w:tc>
          <w:tcPr>
            <w:tcW w:w="8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2018</w:t>
            </w:r>
          </w:p>
        </w:tc>
        <w:tc>
          <w:tcPr>
            <w:tcW w:w="500" w:type="dxa"/>
            <w:vAlign w:val="bottom"/>
            <w:tcBorders>
              <w:bottom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8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2017</w:t>
            </w:r>
          </w:p>
        </w:tc>
        <w:tc>
          <w:tcPr>
            <w:tcW w:w="500" w:type="dxa"/>
            <w:vAlign w:val="bottom"/>
            <w:tcBorders>
              <w:bottom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14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4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3020" w:type="dxa"/>
            <w:vAlign w:val="bottom"/>
            <w:gridSpan w:val="2"/>
            <w:shd w:val="clear" w:color="auto" w:fill="CCEEFF"/>
          </w:tcPr>
          <w:p>
            <w:pPr>
              <w:jc w:val="right"/>
              <w:ind w:right="702"/>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4"/>
              </w:rPr>
              <w:t>(6,364)</w:t>
            </w:r>
          </w:p>
        </w:tc>
        <w:tc>
          <w:tcPr>
            <w:tcW w:w="860" w:type="dxa"/>
            <w:vAlign w:val="bottom"/>
            <w:shd w:val="clear" w:color="auto" w:fill="CCEEFF"/>
          </w:tcPr>
          <w:p>
            <w:pPr>
              <w:jc w:val="right"/>
              <w:ind w:right="676"/>
              <w:spacing w:after="0"/>
              <w:rPr>
                <w:sz w:val="20"/>
                <w:szCs w:val="20"/>
                <w:color w:val="auto"/>
              </w:rPr>
            </w:pPr>
            <w:r>
              <w:rPr>
                <w:rFonts w:ascii="Arial" w:cs="Arial" w:eastAsia="Arial" w:hAnsi="Arial"/>
                <w:sz w:val="18"/>
                <w:szCs w:val="18"/>
                <w:color w:val="auto"/>
                <w:w w:val="79"/>
              </w:rPr>
              <w:t>$</w:t>
            </w:r>
          </w:p>
        </w:tc>
        <w:tc>
          <w:tcPr>
            <w:tcW w:w="6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w w:val="94"/>
              </w:rPr>
              <w:t>(5,999)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tcPr>
          <w:p>
            <w:pPr>
              <w:spacing w:after="0"/>
              <w:rPr>
                <w:sz w:val="20"/>
                <w:szCs w:val="20"/>
                <w:color w:val="auto"/>
              </w:rPr>
            </w:pPr>
            <w:r>
              <w:rPr>
                <w:rFonts w:ascii="Arial" w:cs="Arial" w:eastAsia="Arial" w:hAnsi="Arial"/>
                <w:sz w:val="18"/>
                <w:szCs w:val="18"/>
                <w:color w:val="auto"/>
              </w:rPr>
              <w:t>Other comprehensive income (loss):</w:t>
            </w:r>
          </w:p>
        </w:tc>
        <w:tc>
          <w:tcPr>
            <w:tcW w:w="2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Unrealized gain (loss) on available-for-sale securities</w:t>
            </w:r>
          </w:p>
        </w:tc>
        <w:tc>
          <w:tcPr>
            <w:tcW w:w="2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(143)</w:t>
            </w:r>
          </w:p>
        </w:tc>
        <w:tc>
          <w:tcPr>
            <w:tcW w:w="86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140" w:type="dxa"/>
            <w:vAlign w:val="bottom"/>
          </w:tcPr>
          <w:p>
            <w:pPr>
              <w:ind w:left="340"/>
              <w:spacing w:after="0"/>
              <w:rPr>
                <w:sz w:val="20"/>
                <w:szCs w:val="20"/>
                <w:color w:val="auto"/>
              </w:rPr>
            </w:pPr>
            <w:r>
              <w:rPr>
                <w:rFonts w:ascii="Arial" w:cs="Arial" w:eastAsia="Arial" w:hAnsi="Arial"/>
                <w:sz w:val="18"/>
                <w:szCs w:val="18"/>
                <w:color w:val="auto"/>
              </w:rPr>
              <w:t>Comprehensive loss</w:t>
            </w:r>
          </w:p>
        </w:tc>
        <w:tc>
          <w:tcPr>
            <w:tcW w:w="2140" w:type="dxa"/>
            <w:vAlign w:val="bottom"/>
          </w:tcPr>
          <w:p>
            <w:pPr>
              <w:spacing w:after="0"/>
              <w:rPr>
                <w:sz w:val="19"/>
                <w:szCs w:val="19"/>
                <w:color w:val="auto"/>
              </w:rPr>
            </w:pPr>
          </w:p>
        </w:tc>
        <w:tc>
          <w:tcPr>
            <w:tcW w:w="880" w:type="dxa"/>
            <w:vAlign w:val="bottom"/>
            <w:tcBorders>
              <w:top w:val="single" w:sz="8" w:color="auto"/>
            </w:tcBorders>
          </w:tcPr>
          <w:p>
            <w:pPr>
              <w:jc w:val="right"/>
              <w:ind w:right="702"/>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3"/>
              </w:rPr>
              <w:t>(6,507</w:t>
            </w:r>
          </w:p>
        </w:tc>
        <w:tc>
          <w:tcPr>
            <w:tcW w:w="280" w:type="dxa"/>
            <w:vAlign w:val="bottom"/>
          </w:tcPr>
          <w:p>
            <w:pPr>
              <w:jc w:val="right"/>
              <w:ind w:right="140"/>
              <w:spacing w:after="0"/>
              <w:rPr>
                <w:sz w:val="20"/>
                <w:szCs w:val="20"/>
                <w:color w:val="auto"/>
              </w:rPr>
            </w:pPr>
            <w:r>
              <w:rPr>
                <w:rFonts w:ascii="Arial" w:cs="Arial" w:eastAsia="Arial" w:hAnsi="Arial"/>
                <w:sz w:val="16"/>
                <w:szCs w:val="16"/>
                <w:color w:val="auto"/>
                <w:w w:val="74"/>
              </w:rPr>
              <w:t>)</w:t>
            </w:r>
          </w:p>
        </w:tc>
        <w:tc>
          <w:tcPr>
            <w:tcW w:w="860" w:type="dxa"/>
            <w:vAlign w:val="bottom"/>
            <w:tcBorders>
              <w:top w:val="single" w:sz="8" w:color="auto"/>
            </w:tcBorders>
          </w:tcPr>
          <w:p>
            <w:pPr>
              <w:jc w:val="right"/>
              <w:ind w:right="676"/>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3"/>
              </w:rPr>
              <w:t>(5,960</w:t>
            </w:r>
          </w:p>
        </w:tc>
        <w:tc>
          <w:tcPr>
            <w:tcW w:w="100" w:type="dxa"/>
            <w:vAlign w:val="bottom"/>
            <w:gridSpan w:val="2"/>
          </w:tcPr>
          <w:p>
            <w:pPr>
              <w:jc w:val="right"/>
              <w:ind w:right="40"/>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4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MADRIGAL PHARMACEUTICALS,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79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820" w:type="dxa"/>
            <w:vAlign w:val="bottom"/>
            <w:gridSpan w:val="5"/>
          </w:tcPr>
          <w:p>
            <w:pPr>
              <w:jc w:val="right"/>
              <w:ind w:right="620"/>
              <w:spacing w:after="0"/>
              <w:rPr>
                <w:sz w:val="20"/>
                <w:szCs w:val="20"/>
                <w:color w:val="auto"/>
              </w:rPr>
            </w:pPr>
            <w:r>
              <w:rPr>
                <w:rFonts w:ascii="Arial" w:cs="Arial" w:eastAsia="Arial" w:hAnsi="Arial"/>
                <w:sz w:val="14"/>
                <w:szCs w:val="14"/>
                <w:b w:val="1"/>
                <w:bCs w:val="1"/>
                <w:color w:val="auto"/>
              </w:rPr>
              <w:t>Three Months Ended March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9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00" w:type="dxa"/>
            <w:vAlign w:val="bottom"/>
            <w:tcBorders>
              <w:top w:val="single" w:sz="8" w:color="auto"/>
              <w:bottom w:val="single" w:sz="8" w:color="auto"/>
            </w:tcBorders>
          </w:tcPr>
          <w:p>
            <w:pPr>
              <w:spacing w:after="0"/>
              <w:rPr>
                <w:sz w:val="12"/>
                <w:szCs w:val="12"/>
                <w:color w:val="auto"/>
              </w:rPr>
            </w:pPr>
          </w:p>
        </w:tc>
        <w:tc>
          <w:tcPr>
            <w:tcW w:w="1080" w:type="dxa"/>
            <w:vAlign w:val="bottom"/>
            <w:tcBorders>
              <w:top w:val="single" w:sz="8" w:color="auto"/>
              <w:bottom w:val="single" w:sz="8" w:color="auto"/>
            </w:tcBorders>
          </w:tcPr>
          <w:p>
            <w:pPr>
              <w:jc w:val="right"/>
              <w:ind w:right="452"/>
              <w:spacing w:after="0" w:line="142" w:lineRule="exact"/>
              <w:rPr>
                <w:sz w:val="20"/>
                <w:szCs w:val="20"/>
                <w:color w:val="auto"/>
              </w:rPr>
            </w:pPr>
            <w:r>
              <w:rPr>
                <w:rFonts w:ascii="Arial" w:cs="Arial" w:eastAsia="Arial" w:hAnsi="Arial"/>
                <w:sz w:val="14"/>
                <w:szCs w:val="14"/>
                <w:b w:val="1"/>
                <w:bCs w:val="1"/>
                <w:color w:val="auto"/>
              </w:rPr>
              <w:t>2018</w:t>
            </w:r>
          </w:p>
        </w:tc>
        <w:tc>
          <w:tcPr>
            <w:tcW w:w="280" w:type="dxa"/>
            <w:vAlign w:val="bottom"/>
            <w:tcBorders>
              <w:top w:val="single" w:sz="8" w:color="auto"/>
            </w:tcBorders>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1040" w:type="dxa"/>
            <w:vAlign w:val="bottom"/>
            <w:tcBorders>
              <w:top w:val="single" w:sz="8" w:color="auto"/>
              <w:bottom w:val="single" w:sz="8" w:color="auto"/>
            </w:tcBorders>
          </w:tcPr>
          <w:p>
            <w:pPr>
              <w:jc w:val="right"/>
              <w:ind w:right="451"/>
              <w:spacing w:after="0" w:line="142" w:lineRule="exact"/>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9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8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Pr>
          <w:p>
            <w:pPr>
              <w:ind w:left="160"/>
              <w:spacing w:after="0"/>
              <w:rPr>
                <w:sz w:val="20"/>
                <w:szCs w:val="20"/>
                <w:color w:val="auto"/>
              </w:rPr>
            </w:pPr>
            <w:r>
              <w:rPr>
                <w:rFonts w:ascii="Arial" w:cs="Arial" w:eastAsia="Arial" w:hAnsi="Arial"/>
                <w:sz w:val="18"/>
                <w:szCs w:val="18"/>
                <w:color w:val="auto"/>
              </w:rPr>
              <w:t>Net loss</w:t>
            </w:r>
          </w:p>
        </w:tc>
        <w:tc>
          <w:tcPr>
            <w:tcW w:w="6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(6,364)</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(5,999)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Pr>
          <w:p>
            <w:pPr>
              <w:ind w:left="340"/>
              <w:spacing w:after="0"/>
              <w:rPr>
                <w:sz w:val="20"/>
                <w:szCs w:val="20"/>
                <w:color w:val="auto"/>
              </w:rPr>
            </w:pPr>
            <w:r>
              <w:rPr>
                <w:rFonts w:ascii="Arial" w:cs="Arial" w:eastAsia="Arial" w:hAnsi="Arial"/>
                <w:sz w:val="18"/>
                <w:szCs w:val="18"/>
                <w:color w:val="auto"/>
              </w:rPr>
              <w:t>Stock-based compensation expense</w:t>
            </w: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gridSpan w:val="2"/>
          </w:tcPr>
          <w:p>
            <w:pPr>
              <w:jc w:val="right"/>
              <w:ind w:right="280"/>
              <w:spacing w:after="0"/>
              <w:rPr>
                <w:sz w:val="20"/>
                <w:szCs w:val="20"/>
                <w:color w:val="auto"/>
              </w:rPr>
            </w:pPr>
            <w:r>
              <w:rPr>
                <w:rFonts w:ascii="Arial" w:cs="Arial" w:eastAsia="Arial" w:hAnsi="Arial"/>
                <w:sz w:val="18"/>
                <w:szCs w:val="18"/>
                <w:color w:val="auto"/>
              </w:rPr>
              <w:t>1,167</w:t>
            </w: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602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Depreciation and amortization expense</w:t>
            </w: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23</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Pr>
          <w:p>
            <w:pPr>
              <w:ind w:left="520"/>
              <w:spacing w:after="0"/>
              <w:rPr>
                <w:sz w:val="20"/>
                <w:szCs w:val="20"/>
                <w:color w:val="auto"/>
              </w:rPr>
            </w:pPr>
            <w:r>
              <w:rPr>
                <w:rFonts w:ascii="Arial" w:cs="Arial" w:eastAsia="Arial" w:hAnsi="Arial"/>
                <w:sz w:val="18"/>
                <w:szCs w:val="18"/>
                <w:color w:val="auto"/>
              </w:rPr>
              <w:t>Prepaid expenses and other current assets</w:t>
            </w: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gridSpan w:val="2"/>
          </w:tcPr>
          <w:p>
            <w:pPr>
              <w:jc w:val="right"/>
              <w:ind w:right="280"/>
              <w:spacing w:after="0"/>
              <w:rPr>
                <w:sz w:val="20"/>
                <w:szCs w:val="20"/>
                <w:color w:val="auto"/>
              </w:rPr>
            </w:pPr>
            <w:r>
              <w:rPr>
                <w:rFonts w:ascii="Arial" w:cs="Arial" w:eastAsia="Arial" w:hAnsi="Arial"/>
                <w:sz w:val="18"/>
                <w:szCs w:val="18"/>
                <w:color w:val="auto"/>
              </w:rPr>
              <w:t>290</w:t>
            </w: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520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shd w:val="clear" w:color="auto" w:fill="CCEEFF"/>
          </w:tcPr>
          <w:p>
            <w:pPr>
              <w:ind w:left="520"/>
              <w:spacing w:after="0"/>
              <w:rPr>
                <w:sz w:val="20"/>
                <w:szCs w:val="20"/>
                <w:color w:val="auto"/>
              </w:rPr>
            </w:pPr>
            <w:r>
              <w:rPr>
                <w:rFonts w:ascii="Arial" w:cs="Arial" w:eastAsia="Arial" w:hAnsi="Arial"/>
                <w:sz w:val="18"/>
                <w:szCs w:val="18"/>
                <w:color w:val="auto"/>
              </w:rPr>
              <w:t>Accounts payable</w:t>
            </w: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(509)</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Pr>
          <w:p>
            <w:pPr>
              <w:ind w:left="520"/>
              <w:spacing w:after="0"/>
              <w:rPr>
                <w:sz w:val="20"/>
                <w:szCs w:val="20"/>
                <w:color w:val="auto"/>
              </w:rPr>
            </w:pPr>
            <w:r>
              <w:rPr>
                <w:rFonts w:ascii="Arial" w:cs="Arial" w:eastAsia="Arial" w:hAnsi="Arial"/>
                <w:sz w:val="18"/>
                <w:szCs w:val="18"/>
                <w:color w:val="auto"/>
              </w:rPr>
              <w:t>Accrued expense</w:t>
            </w: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(3,251)</w:t>
            </w:r>
          </w:p>
        </w:tc>
        <w:tc>
          <w:tcPr>
            <w:tcW w:w="32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(912)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80" w:type="dxa"/>
            <w:vAlign w:val="bottom"/>
            <w:tcBorders>
              <w:top w:val="single" w:sz="8" w:color="CCEEFF"/>
            </w:tcBorders>
            <w:shd w:val="clear" w:color="auto" w:fill="CCEEFF"/>
          </w:tcPr>
          <w:p>
            <w:pPr>
              <w:ind w:left="700"/>
              <w:spacing w:after="0"/>
              <w:rPr>
                <w:sz w:val="20"/>
                <w:szCs w:val="20"/>
                <w:color w:val="auto"/>
              </w:rPr>
            </w:pPr>
            <w:r>
              <w:rPr>
                <w:rFonts w:ascii="Arial" w:cs="Arial" w:eastAsia="Arial" w:hAnsi="Arial"/>
                <w:sz w:val="18"/>
                <w:szCs w:val="18"/>
                <w:color w:val="auto"/>
              </w:rPr>
              <w:t>Net cash used in operating activities</w:t>
            </w:r>
          </w:p>
        </w:tc>
        <w:tc>
          <w:tcPr>
            <w:tcW w:w="3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spacing w:after="0"/>
              <w:rPr>
                <w:sz w:val="18"/>
                <w:szCs w:val="18"/>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(8,644)</w:t>
            </w:r>
          </w:p>
        </w:tc>
        <w:tc>
          <w:tcPr>
            <w:tcW w:w="2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(3,771)</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980" w:type="dxa"/>
            <w:vAlign w:val="bottom"/>
          </w:tcPr>
          <w:p>
            <w:pPr>
              <w:spacing w:after="0" w:line="196" w:lineRule="exact"/>
              <w:rPr>
                <w:sz w:val="20"/>
                <w:szCs w:val="20"/>
                <w:color w:val="auto"/>
              </w:rPr>
            </w:pPr>
            <w:r>
              <w:rPr>
                <w:rFonts w:ascii="Arial" w:cs="Arial" w:eastAsia="Arial" w:hAnsi="Arial"/>
                <w:sz w:val="18"/>
                <w:szCs w:val="18"/>
                <w:color w:val="auto"/>
              </w:rPr>
              <w:t>Cash flows from investing activities:</w:t>
            </w:r>
          </w:p>
        </w:tc>
        <w:tc>
          <w:tcPr>
            <w:tcW w:w="3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Purchases of marketable securities</w:t>
            </w: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(122,193)</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(22,119)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Pr>
          <w:p>
            <w:pPr>
              <w:ind w:left="340"/>
              <w:spacing w:after="0"/>
              <w:rPr>
                <w:sz w:val="20"/>
                <w:szCs w:val="20"/>
                <w:color w:val="auto"/>
              </w:rPr>
            </w:pPr>
            <w:r>
              <w:rPr>
                <w:rFonts w:ascii="Arial" w:cs="Arial" w:eastAsia="Arial" w:hAnsi="Arial"/>
                <w:sz w:val="18"/>
                <w:szCs w:val="18"/>
                <w:color w:val="auto"/>
              </w:rPr>
              <w:t>Sales and maturities of marketable securities</w:t>
            </w: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gridSpan w:val="2"/>
          </w:tcPr>
          <w:p>
            <w:pPr>
              <w:jc w:val="right"/>
              <w:ind w:right="280"/>
              <w:spacing w:after="0"/>
              <w:rPr>
                <w:sz w:val="20"/>
                <w:szCs w:val="20"/>
                <w:color w:val="auto"/>
              </w:rPr>
            </w:pPr>
            <w:r>
              <w:rPr>
                <w:rFonts w:ascii="Arial" w:cs="Arial" w:eastAsia="Arial" w:hAnsi="Arial"/>
                <w:sz w:val="18"/>
                <w:szCs w:val="18"/>
                <w:color w:val="auto"/>
              </w:rPr>
              <w:t>20,071</w:t>
            </w: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11,563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Purchases of property and equipment, net of disposals</w:t>
            </w: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80" w:type="dxa"/>
            <w:vAlign w:val="bottom"/>
            <w:tcBorders>
              <w:bottom w:val="single" w:sz="8" w:color="CCEEFF"/>
            </w:tcBorders>
          </w:tcPr>
          <w:p>
            <w:pPr>
              <w:ind w:left="880"/>
              <w:spacing w:after="0"/>
              <w:rPr>
                <w:sz w:val="20"/>
                <w:szCs w:val="20"/>
                <w:color w:val="auto"/>
              </w:rPr>
            </w:pPr>
            <w:r>
              <w:rPr>
                <w:rFonts w:ascii="Arial" w:cs="Arial" w:eastAsia="Arial" w:hAnsi="Arial"/>
                <w:sz w:val="18"/>
                <w:szCs w:val="18"/>
                <w:color w:val="auto"/>
              </w:rPr>
              <w:t>Net cash used in investing activities</w:t>
            </w:r>
          </w:p>
        </w:tc>
        <w:tc>
          <w:tcPr>
            <w:tcW w:w="300" w:type="dxa"/>
            <w:vAlign w:val="bottom"/>
            <w:tcBorders>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(102,123)</w:t>
            </w:r>
          </w:p>
        </w:tc>
        <w:tc>
          <w:tcPr>
            <w:tcW w:w="280" w:type="dxa"/>
            <w:vAlign w:val="bottom"/>
            <w:tcBorders>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(10,558)</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9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Cash flows from financing activities:</w:t>
            </w:r>
          </w:p>
        </w:tc>
        <w:tc>
          <w:tcPr>
            <w:tcW w:w="3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Pr>
          <w:p>
            <w:pPr>
              <w:ind w:left="340"/>
              <w:spacing w:after="0"/>
              <w:rPr>
                <w:sz w:val="20"/>
                <w:szCs w:val="20"/>
                <w:color w:val="auto"/>
              </w:rPr>
            </w:pPr>
            <w:r>
              <w:rPr>
                <w:rFonts w:ascii="Arial" w:cs="Arial" w:eastAsia="Arial" w:hAnsi="Arial"/>
                <w:sz w:val="18"/>
                <w:szCs w:val="18"/>
                <w:color w:val="auto"/>
                <w:w w:val="93"/>
              </w:rPr>
              <w:t>Proceeds from issuance of stock, net of transaction costs, including exercise of common stock options</w:t>
            </w: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gridSpan w:val="2"/>
          </w:tcPr>
          <w:p>
            <w:pPr>
              <w:jc w:val="right"/>
              <w:ind w:right="280"/>
              <w:spacing w:after="0"/>
              <w:rPr>
                <w:sz w:val="20"/>
                <w:szCs w:val="20"/>
                <w:color w:val="auto"/>
              </w:rPr>
            </w:pPr>
            <w:r>
              <w:rPr>
                <w:rFonts w:ascii="Arial" w:cs="Arial" w:eastAsia="Arial" w:hAnsi="Arial"/>
                <w:sz w:val="18"/>
                <w:szCs w:val="18"/>
                <w:color w:val="auto"/>
              </w:rPr>
              <w:t>265</w:t>
            </w: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3,399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80" w:type="dxa"/>
            <w:vAlign w:val="bottom"/>
            <w:tcBorders>
              <w:top w:val="single" w:sz="8" w:color="CCEEFF"/>
            </w:tcBorders>
            <w:shd w:val="clear" w:color="auto" w:fill="CCEEFF"/>
          </w:tcPr>
          <w:p>
            <w:pPr>
              <w:ind w:left="880"/>
              <w:spacing w:after="0"/>
              <w:rPr>
                <w:sz w:val="20"/>
                <w:szCs w:val="20"/>
                <w:color w:val="auto"/>
              </w:rPr>
            </w:pPr>
            <w:r>
              <w:rPr>
                <w:rFonts w:ascii="Arial" w:cs="Arial" w:eastAsia="Arial" w:hAnsi="Arial"/>
                <w:sz w:val="18"/>
                <w:szCs w:val="18"/>
                <w:color w:val="auto"/>
              </w:rPr>
              <w:t>Net cash provided by financing activities</w:t>
            </w:r>
          </w:p>
        </w:tc>
        <w:tc>
          <w:tcPr>
            <w:tcW w:w="3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spacing w:after="0"/>
              <w:rPr>
                <w:sz w:val="18"/>
                <w:szCs w:val="18"/>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265</w:t>
            </w:r>
          </w:p>
        </w:tc>
        <w:tc>
          <w:tcPr>
            <w:tcW w:w="2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3,399</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80" w:type="dxa"/>
            <w:vAlign w:val="bottom"/>
          </w:tcPr>
          <w:p>
            <w:pPr>
              <w:ind w:left="880"/>
              <w:spacing w:after="0"/>
              <w:rPr>
                <w:sz w:val="20"/>
                <w:szCs w:val="20"/>
                <w:color w:val="auto"/>
              </w:rPr>
            </w:pPr>
            <w:r>
              <w:rPr>
                <w:rFonts w:ascii="Arial" w:cs="Arial" w:eastAsia="Arial" w:hAnsi="Arial"/>
                <w:sz w:val="18"/>
                <w:szCs w:val="18"/>
                <w:color w:val="auto"/>
              </w:rPr>
              <w:t>Net decrease in cash and cash equivalents</w:t>
            </w: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(110,502)</w:t>
            </w: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(10,930)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79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bl>
    <w:p>
      <w:pPr>
        <w:sectPr>
          <w:pgSz w:w="11900" w:h="16900" w:orient="portrait"/>
          <w:cols w:equalWidth="0" w:num="1">
            <w:col w:w="11420"/>
          </w:cols>
          <w:pgMar w:left="240" w:top="125" w:right="239" w:bottom="0" w:gutter="0" w:footer="0" w:header="0"/>
        </w:sectPr>
      </w:pPr>
    </w:p>
    <w:bookmarkStart w:id="3" w:name="page4"/>
    <w:bookmarkEnd w:id="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30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beginning of period</w:t>
            </w:r>
          </w:p>
        </w:tc>
        <w:tc>
          <w:tcPr>
            <w:tcW w:w="4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148,627</w:t>
            </w:r>
          </w:p>
        </w:tc>
        <w:tc>
          <w:tcPr>
            <w:tcW w:w="4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19,145</w:t>
            </w:r>
          </w:p>
        </w:tc>
        <w:tc>
          <w:tcPr>
            <w:tcW w:w="80" w:type="dxa"/>
            <w:vAlign w:val="bottom"/>
            <w:shd w:val="clear" w:color="auto" w:fill="CCEEFF"/>
          </w:tcPr>
          <w:p>
            <w:pPr>
              <w:spacing w:after="0"/>
              <w:rPr>
                <w:sz w:val="18"/>
                <w:szCs w:val="18"/>
                <w:color w:val="auto"/>
              </w:rPr>
            </w:pPr>
          </w:p>
        </w:tc>
      </w:tr>
      <w:tr>
        <w:trPr>
          <w:trHeight w:val="210"/>
        </w:trPr>
        <w:tc>
          <w:tcPr>
            <w:tcW w:w="8300" w:type="dxa"/>
            <w:vAlign w:val="bottom"/>
          </w:tcPr>
          <w:p>
            <w:pPr>
              <w:spacing w:after="0"/>
              <w:rPr>
                <w:sz w:val="20"/>
                <w:szCs w:val="20"/>
                <w:color w:val="auto"/>
              </w:rPr>
            </w:pPr>
            <w:r>
              <w:rPr>
                <w:rFonts w:ascii="Arial" w:cs="Arial" w:eastAsia="Arial" w:hAnsi="Arial"/>
                <w:sz w:val="18"/>
                <w:szCs w:val="18"/>
                <w:color w:val="auto"/>
              </w:rPr>
              <w:t>Cash and cash equivalents at end of period</w:t>
            </w:r>
          </w:p>
        </w:tc>
        <w:tc>
          <w:tcPr>
            <w:tcW w:w="44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38,125</w:t>
            </w:r>
          </w:p>
        </w:tc>
        <w:tc>
          <w:tcPr>
            <w:tcW w:w="280" w:type="dxa"/>
            <w:vAlign w:val="bottom"/>
          </w:tcPr>
          <w:p>
            <w:pPr>
              <w:spacing w:after="0"/>
              <w:rPr>
                <w:sz w:val="18"/>
                <w:szCs w:val="18"/>
                <w:color w:val="auto"/>
              </w:rPr>
            </w:pPr>
          </w:p>
        </w:tc>
        <w:tc>
          <w:tcPr>
            <w:tcW w:w="4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8,215</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0"/>
        </w:trPr>
        <w:tc>
          <w:tcPr>
            <w:tcW w:w="83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MADRIGAL PHARMACEUTICALS,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ind w:right="7420" w:firstLine="8"/>
        <w:spacing w:after="0" w:line="503" w:lineRule="auto"/>
        <w:tabs>
          <w:tab w:leader="none" w:pos="18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Organization, Business, and Basis of Presentation Organization and Business</w:t>
      </w:r>
    </w:p>
    <w:p>
      <w:pPr>
        <w:spacing w:after="0" w:line="1"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Madrigal Pharmaceuticals, Inc. (the “Company” or “Madrigal”) is a clinical-stage pharmaceutical company developing novel, high-quality, small-molecule drugs addressing major unmet needs in cardiovascular, metabolic, and liver diseases. The Company’s lead compound, MGL-3196, is being advanced for non-alcoholic steatohepatitis (“NASH”), a liver disease that commonly affects people with metabolic diseases such as obesity and diabetes, and indications in dyslipidemia, particularly genetic dyslipidemias such as familial hypercholesterolemia (“FH”), including both homozygous and heterozygous forms of the disease. The Company initiated a Phase 2 study of MGL-3196 in NASH in October 2016. In February 2017, the Company initiated a Phase 2 study of MGL-3196 in patients with Heterozygous Familial Hypercholesterolemia (“HeFH”). Both Phase 2 studies were fully enrolled in 2017, and the HeFH study was completed in February 2018.</w:t>
      </w:r>
    </w:p>
    <w:p>
      <w:pPr>
        <w:spacing w:after="0" w:line="189"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Madrigal was originally incorporated as a private company (“Private Madrigal”) on August 19, 2011 and commenced operations in September 2011. On July 22, 2016, Private Madrigal completed a reverse merger (the “Merger”) into Synta Pharmaceuticals Corp. (“Synta”). Upon the consummation of the Merger, the historical financial statements of Private Madrigal became the Company’s historical financial statements. The Company, or Madrigal, as used in the accompanying notes to the unaudited condensed consolidated financial statements, refers to Private Madrigal prior to the completion of the Merger and Public Madrigal subsequent to the completion of the Merger.</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w:t>
      </w:r>
    </w:p>
    <w:p>
      <w:pPr>
        <w:spacing w:after="0" w:line="229" w:lineRule="exact"/>
        <w:rPr>
          <w:sz w:val="20"/>
          <w:szCs w:val="20"/>
          <w:color w:val="auto"/>
        </w:rPr>
      </w:pPr>
    </w:p>
    <w:p>
      <w:pPr>
        <w:ind w:right="40" w:firstLine="648"/>
        <w:spacing w:after="0" w:line="271" w:lineRule="auto"/>
        <w:rPr>
          <w:sz w:val="20"/>
          <w:szCs w:val="20"/>
          <w:color w:val="auto"/>
        </w:rPr>
      </w:pPr>
      <w:r>
        <w:rPr>
          <w:rFonts w:ascii="Arial" w:cs="Arial" w:eastAsia="Arial" w:hAnsi="Arial"/>
          <w:sz w:val="17"/>
          <w:szCs w:val="17"/>
          <w:color w:val="auto"/>
        </w:rPr>
        <w:t>Certain information and footnote disclosures normally included in financial statements prepared in accordance with accounting principles generally accepted in the United States (“GAAP”) have been condensed or omitted. Accordingly, the unaudited condensed consolidated financial statements do not include all information and footnotes required by GAAP for complete annual financial statements. However, we believe that the disclosures included in these financial statements are adequate to make the information presented not misleading. The unaudited condensed financial statements, in the opinion of management, reflect all adjustments, which include normal recurring adjustments, necessary for a fair statement of such interim results. The interim results are not necessarily indicative of the results that we will have for the full year ended December 31, 2018 or any subsequent period. These unaudited condensed financial statements should be read in conjunction with the audited consolidated financial statements and the notes to those statements for the year ended December 31, 2017.</w:t>
      </w:r>
    </w:p>
    <w:p>
      <w:pPr>
        <w:spacing w:after="0" w:line="175" w:lineRule="exact"/>
        <w:rPr>
          <w:sz w:val="20"/>
          <w:szCs w:val="20"/>
          <w:color w:val="auto"/>
        </w:rPr>
      </w:pPr>
    </w:p>
    <w:p>
      <w:pPr>
        <w:ind w:right="7860" w:firstLine="8"/>
        <w:spacing w:after="0" w:line="503" w:lineRule="auto"/>
        <w:tabs>
          <w:tab w:leader="none" w:pos="18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 Principle of Consolidation</w:t>
      </w:r>
    </w:p>
    <w:p>
      <w:pPr>
        <w:spacing w:after="0" w:line="1" w:lineRule="exact"/>
        <w:rPr>
          <w:sz w:val="20"/>
          <w:szCs w:val="20"/>
          <w:color w:val="auto"/>
        </w:rPr>
      </w:pPr>
    </w:p>
    <w:p>
      <w:pPr>
        <w:ind w:right="920" w:firstLine="648"/>
        <w:spacing w:after="0" w:line="277" w:lineRule="auto"/>
        <w:rPr>
          <w:sz w:val="20"/>
          <w:szCs w:val="20"/>
          <w:color w:val="auto"/>
        </w:rPr>
      </w:pPr>
      <w:r>
        <w:rPr>
          <w:rFonts w:ascii="Arial" w:cs="Arial" w:eastAsia="Arial" w:hAnsi="Arial"/>
          <w:sz w:val="18"/>
          <w:szCs w:val="18"/>
          <w:color w:val="auto"/>
        </w:rPr>
        <w:t>The consolidated financial statements include the financial statements of the Company and its wholly owned subsidiaries. All significant intercompany balances have been eliminated in consolidation.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w:t>
      </w:r>
    </w:p>
    <w:p>
      <w:pPr>
        <w:spacing w:after="0" w:line="229" w:lineRule="exact"/>
        <w:rPr>
          <w:sz w:val="20"/>
          <w:szCs w:val="20"/>
          <w:color w:val="auto"/>
        </w:rPr>
      </w:pPr>
    </w:p>
    <w:p>
      <w:pPr>
        <w:ind w:right="80" w:firstLine="648"/>
        <w:spacing w:after="0" w:line="257" w:lineRule="auto"/>
        <w:rPr>
          <w:sz w:val="20"/>
          <w:szCs w:val="20"/>
          <w:color w:val="auto"/>
        </w:rPr>
      </w:pPr>
      <w:r>
        <w:rPr>
          <w:rFonts w:ascii="Arial" w:cs="Arial" w:eastAsia="Arial" w:hAnsi="Arial"/>
          <w:sz w:val="18"/>
          <w:szCs w:val="18"/>
          <w:color w:val="auto"/>
        </w:rPr>
        <w:t>The preparation of financial statements in conformity with GAAP requires management to make estimates and assumptions that affect certain reported amounts of assets and liabilities, the disclosure of contingent assets and liabilities at the date of the financial statements, and the reported amounts of revenues and expenses during the reporting periods. The Company bases its estimates on historical experience and various other assumptions that management believes to be reasonable under the circumstances. Changes in estimates are recorded in the period in which they become known. Actual results could differ from those estimates.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and Cash Equivalents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Company considers all highly liquid investments with original maturities of three months or less at the date of purchase to be cash equivalents.</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The Company maintains its cash in bank accounts, the balance of which, at times, exceeds Federal Deposit Insurance Corporation insured limits.</w:t>
      </w:r>
    </w:p>
    <w:p>
      <w:pPr>
        <w:spacing w:after="0" w:line="222"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The primary objective of the Company’s investment activities is to preserve its capital for the purpose of funding operations and the Company does not enter into investments for trading or speculative purposes. The Company’s cash is deposited in highly rated financial institutions in the United States. The Company invests in money market funds and high-grade, short-term commercial paper and corporate bonds, which management believes are subject to minimal credit and market risk.</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Marketable Securities</w:t>
      </w:r>
    </w:p>
    <w:p>
      <w:pPr>
        <w:sectPr>
          <w:pgSz w:w="11900" w:h="16838" w:orient="portrait"/>
          <w:cols w:equalWidth="0" w:num="1">
            <w:col w:w="11420"/>
          </w:cols>
          <w:pgMar w:left="240" w:top="140" w:right="239" w:bottom="0" w:gutter="0" w:footer="0" w:header="0"/>
        </w:sectPr>
      </w:pPr>
    </w:p>
    <w:bookmarkStart w:id="4" w:name="page5"/>
    <w:bookmarkEnd w:id="4"/>
    <w:p>
      <w:pPr>
        <w:spacing w:after="0" w:line="28" w:lineRule="exact"/>
        <w:rPr>
          <w:sz w:val="20"/>
          <w:szCs w:val="20"/>
          <w:color w:val="auto"/>
        </w:rPr>
      </w:pPr>
    </w:p>
    <w:p>
      <w:pPr>
        <w:ind w:right="120" w:firstLine="648"/>
        <w:spacing w:after="0" w:line="264" w:lineRule="auto"/>
        <w:rPr>
          <w:sz w:val="20"/>
          <w:szCs w:val="20"/>
          <w:color w:val="auto"/>
        </w:rPr>
      </w:pPr>
      <w:r>
        <w:rPr>
          <w:rFonts w:ascii="Arial" w:cs="Arial" w:eastAsia="Arial" w:hAnsi="Arial"/>
          <w:sz w:val="18"/>
          <w:szCs w:val="18"/>
          <w:color w:val="auto"/>
        </w:rPr>
        <w:t>Marketable securities consist of investments in high-grade corporate obligations and government and government agency obligations that are classified as available-for-sale. Since these securities are available to fund current operations they are classified as current assets on the consolidated balance sheets.</w:t>
      </w:r>
    </w:p>
    <w:p>
      <w:pPr>
        <w:spacing w:after="0" w:line="181" w:lineRule="exact"/>
        <w:rPr>
          <w:sz w:val="20"/>
          <w:szCs w:val="20"/>
          <w:color w:val="auto"/>
        </w:rPr>
      </w:pPr>
    </w:p>
    <w:p>
      <w:pPr>
        <w:ind w:right="140" w:firstLine="648"/>
        <w:spacing w:after="0" w:line="255" w:lineRule="auto"/>
        <w:rPr>
          <w:sz w:val="20"/>
          <w:szCs w:val="20"/>
          <w:color w:val="auto"/>
        </w:rPr>
      </w:pPr>
      <w:r>
        <w:rPr>
          <w:rFonts w:ascii="Arial" w:cs="Arial" w:eastAsia="Arial" w:hAnsi="Arial"/>
          <w:sz w:val="18"/>
          <w:szCs w:val="18"/>
          <w:color w:val="auto"/>
        </w:rPr>
        <w:t>The Company adjusts the cost of available-for-sale debt securities for amortization of premiums and accretion of discounts to maturity. The Company includes such amortization and accretion as a component of interest income, net. Realized gains and losses and declines in value, if any, that the Company judges to be other-than-temporary on available-for-sale securities are reported as a component of interest income, net. To determine whether an other-than-temporary impairment exists, the Company considers whether it intends to sell the debt security and, if the Company does not intend to sell the debt security, it considers available evidence to assess whether it is more likely than not that it will be required to sell the security before the recovery of its amortized cost basis. During the three months ended March 31, 2018 and 2017, the Company determined it did not have any securities that were other-than-temporarily impaired.</w:t>
      </w:r>
    </w:p>
    <w:p>
      <w:pPr>
        <w:spacing w:after="0" w:line="189" w:lineRule="exact"/>
        <w:rPr>
          <w:sz w:val="20"/>
          <w:szCs w:val="20"/>
          <w:color w:val="auto"/>
        </w:rPr>
      </w:pPr>
    </w:p>
    <w:p>
      <w:pPr>
        <w:ind w:right="40" w:firstLine="648"/>
        <w:spacing w:after="0" w:line="279" w:lineRule="auto"/>
        <w:rPr>
          <w:sz w:val="20"/>
          <w:szCs w:val="20"/>
          <w:color w:val="auto"/>
        </w:rPr>
      </w:pPr>
      <w:r>
        <w:rPr>
          <w:rFonts w:ascii="Arial" w:cs="Arial" w:eastAsia="Arial" w:hAnsi="Arial"/>
          <w:sz w:val="17"/>
          <w:szCs w:val="17"/>
          <w:color w:val="auto"/>
        </w:rPr>
        <w:t>Marketable securities are stated at fair value, including accrued interest, with their unrealized gains and losses included as a component of accumulated other comprehensive income or loss, which is a separate component of stockholders’ equity. The fair value of these securities is based on quoted prices and observable inputs on a recurring basis. Realized gains and losses are determined on the specific identification method. During the three months ended March 31, 2018 and 2017, the Company did not have any realized gains or losses on marketable securities.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of Financial Instruments</w:t>
      </w:r>
    </w:p>
    <w:p>
      <w:pPr>
        <w:spacing w:after="0" w:line="229" w:lineRule="exact"/>
        <w:rPr>
          <w:sz w:val="20"/>
          <w:szCs w:val="20"/>
          <w:color w:val="auto"/>
        </w:rPr>
      </w:pPr>
    </w:p>
    <w:p>
      <w:pPr>
        <w:ind w:firstLine="648"/>
        <w:spacing w:after="0" w:line="286" w:lineRule="auto"/>
        <w:rPr>
          <w:sz w:val="20"/>
          <w:szCs w:val="20"/>
          <w:color w:val="auto"/>
        </w:rPr>
      </w:pPr>
      <w:r>
        <w:rPr>
          <w:rFonts w:ascii="Arial" w:cs="Arial" w:eastAsia="Arial" w:hAnsi="Arial"/>
          <w:sz w:val="17"/>
          <w:szCs w:val="17"/>
          <w:color w:val="auto"/>
        </w:rPr>
        <w:t>The carrying amounts of the Company’s financial instruments, which include cash equivalents, and marketable securities, approximate their fair values. The fair value of the Company’s financial instruments reflects the amounts that would be received upon sale of an asset or paid to transfer a liability in an orderly transaction between market participants at the measurement date. The fair value hierarchy has the following three levels:</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Level 1—quoted prices in active markets for identical assets and liabilities.</w:t>
      </w:r>
    </w:p>
    <w:p>
      <w:pPr>
        <w:spacing w:after="0" w:line="225" w:lineRule="exact"/>
        <w:rPr>
          <w:sz w:val="20"/>
          <w:szCs w:val="20"/>
          <w:color w:val="auto"/>
        </w:rPr>
      </w:pPr>
    </w:p>
    <w:p>
      <w:pPr>
        <w:ind w:left="660" w:right="520"/>
        <w:spacing w:after="0" w:line="277" w:lineRule="auto"/>
        <w:rPr>
          <w:sz w:val="20"/>
          <w:szCs w:val="20"/>
          <w:color w:val="auto"/>
        </w:rPr>
      </w:pPr>
      <w:r>
        <w:rPr>
          <w:rFonts w:ascii="Arial" w:cs="Arial" w:eastAsia="Arial" w:hAnsi="Arial"/>
          <w:sz w:val="18"/>
          <w:szCs w:val="18"/>
          <w:color w:val="auto"/>
        </w:rPr>
        <w:t>Level 2—observable inputs other than Level 1 inputs. Examples of Level 2 inputs include quoted prices in active markets for similar assets or liabilities and quoted prices for identical assets or liabilities in markets that are not active.</w:t>
      </w:r>
    </w:p>
    <w:p>
      <w:pPr>
        <w:spacing w:after="0" w:line="170" w:lineRule="exact"/>
        <w:rPr>
          <w:sz w:val="20"/>
          <w:szCs w:val="20"/>
          <w:color w:val="auto"/>
        </w:rPr>
      </w:pPr>
    </w:p>
    <w:p>
      <w:pPr>
        <w:ind w:left="660" w:right="80"/>
        <w:spacing w:after="0" w:line="277" w:lineRule="auto"/>
        <w:rPr>
          <w:sz w:val="20"/>
          <w:szCs w:val="20"/>
          <w:color w:val="auto"/>
        </w:rPr>
      </w:pPr>
      <w:r>
        <w:rPr>
          <w:rFonts w:ascii="Arial" w:cs="Arial" w:eastAsia="Arial" w:hAnsi="Arial"/>
          <w:sz w:val="18"/>
          <w:szCs w:val="18"/>
          <w:color w:val="auto"/>
        </w:rPr>
        <w:t>Level 3—unobservable inputs that reflect the Company’s own assumptions about the assumptions market participants would use in pricing the asset or liability.</w:t>
      </w:r>
    </w:p>
    <w:p>
      <w:pPr>
        <w:spacing w:after="0" w:line="170"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color w:val="auto"/>
        </w:rPr>
        <w:t>Financial assets and liabilities are classified in their entirety within the fair value hierarchy based on the lowest level of input that is significant to the fair value measurement. The Company measures the fair value of its marketable securities by taking into consideration valuations obtained from third-party pricing sources. The pricing services utilize industry standard valuation models, including both income and market based approaches, for which all significant inputs are observable, either directly or indirectly, to estimate fair value. These inputs include reported trades of and broker-dealer quotes on the same or similar securities, issuer credit spreads, benchmark securities and other observable inputs. As of March 31, 2018, the Company’s financial assets valued based on Level 1 inputs consisted of cash and cash equivalents in a money market fund and its financial assets valued based on Level 2 inputs consisted of high-grade corporate bonds and commercial paper. During the three months ended March 31, 2018 and 2017, the</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Company did not have any transfers of financial assets between Levels 1 and 2. As of March 31, 2018 and December 31, 2017, the Company did not have any financial liabilities that were recorded at fair value on a recurring basis on the balance sheet.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 Costs</w:t>
      </w:r>
    </w:p>
    <w:p>
      <w:pPr>
        <w:spacing w:after="0" w:line="229" w:lineRule="exact"/>
        <w:rPr>
          <w:sz w:val="20"/>
          <w:szCs w:val="20"/>
          <w:color w:val="auto"/>
        </w:rPr>
      </w:pPr>
    </w:p>
    <w:p>
      <w:pPr>
        <w:ind w:right="160" w:firstLine="648"/>
        <w:spacing w:after="0" w:line="279" w:lineRule="auto"/>
        <w:rPr>
          <w:sz w:val="20"/>
          <w:szCs w:val="20"/>
          <w:color w:val="auto"/>
        </w:rPr>
      </w:pPr>
      <w:r>
        <w:rPr>
          <w:rFonts w:ascii="Arial" w:cs="Arial" w:eastAsia="Arial" w:hAnsi="Arial"/>
          <w:sz w:val="17"/>
          <w:szCs w:val="17"/>
          <w:color w:val="auto"/>
        </w:rPr>
        <w:t>Research and development costs are expensed as incurred. Research and development costs are comprised of costs incurred in performing research and development activities, including internal costs (including stock-based compensation), costs for consultants, and other costs associated with the Company’s preclinical and clinical programs. In particular, Madrigal has conducted safety studies in animals, optimized and implemented the API manufacturing process, and conducted Phase 1 &amp; 2 clinical trials, all of which are considered research and development expenditures.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Patents</w:t>
      </w:r>
    </w:p>
    <w:p>
      <w:pPr>
        <w:spacing w:after="0" w:line="229"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Costs to secure and defend patents are expensed as incurred and are classified as general and administrative expense in the Company’s consolidated statements of operations.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Stock-Based Compensation</w:t>
      </w:r>
    </w:p>
    <w:p>
      <w:pPr>
        <w:spacing w:after="0" w:line="229" w:lineRule="exact"/>
        <w:rPr>
          <w:sz w:val="20"/>
          <w:szCs w:val="20"/>
          <w:color w:val="auto"/>
        </w:rPr>
      </w:pPr>
    </w:p>
    <w:p>
      <w:pPr>
        <w:ind w:right="40" w:firstLine="648"/>
        <w:spacing w:after="0" w:line="271" w:lineRule="auto"/>
        <w:rPr>
          <w:sz w:val="20"/>
          <w:szCs w:val="20"/>
          <w:color w:val="auto"/>
        </w:rPr>
      </w:pPr>
      <w:r>
        <w:rPr>
          <w:rFonts w:ascii="Arial" w:cs="Arial" w:eastAsia="Arial" w:hAnsi="Arial"/>
          <w:sz w:val="17"/>
          <w:szCs w:val="17"/>
          <w:color w:val="auto"/>
        </w:rPr>
        <w:t>The Company recognizes stock-based compensation expense based on the grant date fair value of stock options granted to employees, officers, and directors. The Company uses the Black-Scholes option pricing model to determine the grant date fair value as management believes it is the most appropriate valuation method for its option grants. The Black-Scholes model requires inputs for risk-free interest rate, dividend yield, volatility and expected lives of the options. The expected lives for options granted represent the period of time that options granted are expected to be outstanding. The Company uses the simplified method for determining the expected lives of options. Expected volatility is based upon an industry estimate or blended rate including the Company’s historical trading activity. The risk-free rate for periods within the expected life of the option is based on the U.S. Treasury yield curve in effect at the time of the grant. The Company estimates the forfeiture rate based on historical data. This analysis is re-evaluated at least annually and the forfeiture rate is adjusted as necessary.</w:t>
      </w:r>
    </w:p>
    <w:p>
      <w:pPr>
        <w:spacing w:after="0" w:line="179" w:lineRule="exact"/>
        <w:rPr>
          <w:sz w:val="20"/>
          <w:szCs w:val="20"/>
          <w:color w:val="auto"/>
        </w:rPr>
      </w:pPr>
    </w:p>
    <w:p>
      <w:pPr>
        <w:ind w:right="220" w:firstLine="648"/>
        <w:spacing w:after="0" w:line="293" w:lineRule="auto"/>
        <w:rPr>
          <w:sz w:val="20"/>
          <w:szCs w:val="20"/>
          <w:color w:val="auto"/>
        </w:rPr>
      </w:pPr>
      <w:r>
        <w:rPr>
          <w:rFonts w:ascii="Arial" w:cs="Arial" w:eastAsia="Arial" w:hAnsi="Arial"/>
          <w:sz w:val="16"/>
          <w:szCs w:val="16"/>
          <w:color w:val="auto"/>
        </w:rPr>
        <w:t>Certain of the employee stock options granted by the Company are structured to qualify as incentive stock options (“ISOs”). Under current tax regulations, the Company does not receive a tax deduction for the issuance, exercise or disposition of ISOs if the employee meets certain holding requirements. If the employee does not meet the holding requirements, a disqualifying disposition occurs, at which time the Company may receive a tax deduction. The Company does not record tax benefits related to ISOs unless and until a disqualifying disposition is reported. In the event of a disqualifying disposition, the entire tax benefit is recorded as a reduction of income tax expense. The Company has not recognized any income tax benefit for its share-based compensation arrangements due to the fact that the Company does not believe it is more likely than not it will realize the related deferred tax assets.</w:t>
      </w:r>
    </w:p>
    <w:p>
      <w:pPr>
        <w:sectPr>
          <w:pgSz w:w="11900" w:h="16867" w:orient="portrait"/>
          <w:cols w:equalWidth="0" w:num="1">
            <w:col w:w="11400"/>
          </w:cols>
          <w:pgMar w:left="240" w:top="125" w:right="259" w:bottom="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Income Taxes</w:t>
      </w:r>
    </w:p>
    <w:p>
      <w:pPr>
        <w:spacing w:after="0" w:line="229" w:lineRule="exact"/>
        <w:rPr>
          <w:sz w:val="20"/>
          <w:szCs w:val="20"/>
          <w:color w:val="auto"/>
        </w:rPr>
      </w:pPr>
    </w:p>
    <w:p>
      <w:pPr>
        <w:ind w:right="320" w:firstLine="648"/>
        <w:spacing w:after="0" w:line="259" w:lineRule="auto"/>
        <w:rPr>
          <w:sz w:val="20"/>
          <w:szCs w:val="20"/>
          <w:color w:val="auto"/>
        </w:rPr>
      </w:pPr>
      <w:r>
        <w:rPr>
          <w:rFonts w:ascii="Arial" w:cs="Arial" w:eastAsia="Arial" w:hAnsi="Arial"/>
          <w:sz w:val="18"/>
          <w:szCs w:val="18"/>
          <w:color w:val="auto"/>
        </w:rPr>
        <w:t>The Company uses the asset and liability method to account for income taxes. Deferred tax assets and liabilities are determined based on the expected future tax consequences of temporary differences between the Company’s financial statement carrying amounts and the tax basis of assets and liabilities using enacted tax rates expected to be in effect in the years in which the differences are expected to reverse. The Company currently maintains a 100% valuation allowance on its deferred tax assets.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Comprehensive Loss</w:t>
      </w:r>
    </w:p>
    <w:p>
      <w:pPr>
        <w:spacing w:after="0" w:line="229" w:lineRule="exact"/>
        <w:rPr>
          <w:sz w:val="20"/>
          <w:szCs w:val="20"/>
          <w:color w:val="auto"/>
        </w:rPr>
      </w:pPr>
    </w:p>
    <w:p>
      <w:pPr>
        <w:jc w:val="both"/>
        <w:ind w:right="100" w:firstLine="648"/>
        <w:spacing w:after="0" w:line="264" w:lineRule="auto"/>
        <w:rPr>
          <w:sz w:val="20"/>
          <w:szCs w:val="20"/>
          <w:color w:val="auto"/>
        </w:rPr>
      </w:pPr>
      <w:r>
        <w:rPr>
          <w:rFonts w:ascii="Arial" w:cs="Arial" w:eastAsia="Arial" w:hAnsi="Arial"/>
          <w:sz w:val="18"/>
          <w:szCs w:val="18"/>
          <w:color w:val="auto"/>
        </w:rPr>
        <w:t>Comprehensive loss is defined as the change in equity of a business enterprise during a period from transactions and other events and circumstances from non-owner sources. Changes in unrealized gains and losses on marketable securities represent the only difference between the Company’s net loss and comprehensive loss.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Basic and Diluted Loss Per Common Share</w:t>
      </w:r>
    </w:p>
    <w:p>
      <w:pPr>
        <w:spacing w:after="0" w:line="229"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Basic net loss per share is computed using the weighted average number of common shares outstanding during the period, excluding restricted stock that has been issued but is not yet vested. Diluted net loss per common share is computed using the weighted average number of common shares outstanding and the weighted average dilutive potential common shares outstanding using the treasury stock method. However, for the three months ended March 31, 2018 and 2017, diluted net loss per share is the same</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as basic net loss per share because the inclusion of weighted average shares of unvested restricted common stock, common stock issuable upon the exercise of stock options, and common stock issuable upon the conversion of preferred stock would be anti-dilutive.</w:t>
      </w:r>
    </w:p>
    <w:p>
      <w:pPr>
        <w:spacing w:after="0" w:line="170"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The following table summarizes outstanding securities not included in the computation of diluted net loss per common share as their inclusion would be anti-dilutive:</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300" w:type="dxa"/>
            <w:vAlign w:val="bottom"/>
          </w:tcPr>
          <w:p>
            <w:pPr>
              <w:spacing w:after="0"/>
              <w:rPr>
                <w:sz w:val="14"/>
                <w:szCs w:val="14"/>
                <w:color w:val="auto"/>
              </w:rPr>
            </w:pPr>
          </w:p>
        </w:tc>
        <w:tc>
          <w:tcPr>
            <w:tcW w:w="2000" w:type="dxa"/>
            <w:vAlign w:val="bottom"/>
            <w:tcBorders>
              <w:bottom w:val="single" w:sz="8" w:color="auto"/>
            </w:tcBorders>
            <w:gridSpan w:val="3"/>
          </w:tcPr>
          <w:p>
            <w:pPr>
              <w:ind w:left="1200"/>
              <w:spacing w:after="0"/>
              <w:rPr>
                <w:sz w:val="20"/>
                <w:szCs w:val="20"/>
                <w:color w:val="auto"/>
              </w:rPr>
            </w:pPr>
            <w:r>
              <w:rPr>
                <w:rFonts w:ascii="Arial" w:cs="Arial" w:eastAsia="Arial" w:hAnsi="Arial"/>
                <w:sz w:val="14"/>
                <w:szCs w:val="14"/>
                <w:b w:val="1"/>
                <w:bCs w:val="1"/>
                <w:color w:val="auto"/>
              </w:rPr>
              <w:t>March 31,</w:t>
            </w:r>
          </w:p>
        </w:tc>
        <w:tc>
          <w:tcPr>
            <w:tcW w:w="10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8300" w:type="dxa"/>
            <w:vAlign w:val="bottom"/>
            <w:tcBorders>
              <w:bottom w:val="single" w:sz="8" w:color="CCEEFF"/>
            </w:tcBorders>
          </w:tcPr>
          <w:p>
            <w:pPr>
              <w:spacing w:after="0"/>
              <w:rPr>
                <w:sz w:val="12"/>
                <w:szCs w:val="12"/>
                <w:color w:val="auto"/>
              </w:rPr>
            </w:pPr>
          </w:p>
        </w:tc>
        <w:tc>
          <w:tcPr>
            <w:tcW w:w="1360" w:type="dxa"/>
            <w:vAlign w:val="bottom"/>
            <w:tcBorders>
              <w:bottom w:val="single" w:sz="8" w:color="auto"/>
            </w:tcBorders>
          </w:tcPr>
          <w:p>
            <w:pPr>
              <w:jc w:val="right"/>
              <w:ind w:right="457"/>
              <w:spacing w:after="0" w:line="142" w:lineRule="exact"/>
              <w:rPr>
                <w:sz w:val="20"/>
                <w:szCs w:val="20"/>
                <w:color w:val="auto"/>
              </w:rPr>
            </w:pPr>
            <w:r>
              <w:rPr>
                <w:rFonts w:ascii="Arial" w:cs="Arial" w:eastAsia="Arial" w:hAnsi="Arial"/>
                <w:sz w:val="14"/>
                <w:szCs w:val="14"/>
                <w:b w:val="1"/>
                <w:bCs w:val="1"/>
                <w:color w:val="auto"/>
              </w:rPr>
              <w:t>2018</w:t>
            </w:r>
          </w:p>
        </w:tc>
        <w:tc>
          <w:tcPr>
            <w:tcW w:w="280" w:type="dxa"/>
            <w:vAlign w:val="bottom"/>
            <w:tcBorders>
              <w:bottom w:val="single" w:sz="8" w:color="CCEEFF"/>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454"/>
              <w:spacing w:after="0" w:line="142" w:lineRule="exact"/>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12"/>
                <w:szCs w:val="12"/>
                <w:color w:val="auto"/>
              </w:rPr>
            </w:pPr>
          </w:p>
        </w:tc>
      </w:tr>
      <w:tr>
        <w:trPr>
          <w:trHeight w:val="210"/>
        </w:trPr>
        <w:tc>
          <w:tcPr>
            <w:tcW w:w="8300" w:type="dxa"/>
            <w:vAlign w:val="bottom"/>
            <w:shd w:val="clear" w:color="auto" w:fill="CCEEFF"/>
          </w:tcPr>
          <w:p>
            <w:pPr>
              <w:spacing w:after="0"/>
              <w:rPr>
                <w:sz w:val="20"/>
                <w:szCs w:val="20"/>
                <w:color w:val="auto"/>
              </w:rPr>
            </w:pPr>
            <w:r>
              <w:rPr>
                <w:rFonts w:ascii="Arial" w:cs="Arial" w:eastAsia="Arial" w:hAnsi="Arial"/>
                <w:sz w:val="18"/>
                <w:szCs w:val="18"/>
                <w:color w:val="auto"/>
              </w:rPr>
              <w:t>Common Stock Options</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1,122,585</w:t>
            </w:r>
          </w:p>
        </w:tc>
        <w:tc>
          <w:tcPr>
            <w:tcW w:w="2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925,011</w:t>
            </w:r>
          </w:p>
        </w:tc>
        <w:tc>
          <w:tcPr>
            <w:tcW w:w="100" w:type="dxa"/>
            <w:vAlign w:val="bottom"/>
            <w:shd w:val="clear" w:color="auto" w:fill="CCEEFF"/>
          </w:tcPr>
          <w:p>
            <w:pPr>
              <w:spacing w:after="0"/>
              <w:rPr>
                <w:sz w:val="18"/>
                <w:szCs w:val="18"/>
                <w:color w:val="auto"/>
              </w:rPr>
            </w:pPr>
          </w:p>
        </w:tc>
      </w:tr>
      <w:tr>
        <w:trPr>
          <w:trHeight w:val="216"/>
        </w:trPr>
        <w:tc>
          <w:tcPr>
            <w:tcW w:w="8300" w:type="dxa"/>
            <w:vAlign w:val="bottom"/>
          </w:tcPr>
          <w:p>
            <w:pPr>
              <w:spacing w:after="0"/>
              <w:rPr>
                <w:sz w:val="20"/>
                <w:szCs w:val="20"/>
                <w:color w:val="auto"/>
              </w:rPr>
            </w:pPr>
            <w:r>
              <w:rPr>
                <w:rFonts w:ascii="Arial" w:cs="Arial" w:eastAsia="Arial" w:hAnsi="Arial"/>
                <w:sz w:val="18"/>
                <w:szCs w:val="18"/>
                <w:color w:val="auto"/>
              </w:rPr>
              <w:t>Unvested Restricted Common Stock</w:t>
            </w:r>
          </w:p>
        </w:tc>
        <w:tc>
          <w:tcPr>
            <w:tcW w:w="1640" w:type="dxa"/>
            <w:vAlign w:val="bottom"/>
            <w:gridSpan w:val="2"/>
          </w:tcPr>
          <w:p>
            <w:pPr>
              <w:jc w:val="right"/>
              <w:ind w:right="280"/>
              <w:spacing w:after="0"/>
              <w:rPr>
                <w:sz w:val="20"/>
                <w:szCs w:val="20"/>
                <w:color w:val="auto"/>
              </w:rPr>
            </w:pPr>
            <w:r>
              <w:rPr>
                <w:rFonts w:ascii="Arial" w:cs="Arial" w:eastAsia="Arial" w:hAnsi="Arial"/>
                <w:sz w:val="18"/>
                <w:szCs w:val="18"/>
                <w:color w:val="auto"/>
              </w:rPr>
              <w:t>104,127</w:t>
            </w:r>
          </w:p>
        </w:tc>
        <w:tc>
          <w:tcPr>
            <w:tcW w:w="36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157,262</w:t>
            </w:r>
          </w:p>
        </w:tc>
      </w:tr>
      <w:tr>
        <w:trPr>
          <w:trHeight w:val="216"/>
        </w:trPr>
        <w:tc>
          <w:tcPr>
            <w:tcW w:w="8300" w:type="dxa"/>
            <w:vAlign w:val="bottom"/>
            <w:shd w:val="clear" w:color="auto" w:fill="CCEEFF"/>
          </w:tcPr>
          <w:p>
            <w:pPr>
              <w:spacing w:after="0"/>
              <w:rPr>
                <w:sz w:val="20"/>
                <w:szCs w:val="20"/>
                <w:color w:val="auto"/>
              </w:rPr>
            </w:pPr>
            <w:r>
              <w:rPr>
                <w:rFonts w:ascii="Arial" w:cs="Arial" w:eastAsia="Arial" w:hAnsi="Arial"/>
                <w:sz w:val="18"/>
                <w:szCs w:val="18"/>
                <w:color w:val="auto"/>
              </w:rPr>
              <w:t>Preferred Stock</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1,969,797</w:t>
            </w:r>
          </w:p>
        </w:tc>
        <w:tc>
          <w:tcPr>
            <w:tcW w:w="2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29" w:lineRule="exact"/>
        <w:rPr>
          <w:sz w:val="20"/>
          <w:szCs w:val="20"/>
          <w:color w:val="auto"/>
        </w:rPr>
      </w:pPr>
    </w:p>
    <w:p>
      <w:pPr>
        <w:ind w:right="100" w:firstLine="648"/>
        <w:spacing w:after="0" w:line="276" w:lineRule="auto"/>
        <w:rPr>
          <w:sz w:val="20"/>
          <w:szCs w:val="20"/>
          <w:color w:val="auto"/>
        </w:rPr>
      </w:pPr>
      <w:r>
        <w:rPr>
          <w:rFonts w:ascii="Arial" w:cs="Arial" w:eastAsia="Arial" w:hAnsi="Arial"/>
          <w:sz w:val="17"/>
          <w:szCs w:val="17"/>
          <w:color w:val="auto"/>
        </w:rPr>
        <w:t>In May 2017, the Financial Accounting Standards Board (the “FASB”) issued Accounting Standards Update (“ASU”) No. 2017-09, “Compensation —Stock Compensation (Topic 718): Scope of Modification Accounting,” to provide clarity and reduce both diversity in practice, and cost and complexity when a change is made to the terms or conditions of a share-based payment award. For public business entities, ASU 2017-09 is effective for annual and interim reporting periods beginning after December 15, 2017, with early adoption permitted. The update should be applied prospectively to an award modified on or after the adoption date. The Company adopted ASU No. 2017-09 effective January 1, 2018.</w:t>
      </w:r>
    </w:p>
    <w:p>
      <w:pPr>
        <w:spacing w:after="0" w:line="173" w:lineRule="exact"/>
        <w:rPr>
          <w:sz w:val="20"/>
          <w:szCs w:val="20"/>
          <w:color w:val="auto"/>
        </w:rPr>
      </w:pPr>
    </w:p>
    <w:p>
      <w:pPr>
        <w:ind w:right="40" w:firstLine="648"/>
        <w:spacing w:after="0" w:line="273" w:lineRule="auto"/>
        <w:rPr>
          <w:sz w:val="20"/>
          <w:szCs w:val="20"/>
          <w:color w:val="auto"/>
        </w:rPr>
      </w:pPr>
      <w:r>
        <w:rPr>
          <w:rFonts w:ascii="Arial" w:cs="Arial" w:eastAsia="Arial" w:hAnsi="Arial"/>
          <w:sz w:val="17"/>
          <w:szCs w:val="17"/>
          <w:color w:val="auto"/>
        </w:rPr>
        <w:t>In August 2016, the FASB issued ASU No. 2016-15, “Statement of Cash Flows (Topic 230): Clarification of Certain Cash Receipts and Cash Payments.” The objective of ASU No. 2016-15 is to eliminate the diversity in practice related to the classification of certain cash receipts and payments in the statement of cash flows, by adding or clarifying guidance on eight specific cash flow issues. For public business entities, ASU 2016-15 is effective for annual and interim reporting periods beginning after December 15, 2017, with early adoption permitted. ASU 2016-15 provides that the amendments in the update should be applied retrospectively to all periods presented, unless deemed impracticable, in which case, prospective application is permitted. The Company adopted ASU No. 2016-15 effective January 1, 2018. There was no significant impact from the adoption.</w:t>
      </w:r>
    </w:p>
    <w:p>
      <w:pPr>
        <w:spacing w:after="0" w:line="178" w:lineRule="exact"/>
        <w:rPr>
          <w:sz w:val="20"/>
          <w:szCs w:val="20"/>
          <w:color w:val="auto"/>
        </w:rPr>
      </w:pPr>
    </w:p>
    <w:p>
      <w:pPr>
        <w:ind w:right="40" w:firstLine="648"/>
        <w:spacing w:after="0" w:line="289" w:lineRule="auto"/>
        <w:rPr>
          <w:sz w:val="20"/>
          <w:szCs w:val="20"/>
          <w:color w:val="auto"/>
        </w:rPr>
      </w:pPr>
      <w:r>
        <w:rPr>
          <w:rFonts w:ascii="Arial" w:cs="Arial" w:eastAsia="Arial" w:hAnsi="Arial"/>
          <w:sz w:val="16"/>
          <w:szCs w:val="16"/>
          <w:color w:val="auto"/>
        </w:rPr>
        <w:t>In January 2016, the FASB issued ASU No. 2016-01, “Financial Instruments—Overall (Subtopic 825-10): Recognition and Measurement of Financial Assets and Financial Liabilities,” which amends the guidance in U.S. generally accepted accounting principles on the classification and measurement of financial instruments. Changes to the current guidance primarily affect the accounting for equity investments, financial liabilities under the fair value option, and the presentation and disclosure requirements for financial instruments. In addition, the ASU clarifies guidance related to the valuation allowance assessment when recognizing deferred tax assets resulting from unrealized losses on available-for-sale debt securities. The amendments in this ASU are effective for fiscal years and interim periods beginning after December 15, 2017, and are to be adopted by means of a cumulative-effect adjustment to the balance sheet at the beginning of the first reporting period in which the guidance is effective. Early adoption is not permitted except for the provision to record fair value changes for financial liabilities under the fair value option resulting from instrument-specific credit risk in other comprehensive income. The Company adopted ASU No. 2016-01 effective January 1, 2018. There was no significant impact from the adoption.</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Liquidity and Uncertainties</w:t>
      </w:r>
    </w:p>
    <w:p>
      <w:pPr>
        <w:spacing w:after="0" w:line="229" w:lineRule="exact"/>
        <w:rPr>
          <w:sz w:val="20"/>
          <w:szCs w:val="20"/>
          <w:color w:val="auto"/>
        </w:rPr>
      </w:pPr>
    </w:p>
    <w:p>
      <w:pPr>
        <w:ind w:right="300" w:firstLine="648"/>
        <w:spacing w:after="0" w:line="279" w:lineRule="auto"/>
        <w:rPr>
          <w:sz w:val="20"/>
          <w:szCs w:val="20"/>
          <w:color w:val="auto"/>
        </w:rPr>
      </w:pPr>
      <w:r>
        <w:rPr>
          <w:rFonts w:ascii="Arial" w:cs="Arial" w:eastAsia="Arial" w:hAnsi="Arial"/>
          <w:sz w:val="17"/>
          <w:szCs w:val="17"/>
          <w:color w:val="auto"/>
        </w:rPr>
        <w:t>The Company is subject to risks common to development stage companies in the biopharmaceutical industry including, but not limited to, uncertainty of product development and commercialization, dependence on key personnel, uncertainty of market acceptance of products and product reimbursement, product liability, uncertain protection of proprietary technology, potential inability to raise additional financing necessary for development and commercialization, and compliance with the U.S. Food and Drug Administration and other government regulations.</w:t>
      </w:r>
    </w:p>
    <w:p>
      <w:pPr>
        <w:spacing w:after="0" w:line="171" w:lineRule="exact"/>
        <w:rPr>
          <w:sz w:val="20"/>
          <w:szCs w:val="20"/>
          <w:color w:val="auto"/>
        </w:rPr>
      </w:pPr>
    </w:p>
    <w:p>
      <w:pPr>
        <w:ind w:right="140" w:firstLine="648"/>
        <w:spacing w:after="0" w:line="259" w:lineRule="auto"/>
        <w:rPr>
          <w:sz w:val="20"/>
          <w:szCs w:val="20"/>
          <w:color w:val="auto"/>
        </w:rPr>
      </w:pPr>
      <w:r>
        <w:rPr>
          <w:rFonts w:ascii="Arial" w:cs="Arial" w:eastAsia="Arial" w:hAnsi="Arial"/>
          <w:sz w:val="18"/>
          <w:szCs w:val="18"/>
          <w:color w:val="auto"/>
        </w:rPr>
        <w:t>The Company has incurred losses since inception, including approximately $6.4 million for the three months ended March 31, 2018, resulting in an accumulated deficit of approximately $112.8 million as of March 31, 2018. Management expects to incur losses for the foreseeable future. To date, the Company has funded its operations primarily through the issuance of convertible debt, the proceeds from the Merger on July 22, 2016, and proceeds from sales of the Company’s equity securities (see Note 5).</w:t>
      </w:r>
    </w:p>
    <w:p>
      <w:pPr>
        <w:sectPr>
          <w:pgSz w:w="11900" w:h="16838" w:orient="portrait"/>
          <w:cols w:equalWidth="0" w:num="1">
            <w:col w:w="11420"/>
          </w:cols>
          <w:pgMar w:left="240" w:top="337" w:right="239" w:bottom="169" w:gutter="0" w:footer="0" w:header="0"/>
        </w:sectPr>
      </w:pPr>
    </w:p>
    <w:bookmarkStart w:id="6" w:name="page7"/>
    <w:bookmarkEnd w:id="6"/>
    <w:p>
      <w:pPr>
        <w:ind w:right="80" w:firstLine="648"/>
        <w:spacing w:after="0" w:line="277" w:lineRule="auto"/>
        <w:rPr>
          <w:sz w:val="20"/>
          <w:szCs w:val="20"/>
          <w:color w:val="auto"/>
        </w:rPr>
      </w:pPr>
      <w:r>
        <w:rPr>
          <w:rFonts w:ascii="Arial" w:cs="Arial" w:eastAsia="Arial" w:hAnsi="Arial"/>
          <w:sz w:val="18"/>
          <w:szCs w:val="18"/>
          <w:color w:val="auto"/>
        </w:rPr>
        <w:t>The Company believes that its cash, cash equivalents and marketable securities at March 31, 2018 will be sufficient to fund operations past one year from the issuance of these financial statements. To meet its future capital needs, the Company intends to raise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0"/>
        <w:spacing w:after="0" w:line="257" w:lineRule="auto"/>
        <w:rPr>
          <w:sz w:val="20"/>
          <w:szCs w:val="20"/>
          <w:color w:val="auto"/>
        </w:rPr>
      </w:pPr>
      <w:r>
        <w:rPr>
          <w:rFonts w:ascii="Arial" w:cs="Arial" w:eastAsia="Arial" w:hAnsi="Arial"/>
          <w:sz w:val="18"/>
          <w:szCs w:val="18"/>
          <w:color w:val="auto"/>
        </w:rPr>
        <w:t>additional capital through debt or equity financings, collaborations, partnerships or other strategic transactions. However, there can be no assurance that the Company will be able to complete any such transactions on acceptable terms or otherwise. The inability of the Company to obtain sufficient funds on acceptable terms when needed could have a material adverse effect on the Company’s business, results of operations and financial condition. The Company has the ability to delay certain research activities and related clinical expenses if necessary due to liquidity concerns until a date when those concerns are relieved.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Cash, Cash Equivalents and Marketable Securities</w:t>
      </w:r>
    </w:p>
    <w:p>
      <w:pPr>
        <w:spacing w:after="0" w:line="229" w:lineRule="exact"/>
        <w:rPr>
          <w:sz w:val="20"/>
          <w:szCs w:val="20"/>
          <w:color w:val="auto"/>
        </w:rPr>
      </w:pPr>
    </w:p>
    <w:p>
      <w:pPr>
        <w:ind w:right="340" w:firstLine="689"/>
        <w:spacing w:after="0" w:line="277" w:lineRule="auto"/>
        <w:rPr>
          <w:sz w:val="20"/>
          <w:szCs w:val="20"/>
          <w:color w:val="auto"/>
        </w:rPr>
      </w:pPr>
      <w:r>
        <w:rPr>
          <w:rFonts w:ascii="Arial" w:cs="Arial" w:eastAsia="Arial" w:hAnsi="Arial"/>
          <w:sz w:val="18"/>
          <w:szCs w:val="18"/>
          <w:color w:val="auto"/>
        </w:rPr>
        <w:t>A summary of cash, cash equivalents and available-for-sale marketable securities held by the Company as of March 31, 2018 and December 31, 2017 is as follows (in thousands):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7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76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March 31, 2018</w:t>
            </w:r>
          </w:p>
        </w:tc>
        <w:tc>
          <w:tcPr>
            <w:tcW w:w="104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47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340" w:type="dxa"/>
            <w:vAlign w:val="bottom"/>
            <w:gridSpan w:val="2"/>
            <w:vMerge w:val="restart"/>
          </w:tcPr>
          <w:p>
            <w:pPr>
              <w:jc w:val="right"/>
              <w:ind w:right="840"/>
              <w:spacing w:after="0"/>
              <w:rPr>
                <w:sz w:val="20"/>
                <w:szCs w:val="20"/>
                <w:color w:val="auto"/>
              </w:rPr>
            </w:pPr>
            <w:r>
              <w:rPr>
                <w:rFonts w:ascii="Arial" w:cs="Arial" w:eastAsia="Arial" w:hAnsi="Arial"/>
                <w:sz w:val="14"/>
                <w:szCs w:val="14"/>
                <w:b w:val="1"/>
                <w:bCs w:val="1"/>
                <w:color w:val="auto"/>
              </w:rPr>
              <w:t>Cost</w:t>
            </w:r>
          </w:p>
        </w:tc>
        <w:tc>
          <w:tcPr>
            <w:tcW w:w="220" w:type="dxa"/>
            <w:vAlign w:val="bottom"/>
          </w:tcPr>
          <w:p>
            <w:pPr>
              <w:spacing w:after="0"/>
              <w:rPr>
                <w:sz w:val="10"/>
                <w:szCs w:val="10"/>
                <w:color w:val="auto"/>
              </w:rPr>
            </w:pPr>
          </w:p>
        </w:tc>
        <w:tc>
          <w:tcPr>
            <w:tcW w:w="1300" w:type="dxa"/>
            <w:vAlign w:val="bottom"/>
            <w:gridSpan w:val="2"/>
          </w:tcPr>
          <w:p>
            <w:pPr>
              <w:jc w:val="center"/>
              <w:ind w:right="360"/>
              <w:spacing w:after="0" w:line="119" w:lineRule="exact"/>
              <w:rPr>
                <w:sz w:val="20"/>
                <w:szCs w:val="20"/>
                <w:color w:val="auto"/>
              </w:rPr>
            </w:pPr>
            <w:r>
              <w:rPr>
                <w:rFonts w:ascii="Arial" w:cs="Arial" w:eastAsia="Arial" w:hAnsi="Arial"/>
                <w:sz w:val="13"/>
                <w:szCs w:val="13"/>
                <w:b w:val="1"/>
                <w:bCs w:val="1"/>
                <w:color w:val="auto"/>
              </w:rPr>
              <w:t>Unrealized</w:t>
            </w:r>
          </w:p>
        </w:tc>
        <w:tc>
          <w:tcPr>
            <w:tcW w:w="1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320" w:type="dxa"/>
            <w:vAlign w:val="bottom"/>
            <w:gridSpan w:val="2"/>
          </w:tcPr>
          <w:p>
            <w:pPr>
              <w:jc w:val="center"/>
              <w:ind w:right="520"/>
              <w:spacing w:after="0" w:line="119" w:lineRule="exact"/>
              <w:rPr>
                <w:sz w:val="20"/>
                <w:szCs w:val="20"/>
                <w:color w:val="auto"/>
              </w:rPr>
            </w:pPr>
            <w:r>
              <w:rPr>
                <w:rFonts w:ascii="Arial" w:cs="Arial" w:eastAsia="Arial" w:hAnsi="Arial"/>
                <w:sz w:val="13"/>
                <w:szCs w:val="13"/>
                <w:b w:val="1"/>
                <w:bCs w:val="1"/>
                <w:color w:val="auto"/>
              </w:rPr>
              <w:t>Unrealized</w:t>
            </w:r>
          </w:p>
        </w:tc>
        <w:tc>
          <w:tcPr>
            <w:tcW w:w="300" w:type="dxa"/>
            <w:vAlign w:val="bottom"/>
          </w:tcPr>
          <w:p>
            <w:pPr>
              <w:spacing w:after="0"/>
              <w:rPr>
                <w:sz w:val="10"/>
                <w:szCs w:val="10"/>
                <w:color w:val="auto"/>
              </w:rPr>
            </w:pPr>
          </w:p>
        </w:tc>
        <w:tc>
          <w:tcPr>
            <w:tcW w:w="1060" w:type="dxa"/>
            <w:vAlign w:val="bottom"/>
          </w:tcPr>
          <w:p>
            <w:pPr>
              <w:jc w:val="center"/>
              <w:ind w:right="235"/>
              <w:spacing w:after="0" w:line="119" w:lineRule="exact"/>
              <w:rPr>
                <w:sz w:val="20"/>
                <w:szCs w:val="20"/>
                <w:color w:val="auto"/>
              </w:rPr>
            </w:pPr>
            <w:r>
              <w:rPr>
                <w:rFonts w:ascii="Arial" w:cs="Arial" w:eastAsia="Arial" w:hAnsi="Arial"/>
                <w:sz w:val="13"/>
                <w:szCs w:val="13"/>
                <w:b w:val="1"/>
                <w:bCs w:val="1"/>
                <w:color w:val="auto"/>
              </w:rPr>
              <w:t>Fair</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7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4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13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7"/>
              </w:rPr>
              <w:t>gains</w:t>
            </w:r>
          </w:p>
        </w:tc>
        <w:tc>
          <w:tcPr>
            <w:tcW w:w="1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2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77"/>
              </w:rPr>
              <w:t>losses</w:t>
            </w:r>
          </w:p>
        </w:tc>
        <w:tc>
          <w:tcPr>
            <w:tcW w:w="300" w:type="dxa"/>
            <w:vAlign w:val="bottom"/>
          </w:tcPr>
          <w:p>
            <w:pPr>
              <w:spacing w:after="0"/>
              <w:rPr>
                <w:sz w:val="14"/>
                <w:szCs w:val="14"/>
                <w:color w:val="auto"/>
              </w:rPr>
            </w:pPr>
          </w:p>
        </w:tc>
        <w:tc>
          <w:tcPr>
            <w:tcW w:w="1160" w:type="dxa"/>
            <w:vAlign w:val="bottom"/>
            <w:gridSpan w:val="3"/>
          </w:tcPr>
          <w:p>
            <w:pPr>
              <w:jc w:val="center"/>
              <w:ind w:right="400"/>
              <w:spacing w:after="0"/>
              <w:rPr>
                <w:sz w:val="20"/>
                <w:szCs w:val="20"/>
                <w:color w:val="auto"/>
              </w:rPr>
            </w:pPr>
            <w:r>
              <w:rPr>
                <w:rFonts w:ascii="Arial" w:cs="Arial" w:eastAsia="Arial" w:hAnsi="Arial"/>
                <w:sz w:val="14"/>
                <w:szCs w:val="14"/>
                <w:b w:val="1"/>
                <w:bCs w:val="1"/>
                <w:color w:val="auto"/>
                <w:w w:val="89"/>
              </w:rPr>
              <w:t>value</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tcPr>
          <w:p>
            <w:pPr>
              <w:spacing w:after="0"/>
              <w:rPr>
                <w:sz w:val="20"/>
                <w:szCs w:val="20"/>
                <w:color w:val="auto"/>
              </w:rPr>
            </w:pPr>
            <w:r>
              <w:rPr>
                <w:rFonts w:ascii="Arial" w:cs="Arial" w:eastAsia="Arial" w:hAnsi="Arial"/>
                <w:sz w:val="18"/>
                <w:szCs w:val="18"/>
                <w:color w:val="auto"/>
              </w:rPr>
              <w:t>Cash (Level 1)</w:t>
            </w:r>
          </w:p>
        </w:tc>
        <w:tc>
          <w:tcPr>
            <w:tcW w:w="560" w:type="dxa"/>
            <w:vAlign w:val="bottom"/>
            <w:gridSpan w:val="2"/>
          </w:tcPr>
          <w:p>
            <w:pPr>
              <w:jc w:val="right"/>
              <w:ind w:right="165"/>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300"/>
              <w:spacing w:after="0"/>
              <w:rPr>
                <w:sz w:val="20"/>
                <w:szCs w:val="20"/>
                <w:color w:val="auto"/>
              </w:rPr>
            </w:pPr>
            <w:r>
              <w:rPr>
                <w:rFonts w:ascii="Arial" w:cs="Arial" w:eastAsia="Arial" w:hAnsi="Arial"/>
                <w:sz w:val="18"/>
                <w:szCs w:val="18"/>
                <w:color w:val="auto"/>
              </w:rPr>
              <w:t>962</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46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962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Money market funds (Level 1)</w:t>
            </w: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37,163</w:t>
            </w:r>
          </w:p>
        </w:tc>
        <w:tc>
          <w:tcPr>
            <w:tcW w:w="2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37,163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740" w:type="dxa"/>
            <w:vAlign w:val="bottom"/>
          </w:tcPr>
          <w:p>
            <w:pPr>
              <w:spacing w:after="0" w:line="201" w:lineRule="exact"/>
              <w:rPr>
                <w:sz w:val="20"/>
                <w:szCs w:val="20"/>
                <w:color w:val="auto"/>
              </w:rPr>
            </w:pPr>
            <w:r>
              <w:rPr>
                <w:rFonts w:ascii="Arial" w:cs="Arial" w:eastAsia="Arial" w:hAnsi="Arial"/>
                <w:sz w:val="18"/>
                <w:szCs w:val="18"/>
                <w:color w:val="auto"/>
              </w:rPr>
              <w:t>Corporate debt securities due within 3 months of date of</w:t>
            </w: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740" w:type="dxa"/>
            <w:vAlign w:val="bottom"/>
          </w:tcPr>
          <w:p>
            <w:pPr>
              <w:ind w:left="160"/>
              <w:spacing w:after="0"/>
              <w:rPr>
                <w:sz w:val="20"/>
                <w:szCs w:val="20"/>
                <w:color w:val="auto"/>
              </w:rPr>
            </w:pPr>
            <w:r>
              <w:rPr>
                <w:rFonts w:ascii="Arial" w:cs="Arial" w:eastAsia="Arial" w:hAnsi="Arial"/>
                <w:sz w:val="18"/>
                <w:szCs w:val="18"/>
                <w:color w:val="auto"/>
              </w:rPr>
              <w:t>purchase (Level 2)</w:t>
            </w: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116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cash and cash equivalents</w:t>
            </w:r>
          </w:p>
        </w:tc>
        <w:tc>
          <w:tcPr>
            <w:tcW w:w="24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38,125</w:t>
            </w:r>
          </w:p>
        </w:tc>
        <w:tc>
          <w:tcPr>
            <w:tcW w:w="3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38,125</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tcPr>
          <w:p>
            <w:pPr>
              <w:spacing w:after="0"/>
              <w:rPr>
                <w:sz w:val="20"/>
                <w:szCs w:val="20"/>
                <w:color w:val="auto"/>
              </w:rPr>
            </w:pPr>
            <w:r>
              <w:rPr>
                <w:rFonts w:ascii="Arial" w:cs="Arial" w:eastAsia="Arial" w:hAnsi="Arial"/>
                <w:sz w:val="18"/>
                <w:szCs w:val="18"/>
                <w:color w:val="auto"/>
              </w:rPr>
              <w:t>Marketable securities:</w:t>
            </w: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7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4"/>
              </w:rPr>
              <w:t>Corporate debt securities due within 1 year of date of purchase</w:t>
            </w:r>
          </w:p>
        </w:tc>
        <w:tc>
          <w:tcPr>
            <w:tcW w:w="2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7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(Level 2)</w:t>
            </w:r>
          </w:p>
        </w:tc>
        <w:tc>
          <w:tcPr>
            <w:tcW w:w="24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144,874</w:t>
            </w:r>
          </w:p>
        </w:tc>
        <w:tc>
          <w:tcPr>
            <w:tcW w:w="3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w:t>
            </w:r>
          </w:p>
        </w:tc>
        <w:tc>
          <w:tcPr>
            <w:tcW w:w="14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(182)</w:t>
            </w:r>
          </w:p>
        </w:tc>
        <w:tc>
          <w:tcPr>
            <w:tcW w:w="30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144,700</w:t>
            </w: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40" w:type="dxa"/>
            <w:vAlign w:val="bottom"/>
          </w:tcPr>
          <w:p>
            <w:pPr>
              <w:spacing w:after="0"/>
              <w:rPr>
                <w:sz w:val="20"/>
                <w:szCs w:val="20"/>
                <w:color w:val="auto"/>
              </w:rPr>
            </w:pPr>
            <w:r>
              <w:rPr>
                <w:rFonts w:ascii="Arial" w:cs="Arial" w:eastAsia="Arial" w:hAnsi="Arial"/>
                <w:sz w:val="18"/>
                <w:szCs w:val="18"/>
                <w:color w:val="auto"/>
              </w:rPr>
              <w:t>Total cash, cash equivalents and marketable securities</w:t>
            </w:r>
          </w:p>
        </w:tc>
        <w:tc>
          <w:tcPr>
            <w:tcW w:w="24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65"/>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182,999</w:t>
            </w:r>
          </w:p>
        </w:tc>
        <w:tc>
          <w:tcPr>
            <w:tcW w:w="3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(182</w:t>
            </w:r>
          </w:p>
        </w:tc>
        <w:tc>
          <w:tcPr>
            <w:tcW w:w="280" w:type="dxa"/>
            <w:vAlign w:val="bottom"/>
          </w:tcPr>
          <w:p>
            <w:pPr>
              <w:jc w:val="right"/>
              <w:ind w:right="140"/>
              <w:spacing w:after="0"/>
              <w:rPr>
                <w:sz w:val="20"/>
                <w:szCs w:val="20"/>
                <w:color w:val="auto"/>
              </w:rPr>
            </w:pPr>
            <w:r>
              <w:rPr>
                <w:rFonts w:ascii="Arial" w:cs="Arial" w:eastAsia="Arial" w:hAnsi="Arial"/>
                <w:sz w:val="16"/>
                <w:szCs w:val="16"/>
                <w:color w:val="auto"/>
                <w:w w:val="74"/>
              </w:rPr>
              <w:t>)</w:t>
            </w: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182,825</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360" w:type="dxa"/>
            <w:vAlign w:val="bottom"/>
            <w:tcBorders>
              <w:bottom w:val="single" w:sz="8" w:color="auto"/>
            </w:tcBorders>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20" w:type="dxa"/>
            <w:vAlign w:val="bottom"/>
          </w:tcPr>
          <w:p>
            <w:pPr>
              <w:spacing w:after="0"/>
              <w:rPr>
                <w:sz w:val="24"/>
                <w:szCs w:val="24"/>
                <w:color w:val="auto"/>
              </w:rPr>
            </w:pPr>
          </w:p>
        </w:tc>
        <w:tc>
          <w:tcPr>
            <w:tcW w:w="47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080" w:type="dxa"/>
            <w:vAlign w:val="bottom"/>
            <w:tcBorders>
              <w:bottom w:val="single" w:sz="8" w:color="auto"/>
            </w:tcBorders>
            <w:gridSpan w:val="6"/>
          </w:tcPr>
          <w:p>
            <w:pPr>
              <w:jc w:val="right"/>
              <w:ind w:right="1140"/>
              <w:spacing w:after="0"/>
              <w:rPr>
                <w:sz w:val="20"/>
                <w:szCs w:val="20"/>
                <w:color w:val="auto"/>
              </w:rPr>
            </w:pPr>
            <w:r>
              <w:rPr>
                <w:rFonts w:ascii="Arial" w:cs="Arial" w:eastAsia="Arial" w:hAnsi="Arial"/>
                <w:sz w:val="14"/>
                <w:szCs w:val="14"/>
                <w:b w:val="1"/>
                <w:bCs w:val="1"/>
                <w:color w:val="auto"/>
              </w:rPr>
              <w:t>December 31, 2017</w:t>
            </w:r>
          </w:p>
        </w:tc>
        <w:tc>
          <w:tcPr>
            <w:tcW w:w="3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47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340" w:type="dxa"/>
            <w:vAlign w:val="bottom"/>
            <w:gridSpan w:val="2"/>
            <w:vMerge w:val="restart"/>
          </w:tcPr>
          <w:p>
            <w:pPr>
              <w:jc w:val="right"/>
              <w:ind w:right="840"/>
              <w:spacing w:after="0"/>
              <w:rPr>
                <w:sz w:val="20"/>
                <w:szCs w:val="20"/>
                <w:color w:val="auto"/>
              </w:rPr>
            </w:pPr>
            <w:r>
              <w:rPr>
                <w:rFonts w:ascii="Arial" w:cs="Arial" w:eastAsia="Arial" w:hAnsi="Arial"/>
                <w:sz w:val="14"/>
                <w:szCs w:val="14"/>
                <w:b w:val="1"/>
                <w:bCs w:val="1"/>
                <w:color w:val="auto"/>
              </w:rPr>
              <w:t>Cost</w:t>
            </w:r>
          </w:p>
        </w:tc>
        <w:tc>
          <w:tcPr>
            <w:tcW w:w="220" w:type="dxa"/>
            <w:vAlign w:val="bottom"/>
          </w:tcPr>
          <w:p>
            <w:pPr>
              <w:spacing w:after="0"/>
              <w:rPr>
                <w:sz w:val="10"/>
                <w:szCs w:val="10"/>
                <w:color w:val="auto"/>
              </w:rPr>
            </w:pPr>
          </w:p>
        </w:tc>
        <w:tc>
          <w:tcPr>
            <w:tcW w:w="1300" w:type="dxa"/>
            <w:vAlign w:val="bottom"/>
            <w:gridSpan w:val="2"/>
          </w:tcPr>
          <w:p>
            <w:pPr>
              <w:jc w:val="center"/>
              <w:ind w:right="360"/>
              <w:spacing w:after="0" w:line="119" w:lineRule="exact"/>
              <w:rPr>
                <w:sz w:val="20"/>
                <w:szCs w:val="20"/>
                <w:color w:val="auto"/>
              </w:rPr>
            </w:pPr>
            <w:r>
              <w:rPr>
                <w:rFonts w:ascii="Arial" w:cs="Arial" w:eastAsia="Arial" w:hAnsi="Arial"/>
                <w:sz w:val="13"/>
                <w:szCs w:val="13"/>
                <w:b w:val="1"/>
                <w:bCs w:val="1"/>
                <w:color w:val="auto"/>
              </w:rPr>
              <w:t>Unrealized</w:t>
            </w:r>
          </w:p>
        </w:tc>
        <w:tc>
          <w:tcPr>
            <w:tcW w:w="1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320" w:type="dxa"/>
            <w:vAlign w:val="bottom"/>
            <w:gridSpan w:val="2"/>
          </w:tcPr>
          <w:p>
            <w:pPr>
              <w:jc w:val="center"/>
              <w:ind w:right="520"/>
              <w:spacing w:after="0" w:line="119" w:lineRule="exact"/>
              <w:rPr>
                <w:sz w:val="20"/>
                <w:szCs w:val="20"/>
                <w:color w:val="auto"/>
              </w:rPr>
            </w:pPr>
            <w:r>
              <w:rPr>
                <w:rFonts w:ascii="Arial" w:cs="Arial" w:eastAsia="Arial" w:hAnsi="Arial"/>
                <w:sz w:val="13"/>
                <w:szCs w:val="13"/>
                <w:b w:val="1"/>
                <w:bCs w:val="1"/>
                <w:color w:val="auto"/>
              </w:rPr>
              <w:t>Unrealized</w:t>
            </w:r>
          </w:p>
        </w:tc>
        <w:tc>
          <w:tcPr>
            <w:tcW w:w="300" w:type="dxa"/>
            <w:vAlign w:val="bottom"/>
          </w:tcPr>
          <w:p>
            <w:pPr>
              <w:spacing w:after="0"/>
              <w:rPr>
                <w:sz w:val="10"/>
                <w:szCs w:val="10"/>
                <w:color w:val="auto"/>
              </w:rPr>
            </w:pPr>
          </w:p>
        </w:tc>
        <w:tc>
          <w:tcPr>
            <w:tcW w:w="1060" w:type="dxa"/>
            <w:vAlign w:val="bottom"/>
          </w:tcPr>
          <w:p>
            <w:pPr>
              <w:jc w:val="center"/>
              <w:ind w:right="235"/>
              <w:spacing w:after="0" w:line="119" w:lineRule="exact"/>
              <w:rPr>
                <w:sz w:val="20"/>
                <w:szCs w:val="20"/>
                <w:color w:val="auto"/>
              </w:rPr>
            </w:pPr>
            <w:r>
              <w:rPr>
                <w:rFonts w:ascii="Arial" w:cs="Arial" w:eastAsia="Arial" w:hAnsi="Arial"/>
                <w:sz w:val="13"/>
                <w:szCs w:val="13"/>
                <w:b w:val="1"/>
                <w:bCs w:val="1"/>
                <w:color w:val="auto"/>
              </w:rPr>
              <w:t>Fair</w:t>
            </w:r>
          </w:p>
        </w:tc>
        <w:tc>
          <w:tcPr>
            <w:tcW w:w="100" w:type="dxa"/>
            <w:vAlign w:val="bottom"/>
            <w:gridSpan w:val="2"/>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7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4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13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7"/>
              </w:rPr>
              <w:t>gains</w:t>
            </w:r>
          </w:p>
        </w:tc>
        <w:tc>
          <w:tcPr>
            <w:tcW w:w="1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2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77"/>
              </w:rPr>
              <w:t>losses</w:t>
            </w:r>
          </w:p>
        </w:tc>
        <w:tc>
          <w:tcPr>
            <w:tcW w:w="300" w:type="dxa"/>
            <w:vAlign w:val="bottom"/>
          </w:tcPr>
          <w:p>
            <w:pPr>
              <w:spacing w:after="0"/>
              <w:rPr>
                <w:sz w:val="14"/>
                <w:szCs w:val="14"/>
                <w:color w:val="auto"/>
              </w:rPr>
            </w:pPr>
          </w:p>
        </w:tc>
        <w:tc>
          <w:tcPr>
            <w:tcW w:w="1160" w:type="dxa"/>
            <w:vAlign w:val="bottom"/>
            <w:gridSpan w:val="3"/>
          </w:tcPr>
          <w:p>
            <w:pPr>
              <w:jc w:val="center"/>
              <w:ind w:right="400"/>
              <w:spacing w:after="0"/>
              <w:rPr>
                <w:sz w:val="20"/>
                <w:szCs w:val="20"/>
                <w:color w:val="auto"/>
              </w:rPr>
            </w:pPr>
            <w:r>
              <w:rPr>
                <w:rFonts w:ascii="Arial" w:cs="Arial" w:eastAsia="Arial" w:hAnsi="Arial"/>
                <w:sz w:val="14"/>
                <w:szCs w:val="14"/>
                <w:b w:val="1"/>
                <w:bCs w:val="1"/>
                <w:color w:val="auto"/>
                <w:w w:val="89"/>
              </w:rPr>
              <w:t>value</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tcPr>
          <w:p>
            <w:pPr>
              <w:spacing w:after="0"/>
              <w:rPr>
                <w:sz w:val="20"/>
                <w:szCs w:val="20"/>
                <w:color w:val="auto"/>
              </w:rPr>
            </w:pPr>
            <w:r>
              <w:rPr>
                <w:rFonts w:ascii="Arial" w:cs="Arial" w:eastAsia="Arial" w:hAnsi="Arial"/>
                <w:sz w:val="18"/>
                <w:szCs w:val="18"/>
                <w:color w:val="auto"/>
              </w:rPr>
              <w:t>Cash (Level 1)</w:t>
            </w:r>
          </w:p>
        </w:tc>
        <w:tc>
          <w:tcPr>
            <w:tcW w:w="560" w:type="dxa"/>
            <w:vAlign w:val="bottom"/>
            <w:gridSpan w:val="2"/>
          </w:tcPr>
          <w:p>
            <w:pPr>
              <w:jc w:val="right"/>
              <w:ind w:right="165"/>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2,725</w:t>
            </w:r>
          </w:p>
        </w:tc>
        <w:tc>
          <w:tcPr>
            <w:tcW w:w="300" w:type="dxa"/>
            <w:vAlign w:val="bottom"/>
          </w:tcPr>
          <w:p>
            <w:pPr>
              <w:spacing w:after="0"/>
              <w:rPr>
                <w:sz w:val="18"/>
                <w:szCs w:val="18"/>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46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2,725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Money market funds (Level 1)</w:t>
            </w: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145,902</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145,902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740" w:type="dxa"/>
            <w:vAlign w:val="bottom"/>
          </w:tcPr>
          <w:p>
            <w:pPr>
              <w:spacing w:after="0" w:line="201" w:lineRule="exact"/>
              <w:rPr>
                <w:sz w:val="20"/>
                <w:szCs w:val="20"/>
                <w:color w:val="auto"/>
              </w:rPr>
            </w:pPr>
            <w:r>
              <w:rPr>
                <w:rFonts w:ascii="Arial" w:cs="Arial" w:eastAsia="Arial" w:hAnsi="Arial"/>
                <w:sz w:val="18"/>
                <w:szCs w:val="18"/>
                <w:color w:val="auto"/>
              </w:rPr>
              <w:t>Corporate debt securities due within 3 months of date of</w:t>
            </w: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740" w:type="dxa"/>
            <w:vAlign w:val="bottom"/>
          </w:tcPr>
          <w:p>
            <w:pPr>
              <w:ind w:left="160"/>
              <w:spacing w:after="0"/>
              <w:rPr>
                <w:sz w:val="20"/>
                <w:szCs w:val="20"/>
                <w:color w:val="auto"/>
              </w:rPr>
            </w:pPr>
            <w:r>
              <w:rPr>
                <w:rFonts w:ascii="Arial" w:cs="Arial" w:eastAsia="Arial" w:hAnsi="Arial"/>
                <w:sz w:val="18"/>
                <w:szCs w:val="18"/>
                <w:color w:val="auto"/>
              </w:rPr>
              <w:t>purchase (Level 2)</w:t>
            </w: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116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cash and cash equivalents</w:t>
            </w:r>
          </w:p>
        </w:tc>
        <w:tc>
          <w:tcPr>
            <w:tcW w:w="24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148,627</w:t>
            </w:r>
          </w:p>
        </w:tc>
        <w:tc>
          <w:tcPr>
            <w:tcW w:w="3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148,627</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tcPr>
          <w:p>
            <w:pPr>
              <w:spacing w:after="0"/>
              <w:rPr>
                <w:sz w:val="20"/>
                <w:szCs w:val="20"/>
                <w:color w:val="auto"/>
              </w:rPr>
            </w:pPr>
            <w:r>
              <w:rPr>
                <w:rFonts w:ascii="Arial" w:cs="Arial" w:eastAsia="Arial" w:hAnsi="Arial"/>
                <w:sz w:val="18"/>
                <w:szCs w:val="18"/>
                <w:color w:val="auto"/>
              </w:rPr>
              <w:t>Marketable securities:</w:t>
            </w: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7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4"/>
              </w:rPr>
              <w:t>Corporate debt securities due within 1 year of date of purchase</w:t>
            </w:r>
          </w:p>
        </w:tc>
        <w:tc>
          <w:tcPr>
            <w:tcW w:w="2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7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(Level 2)</w:t>
            </w:r>
          </w:p>
        </w:tc>
        <w:tc>
          <w:tcPr>
            <w:tcW w:w="24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3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42,931</w:t>
            </w:r>
          </w:p>
        </w:tc>
        <w:tc>
          <w:tcPr>
            <w:tcW w:w="220" w:type="dxa"/>
            <w:vAlign w:val="bottom"/>
            <w:shd w:val="clear" w:color="auto" w:fill="CCEEFF"/>
          </w:tcPr>
          <w:p>
            <w:pPr>
              <w:spacing w:after="0"/>
              <w:rPr>
                <w:sz w:val="20"/>
                <w:szCs w:val="20"/>
                <w:color w:val="auto"/>
              </w:rPr>
            </w:pP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(31)</w:t>
            </w:r>
          </w:p>
        </w:tc>
        <w:tc>
          <w:tcPr>
            <w:tcW w:w="30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42,900</w:t>
            </w: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40" w:type="dxa"/>
            <w:vAlign w:val="bottom"/>
          </w:tcPr>
          <w:p>
            <w:pPr>
              <w:spacing w:after="0"/>
              <w:rPr>
                <w:sz w:val="20"/>
                <w:szCs w:val="20"/>
                <w:color w:val="auto"/>
              </w:rPr>
            </w:pPr>
            <w:r>
              <w:rPr>
                <w:rFonts w:ascii="Arial" w:cs="Arial" w:eastAsia="Arial" w:hAnsi="Arial"/>
                <w:sz w:val="18"/>
                <w:szCs w:val="18"/>
                <w:color w:val="auto"/>
              </w:rPr>
              <w:t>Total cash, cash equivalents and marketable securities</w:t>
            </w:r>
          </w:p>
        </w:tc>
        <w:tc>
          <w:tcPr>
            <w:tcW w:w="24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65"/>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191,558</w:t>
            </w:r>
          </w:p>
        </w:tc>
        <w:tc>
          <w:tcPr>
            <w:tcW w:w="3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w:t>
            </w:r>
          </w:p>
        </w:tc>
        <w:tc>
          <w:tcPr>
            <w:tcW w:w="280" w:type="dxa"/>
            <w:vAlign w:val="bottom"/>
          </w:tcPr>
          <w:p>
            <w:pPr>
              <w:jc w:val="right"/>
              <w:ind w:right="140"/>
              <w:spacing w:after="0"/>
              <w:rPr>
                <w:sz w:val="20"/>
                <w:szCs w:val="20"/>
                <w:color w:val="auto"/>
              </w:rPr>
            </w:pPr>
            <w:r>
              <w:rPr>
                <w:rFonts w:ascii="Arial" w:cs="Arial" w:eastAsia="Arial" w:hAnsi="Arial"/>
                <w:sz w:val="16"/>
                <w:szCs w:val="16"/>
                <w:color w:val="auto"/>
                <w:w w:val="74"/>
              </w:rPr>
              <w:t>)</w:t>
            </w: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191,527</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right="9600" w:firstLine="8"/>
        <w:spacing w:after="0" w:line="533" w:lineRule="auto"/>
        <w:tabs>
          <w:tab w:leader="none" w:pos="180" w:val="left"/>
        </w:tabs>
        <w:numPr>
          <w:ilvl w:val="0"/>
          <w:numId w:val="5"/>
        </w:numPr>
        <w:rPr>
          <w:rFonts w:ascii="Arial" w:cs="Arial" w:eastAsia="Arial" w:hAnsi="Arial"/>
          <w:sz w:val="17"/>
          <w:szCs w:val="17"/>
          <w:b w:val="1"/>
          <w:bCs w:val="1"/>
          <w:color w:val="auto"/>
        </w:rPr>
      </w:pPr>
      <w:r>
        <w:rPr>
          <w:rFonts w:ascii="Arial" w:cs="Arial" w:eastAsia="Arial" w:hAnsi="Arial"/>
          <w:sz w:val="17"/>
          <w:szCs w:val="17"/>
          <w:b w:val="1"/>
          <w:bCs w:val="1"/>
          <w:color w:val="auto"/>
        </w:rPr>
        <w:t>Stockholders’ Equity Common Stock</w:t>
      </w:r>
    </w:p>
    <w:p>
      <w:pPr>
        <w:ind w:right="220" w:firstLine="648"/>
        <w:spacing w:after="0" w:line="264" w:lineRule="auto"/>
        <w:rPr>
          <w:sz w:val="20"/>
          <w:szCs w:val="20"/>
          <w:color w:val="auto"/>
        </w:rPr>
      </w:pPr>
      <w:r>
        <w:rPr>
          <w:rFonts w:ascii="Arial" w:cs="Arial" w:eastAsia="Arial" w:hAnsi="Arial"/>
          <w:sz w:val="18"/>
          <w:szCs w:val="18"/>
          <w:color w:val="auto"/>
        </w:rPr>
        <w:t>Each common stockholder is entitled to one vote for each share of common stock held. The common stock will vote together with all other classes and series of stock of the Company as a single class on all actions to be taken by the Company’s stockholders. Each share of common stock is entitled to receive dividends, as and when declared by the Company’s board of directors.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 has never declared cash dividends on its common stock and does not expect to do so in the foreseeable future.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December 2017 Registered Offering</w:t>
      </w:r>
    </w:p>
    <w:p>
      <w:pPr>
        <w:spacing w:after="0" w:line="225" w:lineRule="exact"/>
        <w:rPr>
          <w:sz w:val="20"/>
          <w:szCs w:val="20"/>
          <w:color w:val="auto"/>
        </w:rPr>
      </w:pPr>
    </w:p>
    <w:p>
      <w:pPr>
        <w:ind w:right="120" w:firstLine="648"/>
        <w:spacing w:after="0" w:line="288" w:lineRule="auto"/>
        <w:rPr>
          <w:sz w:val="20"/>
          <w:szCs w:val="20"/>
          <w:color w:val="auto"/>
        </w:rPr>
      </w:pPr>
      <w:r>
        <w:rPr>
          <w:rFonts w:ascii="Arial" w:cs="Arial" w:eastAsia="Arial" w:hAnsi="Arial"/>
          <w:sz w:val="16"/>
          <w:szCs w:val="16"/>
          <w:color w:val="auto"/>
        </w:rPr>
        <w:t>In December 2017, the Company entered into an underwriting agreement (the “Underwriting Agreement”) with Goldman Sachs &amp; Co. LLC, as representative of the several underwriters named therein (the “Underwriters”), relating to an underwritten public offering (the “December 2017 Offering”) of 1,731,929 shares of the Company’s common stock, including 225,904 shares of the Company’s common stock purchased by the Underwriters pursuant to a</w:t>
      </w:r>
    </w:p>
    <w:p>
      <w:pPr>
        <w:ind w:right="20"/>
        <w:spacing w:after="0" w:line="255" w:lineRule="auto"/>
        <w:rPr>
          <w:sz w:val="20"/>
          <w:szCs w:val="20"/>
          <w:color w:val="auto"/>
        </w:rPr>
      </w:pPr>
      <w:r>
        <w:rPr>
          <w:rFonts w:ascii="Arial" w:cs="Arial" w:eastAsia="Arial" w:hAnsi="Arial"/>
          <w:sz w:val="18"/>
          <w:szCs w:val="18"/>
          <w:color w:val="auto"/>
        </w:rPr>
        <w:t>30-day option to purchase such additional shares granted therein, at a public offering price of $83.00 per share. The December 2017 Offering resulted in gross proceeds to the Company of approximately $143.8 million, and net proceeds to the Company of approximately $135.7 million, after deducting the Underwriters’ discount. The December 2017 Offering closed on December 21, 2017.</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June 2017 Private Placement Offering and its Series A Convertible Preferred Stock</w:t>
      </w:r>
    </w:p>
    <w:p>
      <w:pPr>
        <w:sectPr>
          <w:pgSz w:w="11900" w:h="16838" w:orient="portrait"/>
          <w:cols w:equalWidth="0" w:num="1">
            <w:col w:w="11420"/>
          </w:cols>
          <w:pgMar w:left="240" w:top="125" w:right="239" w:bottom="221" w:gutter="0" w:footer="0" w:header="0"/>
        </w:sectPr>
      </w:pPr>
    </w:p>
    <w:bookmarkStart w:id="7" w:name="page8"/>
    <w:bookmarkEnd w:id="7"/>
    <w:p>
      <w:pPr>
        <w:spacing w:after="0" w:line="20" w:lineRule="exact"/>
        <w:rPr>
          <w:sz w:val="20"/>
          <w:szCs w:val="20"/>
          <w:color w:val="auto"/>
        </w:rPr>
      </w:pPr>
    </w:p>
    <w:p>
      <w:pPr>
        <w:ind w:right="20" w:firstLine="648"/>
        <w:spacing w:after="0" w:line="273" w:lineRule="auto"/>
        <w:rPr>
          <w:sz w:val="20"/>
          <w:szCs w:val="20"/>
          <w:color w:val="auto"/>
        </w:rPr>
      </w:pPr>
      <w:r>
        <w:rPr>
          <w:rFonts w:ascii="Arial" w:cs="Arial" w:eastAsia="Arial" w:hAnsi="Arial"/>
          <w:sz w:val="17"/>
          <w:szCs w:val="17"/>
          <w:color w:val="auto"/>
        </w:rPr>
        <w:t>In June 2017, the Company entered into a Securities Purchase Agreement (the “Purchase Agreement)” with a group of institutional accredited investors, who were existing, non-controlling stockholders of the Company, pursuant to which the Company sold securities to the Investors in a private placement transaction (the “June 2017 Offering”). Under the terms of the Purchase Agreement, the Company sold 328,300 shares of its common stock at a price of $15.23 per share, and 1,969,797 shares of its Series A Convertible Preferred Stock (the “Series A Preferred Stock”) at a price of $15.23 per share. The June 2017 Offering resulted in gross proceeds to the Company of approximately $35.0 million, and net proceeds to the Company of approximately $34.9 million. The June 2017 Offering closed on June 23, 2017.</w:t>
      </w:r>
    </w:p>
    <w:p>
      <w:pPr>
        <w:spacing w:after="0" w:line="178" w:lineRule="exact"/>
        <w:rPr>
          <w:sz w:val="20"/>
          <w:szCs w:val="20"/>
          <w:color w:val="auto"/>
        </w:rPr>
      </w:pPr>
    </w:p>
    <w:p>
      <w:pPr>
        <w:ind w:right="20" w:firstLine="648"/>
        <w:spacing w:after="0" w:line="288" w:lineRule="auto"/>
        <w:rPr>
          <w:sz w:val="20"/>
          <w:szCs w:val="20"/>
          <w:color w:val="auto"/>
        </w:rPr>
      </w:pPr>
      <w:r>
        <w:rPr>
          <w:rFonts w:ascii="Arial" w:cs="Arial" w:eastAsia="Arial" w:hAnsi="Arial"/>
          <w:sz w:val="16"/>
          <w:szCs w:val="16"/>
          <w:color w:val="auto"/>
        </w:rPr>
        <w:t>The Series A Preferred Stock has a par value of $0.0001 per share and is convertible into shares of the common stock at a one-to-one ratio, subject to adjustment as provided in the Purchase Agreement. The terms of the Series A Preferred Stock are set forth in the Certificate of Designation of Preferences, Rights and Limitations of Series A Convertible Preferred Stock, that the Company filed with the Secretary of State of the State of Delaware on June 21, 2017. Each share of the Series A Preferred Stock is convertible into shares of Common Stock at any time at the holder’s option. Upon any liquidation, dissolution or winding-up of the Company, whether voluntary or involuntary, after the satisfaction in full of the debts of the Company and the payment of any liquidation preference owed to the holders of shares of capital stock of the Company ranking prior to the Series A Preferred Stock upon liquidation, the holders of the Series A Preferred Stock shall participate pari passu with the holders of the Common Stock (on an as-if-converted-to-Common-Stock basis) in the net assets of the Company. Shares of the Series A Preferred Stock will generally have no voting rights, except as required by law. Shares of the Series A Preferred Stock will be entitled to receive dividends before shares of any other class or series of capital stock of the Company (other than dividends in the form of the Common Stock) equal to the dividend payable on each share of the Common Stock, on an as-converted basis.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At-The-Market Issuance Sales Agreement</w:t>
      </w:r>
    </w:p>
    <w:p>
      <w:pPr>
        <w:spacing w:after="0" w:line="225" w:lineRule="exact"/>
        <w:rPr>
          <w:sz w:val="20"/>
          <w:szCs w:val="20"/>
          <w:color w:val="auto"/>
        </w:rPr>
      </w:pPr>
    </w:p>
    <w:p>
      <w:pPr>
        <w:ind w:firstLine="648"/>
        <w:spacing w:after="0" w:line="288" w:lineRule="auto"/>
        <w:rPr>
          <w:sz w:val="20"/>
          <w:szCs w:val="20"/>
          <w:color w:val="auto"/>
        </w:rPr>
      </w:pPr>
      <w:r>
        <w:rPr>
          <w:rFonts w:ascii="Arial" w:cs="Arial" w:eastAsia="Arial" w:hAnsi="Arial"/>
          <w:sz w:val="16"/>
          <w:szCs w:val="16"/>
          <w:color w:val="auto"/>
        </w:rPr>
        <w:t>In October 2015, the Company entered into an at-the-market issuance sales agreement (the “October 2015 Sales Agreement”), with Cowen and Company, LLC (“Cowen”), pursuant to which the Company may issue and sell shares of its common stock, having an aggregate offering price of up to $100 million, from time to time, at the Company’s option, through Cowen as its sales agent. Sales of common stock through Cowen may be made by any method that is deemed an “at-the-market” offering as defined in Rule 415 promulgated under the Securities Act of 1933, as amended, including by means of ordinary brokers’ transactions at market prices, in block transactions or as otherwise agreed by the Company and Cowen. Subject to the terms and conditions of the October 2015 Sales Agreement, Cowen will use commercially reasonable efforts consistent with its normal trading and sales practices to sell the common stock based upon the Company’s instructions (including any price, time or size limits or other customary parameters or conditions the Company may impose). The Company is not obligated to make any sales of its common stock under the October 2015 Sales Agreement. Any shares sold will be sold pursuant to an effective shelf registration statement on Form S-3 (file no. 333-206135). The Company will pay Cowen a commission of up to 3% of the gross proceeds. The October 2015 Sales Agreement may be terminated by the Company at any time upon 10 days’ notice.</w:t>
      </w:r>
    </w:p>
    <w:p>
      <w:pPr>
        <w:spacing w:after="0" w:line="169" w:lineRule="exact"/>
        <w:rPr>
          <w:sz w:val="20"/>
          <w:szCs w:val="20"/>
          <w:color w:val="auto"/>
        </w:rPr>
      </w:pPr>
    </w:p>
    <w:p>
      <w:pPr>
        <w:ind w:right="280" w:firstLine="648"/>
        <w:spacing w:after="0" w:line="279" w:lineRule="auto"/>
        <w:rPr>
          <w:sz w:val="20"/>
          <w:szCs w:val="20"/>
          <w:color w:val="auto"/>
        </w:rPr>
      </w:pPr>
      <w:r>
        <w:rPr>
          <w:rFonts w:ascii="Arial" w:cs="Arial" w:eastAsia="Arial" w:hAnsi="Arial"/>
          <w:sz w:val="17"/>
          <w:szCs w:val="17"/>
          <w:color w:val="auto"/>
        </w:rPr>
        <w:t>As of March 31, 2018, 597,256 shares have been sold under the October 2015 Sales Agreement for an aggregate of approximately $9.6 million in gross proceeds. Net proceeds to the Company were approximately $9.4 million after deducting commissions and other transactions costs. Of those shares sold, none were sold in 2018, and 215,539 were sold in 2017. Approximately $90.4 million remained reserved under the Company’s shelf registration statement and the applicable prospectus supplement for possible future issuance under the October 2015 Sales Agreement.</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Stock-based Compensation</w:t>
      </w:r>
    </w:p>
    <w:p>
      <w:pPr>
        <w:spacing w:after="0" w:line="229" w:lineRule="exact"/>
        <w:rPr>
          <w:sz w:val="20"/>
          <w:szCs w:val="20"/>
          <w:color w:val="auto"/>
        </w:rPr>
      </w:pPr>
    </w:p>
    <w:p>
      <w:pPr>
        <w:ind w:right="20" w:firstLine="648"/>
        <w:spacing w:after="0" w:line="270" w:lineRule="auto"/>
        <w:rPr>
          <w:sz w:val="20"/>
          <w:szCs w:val="20"/>
          <w:color w:val="auto"/>
        </w:rPr>
      </w:pPr>
      <w:r>
        <w:rPr>
          <w:rFonts w:ascii="Arial" w:cs="Arial" w:eastAsia="Arial" w:hAnsi="Arial"/>
          <w:sz w:val="17"/>
          <w:szCs w:val="17"/>
          <w:color w:val="auto"/>
        </w:rPr>
        <w:t>In June 2015, upon obtaining stockholder approval at its annual shareholder meeting, the Company implemented its new 2015 Stock Plan. The 2015 Stock Plan replaced the 2006 Stock Plan which was terminated upon adoption of the 2015 Stock Plan. Shares of common stock reserved for outstanding awards under the 2006 Stock Plan that lapse or are cancelled will be added back to the share reserve available for future awards under the 2015 Stock Plan. The 2015 Stock Plan provides for the grant of incentive stock options, non-statutory stock options, restricted stock and other stock-based compensation awards to employees, officers, directors, and consultants of the Company. The administration of the 2015 Stock Plan is under the general supervision of the compensation committee of the board of directors. The exercise price of the stock options is determined by the compensation committee of the board of directors, provided that incentive stock options are granted with an exercise price not less than fair market value of the common stock on the date of grant and expire no later than ten years from the date the option is granted. As of March 31, 2018, the Company had options outstanding to purchase 1,122,585 shares of its common stock, which includes options outstanding under its 2006 Stock Plan that was terminated in June 2015. As of March 31, 2018, 1,289,595 shares were available for future issuance.</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stock option activity during the three months ended March 31, 2018:</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49"/>
        </w:trPr>
        <w:tc>
          <w:tcPr>
            <w:tcW w:w="52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2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9"/>
        </w:trPr>
        <w:tc>
          <w:tcPr>
            <w:tcW w:w="5220" w:type="dxa"/>
            <w:vAlign w:val="bottom"/>
          </w:tcPr>
          <w:p>
            <w:pPr>
              <w:spacing w:after="0"/>
              <w:rPr>
                <w:sz w:val="12"/>
                <w:szCs w:val="12"/>
                <w:color w:val="auto"/>
              </w:rPr>
            </w:pPr>
          </w:p>
        </w:tc>
        <w:tc>
          <w:tcPr>
            <w:tcW w:w="1540" w:type="dxa"/>
            <w:vAlign w:val="bottom"/>
            <w:gridSpan w:val="2"/>
            <w:vMerge w:val="restart"/>
          </w:tcPr>
          <w:p>
            <w:pPr>
              <w:jc w:val="right"/>
              <w:ind w:right="660"/>
              <w:spacing w:after="0"/>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2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5"/>
              </w:rPr>
              <w:t>exercise</w:t>
            </w:r>
          </w:p>
        </w:tc>
        <w:tc>
          <w:tcPr>
            <w:tcW w:w="0" w:type="dxa"/>
            <w:vAlign w:val="bottom"/>
          </w:tcPr>
          <w:p>
            <w:pPr>
              <w:spacing w:after="0"/>
              <w:rPr>
                <w:sz w:val="1"/>
                <w:szCs w:val="1"/>
                <w:color w:val="auto"/>
              </w:rPr>
            </w:pPr>
          </w:p>
        </w:tc>
      </w:tr>
      <w:tr>
        <w:trPr>
          <w:trHeight w:val="171"/>
        </w:trPr>
        <w:tc>
          <w:tcPr>
            <w:tcW w:w="5220" w:type="dxa"/>
            <w:vAlign w:val="bottom"/>
          </w:tcPr>
          <w:p>
            <w:pPr>
              <w:spacing w:after="0"/>
              <w:rPr>
                <w:sz w:val="14"/>
                <w:szCs w:val="14"/>
                <w:color w:val="auto"/>
              </w:rPr>
            </w:pPr>
          </w:p>
        </w:tc>
        <w:tc>
          <w:tcPr>
            <w:tcW w:w="154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5"/>
              </w:rPr>
              <w:t>price</w:t>
            </w:r>
          </w:p>
        </w:tc>
        <w:tc>
          <w:tcPr>
            <w:tcW w:w="0" w:type="dxa"/>
            <w:vAlign w:val="bottom"/>
          </w:tcPr>
          <w:p>
            <w:pPr>
              <w:spacing w:after="0"/>
              <w:rPr>
                <w:sz w:val="1"/>
                <w:szCs w:val="1"/>
                <w:color w:val="auto"/>
              </w:rPr>
            </w:pPr>
          </w:p>
        </w:tc>
      </w:tr>
      <w:tr>
        <w:trPr>
          <w:trHeight w:val="210"/>
        </w:trPr>
        <w:tc>
          <w:tcPr>
            <w:tcW w:w="52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at January 1, 2018</w:t>
            </w: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976,777</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11.97</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20" w:type="dxa"/>
            <w:vAlign w:val="bottom"/>
          </w:tcPr>
          <w:p>
            <w:pPr>
              <w:spacing w:after="0"/>
              <w:rPr>
                <w:sz w:val="20"/>
                <w:szCs w:val="20"/>
                <w:color w:val="auto"/>
              </w:rPr>
            </w:pPr>
            <w:r>
              <w:rPr>
                <w:rFonts w:ascii="Arial" w:cs="Arial" w:eastAsia="Arial" w:hAnsi="Arial"/>
                <w:sz w:val="18"/>
                <w:szCs w:val="18"/>
                <w:color w:val="auto"/>
              </w:rPr>
              <w:t>Options granted</w:t>
            </w:r>
          </w:p>
        </w:tc>
        <w:tc>
          <w:tcPr>
            <w:tcW w:w="1540" w:type="dxa"/>
            <w:vAlign w:val="bottom"/>
            <w:gridSpan w:val="2"/>
          </w:tcPr>
          <w:p>
            <w:pPr>
              <w:jc w:val="right"/>
              <w:ind w:right="180"/>
              <w:spacing w:after="0"/>
              <w:rPr>
                <w:sz w:val="20"/>
                <w:szCs w:val="20"/>
                <w:color w:val="auto"/>
              </w:rPr>
            </w:pPr>
            <w:r>
              <w:rPr>
                <w:rFonts w:ascii="Arial" w:cs="Arial" w:eastAsia="Arial" w:hAnsi="Arial"/>
                <w:sz w:val="18"/>
                <w:szCs w:val="18"/>
                <w:color w:val="auto"/>
              </w:rPr>
              <w:t>168,900</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122.61</w:t>
            </w:r>
          </w:p>
        </w:tc>
        <w:tc>
          <w:tcPr>
            <w:tcW w:w="0" w:type="dxa"/>
            <w:vAlign w:val="bottom"/>
          </w:tcPr>
          <w:p>
            <w:pPr>
              <w:spacing w:after="0"/>
              <w:rPr>
                <w:sz w:val="1"/>
                <w:szCs w:val="1"/>
                <w:color w:val="auto"/>
              </w:rPr>
            </w:pPr>
          </w:p>
        </w:tc>
      </w:tr>
      <w:tr>
        <w:trPr>
          <w:trHeight w:val="216"/>
        </w:trPr>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Options exercised</w:t>
            </w:r>
          </w:p>
        </w:tc>
        <w:tc>
          <w:tcPr>
            <w:tcW w:w="15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(23,092)</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11.48</w:t>
            </w:r>
          </w:p>
        </w:tc>
        <w:tc>
          <w:tcPr>
            <w:tcW w:w="0" w:type="dxa"/>
            <w:vAlign w:val="bottom"/>
          </w:tcPr>
          <w:p>
            <w:pPr>
              <w:spacing w:after="0"/>
              <w:rPr>
                <w:sz w:val="1"/>
                <w:szCs w:val="1"/>
                <w:color w:val="auto"/>
              </w:rPr>
            </w:pPr>
          </w:p>
        </w:tc>
      </w:tr>
      <w:tr>
        <w:trPr>
          <w:trHeight w:val="216"/>
        </w:trPr>
        <w:tc>
          <w:tcPr>
            <w:tcW w:w="5220" w:type="dxa"/>
            <w:vAlign w:val="bottom"/>
          </w:tcPr>
          <w:p>
            <w:pPr>
              <w:spacing w:after="0"/>
              <w:rPr>
                <w:sz w:val="20"/>
                <w:szCs w:val="20"/>
                <w:color w:val="auto"/>
              </w:rPr>
            </w:pPr>
            <w:r>
              <w:rPr>
                <w:rFonts w:ascii="Arial" w:cs="Arial" w:eastAsia="Arial" w:hAnsi="Arial"/>
                <w:sz w:val="18"/>
                <w:szCs w:val="18"/>
                <w:color w:val="auto"/>
              </w:rPr>
              <w:t>Options cancelled</w:t>
            </w:r>
          </w:p>
        </w:tc>
        <w:tc>
          <w:tcPr>
            <w:tcW w:w="15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52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at March 31, 2018</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1,122,585</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28.63</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220" w:type="dxa"/>
            <w:vAlign w:val="bottom"/>
            <w:vMerge w:val="restart"/>
          </w:tcPr>
          <w:p>
            <w:pPr>
              <w:spacing w:after="0"/>
              <w:rPr>
                <w:sz w:val="20"/>
                <w:szCs w:val="20"/>
                <w:color w:val="auto"/>
              </w:rPr>
            </w:pPr>
            <w:r>
              <w:rPr>
                <w:rFonts w:ascii="Arial" w:cs="Arial" w:eastAsia="Arial" w:hAnsi="Arial"/>
                <w:sz w:val="18"/>
                <w:szCs w:val="18"/>
                <w:color w:val="auto"/>
              </w:rPr>
              <w:t>Exercisable at March 31, 2018</w:t>
            </w:r>
          </w:p>
        </w:tc>
        <w:tc>
          <w:tcPr>
            <w:tcW w:w="1360" w:type="dxa"/>
            <w:vAlign w:val="bottom"/>
            <w:tcBorders>
              <w:bottom w:val="single" w:sz="8" w:color="auto"/>
            </w:tcBorders>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5220" w:type="dxa"/>
            <w:vAlign w:val="bottom"/>
            <w:vMerge w:val="continue"/>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431,725</w:t>
            </w:r>
          </w:p>
        </w:tc>
        <w:tc>
          <w:tcPr>
            <w:tcW w:w="180" w:type="dxa"/>
            <w:vAlign w:val="bottom"/>
            <w:vMerge w:val="continue"/>
          </w:tcPr>
          <w:p>
            <w:pPr>
              <w:spacing w:after="0"/>
              <w:rPr>
                <w:sz w:val="18"/>
                <w:szCs w:val="18"/>
                <w:color w:val="auto"/>
              </w:rPr>
            </w:pPr>
          </w:p>
        </w:tc>
        <w:tc>
          <w:tcPr>
            <w:tcW w:w="100" w:type="dxa"/>
            <w:vAlign w:val="bottom"/>
            <w:vMerge w:val="continue"/>
          </w:tcPr>
          <w:p>
            <w:pPr>
              <w:spacing w:after="0"/>
              <w:rPr>
                <w:sz w:val="18"/>
                <w:szCs w:val="18"/>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11.87</w:t>
            </w:r>
          </w:p>
        </w:tc>
        <w:tc>
          <w:tcPr>
            <w:tcW w:w="1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ind w:right="80" w:firstLine="648"/>
        <w:spacing w:after="0" w:line="264" w:lineRule="auto"/>
        <w:rPr>
          <w:sz w:val="20"/>
          <w:szCs w:val="20"/>
          <w:color w:val="auto"/>
        </w:rPr>
      </w:pPr>
      <w:r>
        <w:rPr>
          <w:rFonts w:ascii="Arial" w:cs="Arial" w:eastAsia="Arial" w:hAnsi="Arial"/>
          <w:sz w:val="18"/>
          <w:szCs w:val="18"/>
          <w:color w:val="auto"/>
        </w:rPr>
        <w:t>The total cash received by the Company as a result of stock option exercises was $265 thousand and $0, respectively, for the three months ended March 31, 2018 and 2017. The weighted-average grant date fair values, based on the Black-Scholes option model, of options granted during the three months ended March 31, 2018 and 2017 was $96.57 and $12.69, respectively.</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Common Stock</w:t>
      </w:r>
    </w:p>
    <w:p>
      <w:pPr>
        <w:spacing w:after="0" w:line="225"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The Company’s share-based compensation plan provides for awards of restricted shares of common stock to employees, officers, directors and consultants to the Company. Restricted stock awards are subject to forfeiture if employment or service terminates during the prescribed retention period. Restricted shares vest over the service period. There were 104,127 unvested restricted shares outstanding at a weighted average grant date fair value of $9.45 at March 31, 2018 and December 31, 2017.</w:t>
      </w:r>
    </w:p>
    <w:p>
      <w:pPr>
        <w:sectPr>
          <w:pgSz w:w="11900" w:h="16858" w:orient="portrait"/>
          <w:cols w:equalWidth="0" w:num="1">
            <w:col w:w="11420"/>
          </w:cols>
          <w:pgMar w:left="240" w:top="125" w:right="239" w:bottom="0" w:gutter="0" w:footer="0" w:header="0"/>
        </w:sectPr>
      </w:pPr>
    </w:p>
    <w:bookmarkStart w:id="8" w:name="page9"/>
    <w:bookmarkEnd w:id="8"/>
    <w:p>
      <w:pPr>
        <w:spacing w:after="0" w:line="4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Stock-Based Compensation Expense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Stock-based compensation expense during the three months ended March 31, 2018 and 2017 was as follows (in thousands):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020" w:type="dxa"/>
            <w:vAlign w:val="bottom"/>
          </w:tcPr>
          <w:p>
            <w:pPr>
              <w:spacing w:after="0"/>
              <w:rPr>
                <w:sz w:val="14"/>
                <w:szCs w:val="14"/>
                <w:color w:val="auto"/>
              </w:rPr>
            </w:pPr>
          </w:p>
        </w:tc>
        <w:tc>
          <w:tcPr>
            <w:tcW w:w="2600" w:type="dxa"/>
            <w:vAlign w:val="bottom"/>
            <w:tcBorders>
              <w:bottom w:val="single" w:sz="8" w:color="auto"/>
            </w:tcBorders>
            <w:gridSpan w:val="4"/>
          </w:tcPr>
          <w:p>
            <w:pPr>
              <w:jc w:val="right"/>
              <w:ind w:right="34"/>
              <w:spacing w:after="0"/>
              <w:rPr>
                <w:sz w:val="20"/>
                <w:szCs w:val="20"/>
                <w:color w:val="auto"/>
              </w:rPr>
            </w:pPr>
            <w:r>
              <w:rPr>
                <w:rFonts w:ascii="Arial" w:cs="Arial" w:eastAsia="Arial" w:hAnsi="Arial"/>
                <w:sz w:val="14"/>
                <w:szCs w:val="14"/>
                <w:b w:val="1"/>
                <w:bCs w:val="1"/>
                <w:color w:val="auto"/>
              </w:rPr>
              <w:t>Three Months Ended March 31,</w:t>
            </w:r>
          </w:p>
        </w:tc>
        <w:tc>
          <w:tcPr>
            <w:tcW w:w="3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020" w:type="dxa"/>
            <w:vAlign w:val="bottom"/>
            <w:tcBorders>
              <w:bottom w:val="single" w:sz="8" w:color="CCEEFF"/>
            </w:tcBorders>
          </w:tcPr>
          <w:p>
            <w:pPr>
              <w:spacing w:after="0"/>
              <w:rPr>
                <w:sz w:val="12"/>
                <w:szCs w:val="12"/>
                <w:color w:val="auto"/>
              </w:rPr>
            </w:pPr>
          </w:p>
        </w:tc>
        <w:tc>
          <w:tcPr>
            <w:tcW w:w="8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2018</w:t>
            </w:r>
          </w:p>
        </w:tc>
        <w:tc>
          <w:tcPr>
            <w:tcW w:w="460" w:type="dxa"/>
            <w:vAlign w:val="bottom"/>
            <w:tcBorders>
              <w:bottom w:val="single" w:sz="8" w:color="auto"/>
            </w:tcBorders>
          </w:tcPr>
          <w:p>
            <w:pPr>
              <w:spacing w:after="0"/>
              <w:rPr>
                <w:sz w:val="12"/>
                <w:szCs w:val="12"/>
                <w:color w:val="auto"/>
              </w:rPr>
            </w:pPr>
          </w:p>
        </w:tc>
        <w:tc>
          <w:tcPr>
            <w:tcW w:w="280" w:type="dxa"/>
            <w:vAlign w:val="bottom"/>
            <w:tcBorders>
              <w:bottom w:val="single" w:sz="8" w:color="CCEEFF"/>
            </w:tcBorders>
          </w:tcPr>
          <w:p>
            <w:pPr>
              <w:spacing w:after="0"/>
              <w:rPr>
                <w:sz w:val="12"/>
                <w:szCs w:val="12"/>
                <w:color w:val="auto"/>
              </w:rPr>
            </w:pPr>
          </w:p>
        </w:tc>
        <w:tc>
          <w:tcPr>
            <w:tcW w:w="980" w:type="dxa"/>
            <w:vAlign w:val="bottom"/>
            <w:tcBorders>
              <w:bottom w:val="single" w:sz="8" w:color="auto"/>
            </w:tcBorders>
          </w:tcPr>
          <w:p>
            <w:pPr>
              <w:jc w:val="right"/>
              <w:ind w:right="54"/>
              <w:spacing w:after="0" w:line="142" w:lineRule="exact"/>
              <w:rPr>
                <w:sz w:val="20"/>
                <w:szCs w:val="20"/>
                <w:color w:val="auto"/>
              </w:rPr>
            </w:pPr>
            <w:r>
              <w:rPr>
                <w:rFonts w:ascii="Arial" w:cs="Arial" w:eastAsia="Arial" w:hAnsi="Arial"/>
                <w:sz w:val="14"/>
                <w:szCs w:val="14"/>
                <w:b w:val="1"/>
                <w:bCs w:val="1"/>
                <w:color w:val="auto"/>
              </w:rPr>
              <w:t>2017</w:t>
            </w:r>
          </w:p>
        </w:tc>
        <w:tc>
          <w:tcPr>
            <w:tcW w:w="380" w:type="dxa"/>
            <w:vAlign w:val="bottom"/>
            <w:tcBorders>
              <w:bottom w:val="single" w:sz="8" w:color="auto"/>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0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Stock-based compensation expense by type of award:</w:t>
            </w:r>
          </w:p>
        </w:tc>
        <w:tc>
          <w:tcPr>
            <w:tcW w:w="8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tcPr>
          <w:p>
            <w:pPr>
              <w:ind w:left="160"/>
              <w:spacing w:after="0"/>
              <w:rPr>
                <w:sz w:val="20"/>
                <w:szCs w:val="20"/>
                <w:color w:val="auto"/>
              </w:rPr>
            </w:pPr>
            <w:r>
              <w:rPr>
                <w:rFonts w:ascii="Arial" w:cs="Arial" w:eastAsia="Arial" w:hAnsi="Arial"/>
                <w:sz w:val="18"/>
                <w:szCs w:val="18"/>
                <w:color w:val="auto"/>
              </w:rPr>
              <w:t>Stock options</w:t>
            </w:r>
          </w:p>
        </w:tc>
        <w:tc>
          <w:tcPr>
            <w:tcW w:w="880" w:type="dxa"/>
            <w:vAlign w:val="bottom"/>
          </w:tcPr>
          <w:p>
            <w:pPr>
              <w:jc w:val="right"/>
              <w:ind w:right="726"/>
              <w:spacing w:after="0"/>
              <w:rPr>
                <w:sz w:val="20"/>
                <w:szCs w:val="20"/>
                <w:color w:val="auto"/>
              </w:rPr>
            </w:pPr>
            <w:r>
              <w:rPr>
                <w:rFonts w:ascii="Arial" w:cs="Arial" w:eastAsia="Arial" w:hAnsi="Arial"/>
                <w:sz w:val="15"/>
                <w:szCs w:val="15"/>
                <w:color w:val="auto"/>
                <w:w w:val="71"/>
              </w:rPr>
              <w:t>$</w:t>
            </w:r>
          </w:p>
        </w:tc>
        <w:tc>
          <w:tcPr>
            <w:tcW w:w="740" w:type="dxa"/>
            <w:vAlign w:val="bottom"/>
            <w:gridSpan w:val="2"/>
          </w:tcPr>
          <w:p>
            <w:pPr>
              <w:jc w:val="right"/>
              <w:ind w:right="280"/>
              <w:spacing w:after="0"/>
              <w:rPr>
                <w:sz w:val="20"/>
                <w:szCs w:val="20"/>
                <w:color w:val="auto"/>
              </w:rPr>
            </w:pPr>
            <w:r>
              <w:rPr>
                <w:rFonts w:ascii="Arial" w:cs="Arial" w:eastAsia="Arial" w:hAnsi="Arial"/>
                <w:sz w:val="18"/>
                <w:szCs w:val="18"/>
                <w:color w:val="auto"/>
                <w:w w:val="97"/>
              </w:rPr>
              <w:t>1,046</w:t>
            </w:r>
          </w:p>
        </w:tc>
        <w:tc>
          <w:tcPr>
            <w:tcW w:w="980" w:type="dxa"/>
            <w:vAlign w:val="bottom"/>
          </w:tcPr>
          <w:p>
            <w:pPr>
              <w:jc w:val="right"/>
              <w:ind w:right="794"/>
              <w:spacing w:after="0"/>
              <w:rPr>
                <w:sz w:val="20"/>
                <w:szCs w:val="20"/>
                <w:color w:val="auto"/>
              </w:rPr>
            </w:pPr>
            <w:r>
              <w:rPr>
                <w:rFonts w:ascii="Arial" w:cs="Arial" w:eastAsia="Arial" w:hAnsi="Arial"/>
                <w:sz w:val="18"/>
                <w:szCs w:val="18"/>
                <w:color w:val="auto"/>
                <w:w w:val="79"/>
              </w:rPr>
              <w:t>$</w:t>
            </w:r>
          </w:p>
        </w:tc>
        <w:tc>
          <w:tcPr>
            <w:tcW w:w="500" w:type="dxa"/>
            <w:vAlign w:val="bottom"/>
            <w:gridSpan w:val="2"/>
          </w:tcPr>
          <w:p>
            <w:pPr>
              <w:ind w:left="120"/>
              <w:spacing w:after="0"/>
              <w:rPr>
                <w:sz w:val="20"/>
                <w:szCs w:val="20"/>
                <w:color w:val="auto"/>
              </w:rPr>
            </w:pPr>
            <w:r>
              <w:rPr>
                <w:rFonts w:ascii="Arial" w:cs="Arial" w:eastAsia="Arial" w:hAnsi="Arial"/>
                <w:sz w:val="18"/>
                <w:szCs w:val="18"/>
                <w:color w:val="auto"/>
              </w:rPr>
              <w:t>454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Restricted stock</w:t>
            </w:r>
          </w:p>
        </w:tc>
        <w:tc>
          <w:tcPr>
            <w:tcW w:w="8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121</w:t>
            </w:r>
          </w:p>
        </w:tc>
        <w:tc>
          <w:tcPr>
            <w:tcW w:w="9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148</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60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stock-based compensation expense</w:t>
            </w:r>
          </w:p>
        </w:tc>
        <w:tc>
          <w:tcPr>
            <w:tcW w:w="880" w:type="dxa"/>
            <w:vAlign w:val="bottom"/>
            <w:tcBorders>
              <w:top w:val="single" w:sz="8" w:color="auto"/>
              <w:bottom w:val="single" w:sz="8" w:color="auto"/>
            </w:tcBorders>
          </w:tcPr>
          <w:p>
            <w:pPr>
              <w:jc w:val="right"/>
              <w:ind w:right="726"/>
              <w:spacing w:after="0"/>
              <w:rPr>
                <w:sz w:val="20"/>
                <w:szCs w:val="20"/>
                <w:color w:val="auto"/>
              </w:rPr>
            </w:pPr>
            <w:r>
              <w:rPr>
                <w:rFonts w:ascii="Arial" w:cs="Arial" w:eastAsia="Arial" w:hAnsi="Arial"/>
                <w:sz w:val="15"/>
                <w:szCs w:val="15"/>
                <w:color w:val="auto"/>
                <w:w w:val="71"/>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1,167</w:t>
            </w:r>
          </w:p>
        </w:tc>
        <w:tc>
          <w:tcPr>
            <w:tcW w:w="280" w:type="dxa"/>
            <w:vAlign w:val="bottom"/>
            <w:tcBorders>
              <w:bottom w:val="single" w:sz="8" w:color="CCEEFF"/>
            </w:tcBorders>
          </w:tcPr>
          <w:p>
            <w:pPr>
              <w:spacing w:after="0"/>
              <w:rPr>
                <w:sz w:val="21"/>
                <w:szCs w:val="21"/>
                <w:color w:val="auto"/>
              </w:rPr>
            </w:pPr>
          </w:p>
        </w:tc>
        <w:tc>
          <w:tcPr>
            <w:tcW w:w="980" w:type="dxa"/>
            <w:vAlign w:val="bottom"/>
            <w:tcBorders>
              <w:top w:val="single" w:sz="8" w:color="auto"/>
              <w:bottom w:val="single" w:sz="8" w:color="auto"/>
            </w:tcBorders>
          </w:tcPr>
          <w:p>
            <w:pPr>
              <w:jc w:val="right"/>
              <w:ind w:right="794"/>
              <w:spacing w:after="0"/>
              <w:rPr>
                <w:sz w:val="20"/>
                <w:szCs w:val="20"/>
                <w:color w:val="auto"/>
              </w:rPr>
            </w:pPr>
            <w:r>
              <w:rPr>
                <w:rFonts w:ascii="Arial" w:cs="Arial" w:eastAsia="Arial" w:hAnsi="Arial"/>
                <w:sz w:val="18"/>
                <w:szCs w:val="18"/>
                <w:color w:val="auto"/>
                <w:w w:val="79"/>
              </w:rPr>
              <w:t>$</w:t>
            </w:r>
          </w:p>
        </w:tc>
        <w:tc>
          <w:tcPr>
            <w:tcW w:w="380" w:type="dxa"/>
            <w:vAlign w:val="bottom"/>
            <w:tcBorders>
              <w:top w:val="single" w:sz="8" w:color="auto"/>
              <w:bottom w:val="single" w:sz="8" w:color="auto"/>
            </w:tcBorders>
          </w:tcPr>
          <w:p>
            <w:pPr>
              <w:ind w:left="120"/>
              <w:spacing w:after="0"/>
              <w:rPr>
                <w:sz w:val="20"/>
                <w:szCs w:val="20"/>
                <w:color w:val="auto"/>
              </w:rPr>
            </w:pPr>
            <w:r>
              <w:rPr>
                <w:rFonts w:ascii="Arial" w:cs="Arial" w:eastAsia="Arial" w:hAnsi="Arial"/>
                <w:sz w:val="18"/>
                <w:szCs w:val="18"/>
                <w:color w:val="auto"/>
                <w:w w:val="79"/>
              </w:rPr>
              <w:t>602</w:t>
            </w:r>
          </w:p>
        </w:tc>
        <w:tc>
          <w:tcPr>
            <w:tcW w:w="12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60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20" w:type="dxa"/>
            <w:vAlign w:val="bottom"/>
          </w:tcPr>
          <w:p>
            <w:pPr>
              <w:spacing w:after="0"/>
              <w:rPr>
                <w:sz w:val="20"/>
                <w:szCs w:val="20"/>
                <w:color w:val="auto"/>
              </w:rPr>
            </w:pPr>
            <w:r>
              <w:rPr>
                <w:rFonts w:ascii="Arial" w:cs="Arial" w:eastAsia="Arial" w:hAnsi="Arial"/>
                <w:sz w:val="18"/>
                <w:szCs w:val="18"/>
                <w:color w:val="auto"/>
              </w:rPr>
              <w:t>Effect of stock-based compensation expense by line item:</w:t>
            </w:r>
          </w:p>
        </w:tc>
        <w:tc>
          <w:tcPr>
            <w:tcW w:w="8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Research and development</w:t>
            </w:r>
          </w:p>
        </w:tc>
        <w:tc>
          <w:tcPr>
            <w:tcW w:w="880" w:type="dxa"/>
            <w:vAlign w:val="bottom"/>
            <w:shd w:val="clear" w:color="auto" w:fill="CCEEFF"/>
          </w:tcPr>
          <w:p>
            <w:pPr>
              <w:jc w:val="right"/>
              <w:ind w:right="726"/>
              <w:spacing w:after="0"/>
              <w:rPr>
                <w:sz w:val="20"/>
                <w:szCs w:val="20"/>
                <w:color w:val="auto"/>
              </w:rPr>
            </w:pPr>
            <w:r>
              <w:rPr>
                <w:rFonts w:ascii="Arial" w:cs="Arial" w:eastAsia="Arial" w:hAnsi="Arial"/>
                <w:sz w:val="15"/>
                <w:szCs w:val="15"/>
                <w:color w:val="auto"/>
                <w:w w:val="71"/>
              </w:rPr>
              <w:t>$</w:t>
            </w:r>
          </w:p>
        </w:tc>
        <w:tc>
          <w:tcPr>
            <w:tcW w:w="7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376</w:t>
            </w:r>
          </w:p>
        </w:tc>
        <w:tc>
          <w:tcPr>
            <w:tcW w:w="980" w:type="dxa"/>
            <w:vAlign w:val="bottom"/>
            <w:shd w:val="clear" w:color="auto" w:fill="CCEEFF"/>
          </w:tcPr>
          <w:p>
            <w:pPr>
              <w:jc w:val="right"/>
              <w:ind w:right="794"/>
              <w:spacing w:after="0"/>
              <w:rPr>
                <w:sz w:val="20"/>
                <w:szCs w:val="20"/>
                <w:color w:val="auto"/>
              </w:rPr>
            </w:pPr>
            <w:r>
              <w:rPr>
                <w:rFonts w:ascii="Arial" w:cs="Arial" w:eastAsia="Arial" w:hAnsi="Arial"/>
                <w:sz w:val="18"/>
                <w:szCs w:val="18"/>
                <w:color w:val="auto"/>
                <w:w w:val="79"/>
              </w:rPr>
              <w:t>$</w:t>
            </w:r>
          </w:p>
        </w:tc>
        <w:tc>
          <w:tcPr>
            <w:tcW w:w="5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138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tcPr>
          <w:p>
            <w:pPr>
              <w:ind w:left="160"/>
              <w:spacing w:after="0"/>
              <w:rPr>
                <w:sz w:val="20"/>
                <w:szCs w:val="20"/>
                <w:color w:val="auto"/>
              </w:rPr>
            </w:pPr>
            <w:r>
              <w:rPr>
                <w:rFonts w:ascii="Arial" w:cs="Arial" w:eastAsia="Arial" w:hAnsi="Arial"/>
                <w:sz w:val="18"/>
                <w:szCs w:val="18"/>
                <w:color w:val="auto"/>
              </w:rPr>
              <w:t>General and administrative</w:t>
            </w:r>
          </w:p>
        </w:tc>
        <w:tc>
          <w:tcPr>
            <w:tcW w:w="880" w:type="dxa"/>
            <w:vAlign w:val="bottom"/>
          </w:tcPr>
          <w:p>
            <w:pPr>
              <w:spacing w:after="0"/>
              <w:rPr>
                <w:sz w:val="18"/>
                <w:szCs w:val="18"/>
                <w:color w:val="auto"/>
              </w:rPr>
            </w:pPr>
          </w:p>
        </w:tc>
        <w:tc>
          <w:tcPr>
            <w:tcW w:w="740" w:type="dxa"/>
            <w:vAlign w:val="bottom"/>
            <w:gridSpan w:val="2"/>
          </w:tcPr>
          <w:p>
            <w:pPr>
              <w:jc w:val="right"/>
              <w:ind w:right="280"/>
              <w:spacing w:after="0"/>
              <w:rPr>
                <w:sz w:val="20"/>
                <w:szCs w:val="20"/>
                <w:color w:val="auto"/>
              </w:rPr>
            </w:pPr>
            <w:r>
              <w:rPr>
                <w:rFonts w:ascii="Arial" w:cs="Arial" w:eastAsia="Arial" w:hAnsi="Arial"/>
                <w:sz w:val="18"/>
                <w:szCs w:val="18"/>
                <w:color w:val="auto"/>
              </w:rPr>
              <w:t>791</w:t>
            </w:r>
          </w:p>
        </w:tc>
        <w:tc>
          <w:tcPr>
            <w:tcW w:w="980" w:type="dxa"/>
            <w:vAlign w:val="bottom"/>
          </w:tcPr>
          <w:p>
            <w:pPr>
              <w:spacing w:after="0"/>
              <w:rPr>
                <w:sz w:val="18"/>
                <w:szCs w:val="18"/>
                <w:color w:val="auto"/>
              </w:rPr>
            </w:pPr>
          </w:p>
        </w:tc>
        <w:tc>
          <w:tcPr>
            <w:tcW w:w="500" w:type="dxa"/>
            <w:vAlign w:val="bottom"/>
            <w:gridSpan w:val="2"/>
          </w:tcPr>
          <w:p>
            <w:pPr>
              <w:ind w:left="120"/>
              <w:spacing w:after="0"/>
              <w:rPr>
                <w:sz w:val="20"/>
                <w:szCs w:val="20"/>
                <w:color w:val="auto"/>
              </w:rPr>
            </w:pPr>
            <w:r>
              <w:rPr>
                <w:rFonts w:ascii="Arial" w:cs="Arial" w:eastAsia="Arial" w:hAnsi="Arial"/>
                <w:sz w:val="18"/>
                <w:szCs w:val="18"/>
                <w:color w:val="auto"/>
              </w:rPr>
              <w:t>464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stock-based compensation expense included in net loss</w:t>
            </w:r>
          </w:p>
        </w:tc>
        <w:tc>
          <w:tcPr>
            <w:tcW w:w="880" w:type="dxa"/>
            <w:vAlign w:val="bottom"/>
            <w:tcBorders>
              <w:top w:val="single" w:sz="8" w:color="auto"/>
              <w:bottom w:val="single" w:sz="8" w:color="auto"/>
            </w:tcBorders>
            <w:shd w:val="clear" w:color="auto" w:fill="CCEEFF"/>
          </w:tcPr>
          <w:p>
            <w:pPr>
              <w:jc w:val="right"/>
              <w:ind w:right="726"/>
              <w:spacing w:after="0"/>
              <w:rPr>
                <w:sz w:val="20"/>
                <w:szCs w:val="20"/>
                <w:color w:val="auto"/>
              </w:rPr>
            </w:pPr>
            <w:r>
              <w:rPr>
                <w:rFonts w:ascii="Arial" w:cs="Arial" w:eastAsia="Arial" w:hAnsi="Arial"/>
                <w:sz w:val="15"/>
                <w:szCs w:val="15"/>
                <w:color w:val="auto"/>
                <w:w w:val="71"/>
              </w:rPr>
              <w:t>$</w:t>
            </w: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1,167</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ind w:right="794"/>
              <w:spacing w:after="0"/>
              <w:rPr>
                <w:sz w:val="20"/>
                <w:szCs w:val="20"/>
                <w:color w:val="auto"/>
              </w:rPr>
            </w:pPr>
            <w:r>
              <w:rPr>
                <w:rFonts w:ascii="Arial" w:cs="Arial" w:eastAsia="Arial" w:hAnsi="Arial"/>
                <w:sz w:val="18"/>
                <w:szCs w:val="18"/>
                <w:color w:val="auto"/>
                <w:w w:val="79"/>
              </w:rPr>
              <w:t>$</w:t>
            </w:r>
          </w:p>
        </w:tc>
        <w:tc>
          <w:tcPr>
            <w:tcW w:w="380" w:type="dxa"/>
            <w:vAlign w:val="bottom"/>
            <w:tcBorders>
              <w:top w:val="single" w:sz="8" w:color="auto"/>
              <w:bottom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w w:val="79"/>
              </w:rPr>
              <w:t>602</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Unrecognized stock-based compensation expense as of March 31, 2018 was as follows (in thousands):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8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80" w:type="dxa"/>
            <w:vAlign w:val="bottom"/>
            <w:gridSpan w:val="2"/>
            <w:vMerge w:val="restart"/>
          </w:tcPr>
          <w:p>
            <w:pPr>
              <w:jc w:val="center"/>
              <w:ind w:right="440"/>
              <w:spacing w:after="0"/>
              <w:rPr>
                <w:sz w:val="20"/>
                <w:szCs w:val="20"/>
                <w:color w:val="auto"/>
              </w:rPr>
            </w:pPr>
            <w:r>
              <w:rPr>
                <w:rFonts w:ascii="Arial" w:cs="Arial" w:eastAsia="Arial" w:hAnsi="Arial"/>
                <w:sz w:val="14"/>
                <w:szCs w:val="14"/>
                <w:b w:val="1"/>
                <w:bCs w:val="1"/>
                <w:color w:val="auto"/>
                <w:w w:val="90"/>
              </w:rPr>
              <w:t>Unrecognized</w:t>
            </w:r>
          </w:p>
        </w:tc>
        <w:tc>
          <w:tcPr>
            <w:tcW w:w="14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5"/>
              </w:rPr>
              <w:t>Weighted</w:t>
            </w:r>
          </w:p>
        </w:tc>
        <w:tc>
          <w:tcPr>
            <w:tcW w:w="0" w:type="dxa"/>
            <w:vAlign w:val="bottom"/>
          </w:tcPr>
          <w:p>
            <w:pPr>
              <w:spacing w:after="0"/>
              <w:rPr>
                <w:sz w:val="1"/>
                <w:szCs w:val="1"/>
                <w:color w:val="auto"/>
              </w:rPr>
            </w:pPr>
          </w:p>
        </w:tc>
      </w:tr>
      <w:tr>
        <w:trPr>
          <w:trHeight w:val="149"/>
        </w:trPr>
        <w:tc>
          <w:tcPr>
            <w:tcW w:w="438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80" w:type="dxa"/>
            <w:vAlign w:val="bottom"/>
            <w:gridSpan w:val="2"/>
            <w:vMerge w:val="continue"/>
          </w:tcPr>
          <w:p>
            <w:pPr>
              <w:spacing w:after="0"/>
              <w:rPr>
                <w:sz w:val="12"/>
                <w:szCs w:val="12"/>
                <w:color w:val="auto"/>
              </w:rPr>
            </w:pPr>
          </w:p>
        </w:tc>
        <w:tc>
          <w:tcPr>
            <w:tcW w:w="14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9"/>
        </w:trPr>
        <w:tc>
          <w:tcPr>
            <w:tcW w:w="438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8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87"/>
              </w:rPr>
              <w:t>stock</w:t>
            </w:r>
          </w:p>
        </w:tc>
        <w:tc>
          <w:tcPr>
            <w:tcW w:w="14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5"/>
              </w:rPr>
              <w:t>remaining</w:t>
            </w:r>
          </w:p>
        </w:tc>
        <w:tc>
          <w:tcPr>
            <w:tcW w:w="0" w:type="dxa"/>
            <w:vAlign w:val="bottom"/>
          </w:tcPr>
          <w:p>
            <w:pPr>
              <w:spacing w:after="0"/>
              <w:rPr>
                <w:sz w:val="1"/>
                <w:szCs w:val="1"/>
                <w:color w:val="auto"/>
              </w:rPr>
            </w:pPr>
          </w:p>
        </w:tc>
      </w:tr>
      <w:tr>
        <w:trPr>
          <w:trHeight w:val="149"/>
        </w:trPr>
        <w:tc>
          <w:tcPr>
            <w:tcW w:w="438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8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90"/>
              </w:rPr>
              <w:t>compensation</w:t>
            </w:r>
          </w:p>
        </w:tc>
        <w:tc>
          <w:tcPr>
            <w:tcW w:w="14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3"/>
              </w:rPr>
              <w:t>period</w:t>
            </w:r>
          </w:p>
        </w:tc>
        <w:tc>
          <w:tcPr>
            <w:tcW w:w="0" w:type="dxa"/>
            <w:vAlign w:val="bottom"/>
          </w:tcPr>
          <w:p>
            <w:pPr>
              <w:spacing w:after="0"/>
              <w:rPr>
                <w:sz w:val="1"/>
                <w:szCs w:val="1"/>
                <w:color w:val="auto"/>
              </w:rPr>
            </w:pPr>
          </w:p>
        </w:tc>
      </w:tr>
      <w:tr>
        <w:trPr>
          <w:trHeight w:val="171"/>
        </w:trPr>
        <w:tc>
          <w:tcPr>
            <w:tcW w:w="438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8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85"/>
              </w:rPr>
              <w:t>expense</w:t>
            </w:r>
          </w:p>
        </w:tc>
        <w:tc>
          <w:tcPr>
            <w:tcW w:w="14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(in years)</w:t>
            </w:r>
          </w:p>
        </w:tc>
        <w:tc>
          <w:tcPr>
            <w:tcW w:w="0" w:type="dxa"/>
            <w:vAlign w:val="bottom"/>
          </w:tcPr>
          <w:p>
            <w:pPr>
              <w:spacing w:after="0"/>
              <w:rPr>
                <w:sz w:val="1"/>
                <w:szCs w:val="1"/>
                <w:color w:val="auto"/>
              </w:rPr>
            </w:pPr>
          </w:p>
        </w:tc>
      </w:tr>
      <w:tr>
        <w:trPr>
          <w:trHeight w:val="210"/>
        </w:trPr>
        <w:tc>
          <w:tcPr>
            <w:tcW w:w="43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Stock options</w:t>
            </w:r>
          </w:p>
        </w:tc>
        <w:tc>
          <w:tcPr>
            <w:tcW w:w="16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17,651</w:t>
            </w:r>
          </w:p>
        </w:tc>
        <w:tc>
          <w:tcPr>
            <w:tcW w:w="30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ind w:left="1060"/>
              <w:spacing w:after="0"/>
              <w:rPr>
                <w:sz w:val="20"/>
                <w:szCs w:val="20"/>
                <w:color w:val="auto"/>
              </w:rPr>
            </w:pPr>
            <w:r>
              <w:rPr>
                <w:rFonts w:ascii="Arial" w:cs="Arial" w:eastAsia="Arial" w:hAnsi="Arial"/>
                <w:sz w:val="18"/>
                <w:szCs w:val="18"/>
                <w:color w:val="auto"/>
                <w:w w:val="79"/>
              </w:rPr>
              <w:t>3.46</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80" w:type="dxa"/>
            <w:vAlign w:val="bottom"/>
          </w:tcPr>
          <w:p>
            <w:pPr>
              <w:spacing w:after="0"/>
              <w:rPr>
                <w:sz w:val="20"/>
                <w:szCs w:val="20"/>
                <w:color w:val="auto"/>
              </w:rPr>
            </w:pPr>
            <w:r>
              <w:rPr>
                <w:rFonts w:ascii="Arial" w:cs="Arial" w:eastAsia="Arial" w:hAnsi="Arial"/>
                <w:sz w:val="18"/>
                <w:szCs w:val="18"/>
                <w:color w:val="auto"/>
              </w:rPr>
              <w:t>Restricted stock</w:t>
            </w:r>
          </w:p>
        </w:tc>
        <w:tc>
          <w:tcPr>
            <w:tcW w:w="1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gridSpan w:val="2"/>
          </w:tcPr>
          <w:p>
            <w:pPr>
              <w:jc w:val="right"/>
              <w:ind w:right="300"/>
              <w:spacing w:after="0"/>
              <w:rPr>
                <w:sz w:val="20"/>
                <w:szCs w:val="20"/>
                <w:color w:val="auto"/>
              </w:rPr>
            </w:pPr>
            <w:r>
              <w:rPr>
                <w:rFonts w:ascii="Arial" w:cs="Arial" w:eastAsia="Arial" w:hAnsi="Arial"/>
                <w:sz w:val="18"/>
                <w:szCs w:val="18"/>
                <w:color w:val="auto"/>
              </w:rPr>
              <w:t>643</w:t>
            </w:r>
          </w:p>
        </w:tc>
        <w:tc>
          <w:tcPr>
            <w:tcW w:w="1480" w:type="dxa"/>
            <w:vAlign w:val="bottom"/>
            <w:gridSpan w:val="2"/>
          </w:tcPr>
          <w:p>
            <w:pPr>
              <w:ind w:left="1060"/>
              <w:spacing w:after="0"/>
              <w:rPr>
                <w:sz w:val="20"/>
                <w:szCs w:val="20"/>
                <w:color w:val="auto"/>
              </w:rPr>
            </w:pPr>
            <w:r>
              <w:rPr>
                <w:rFonts w:ascii="Arial" w:cs="Arial" w:eastAsia="Arial" w:hAnsi="Arial"/>
                <w:sz w:val="18"/>
                <w:szCs w:val="18"/>
                <w:color w:val="auto"/>
              </w:rPr>
              <w:t>1.31</w:t>
            </w:r>
          </w:p>
        </w:tc>
        <w:tc>
          <w:tcPr>
            <w:tcW w:w="0" w:type="dxa"/>
            <w:vAlign w:val="bottom"/>
          </w:tcPr>
          <w:p>
            <w:pPr>
              <w:spacing w:after="0"/>
              <w:rPr>
                <w:sz w:val="1"/>
                <w:szCs w:val="1"/>
                <w:color w:val="auto"/>
              </w:rPr>
            </w:pPr>
          </w:p>
        </w:tc>
      </w:tr>
      <w:tr>
        <w:trPr>
          <w:trHeight w:val="210"/>
        </w:trPr>
        <w:tc>
          <w:tcPr>
            <w:tcW w:w="438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164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18,294</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1360" w:type="dxa"/>
            <w:vAlign w:val="bottom"/>
            <w:tcBorders>
              <w:top w:val="single" w:sz="8" w:color="auto"/>
              <w:bottom w:val="single" w:sz="8" w:color="CCEEFF"/>
            </w:tcBorders>
            <w:shd w:val="clear" w:color="auto" w:fill="CCEEFF"/>
          </w:tcPr>
          <w:p>
            <w:pPr>
              <w:ind w:left="1060"/>
              <w:spacing w:after="0"/>
              <w:rPr>
                <w:sz w:val="20"/>
                <w:szCs w:val="20"/>
                <w:color w:val="auto"/>
              </w:rPr>
            </w:pPr>
            <w:r>
              <w:rPr>
                <w:rFonts w:ascii="Arial" w:cs="Arial" w:eastAsia="Arial" w:hAnsi="Arial"/>
                <w:sz w:val="18"/>
                <w:szCs w:val="18"/>
                <w:color w:val="auto"/>
                <w:w w:val="79"/>
              </w:rPr>
              <w:t>3.39</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380" w:type="dxa"/>
            <w:vAlign w:val="bottom"/>
            <w:vMerge w:val="restart"/>
          </w:tcPr>
          <w:p>
            <w:pPr>
              <w:spacing w:after="0"/>
              <w:rPr>
                <w:sz w:val="20"/>
                <w:szCs w:val="20"/>
                <w:color w:val="auto"/>
              </w:rPr>
            </w:pPr>
            <w:r>
              <w:rPr>
                <w:rFonts w:ascii="Arial" w:cs="Arial" w:eastAsia="Arial" w:hAnsi="Arial"/>
                <w:sz w:val="18"/>
                <w:szCs w:val="18"/>
                <w:b w:val="1"/>
                <w:bCs w:val="1"/>
                <w:color w:val="auto"/>
              </w:rPr>
              <w:t>7. Commitments and Contingencies</w:t>
            </w:r>
          </w:p>
        </w:tc>
        <w:tc>
          <w:tcPr>
            <w:tcW w:w="16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4380" w:type="dxa"/>
            <w:vAlign w:val="bottom"/>
            <w:vMerge w:val="continue"/>
          </w:tcPr>
          <w:p>
            <w:pPr>
              <w:spacing w:after="0"/>
              <w:rPr>
                <w:sz w:val="24"/>
                <w:szCs w:val="24"/>
                <w:color w:val="auto"/>
              </w:rPr>
            </w:pPr>
          </w:p>
        </w:tc>
        <w:tc>
          <w:tcPr>
            <w:tcW w:w="1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color w:val="auto"/>
        </w:rPr>
        <w:t>The Company has a Research, Development and Commercialization Agreement with Hoffmann-La Roche (“Roche”) which grants the Company a sole and exclusive license to develop, use, sell, offer for sale and import any Licensed Product as defined by the agreement.</w:t>
      </w:r>
    </w:p>
    <w:p>
      <w:pPr>
        <w:spacing w:after="0" w:line="170"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The agreement requires future milestone payments to Roche, the remainder of which total $10 million and are earned by the commencement of Phase 3 clinical trials as well as future regulatory approval in the United States and Europe of a product developed from MGL-3916. A single-digit royalty payment range is based on net sales of products developed from MGL-3196, subject to certain reductions. In October 2016 the Company commenced a Phase 2 study in Non-Alcoholic Steatohepatitis (NASH), which triggered a milestone payment under the agreement. Except as described above, the Company has not achieved any additional product development or regulatory milestones to date and has no Licensed Product sales for the three months ended March 31, 2018 and 2017.</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Company has entered into customary contractual arrangements and letters of intent in preparation for and in support of the Phase 2 clinical</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trials.</w:t>
      </w:r>
    </w:p>
    <w:p>
      <w:pPr>
        <w:spacing w:after="0" w:line="2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229"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This Quarterly Report on Form 10-Q contains forward-looking statements that are based on our beliefs and assumptions and on information currently available to us. Forward-looking statements include information with respect to our clinical trials, research and development activities, the timing and success of future development of MGL-3196, our possible or assumed future results of operations and expenses, business strategies and plans, capital needs and financing plans, trends, market sizing, competitive position, industry environment and potential growth opportunities, among other things. Forward-looking statements include all statements that are not historical facts and, in some cases, can be identified by terms such as “anticipates,” “believes,” “could,” “estimates,” “expects,” “intends,” “may,” “plans,” “potential,” “predicts,” “projects,” “seeks,” “should,” “will,” “would” or similar expressions and the negatives of those terms.</w:t>
      </w:r>
    </w:p>
    <w:p>
      <w:pPr>
        <w:spacing w:after="0" w:line="189" w:lineRule="exact"/>
        <w:rPr>
          <w:sz w:val="20"/>
          <w:szCs w:val="20"/>
          <w:color w:val="auto"/>
        </w:rPr>
      </w:pPr>
    </w:p>
    <w:p>
      <w:pPr>
        <w:ind w:right="320"/>
        <w:spacing w:after="0" w:line="259" w:lineRule="auto"/>
        <w:rPr>
          <w:sz w:val="20"/>
          <w:szCs w:val="20"/>
          <w:color w:val="auto"/>
        </w:rPr>
      </w:pPr>
      <w:r>
        <w:rPr>
          <w:rFonts w:ascii="Arial" w:cs="Arial" w:eastAsia="Arial" w:hAnsi="Arial"/>
          <w:sz w:val="18"/>
          <w:szCs w:val="18"/>
          <w:color w:val="auto"/>
        </w:rPr>
        <w:t>Forward-looking statements involve known and unknown risks, uncertainties and other factors that may cause our actual results, performance or achievements to be materially different from any future results, performances or achievements expressed or implied by the forward-looking statements, including those described in “Risk Factors” and elsewhere in this report. Given these uncertainties, you should not place undue reliance on these forward-looking statements.</w:t>
      </w:r>
    </w:p>
    <w:p>
      <w:pPr>
        <w:spacing w:after="0" w:line="187"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Any forward-looking statement made by us in this report speaks only as of the date on which it is made. Except as required by law, we disclaim any obligation to update these forward-looking statements publicly, or to update the reasons actual results could differ materially from those anticipated in these forward-looking statements, even if new information becomes available in the future.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9" w:lineRule="exact"/>
        <w:rPr>
          <w:sz w:val="20"/>
          <w:szCs w:val="20"/>
          <w:color w:val="auto"/>
        </w:rPr>
      </w:pPr>
    </w:p>
    <w:p>
      <w:pPr>
        <w:ind w:right="140"/>
        <w:spacing w:after="0" w:line="312" w:lineRule="auto"/>
        <w:rPr>
          <w:sz w:val="20"/>
          <w:szCs w:val="20"/>
          <w:color w:val="auto"/>
        </w:rPr>
      </w:pPr>
      <w:r>
        <w:rPr>
          <w:rFonts w:ascii="Arial" w:cs="Arial" w:eastAsia="Arial" w:hAnsi="Arial"/>
          <w:sz w:val="16"/>
          <w:szCs w:val="16"/>
          <w:i w:val="1"/>
          <w:iCs w:val="1"/>
          <w:color w:val="auto"/>
        </w:rPr>
        <w:t>The consolidated financial statements, included elsewhere in this Quarterly Report on Form 10-Q, and this Management’s Discussion and Analysis of Financial Condition and Results of Operations should be read together with our audited financial statements and accompanying notes for year ended December 31, 2017 and the related Management’s Discussion and Analysis of Financial Condition and Results of Operations, both of which are included in</w:t>
      </w:r>
    </w:p>
    <w:p>
      <w:pPr>
        <w:sectPr>
          <w:pgSz w:w="11900" w:h="16885" w:orient="portrait"/>
          <w:cols w:equalWidth="0" w:num="1">
            <w:col w:w="11400"/>
          </w:cols>
          <w:pgMar w:left="240" w:top="341" w:right="259" w:bottom="0" w:gutter="0" w:footer="0" w:header="0"/>
        </w:sectPr>
      </w:pPr>
    </w:p>
    <w:bookmarkStart w:id="9" w:name="page10"/>
    <w:bookmarkEnd w:id="9"/>
    <w:p>
      <w:pPr>
        <w:ind w:right="40"/>
        <w:spacing w:after="0" w:line="255" w:lineRule="auto"/>
        <w:rPr>
          <w:sz w:val="20"/>
          <w:szCs w:val="20"/>
          <w:color w:val="auto"/>
        </w:rPr>
      </w:pPr>
      <w:r>
        <w:rPr>
          <w:rFonts w:ascii="Arial" w:cs="Arial" w:eastAsia="Arial" w:hAnsi="Arial"/>
          <w:sz w:val="18"/>
          <w:szCs w:val="18"/>
          <w:i w:val="1"/>
          <w:iCs w:val="1"/>
          <w:color w:val="auto"/>
        </w:rPr>
        <w:t>our Annual Report on Form 10-K. In addition to historical information, this discussion and analysis contains forward-looking statements within the meaning of Section 27A of the Securities Act of 1933, as amended, or the Securities Act, and Section 21E of the Securities Exchange Act of 1934, as amended, or the Exchange Act, that involve risks and uncertainties, such as statements of our plans, objectives, expectations and intentions. Our actual results could differ materially from those discussed in these forward-looking statements. Factors that could cause or contribute to such differences include, but are not limited to, those discussed in the sections entitled “Risk Factors” included elsewhere in this report. Our operating results are not necessarily indicative of results that may occur for the full fiscal year or any other future period.</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Madrigal Pharmaceuticals, Inc.</w:t>
      </w:r>
    </w:p>
    <w:p>
      <w:pPr>
        <w:spacing w:after="0" w:line="229"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 xml:space="preserve">We are a clinical-stage biopharmaceutical company focused on the development and commercialization of innovative therapeutic candidates for the treatment of cardiovascular, metabolic, and liver diseases. Our lead product candidate, MGL-3196, is a proprietary, liver-directed, selective thyroid hormone receptor-ß, or THR-ß, agonist being developed as a once-daily oral pill that can potentially be used to treat a number of disease states with high unmet medical need, including non-alcoholic steatohepatitis, or NASH. </w:t>
      </w:r>
      <w:r>
        <w:rPr>
          <w:rFonts w:ascii="Arial" w:cs="Arial" w:eastAsia="Arial" w:hAnsi="Arial"/>
          <w:sz w:val="16"/>
          <w:szCs w:val="16"/>
          <w:color w:val="auto"/>
        </w:rPr>
        <w:t>For NASH, we enrolled 125 patients in a Phase 2 clinical trial and are nearing completion of this 36-week</w:t>
      </w:r>
      <w:r>
        <w:rPr>
          <w:rFonts w:ascii="Arial" w:cs="Arial" w:eastAsia="Arial" w:hAnsi="Arial"/>
          <w:sz w:val="17"/>
          <w:szCs w:val="17"/>
          <w:color w:val="auto"/>
        </w:rPr>
        <w:t xml:space="preserve"> </w:t>
      </w:r>
      <w:r>
        <w:rPr>
          <w:rFonts w:ascii="Arial" w:cs="Arial" w:eastAsia="Arial" w:hAnsi="Arial"/>
          <w:sz w:val="16"/>
          <w:szCs w:val="16"/>
          <w:color w:val="auto"/>
        </w:rPr>
        <w:t xml:space="preserve">trial for this indication. We achieved the 12-week primary endpoint for this 36-week trial and reported the results in December 2017. We are also developing MGL-3196 for dyslipidemia, including genetic dyslipidemias such as heterozygous familial hypercholesterolemia, or HeFH. We enrolled 116 patients and completed a Phase 2 clinical trial in HeFH patients, and we reported the results in February 2018. </w:t>
      </w:r>
      <w:r>
        <w:rPr>
          <w:rFonts w:ascii="Arial" w:cs="Arial" w:eastAsia="Arial" w:hAnsi="Arial"/>
          <w:sz w:val="17"/>
          <w:szCs w:val="17"/>
          <w:color w:val="auto"/>
        </w:rPr>
        <w:t>In addition to the NASH and HeFH Phase 2 clinical trials,</w:t>
      </w:r>
      <w:r>
        <w:rPr>
          <w:rFonts w:ascii="Arial" w:cs="Arial" w:eastAsia="Arial" w:hAnsi="Arial"/>
          <w:sz w:val="16"/>
          <w:szCs w:val="16"/>
          <w:color w:val="auto"/>
        </w:rPr>
        <w:t xml:space="preserve"> </w:t>
      </w:r>
      <w:r>
        <w:rPr>
          <w:rFonts w:ascii="Arial" w:cs="Arial" w:eastAsia="Arial" w:hAnsi="Arial"/>
          <w:sz w:val="17"/>
          <w:szCs w:val="17"/>
          <w:color w:val="auto"/>
        </w:rPr>
        <w:t>MGL-3196 has also been studied in six completed Phase 1 trials in a total of 183 subjects. MGL-3196 was safe and well-tolerated in these trials, which included a single ascending dose trial, a multiple ascending dose trial, two drug interaction trials with statins, a multiple dose mass balance study, and a single dose relative bioavailability study of tablet formulations versus capsule formulation.</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225"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Research and development expenses primarily consist of costs associated with our research activities, including the preclinical and clinical development of our product candidates. We expense our research and development expenses as incurred. We contract with clinical research organizations to manage our clinical trials under agreed upon budgets for each study, with oversight by our clinical program managers. We account for nonrefundable advance payments for goods and services that will be used in future research and development activities as expenses when the service has been performed or when the goods have been received. Manufacturing expense includes costs associated with drug formulation development and drug production. We do not track employee and facility</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related research and development costs by project, as we typically use our employee and infrastructure resources across multiple research and development programs. We believe that the allocation of such costs would be arbitrary and not be meaningful.</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Our research and development expenses consist primarily of:</w:t>
      </w:r>
    </w:p>
    <w:p>
      <w:pPr>
        <w:spacing w:after="0" w:line="225" w:lineRule="exact"/>
        <w:rPr>
          <w:sz w:val="20"/>
          <w:szCs w:val="20"/>
          <w:color w:val="auto"/>
        </w:rPr>
      </w:pPr>
    </w:p>
    <w:p>
      <w:pPr>
        <w:ind w:left="1300" w:right="220" w:hanging="644"/>
        <w:spacing w:after="0" w:line="258" w:lineRule="auto"/>
        <w:tabs>
          <w:tab w:leader="none" w:pos="1264" w:val="left"/>
        </w:tabs>
        <w:numPr>
          <w:ilvl w:val="0"/>
          <w:numId w:val="6"/>
        </w:numPr>
        <w:rPr>
          <w:rFonts w:ascii="Arial" w:cs="Arial" w:eastAsia="Arial" w:hAnsi="Arial"/>
          <w:sz w:val="18"/>
          <w:szCs w:val="18"/>
          <w:color w:val="auto"/>
        </w:rPr>
      </w:pPr>
      <w:r>
        <w:rPr>
          <w:rFonts w:ascii="Arial" w:cs="Arial" w:eastAsia="Arial" w:hAnsi="Arial"/>
          <w:sz w:val="18"/>
          <w:szCs w:val="18"/>
          <w:color w:val="auto"/>
        </w:rPr>
        <w:t>external expenses paid to clinical trial sites, contract research organizations, laboratories, database software providers and consultants that conduct clinical trials;</w:t>
      </w:r>
    </w:p>
    <w:p>
      <w:pPr>
        <w:spacing w:after="0" w:line="1" w:lineRule="exact"/>
        <w:rPr>
          <w:rFonts w:ascii="Arial" w:cs="Arial" w:eastAsia="Arial" w:hAnsi="Arial"/>
          <w:sz w:val="18"/>
          <w:szCs w:val="18"/>
          <w:color w:val="auto"/>
        </w:rPr>
      </w:pPr>
    </w:p>
    <w:p>
      <w:pPr>
        <w:ind w:left="1260" w:hanging="604"/>
        <w:spacing w:after="0"/>
        <w:tabs>
          <w:tab w:leader="none" w:pos="1260" w:val="left"/>
        </w:tabs>
        <w:numPr>
          <w:ilvl w:val="0"/>
          <w:numId w:val="6"/>
        </w:numPr>
        <w:rPr>
          <w:rFonts w:ascii="Arial" w:cs="Arial" w:eastAsia="Arial" w:hAnsi="Arial"/>
          <w:sz w:val="17"/>
          <w:szCs w:val="17"/>
          <w:color w:val="auto"/>
        </w:rPr>
      </w:pPr>
      <w:r>
        <w:rPr>
          <w:rFonts w:ascii="Arial" w:cs="Arial" w:eastAsia="Arial" w:hAnsi="Arial"/>
          <w:sz w:val="17"/>
          <w:szCs w:val="17"/>
          <w:color w:val="auto"/>
        </w:rPr>
        <w:t>expenses related to development and production of nonclinical and clinical trial supplies, including fees paid to contract manufacturers;</w:t>
      </w:r>
    </w:p>
    <w:p>
      <w:pPr>
        <w:spacing w:after="0" w:line="20" w:lineRule="exact"/>
        <w:rPr>
          <w:rFonts w:ascii="Arial" w:cs="Arial" w:eastAsia="Arial" w:hAnsi="Arial"/>
          <w:sz w:val="17"/>
          <w:szCs w:val="17"/>
          <w:color w:val="auto"/>
        </w:rPr>
      </w:pPr>
    </w:p>
    <w:p>
      <w:pPr>
        <w:ind w:left="1260" w:hanging="604"/>
        <w:spacing w:after="0"/>
        <w:tabs>
          <w:tab w:leader="none" w:pos="1260" w:val="left"/>
        </w:tabs>
        <w:numPr>
          <w:ilvl w:val="0"/>
          <w:numId w:val="6"/>
        </w:numPr>
        <w:rPr>
          <w:rFonts w:ascii="Arial" w:cs="Arial" w:eastAsia="Arial" w:hAnsi="Arial"/>
          <w:sz w:val="18"/>
          <w:szCs w:val="18"/>
          <w:color w:val="auto"/>
        </w:rPr>
      </w:pPr>
      <w:r>
        <w:rPr>
          <w:rFonts w:ascii="Arial" w:cs="Arial" w:eastAsia="Arial" w:hAnsi="Arial"/>
          <w:sz w:val="18"/>
          <w:szCs w:val="18"/>
          <w:color w:val="auto"/>
        </w:rPr>
        <w:t>expenses related to preclinical studies;</w:t>
      </w:r>
    </w:p>
    <w:p>
      <w:pPr>
        <w:spacing w:after="0" w:line="9" w:lineRule="exact"/>
        <w:rPr>
          <w:rFonts w:ascii="Arial" w:cs="Arial" w:eastAsia="Arial" w:hAnsi="Arial"/>
          <w:sz w:val="18"/>
          <w:szCs w:val="18"/>
          <w:color w:val="auto"/>
        </w:rPr>
      </w:pPr>
    </w:p>
    <w:p>
      <w:pPr>
        <w:ind w:left="1260" w:hanging="604"/>
        <w:spacing w:after="0"/>
        <w:tabs>
          <w:tab w:leader="none" w:pos="1260" w:val="left"/>
        </w:tabs>
        <w:numPr>
          <w:ilvl w:val="0"/>
          <w:numId w:val="6"/>
        </w:numPr>
        <w:rPr>
          <w:rFonts w:ascii="Arial" w:cs="Arial" w:eastAsia="Arial" w:hAnsi="Arial"/>
          <w:sz w:val="18"/>
          <w:szCs w:val="18"/>
          <w:color w:val="auto"/>
        </w:rPr>
      </w:pPr>
      <w:r>
        <w:rPr>
          <w:rFonts w:ascii="Arial" w:cs="Arial" w:eastAsia="Arial" w:hAnsi="Arial"/>
          <w:sz w:val="18"/>
          <w:szCs w:val="18"/>
          <w:color w:val="auto"/>
        </w:rPr>
        <w:t>expenses related to compliance with drug development regulatory requirements; and</w:t>
      </w:r>
    </w:p>
    <w:p>
      <w:pPr>
        <w:spacing w:after="0" w:line="9" w:lineRule="exact"/>
        <w:rPr>
          <w:rFonts w:ascii="Arial" w:cs="Arial" w:eastAsia="Arial" w:hAnsi="Arial"/>
          <w:sz w:val="18"/>
          <w:szCs w:val="18"/>
          <w:color w:val="auto"/>
        </w:rPr>
      </w:pPr>
    </w:p>
    <w:p>
      <w:pPr>
        <w:ind w:left="1260" w:hanging="604"/>
        <w:spacing w:after="0"/>
        <w:tabs>
          <w:tab w:leader="none" w:pos="1260" w:val="left"/>
        </w:tabs>
        <w:numPr>
          <w:ilvl w:val="0"/>
          <w:numId w:val="6"/>
        </w:numPr>
        <w:rPr>
          <w:rFonts w:ascii="Arial" w:cs="Arial" w:eastAsia="Arial" w:hAnsi="Arial"/>
          <w:sz w:val="18"/>
          <w:szCs w:val="18"/>
          <w:color w:val="auto"/>
        </w:rPr>
      </w:pPr>
      <w:r>
        <w:rPr>
          <w:rFonts w:ascii="Arial" w:cs="Arial" w:eastAsia="Arial" w:hAnsi="Arial"/>
          <w:sz w:val="18"/>
          <w:szCs w:val="18"/>
          <w:color w:val="auto"/>
        </w:rPr>
        <w:t>other allocated expenses, which include direct and allocated expenses for depreciation of equipment and other supplies.</w:t>
      </w:r>
    </w:p>
    <w:p>
      <w:pPr>
        <w:spacing w:after="0" w:line="211"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We expect to continue to incur substantial expenses related to our development activities for the foreseeable future as we conduct our Phase 2 clinical program, manufacturing and toxicology studies. Product candidates in later stages of clinical development generally have higher development costs than those in earlier stages of clinical development, due primarily to the increased size and duration of later-stage clinical trials, additional drug manufacturing requirements, and later stage toxicology studies such as carcinogenicity studies. Our research and development expenses increased between 2017 and 2018, and we expect that our research and development expenses will increase substantially in the future. The process of conducting preclinical studies and clinical trials necessary to obtain regulatory approval is costly and time consuming. The probability of success for each product candidate is affected by numerous factors, including preclinical data, clinical data, competition, manufacturing capability and commercial viability. Accordingly, we may never succeed in achieving marketing approval for any of our product candidates.</w:t>
      </w:r>
    </w:p>
    <w:p>
      <w:pPr>
        <w:spacing w:after="0" w:line="179" w:lineRule="exact"/>
        <w:rPr>
          <w:sz w:val="20"/>
          <w:szCs w:val="20"/>
          <w:color w:val="auto"/>
        </w:rPr>
      </w:pPr>
    </w:p>
    <w:p>
      <w:pPr>
        <w:ind w:right="120"/>
        <w:spacing w:after="0" w:line="273" w:lineRule="auto"/>
        <w:rPr>
          <w:sz w:val="20"/>
          <w:szCs w:val="20"/>
          <w:color w:val="auto"/>
        </w:rPr>
      </w:pPr>
      <w:r>
        <w:rPr>
          <w:rFonts w:ascii="Arial" w:cs="Arial" w:eastAsia="Arial" w:hAnsi="Arial"/>
          <w:sz w:val="17"/>
          <w:szCs w:val="17"/>
          <w:color w:val="auto"/>
        </w:rPr>
        <w:t>Completion dates and costs for our clinical development programs as well as our research program can vary significantly for each current and future product candidate and are difficult to predict. As a result, we cannot estimate with any degree of certainty the costs we will incur in connection with the development of our product candidates at this point in time. We expect that we will make determinations as to which programs and product candidates to pursue and how much funding to direct to each program and product candidate on an ongoing basis in response to the scientific success of early research programs, results of ongoing and future clinical trials, our ability to enter into collaborative agreements with respect to programs or potential product candidates, as well as ongoing assessments as to each current or future product candidate’s commercial potential.</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225" w:lineRule="exact"/>
        <w:rPr>
          <w:sz w:val="20"/>
          <w:szCs w:val="20"/>
          <w:color w:val="auto"/>
        </w:rPr>
      </w:pPr>
    </w:p>
    <w:p>
      <w:pPr>
        <w:ind w:right="920"/>
        <w:spacing w:after="0" w:line="277" w:lineRule="auto"/>
        <w:rPr>
          <w:sz w:val="20"/>
          <w:szCs w:val="20"/>
          <w:color w:val="auto"/>
        </w:rPr>
      </w:pPr>
      <w:r>
        <w:rPr>
          <w:rFonts w:ascii="Arial" w:cs="Arial" w:eastAsia="Arial" w:hAnsi="Arial"/>
          <w:sz w:val="18"/>
          <w:szCs w:val="18"/>
          <w:color w:val="auto"/>
        </w:rPr>
        <w:t>General and administrative expenses consist primarily of management costs, costs associated with obtaining and maintaining our patent portfolio, professional fees for accounting, auditing, consulting and legal services, and allocated overhead expenses.</w:t>
      </w:r>
    </w:p>
    <w:p>
      <w:pPr>
        <w:spacing w:after="0" w:line="170" w:lineRule="exact"/>
        <w:rPr>
          <w:sz w:val="20"/>
          <w:szCs w:val="20"/>
          <w:color w:val="auto"/>
        </w:rPr>
      </w:pPr>
    </w:p>
    <w:p>
      <w:pPr>
        <w:ind w:right="420"/>
        <w:spacing w:after="0" w:line="279" w:lineRule="auto"/>
        <w:rPr>
          <w:sz w:val="20"/>
          <w:szCs w:val="20"/>
          <w:color w:val="auto"/>
        </w:rPr>
      </w:pPr>
      <w:r>
        <w:rPr>
          <w:rFonts w:ascii="Arial" w:cs="Arial" w:eastAsia="Arial" w:hAnsi="Arial"/>
          <w:sz w:val="17"/>
          <w:szCs w:val="17"/>
          <w:color w:val="auto"/>
        </w:rPr>
        <w:t>We expect that our general and administrative expenses may increase in the future as we expand our operating activities, maintain and expand our patent portfolio and incur additional costs associated with being a public company and maintaining compliance with exchange listing and U.S. Securities and Exchange Commission, or SEC, requirements. We expect these potential increases will likely include management costs, legal fees, accounting fees, directors’ and officers’ liability insurance premiums and expenses associated with investor relations.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ectPr>
          <w:pgSz w:w="11900" w:h="16838" w:orient="portrait"/>
          <w:cols w:equalWidth="0" w:num="1">
            <w:col w:w="11420"/>
          </w:cols>
          <w:pgMar w:left="240" w:top="125" w:right="239" w:bottom="0" w:gutter="0" w:footer="0" w:header="0"/>
        </w:sectPr>
      </w:pPr>
    </w:p>
    <w:bookmarkStart w:id="10" w:name="page11"/>
    <w:bookmarkEnd w:id="10"/>
    <w:p>
      <w:pPr>
        <w:spacing w:after="0" w:line="12"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color w:val="auto"/>
        </w:rPr>
        <w:t>Our management’s discussion and analysis of our financial condition and results of operations are based on our financial statements which have been prepared in accordance with generally accepted accounting principles in the United States. The preparation of these financial statements requires us to make estimates and judgments that affect the reported amount of assets, liabilities, and expenses and the disclosure of contingent assets and liabilities as of the date of the financial statements. On an ongoing basis, we evaluate our estimates and judgments, including those related to accrued research and development expenses and stock-based compensation expense. We base our estimates on historical experience, known trends and events, and various other factors that are believed to be reasonable under the circumstances, the results of which form the basis for making judgments about the carrying value of assets and liabilities that are not readily apparent from other sources. Actual results may differ materially from these estimates under different assumptions or conditions. There have been no material changes in our critical accounting policies and significant judgments and estimates during the three months ended March 31, 2018, as compared to those disclosed in our Annual Report on Form 10-K for the fiscal year ended December 31, 2017 filed with the SEC on March 13, 2018.</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Three Months Ended March 31, 2018 and 2017</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comparative unaudited results of operations for the three months ended March 31, 2018 and 2017 (in thousands):</w:t>
      </w:r>
    </w:p>
    <w:p>
      <w:pPr>
        <w:spacing w:after="0" w:line="217" w:lineRule="exact"/>
        <w:rPr>
          <w:sz w:val="20"/>
          <w:szCs w:val="20"/>
          <w:color w:val="auto"/>
        </w:rPr>
      </w:pPr>
    </w:p>
    <w:tbl>
      <w:tblPr>
        <w:tblLayout w:type="fixed"/>
        <w:tblInd w:w="660" w:type="dxa"/>
        <w:tblCellMar>
          <w:top w:w="0" w:type="dxa"/>
          <w:left w:w="0" w:type="dxa"/>
          <w:bottom w:w="0" w:type="dxa"/>
          <w:right w:w="0" w:type="dxa"/>
        </w:tblCellMar>
      </w:tblPr>
      <w:tr>
        <w:trPr>
          <w:trHeight w:val="171"/>
        </w:trPr>
        <w:tc>
          <w:tcPr>
            <w:tcW w:w="3760" w:type="dxa"/>
            <w:vAlign w:val="bottom"/>
          </w:tcPr>
          <w:p>
            <w:pPr>
              <w:spacing w:after="0"/>
              <w:rPr>
                <w:sz w:val="14"/>
                <w:szCs w:val="14"/>
                <w:color w:val="auto"/>
              </w:rPr>
            </w:pPr>
          </w:p>
        </w:tc>
        <w:tc>
          <w:tcPr>
            <w:tcW w:w="238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Three Months Ended March 31,</w:t>
            </w:r>
          </w:p>
        </w:tc>
        <w:tc>
          <w:tcPr>
            <w:tcW w:w="42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gridSpan w:val="3"/>
          </w:tcPr>
          <w:p>
            <w:pPr>
              <w:ind w:left="60"/>
              <w:spacing w:after="0"/>
              <w:rPr>
                <w:sz w:val="20"/>
                <w:szCs w:val="20"/>
                <w:color w:val="auto"/>
              </w:rPr>
            </w:pPr>
            <w:r>
              <w:rPr>
                <w:rFonts w:ascii="Arial" w:cs="Arial" w:eastAsia="Arial" w:hAnsi="Arial"/>
                <w:sz w:val="14"/>
                <w:szCs w:val="14"/>
                <w:b w:val="1"/>
                <w:bCs w:val="1"/>
                <w:color w:val="auto"/>
                <w:w w:val="93"/>
              </w:rPr>
              <w:t>Increase / Decrease</w:t>
            </w:r>
          </w:p>
        </w:tc>
        <w:tc>
          <w:tcPr>
            <w:tcW w:w="76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r>
      <w:tr>
        <w:trPr>
          <w:trHeight w:val="142"/>
        </w:trPr>
        <w:tc>
          <w:tcPr>
            <w:tcW w:w="3760" w:type="dxa"/>
            <w:vAlign w:val="bottom"/>
            <w:tcBorders>
              <w:bottom w:val="single" w:sz="8" w:color="CCEEFF"/>
            </w:tcBorders>
          </w:tcPr>
          <w:p>
            <w:pPr>
              <w:spacing w:after="0"/>
              <w:rPr>
                <w:sz w:val="12"/>
                <w:szCs w:val="12"/>
                <w:color w:val="auto"/>
              </w:rPr>
            </w:pPr>
          </w:p>
        </w:tc>
        <w:tc>
          <w:tcPr>
            <w:tcW w:w="8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2018</w:t>
            </w:r>
          </w:p>
        </w:tc>
        <w:tc>
          <w:tcPr>
            <w:tcW w:w="440" w:type="dxa"/>
            <w:vAlign w:val="bottom"/>
            <w:tcBorders>
              <w:bottom w:val="single" w:sz="8" w:color="auto"/>
            </w:tcBorders>
          </w:tcPr>
          <w:p>
            <w:pPr>
              <w:spacing w:after="0"/>
              <w:rPr>
                <w:sz w:val="12"/>
                <w:szCs w:val="12"/>
                <w:color w:val="auto"/>
              </w:rPr>
            </w:pPr>
          </w:p>
        </w:tc>
        <w:tc>
          <w:tcPr>
            <w:tcW w:w="280" w:type="dxa"/>
            <w:vAlign w:val="bottom"/>
            <w:tcBorders>
              <w:bottom w:val="single" w:sz="8" w:color="CCEEFF"/>
            </w:tcBorders>
          </w:tcPr>
          <w:p>
            <w:pPr>
              <w:spacing w:after="0"/>
              <w:rPr>
                <w:sz w:val="12"/>
                <w:szCs w:val="12"/>
                <w:color w:val="auto"/>
              </w:rPr>
            </w:pPr>
          </w:p>
        </w:tc>
        <w:tc>
          <w:tcPr>
            <w:tcW w:w="840" w:type="dxa"/>
            <w:vAlign w:val="bottom"/>
            <w:tcBorders>
              <w:bottom w:val="single" w:sz="8" w:color="auto"/>
            </w:tcBorders>
          </w:tcPr>
          <w:p>
            <w:pPr>
              <w:jc w:val="right"/>
              <w:ind w:right="6"/>
              <w:spacing w:after="0" w:line="142" w:lineRule="exact"/>
              <w:rPr>
                <w:sz w:val="20"/>
                <w:szCs w:val="20"/>
                <w:color w:val="auto"/>
              </w:rPr>
            </w:pPr>
            <w:r>
              <w:rPr>
                <w:rFonts w:ascii="Arial" w:cs="Arial" w:eastAsia="Arial" w:hAnsi="Arial"/>
                <w:sz w:val="14"/>
                <w:szCs w:val="14"/>
                <w:b w:val="1"/>
                <w:bCs w:val="1"/>
                <w:color w:val="auto"/>
              </w:rPr>
              <w:t>2017</w:t>
            </w:r>
          </w:p>
        </w:tc>
        <w:tc>
          <w:tcPr>
            <w:tcW w:w="420" w:type="dxa"/>
            <w:vAlign w:val="bottom"/>
            <w:tcBorders>
              <w:bottom w:val="single" w:sz="8" w:color="auto"/>
            </w:tcBorders>
          </w:tcPr>
          <w:p>
            <w:pPr>
              <w:spacing w:after="0"/>
              <w:rPr>
                <w:sz w:val="12"/>
                <w:szCs w:val="12"/>
                <w:color w:val="auto"/>
              </w:rPr>
            </w:pPr>
          </w:p>
        </w:tc>
        <w:tc>
          <w:tcPr>
            <w:tcW w:w="260" w:type="dxa"/>
            <w:vAlign w:val="bottom"/>
            <w:tcBorders>
              <w:bottom w:val="single" w:sz="8" w:color="CCEEFF"/>
            </w:tcBorders>
          </w:tcPr>
          <w:p>
            <w:pPr>
              <w:spacing w:after="0"/>
              <w:rPr>
                <w:sz w:val="12"/>
                <w:szCs w:val="12"/>
                <w:color w:val="auto"/>
              </w:rPr>
            </w:pPr>
          </w:p>
        </w:tc>
        <w:tc>
          <w:tcPr>
            <w:tcW w:w="760" w:type="dxa"/>
            <w:vAlign w:val="bottom"/>
            <w:tcBorders>
              <w:bottom w:val="single" w:sz="8" w:color="auto"/>
            </w:tcBorders>
          </w:tcPr>
          <w:p>
            <w:pPr>
              <w:jc w:val="right"/>
              <w:ind w:right="8"/>
              <w:spacing w:after="0" w:line="142" w:lineRule="exact"/>
              <w:rPr>
                <w:sz w:val="20"/>
                <w:szCs w:val="20"/>
                <w:color w:val="auto"/>
              </w:rPr>
            </w:pPr>
            <w:r>
              <w:rPr>
                <w:rFonts w:ascii="Arial" w:cs="Arial" w:eastAsia="Arial" w:hAnsi="Arial"/>
                <w:sz w:val="14"/>
                <w:szCs w:val="14"/>
                <w:b w:val="1"/>
                <w:bCs w:val="1"/>
                <w:color w:val="auto"/>
              </w:rPr>
              <w:t>$</w:t>
            </w:r>
          </w:p>
        </w:tc>
        <w:tc>
          <w:tcPr>
            <w:tcW w:w="520" w:type="dxa"/>
            <w:vAlign w:val="bottom"/>
            <w:tcBorders>
              <w:bottom w:val="single" w:sz="8" w:color="auto"/>
            </w:tcBorders>
          </w:tcPr>
          <w:p>
            <w:pPr>
              <w:spacing w:after="0"/>
              <w:rPr>
                <w:sz w:val="12"/>
                <w:szCs w:val="12"/>
                <w:color w:val="auto"/>
              </w:rPr>
            </w:pPr>
          </w:p>
        </w:tc>
        <w:tc>
          <w:tcPr>
            <w:tcW w:w="260" w:type="dxa"/>
            <w:vAlign w:val="bottom"/>
            <w:tcBorders>
              <w:bottom w:val="single" w:sz="8" w:color="CCEEFF"/>
            </w:tcBorders>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474"/>
              <w:spacing w:after="0" w:line="142" w:lineRule="exact"/>
              <w:rPr>
                <w:sz w:val="20"/>
                <w:szCs w:val="20"/>
                <w:color w:val="auto"/>
              </w:rPr>
            </w:pPr>
            <w:r>
              <w:rPr>
                <w:rFonts w:ascii="Arial" w:cs="Arial" w:eastAsia="Arial" w:hAnsi="Arial"/>
                <w:sz w:val="14"/>
                <w:szCs w:val="14"/>
                <w:b w:val="1"/>
                <w:bCs w:val="1"/>
                <w:color w:val="auto"/>
              </w:rPr>
              <w:t>%</w:t>
            </w:r>
          </w:p>
        </w:tc>
        <w:tc>
          <w:tcPr>
            <w:tcW w:w="160" w:type="dxa"/>
            <w:vAlign w:val="bottom"/>
            <w:tcBorders>
              <w:bottom w:val="single" w:sz="8" w:color="CCEEFF"/>
            </w:tcBorders>
          </w:tcPr>
          <w:p>
            <w:pPr>
              <w:spacing w:after="0"/>
              <w:rPr>
                <w:sz w:val="12"/>
                <w:szCs w:val="12"/>
                <w:color w:val="auto"/>
              </w:rPr>
            </w:pPr>
          </w:p>
        </w:tc>
      </w:tr>
      <w:tr>
        <w:trPr>
          <w:trHeight w:val="210"/>
        </w:trPr>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 Expenses</w:t>
            </w:r>
          </w:p>
        </w:tc>
        <w:tc>
          <w:tcPr>
            <w:tcW w:w="820" w:type="dxa"/>
            <w:vAlign w:val="bottom"/>
            <w:shd w:val="clear" w:color="auto" w:fill="CCEEFF"/>
          </w:tcPr>
          <w:p>
            <w:pPr>
              <w:jc w:val="right"/>
              <w:ind w:right="667"/>
              <w:spacing w:after="0"/>
              <w:rPr>
                <w:sz w:val="20"/>
                <w:szCs w:val="20"/>
                <w:color w:val="auto"/>
              </w:rPr>
            </w:pPr>
            <w:r>
              <w:rPr>
                <w:rFonts w:ascii="Arial" w:cs="Arial" w:eastAsia="Arial" w:hAnsi="Arial"/>
                <w:sz w:val="15"/>
                <w:szCs w:val="15"/>
                <w:color w:val="auto"/>
                <w:w w:val="71"/>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5,198</w:t>
            </w: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686"/>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4,380</w:t>
            </w:r>
          </w:p>
        </w:tc>
        <w:tc>
          <w:tcPr>
            <w:tcW w:w="2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818</w:t>
            </w:r>
          </w:p>
        </w:tc>
        <w:tc>
          <w:tcPr>
            <w:tcW w:w="2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w:t>
            </w:r>
          </w:p>
        </w:tc>
      </w:tr>
      <w:tr>
        <w:trPr>
          <w:trHeight w:val="216"/>
        </w:trPr>
        <w:tc>
          <w:tcPr>
            <w:tcW w:w="3760" w:type="dxa"/>
            <w:vAlign w:val="bottom"/>
          </w:tcPr>
          <w:p>
            <w:pPr>
              <w:spacing w:after="0"/>
              <w:rPr>
                <w:sz w:val="20"/>
                <w:szCs w:val="20"/>
                <w:color w:val="auto"/>
              </w:rPr>
            </w:pPr>
            <w:r>
              <w:rPr>
                <w:rFonts w:ascii="Arial" w:cs="Arial" w:eastAsia="Arial" w:hAnsi="Arial"/>
                <w:sz w:val="18"/>
                <w:szCs w:val="18"/>
                <w:color w:val="auto"/>
              </w:rPr>
              <w:t>General and Administrative Expenses</w:t>
            </w:r>
          </w:p>
        </w:tc>
        <w:tc>
          <w:tcPr>
            <w:tcW w:w="820" w:type="dxa"/>
            <w:vAlign w:val="bottom"/>
          </w:tcPr>
          <w:p>
            <w:pPr>
              <w:spacing w:after="0"/>
              <w:rPr>
                <w:sz w:val="18"/>
                <w:szCs w:val="18"/>
                <w:color w:val="auto"/>
              </w:rPr>
            </w:pPr>
          </w:p>
        </w:tc>
        <w:tc>
          <w:tcPr>
            <w:tcW w:w="720" w:type="dxa"/>
            <w:vAlign w:val="bottom"/>
            <w:gridSpan w:val="2"/>
          </w:tcPr>
          <w:p>
            <w:pPr>
              <w:jc w:val="right"/>
              <w:ind w:right="280"/>
              <w:spacing w:after="0"/>
              <w:rPr>
                <w:sz w:val="20"/>
                <w:szCs w:val="20"/>
                <w:color w:val="auto"/>
              </w:rPr>
            </w:pPr>
            <w:r>
              <w:rPr>
                <w:rFonts w:ascii="Arial" w:cs="Arial" w:eastAsia="Arial" w:hAnsi="Arial"/>
                <w:sz w:val="18"/>
                <w:szCs w:val="18"/>
                <w:color w:val="auto"/>
                <w:w w:val="93"/>
              </w:rPr>
              <w:t>1,871</w:t>
            </w:r>
          </w:p>
        </w:tc>
        <w:tc>
          <w:tcPr>
            <w:tcW w:w="84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8"/>
              </w:rPr>
              <w:t>1,695</w:t>
            </w: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80" w:type="dxa"/>
            <w:vAlign w:val="bottom"/>
            <w:gridSpan w:val="2"/>
          </w:tcPr>
          <w:p>
            <w:pPr>
              <w:jc w:val="right"/>
              <w:ind w:right="260"/>
              <w:spacing w:after="0"/>
              <w:rPr>
                <w:sz w:val="20"/>
                <w:szCs w:val="20"/>
                <w:color w:val="auto"/>
              </w:rPr>
            </w:pPr>
            <w:r>
              <w:rPr>
                <w:rFonts w:ascii="Arial" w:cs="Arial" w:eastAsia="Arial" w:hAnsi="Arial"/>
                <w:sz w:val="18"/>
                <w:szCs w:val="18"/>
                <w:color w:val="auto"/>
              </w:rPr>
              <w:t>176</w:t>
            </w:r>
          </w:p>
        </w:tc>
        <w:tc>
          <w:tcPr>
            <w:tcW w:w="52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10%</w:t>
            </w:r>
          </w:p>
        </w:tc>
      </w:tr>
      <w:tr>
        <w:trPr>
          <w:trHeight w:val="216"/>
        </w:trPr>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8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(705)</w:t>
            </w:r>
          </w:p>
        </w:tc>
        <w:tc>
          <w:tcPr>
            <w:tcW w:w="8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(76)</w:t>
            </w:r>
          </w:p>
        </w:tc>
        <w:tc>
          <w:tcPr>
            <w:tcW w:w="7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(629)</w:t>
            </w:r>
          </w:p>
        </w:tc>
        <w:tc>
          <w:tcPr>
            <w:tcW w:w="5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828%</w:t>
            </w:r>
          </w:p>
        </w:tc>
      </w:tr>
      <w:tr>
        <w:trPr>
          <w:trHeight w:val="224"/>
        </w:trPr>
        <w:tc>
          <w:tcPr>
            <w:tcW w:w="3760" w:type="dxa"/>
            <w:vAlign w:val="bottom"/>
          </w:tcPr>
          <w:p>
            <w:pPr>
              <w:spacing w:after="0"/>
              <w:rPr>
                <w:sz w:val="19"/>
                <w:szCs w:val="19"/>
                <w:color w:val="auto"/>
              </w:rPr>
            </w:pPr>
          </w:p>
        </w:tc>
        <w:tc>
          <w:tcPr>
            <w:tcW w:w="820" w:type="dxa"/>
            <w:vAlign w:val="bottom"/>
            <w:tcBorders>
              <w:top w:val="single" w:sz="8" w:color="auto"/>
            </w:tcBorders>
          </w:tcPr>
          <w:p>
            <w:pPr>
              <w:jc w:val="right"/>
              <w:ind w:right="667"/>
              <w:spacing w:after="0"/>
              <w:rPr>
                <w:sz w:val="20"/>
                <w:szCs w:val="20"/>
                <w:color w:val="auto"/>
              </w:rPr>
            </w:pPr>
            <w:r>
              <w:rPr>
                <w:rFonts w:ascii="Arial" w:cs="Arial" w:eastAsia="Arial" w:hAnsi="Arial"/>
                <w:sz w:val="15"/>
                <w:szCs w:val="15"/>
                <w:color w:val="auto"/>
                <w:w w:val="71"/>
              </w:rPr>
              <w:t>$</w:t>
            </w: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3"/>
              </w:rPr>
              <w:t>6,364</w:t>
            </w:r>
          </w:p>
        </w:tc>
        <w:tc>
          <w:tcPr>
            <w:tcW w:w="280" w:type="dxa"/>
            <w:vAlign w:val="bottom"/>
          </w:tcPr>
          <w:p>
            <w:pPr>
              <w:spacing w:after="0"/>
              <w:rPr>
                <w:sz w:val="19"/>
                <w:szCs w:val="19"/>
                <w:color w:val="auto"/>
              </w:rPr>
            </w:pPr>
          </w:p>
        </w:tc>
        <w:tc>
          <w:tcPr>
            <w:tcW w:w="840" w:type="dxa"/>
            <w:vAlign w:val="bottom"/>
            <w:tcBorders>
              <w:top w:val="single" w:sz="8" w:color="auto"/>
            </w:tcBorders>
          </w:tcPr>
          <w:p>
            <w:pPr>
              <w:jc w:val="right"/>
              <w:ind w:right="686"/>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8"/>
              </w:rPr>
              <w:t>5,999</w:t>
            </w:r>
          </w:p>
        </w:tc>
        <w:tc>
          <w:tcPr>
            <w:tcW w:w="260" w:type="dxa"/>
            <w:vAlign w:val="bottom"/>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365</w:t>
            </w:r>
          </w:p>
        </w:tc>
        <w:tc>
          <w:tcPr>
            <w:tcW w:w="2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6%</w:t>
            </w:r>
          </w:p>
        </w:tc>
      </w:tr>
    </w:tbl>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We had no revenue for the three months ended March 31, 2018 and 2017.</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Expenses</w:t>
      </w:r>
    </w:p>
    <w:p>
      <w:pPr>
        <w:spacing w:after="0" w:line="22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Our research and development expenses were $5.2 million for the three months ended March 31, 2018 compared to $4.4 million for the same period in 2017. Research and development expenses increased by $0.8 million in the 2018 period due primarily to increases in non-cash stock compensation from stock option awards, and increases in third-party consulting and study costs. We expect our research and development expenses to increase over time as we advance our clinical and preclinical development programs for MGL-3196.</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 Expenses</w:t>
      </w:r>
    </w:p>
    <w:p>
      <w:pPr>
        <w:spacing w:after="0" w:line="225"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Our general and administrative expenses were $1.9 million for the three months ended March 31, 2018 compared to $1.7 million for the same period in 2017. General and administrative expenses increased by $0.2 million in the 2018 period due primarily to increase in non-cash stock compensation from stock option awards. We believe our general and administrative expenses may increase over time as we advance our technology into clinical programs, which will likely result in an increase in our headcount, consulting services, and certain overhead needed to support those efforts.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Income</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Our net interest income was $0.7 million for the three months ended March 31, 2018, compared to $0.1 million for the three months ended March 31, 2017.</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increase in interest income was due primarily to higher average principal balance in our investment account in 2018.</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jc w:val="both"/>
        <w:ind w:right="40"/>
        <w:spacing w:after="0" w:line="286" w:lineRule="auto"/>
        <w:rPr>
          <w:sz w:val="20"/>
          <w:szCs w:val="20"/>
          <w:color w:val="auto"/>
        </w:rPr>
      </w:pPr>
      <w:r>
        <w:rPr>
          <w:rFonts w:ascii="Arial" w:cs="Arial" w:eastAsia="Arial" w:hAnsi="Arial"/>
          <w:sz w:val="17"/>
          <w:szCs w:val="17"/>
          <w:color w:val="auto"/>
        </w:rPr>
        <w:t>As of March 31, 2018, we had cash, cash equivalents and marketable securities totaling $182.8 million compared to $191.5 million as of December 31, 2017, with the decrease primarily attributable to our net operating loss. To date, we have funded our operations primarily through the issuance of convertible debt, the issuance of shares of common stock and preferred stock, and the proceeds from the merger with Synta.</w:t>
      </w:r>
    </w:p>
    <w:p>
      <w:pPr>
        <w:spacing w:after="0" w:line="166" w:lineRule="exact"/>
        <w:rPr>
          <w:sz w:val="20"/>
          <w:szCs w:val="20"/>
          <w:color w:val="auto"/>
        </w:rPr>
      </w:pPr>
    </w:p>
    <w:p>
      <w:pPr>
        <w:ind w:right="180"/>
        <w:spacing w:after="0" w:line="276" w:lineRule="auto"/>
        <w:rPr>
          <w:sz w:val="20"/>
          <w:szCs w:val="20"/>
          <w:color w:val="auto"/>
        </w:rPr>
      </w:pPr>
      <w:r>
        <w:rPr>
          <w:rFonts w:ascii="Arial" w:cs="Arial" w:eastAsia="Arial" w:hAnsi="Arial"/>
          <w:sz w:val="17"/>
          <w:szCs w:val="17"/>
          <w:color w:val="auto"/>
        </w:rPr>
        <w:t>Our most significant use of capital pertains to salaries and benefits for our employees, hiring additional personnel, including clinical, scientific, operational, financial and management personnel, and external research and development expenses, such as clinical trials and preclinical activity related to our product candidates. Our cash and investment balances are held in a variety of interest bearing instruments, including obligations of U.S. government agencies, U.S. Treasury debt securities, corporate debt securities and money market funds. Cash in excess of immediate requirements is invested in accordance with our investment policy with a view toward capital preservation and liquidity.</w:t>
      </w:r>
    </w:p>
    <w:p>
      <w:pPr>
        <w:spacing w:after="0" w:line="173" w:lineRule="exact"/>
        <w:rPr>
          <w:sz w:val="20"/>
          <w:szCs w:val="20"/>
          <w:color w:val="auto"/>
        </w:rPr>
      </w:pPr>
    </w:p>
    <w:p>
      <w:pPr>
        <w:jc w:val="both"/>
        <w:ind w:right="100"/>
        <w:spacing w:after="0" w:line="264" w:lineRule="auto"/>
        <w:rPr>
          <w:sz w:val="20"/>
          <w:szCs w:val="20"/>
          <w:color w:val="auto"/>
        </w:rPr>
      </w:pPr>
      <w:r>
        <w:rPr>
          <w:rFonts w:ascii="Arial" w:cs="Arial" w:eastAsia="Arial" w:hAnsi="Arial"/>
          <w:sz w:val="18"/>
          <w:szCs w:val="18"/>
          <w:color w:val="auto"/>
        </w:rPr>
        <w:t>We anticipate continuing to incur operating losses for the foreseeable future. While our rate of cash usage may increase in the future, in particular to support our product development and clinical trial efforts, we believe our available cash resources as of March 31, 2018 will be sufficient to fund our operations past one year from the issuance of the financial statements contained herein. Future</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0"/>
        <w:spacing w:after="0" w:line="302" w:lineRule="auto"/>
        <w:rPr>
          <w:sz w:val="20"/>
          <w:szCs w:val="20"/>
          <w:color w:val="auto"/>
        </w:rPr>
      </w:pPr>
      <w:r>
        <w:rPr>
          <w:rFonts w:ascii="Arial" w:cs="Arial" w:eastAsia="Arial" w:hAnsi="Arial"/>
          <w:sz w:val="16"/>
          <w:szCs w:val="16"/>
          <w:color w:val="auto"/>
        </w:rPr>
        <w:t>capital requirements will be substantial and will depend on many factors. To meet future capital requirements, we will need to raise additional capital to fund our operations through equity or debt financing. We regularly consider fundraising opportunities and may decide, from time to time, to raise capital based on various factors, including market conditions and our plans of operation. Additional capital may not be available on terms acceptable to us, or at all. If adequate funds are not available, or if the terms of potential funding sources are unfavorable, our business and our ability to develop our product candidates</w:t>
      </w:r>
    </w:p>
    <w:p>
      <w:pPr>
        <w:sectPr>
          <w:pgSz w:w="11900" w:h="16850" w:orient="portrait"/>
          <w:cols w:equalWidth="0" w:num="1">
            <w:col w:w="11400"/>
          </w:cols>
          <w:pgMar w:left="240" w:top="125" w:right="259" w:bottom="0" w:gutter="0" w:footer="0" w:header="0"/>
        </w:sectPr>
      </w:pPr>
    </w:p>
    <w:bookmarkStart w:id="11" w:name="page12"/>
    <w:bookmarkEnd w:id="11"/>
    <w:p>
      <w:pPr>
        <w:jc w:val="both"/>
        <w:ind w:right="520"/>
        <w:spacing w:after="0" w:line="277" w:lineRule="auto"/>
        <w:rPr>
          <w:sz w:val="20"/>
          <w:szCs w:val="20"/>
          <w:color w:val="auto"/>
        </w:rPr>
      </w:pPr>
      <w:r>
        <w:rPr>
          <w:rFonts w:ascii="Arial" w:cs="Arial" w:eastAsia="Arial" w:hAnsi="Arial"/>
          <w:sz w:val="18"/>
          <w:szCs w:val="18"/>
          <w:color w:val="auto"/>
        </w:rPr>
        <w:t>would be harmed. Furthermore, any sales of additional equity securities may result in dilution to our stockholders, and any debt financing may include covenants that restrict our business.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a summary of our net cash flow activity (in thousands):</w:t>
      </w:r>
    </w:p>
    <w:p>
      <w:pPr>
        <w:spacing w:after="0" w:line="217" w:lineRule="exact"/>
        <w:rPr>
          <w:sz w:val="20"/>
          <w:szCs w:val="20"/>
          <w:color w:val="auto"/>
        </w:rPr>
      </w:pPr>
    </w:p>
    <w:tbl>
      <w:tblPr>
        <w:tblLayout w:type="fixed"/>
        <w:tblInd w:w="1300" w:type="dxa"/>
        <w:tblCellMar>
          <w:top w:w="0" w:type="dxa"/>
          <w:left w:w="0" w:type="dxa"/>
          <w:bottom w:w="0" w:type="dxa"/>
          <w:right w:w="0" w:type="dxa"/>
        </w:tblCellMar>
      </w:tblPr>
      <w:tr>
        <w:trPr>
          <w:trHeight w:val="171"/>
        </w:trPr>
        <w:tc>
          <w:tcPr>
            <w:tcW w:w="5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800" w:type="dxa"/>
            <w:vAlign w:val="bottom"/>
            <w:gridSpan w:val="5"/>
          </w:tcPr>
          <w:p>
            <w:pPr>
              <w:jc w:val="right"/>
              <w:ind w:right="620"/>
              <w:spacing w:after="0"/>
              <w:rPr>
                <w:sz w:val="20"/>
                <w:szCs w:val="20"/>
                <w:color w:val="auto"/>
              </w:rPr>
            </w:pPr>
            <w:r>
              <w:rPr>
                <w:rFonts w:ascii="Arial" w:cs="Arial" w:eastAsia="Arial" w:hAnsi="Arial"/>
                <w:sz w:val="14"/>
                <w:szCs w:val="14"/>
                <w:b w:val="1"/>
                <w:bCs w:val="1"/>
                <w:color w:val="auto"/>
              </w:rPr>
              <w:t>Three Months Ended March 31,</w:t>
            </w:r>
          </w:p>
        </w:tc>
      </w:tr>
      <w:tr>
        <w:trPr>
          <w:trHeight w:val="142"/>
        </w:trPr>
        <w:tc>
          <w:tcPr>
            <w:tcW w:w="5220" w:type="dxa"/>
            <w:vAlign w:val="bottom"/>
            <w:tcBorders>
              <w:bottom w:val="single" w:sz="8" w:color="CCEEFF"/>
            </w:tcBorders>
          </w:tcPr>
          <w:p>
            <w:pPr>
              <w:spacing w:after="0"/>
              <w:rPr>
                <w:sz w:val="12"/>
                <w:szCs w:val="12"/>
                <w:color w:val="auto"/>
              </w:rPr>
            </w:pPr>
          </w:p>
        </w:tc>
        <w:tc>
          <w:tcPr>
            <w:tcW w:w="300" w:type="dxa"/>
            <w:vAlign w:val="bottom"/>
            <w:tcBorders>
              <w:top w:val="single" w:sz="8" w:color="auto"/>
              <w:bottom w:val="single" w:sz="8" w:color="auto"/>
            </w:tcBorders>
          </w:tcPr>
          <w:p>
            <w:pPr>
              <w:spacing w:after="0"/>
              <w:rPr>
                <w:sz w:val="12"/>
                <w:szCs w:val="12"/>
                <w:color w:val="auto"/>
              </w:rPr>
            </w:pPr>
          </w:p>
        </w:tc>
        <w:tc>
          <w:tcPr>
            <w:tcW w:w="1080" w:type="dxa"/>
            <w:vAlign w:val="bottom"/>
            <w:tcBorders>
              <w:top w:val="single" w:sz="8" w:color="auto"/>
              <w:bottom w:val="single" w:sz="8" w:color="auto"/>
            </w:tcBorders>
          </w:tcPr>
          <w:p>
            <w:pPr>
              <w:jc w:val="right"/>
              <w:ind w:right="456"/>
              <w:spacing w:after="0" w:line="142" w:lineRule="exact"/>
              <w:rPr>
                <w:sz w:val="20"/>
                <w:szCs w:val="20"/>
                <w:color w:val="auto"/>
              </w:rPr>
            </w:pPr>
            <w:r>
              <w:rPr>
                <w:rFonts w:ascii="Arial" w:cs="Arial" w:eastAsia="Arial" w:hAnsi="Arial"/>
                <w:sz w:val="14"/>
                <w:szCs w:val="14"/>
                <w:b w:val="1"/>
                <w:bCs w:val="1"/>
                <w:color w:val="auto"/>
              </w:rPr>
              <w:t>2018</w:t>
            </w:r>
          </w:p>
        </w:tc>
        <w:tc>
          <w:tcPr>
            <w:tcW w:w="260" w:type="dxa"/>
            <w:vAlign w:val="bottom"/>
            <w:tcBorders>
              <w:top w:val="single" w:sz="8" w:color="auto"/>
              <w:bottom w:val="single" w:sz="8" w:color="CCEEFF"/>
            </w:tcBorders>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1040" w:type="dxa"/>
            <w:vAlign w:val="bottom"/>
            <w:tcBorders>
              <w:top w:val="single" w:sz="8" w:color="auto"/>
              <w:bottom w:val="single" w:sz="8" w:color="auto"/>
            </w:tcBorders>
          </w:tcPr>
          <w:p>
            <w:pPr>
              <w:jc w:val="right"/>
              <w:ind w:right="454"/>
              <w:spacing w:after="0" w:line="142" w:lineRule="exact"/>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12"/>
                <w:szCs w:val="12"/>
                <w:color w:val="auto"/>
              </w:rPr>
            </w:pPr>
          </w:p>
        </w:tc>
      </w:tr>
      <w:tr>
        <w:trPr>
          <w:trHeight w:val="210"/>
        </w:trPr>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operating activities</w:t>
            </w:r>
          </w:p>
        </w:tc>
        <w:tc>
          <w:tcPr>
            <w:tcW w:w="300" w:type="dxa"/>
            <w:vAlign w:val="bottom"/>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(8,644)</w:t>
            </w:r>
          </w:p>
        </w:tc>
        <w:tc>
          <w:tcPr>
            <w:tcW w:w="26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(3,771)</w:t>
            </w:r>
          </w:p>
        </w:tc>
        <w:tc>
          <w:tcPr>
            <w:tcW w:w="100" w:type="dxa"/>
            <w:vAlign w:val="bottom"/>
            <w:shd w:val="clear" w:color="auto" w:fill="CCEEFF"/>
          </w:tcPr>
          <w:p>
            <w:pPr>
              <w:spacing w:after="0"/>
              <w:rPr>
                <w:sz w:val="18"/>
                <w:szCs w:val="18"/>
                <w:color w:val="auto"/>
              </w:rPr>
            </w:pPr>
          </w:p>
        </w:tc>
      </w:tr>
      <w:tr>
        <w:trPr>
          <w:trHeight w:val="216"/>
        </w:trPr>
        <w:tc>
          <w:tcPr>
            <w:tcW w:w="5220" w:type="dxa"/>
            <w:vAlign w:val="bottom"/>
          </w:tcPr>
          <w:p>
            <w:pPr>
              <w:spacing w:after="0"/>
              <w:rPr>
                <w:sz w:val="20"/>
                <w:szCs w:val="20"/>
                <w:color w:val="auto"/>
              </w:rPr>
            </w:pPr>
            <w:r>
              <w:rPr>
                <w:rFonts w:ascii="Arial" w:cs="Arial" w:eastAsia="Arial" w:hAnsi="Arial"/>
                <w:sz w:val="18"/>
                <w:szCs w:val="18"/>
                <w:color w:val="auto"/>
              </w:rPr>
              <w:t>Net cash used by investing activities</w:t>
            </w:r>
          </w:p>
        </w:tc>
        <w:tc>
          <w:tcPr>
            <w:tcW w:w="300" w:type="dxa"/>
            <w:vAlign w:val="bottom"/>
          </w:tcPr>
          <w:p>
            <w:pPr>
              <w:spacing w:after="0"/>
              <w:rPr>
                <w:sz w:val="18"/>
                <w:szCs w:val="18"/>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(102,123)</w:t>
            </w:r>
          </w:p>
        </w:tc>
        <w:tc>
          <w:tcPr>
            <w:tcW w:w="32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(10,558)</w:t>
            </w:r>
          </w:p>
        </w:tc>
      </w:tr>
      <w:tr>
        <w:trPr>
          <w:trHeight w:val="216"/>
        </w:trPr>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financing activities</w:t>
            </w:r>
          </w:p>
        </w:tc>
        <w:tc>
          <w:tcPr>
            <w:tcW w:w="3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265</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3,399</w:t>
            </w:r>
          </w:p>
        </w:tc>
      </w:tr>
      <w:tr>
        <w:trPr>
          <w:trHeight w:val="224"/>
        </w:trPr>
        <w:tc>
          <w:tcPr>
            <w:tcW w:w="5220" w:type="dxa"/>
            <w:vAlign w:val="bottom"/>
          </w:tcPr>
          <w:p>
            <w:pPr>
              <w:spacing w:after="0"/>
              <w:rPr>
                <w:sz w:val="20"/>
                <w:szCs w:val="20"/>
                <w:color w:val="auto"/>
              </w:rPr>
            </w:pPr>
            <w:r>
              <w:rPr>
                <w:rFonts w:ascii="Arial" w:cs="Arial" w:eastAsia="Arial" w:hAnsi="Arial"/>
                <w:sz w:val="18"/>
                <w:szCs w:val="18"/>
                <w:color w:val="auto"/>
              </w:rPr>
              <w:t>Net decrease in cash and cash equivalents</w:t>
            </w:r>
          </w:p>
        </w:tc>
        <w:tc>
          <w:tcPr>
            <w:tcW w:w="300" w:type="dxa"/>
            <w:vAlign w:val="bottom"/>
            <w:tcBorders>
              <w:top w:val="single" w:sz="8" w:color="auto"/>
            </w:tcBorders>
          </w:tcPr>
          <w:p>
            <w:pPr>
              <w:jc w:val="right"/>
              <w:ind w:right="145"/>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(110,502)</w:t>
            </w:r>
          </w:p>
        </w:tc>
        <w:tc>
          <w:tcPr>
            <w:tcW w:w="260" w:type="dxa"/>
            <w:vAlign w:val="bottom"/>
          </w:tcPr>
          <w:p>
            <w:pPr>
              <w:spacing w:after="0"/>
              <w:rPr>
                <w:sz w:val="19"/>
                <w:szCs w:val="19"/>
                <w:color w:val="auto"/>
              </w:rPr>
            </w:pPr>
          </w:p>
        </w:tc>
        <w:tc>
          <w:tcPr>
            <w:tcW w:w="32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(10,930)</w:t>
            </w:r>
          </w:p>
        </w:tc>
        <w:tc>
          <w:tcPr>
            <w:tcW w:w="100" w:type="dxa"/>
            <w:vAlign w:val="bottom"/>
          </w:tcPr>
          <w:p>
            <w:pPr>
              <w:spacing w:after="0"/>
              <w:rPr>
                <w:sz w:val="19"/>
                <w:szCs w:val="19"/>
                <w:color w:val="auto"/>
              </w:rPr>
            </w:pPr>
          </w:p>
        </w:tc>
      </w:tr>
    </w:tbl>
    <w:p>
      <w:pPr>
        <w:spacing w:after="0" w:line="187" w:lineRule="exact"/>
        <w:rPr>
          <w:sz w:val="20"/>
          <w:szCs w:val="20"/>
          <w:color w:val="auto"/>
        </w:rPr>
      </w:pPr>
    </w:p>
    <w:p>
      <w:pPr>
        <w:jc w:val="both"/>
        <w:ind w:right="520"/>
        <w:spacing w:after="0" w:line="264" w:lineRule="auto"/>
        <w:rPr>
          <w:sz w:val="20"/>
          <w:szCs w:val="20"/>
          <w:color w:val="auto"/>
        </w:rPr>
      </w:pPr>
      <w:r>
        <w:rPr>
          <w:rFonts w:ascii="Arial" w:cs="Arial" w:eastAsia="Arial" w:hAnsi="Arial"/>
          <w:sz w:val="18"/>
          <w:szCs w:val="18"/>
          <w:color w:val="auto"/>
        </w:rPr>
        <w:t>Net cash used in operating activities was $8.6 million for the three months ended March 31, 2018 compared to $3.8 million for the three months ended March 31, 2017. The use of cash in these periods resulted primarily from our losses from operations, as adjusted for non-cash charges for stock-based compensation, and changes in our working capital accounts.</w:t>
      </w:r>
    </w:p>
    <w:p>
      <w:pPr>
        <w:spacing w:after="0" w:line="181"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Net cash used in investing activities was $102.1 million for the three months ended March 31, 2018 compared to $10.6 million used in investing activities for three months ended March 31, 2017. Net cash used in investing activities for the three months ended March 31, 2018 consisted of $122.2 million of purchases of marketable securities for our investment portfolio, partially offset by $20.1 million from sales and maturities of marketable securities. Net cash used by investing activities for the three months ended March 31, 2017 consisted of $22.1 million of purchases of marketable securities for our investment portfolio, partially offset by $11.6 million from sales and maturities of marketable securities.</w:t>
      </w:r>
    </w:p>
    <w:p>
      <w:pPr>
        <w:spacing w:after="0" w:line="173"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Net cash provided by financing activities was $0.3 million for the three months ended March 31, 2018 compared to $3.4 million for the three months ended March 31, 2017. Net cash provided by financing activities for the three months ended March 31, 2018 consisted of proceeds from the exercise of stock options. Net cash provided by financing activities for the three months ended March 31, 2017 consisted of net proceeds from the issuance of common stock under our at-the-market issuance agreement with Cowen and Company, LLC.</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 and Commitments</w:t>
      </w:r>
    </w:p>
    <w:p>
      <w:pPr>
        <w:spacing w:after="0" w:line="229"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No significant changes to contractual obligations and commitments occurred during the three months ended March 31, 2018, as compared to those disclosed in our Annual Report on Form 10-K for the fiscal year ended December 31, 2017, filed with the SEC on March 13, 2018.</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We do not have any off-balance sheet arrangements as defined in the rules and regulations of the SEC.</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225"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Our cash and cash equivalents as of March 31, 2018 consisted of readily available checking and money market funds. Our primary exposure to market risk is interest income sensitivity, which is affected by changes in the general level of U.S. interest rates. However, because of the short-term nature of the instruments in our portfolio, a sudden change in market interest rates would not be expected to have a material impact on our financial condition and/or results of operations. We do not believe that our cash or cash equivalents have a significant risk of default or illiquidity. While we believe our cash and cash equivalents do not contain excessive risk, we cannot provide absolute assurance that in the future its investments will not be subject to adverse changes in market value. In addition,</w:t>
      </w:r>
    </w:p>
    <w:p>
      <w:pPr>
        <w:spacing w:after="0" w:line="1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we maintain significant amounts of cash and cash equivalents at one or more financial institutions that are in excess of federally insured limits.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Effects of Inflation</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Inflation generally affects us with increased cost of labor and clinical trial costs. We do not believe that inflation and changing prices had a significant impact on our results of operations for any periods presented herein.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Definition and Limitations of Disclosure Controls</w:t>
      </w:r>
    </w:p>
    <w:p>
      <w:pPr>
        <w:spacing w:after="0" w:line="225" w:lineRule="exact"/>
        <w:rPr>
          <w:sz w:val="20"/>
          <w:szCs w:val="20"/>
          <w:color w:val="auto"/>
        </w:rPr>
      </w:pPr>
    </w:p>
    <w:p>
      <w:pPr>
        <w:ind w:right="80"/>
        <w:spacing w:after="0" w:line="276" w:lineRule="auto"/>
        <w:rPr>
          <w:sz w:val="20"/>
          <w:szCs w:val="20"/>
          <w:color w:val="auto"/>
        </w:rPr>
      </w:pPr>
      <w:r>
        <w:rPr>
          <w:rFonts w:ascii="Arial" w:cs="Arial" w:eastAsia="Arial" w:hAnsi="Arial"/>
          <w:sz w:val="17"/>
          <w:szCs w:val="17"/>
          <w:color w:val="auto"/>
        </w:rPr>
        <w:t>Our disclosure controls and procedures (as defined in Rules 13a-15(e) and 15d-15(e) under the Exchange Act) are designed to provide reasonable assurance that information required to be disclosed by us in the reports that we file under the Exchange Act, such as this Quarterly Report, is recorded, processed, summarized and reported within the time periods specified in the SEC’s rules and forms and that such information is accumulated and communicated to our management, including our Chief Executive Officer and Chief Financial Officer, as appropriate, to allow timely decisions regarding required disclosure. Our management evaluates these controls and procedures on an ongoing basis.</w:t>
      </w:r>
    </w:p>
    <w:p>
      <w:pPr>
        <w:spacing w:after="0" w:line="173" w:lineRule="exact"/>
        <w:rPr>
          <w:sz w:val="20"/>
          <w:szCs w:val="20"/>
          <w:color w:val="auto"/>
        </w:rPr>
      </w:pPr>
    </w:p>
    <w:p>
      <w:pPr>
        <w:ind w:right="340"/>
        <w:spacing w:after="0" w:line="259" w:lineRule="auto"/>
        <w:rPr>
          <w:sz w:val="20"/>
          <w:szCs w:val="20"/>
          <w:color w:val="auto"/>
        </w:rPr>
      </w:pPr>
      <w:r>
        <w:rPr>
          <w:rFonts w:ascii="Arial" w:cs="Arial" w:eastAsia="Arial" w:hAnsi="Arial"/>
          <w:sz w:val="18"/>
          <w:szCs w:val="18"/>
          <w:color w:val="auto"/>
        </w:rPr>
        <w:t>We carried out an evaluation, under the supervision of and with the participation of our management, including our Chief Executive Officer and Chief Financial Officer, of the effectiveness of the design and operation of our disclosure controls and procedures as of the end of the period covered by this Quarterly Report. Based on the foregoing, our Chief Executive Officer and Chief Financial Officer concluded that our disclosure controls and procedures were effective at the reasonable assurance level.</w:t>
      </w:r>
    </w:p>
    <w:p>
      <w:pPr>
        <w:sectPr>
          <w:pgSz w:w="11900" w:h="16838" w:orient="portrait"/>
          <w:cols w:equalWidth="0" w:num="1">
            <w:col w:w="11380"/>
          </w:cols>
          <w:pgMar w:left="240" w:top="125" w:right="279" w:bottom="0" w:gutter="0" w:footer="0" w:header="0"/>
        </w:sectPr>
      </w:pPr>
    </w:p>
    <w:bookmarkStart w:id="12" w:name="page13"/>
    <w:bookmarkEnd w:id="12"/>
    <w:p>
      <w:pPr>
        <w:spacing w:after="0" w:line="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Limitations on the Effectiveness of Controls and Procedures</w:t>
      </w:r>
    </w:p>
    <w:p>
      <w:pPr>
        <w:spacing w:after="0" w:line="225" w:lineRule="exact"/>
        <w:rPr>
          <w:sz w:val="20"/>
          <w:szCs w:val="20"/>
          <w:color w:val="auto"/>
        </w:rPr>
      </w:pPr>
    </w:p>
    <w:p>
      <w:pPr>
        <w:ind w:right="220"/>
        <w:spacing w:after="0" w:line="255" w:lineRule="auto"/>
        <w:rPr>
          <w:sz w:val="20"/>
          <w:szCs w:val="20"/>
          <w:color w:val="auto"/>
        </w:rPr>
      </w:pPr>
      <w:r>
        <w:rPr>
          <w:rFonts w:ascii="Arial" w:cs="Arial" w:eastAsia="Arial" w:hAnsi="Arial"/>
          <w:sz w:val="18"/>
          <w:szCs w:val="18"/>
          <w:color w:val="auto"/>
        </w:rPr>
        <w:t>In designing and evaluating our disclosure controls and procedures, management recognizes that any controls and procedures, no matter how well designed and operated, can provide only reasonable, not absolute, assurance of achieving the desired control objectives. In addition, the design of disclosure controls and procedures must reflect the fact that there are resource constraints and that management is required to apply judgment in evaluating the benefits of possible controls and procedures relative to their costs. The design of any disclosure controls and procedures also is based in part upon certain assumptions about the likelihood of future events, and there can be no assurance that any design will succeed in achieving its stated goals under all potential future conditions.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225"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There has been no change in our internal control over financial reporting (as defined in Rule 13a-15(f) under the Exchange Act) during our most recent fiscal quarter that has materially affected, or is reasonably likely to materially affect, our internal control over financial reporting.</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 -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We are not party to any material pending legal proceedings. From time to time, we may be involved in legal proceedings arising in the ordinary course of business.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There have been no material changes to the risk factors included in our Annual Report on Form 10-K for the fiscal year ended December 31, 2017, filed with the SEC on March 13, 2018.</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29"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The exhibits filed or furnished as part of this Quarterly Report on Form 10-Q are set forth on the Exhibit Index, which Exhibit Index is incorporated herein by reference.</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EXHIBIT INDEX</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7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Exhibit</w:t>
            </w:r>
          </w:p>
        </w:tc>
        <w:tc>
          <w:tcPr>
            <w:tcW w:w="23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160" w:type="dxa"/>
            <w:vAlign w:val="bottom"/>
            <w:tcBorders>
              <w:bottom w:val="single" w:sz="8" w:color="auto"/>
            </w:tcBorders>
            <w:gridSpan w:val="4"/>
          </w:tcPr>
          <w:p>
            <w:pPr>
              <w:ind w:left="340"/>
              <w:spacing w:after="0"/>
              <w:rPr>
                <w:sz w:val="20"/>
                <w:szCs w:val="20"/>
                <w:color w:val="auto"/>
              </w:rPr>
            </w:pPr>
            <w:r>
              <w:rPr>
                <w:rFonts w:ascii="Arial" w:cs="Arial" w:eastAsia="Arial" w:hAnsi="Arial"/>
                <w:sz w:val="14"/>
                <w:szCs w:val="14"/>
                <w:b w:val="1"/>
                <w:bCs w:val="1"/>
                <w:color w:val="auto"/>
              </w:rPr>
              <w:t>Incorporated by Reference</w:t>
            </w:r>
          </w:p>
        </w:tc>
        <w:tc>
          <w:tcPr>
            <w:tcW w:w="114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7"/>
              </w:rPr>
              <w:t>Filed</w:t>
            </w:r>
          </w:p>
        </w:tc>
        <w:tc>
          <w:tcPr>
            <w:tcW w:w="0" w:type="dxa"/>
            <w:vAlign w:val="bottom"/>
          </w:tcPr>
          <w:p>
            <w:pPr>
              <w:spacing w:after="0"/>
              <w:rPr>
                <w:sz w:val="1"/>
                <w:szCs w:val="1"/>
                <w:color w:val="auto"/>
              </w:rPr>
            </w:pPr>
          </w:p>
        </w:tc>
      </w:tr>
      <w:tr>
        <w:trPr>
          <w:trHeight w:val="106"/>
        </w:trPr>
        <w:tc>
          <w:tcPr>
            <w:tcW w:w="1740" w:type="dxa"/>
            <w:vAlign w:val="bottom"/>
            <w:gridSpan w:val="3"/>
            <w:vMerge w:val="continue"/>
          </w:tcPr>
          <w:p>
            <w:pPr>
              <w:spacing w:after="0"/>
              <w:rPr>
                <w:sz w:val="9"/>
                <w:szCs w:val="9"/>
                <w:color w:val="auto"/>
              </w:rPr>
            </w:pPr>
          </w:p>
        </w:tc>
        <w:tc>
          <w:tcPr>
            <w:tcW w:w="4180" w:type="dxa"/>
            <w:vAlign w:val="bottom"/>
            <w:gridSpan w:val="9"/>
            <w:vMerge w:val="restart"/>
          </w:tcPr>
          <w:p>
            <w:pPr>
              <w:ind w:left="1340"/>
              <w:spacing w:after="0"/>
              <w:rPr>
                <w:sz w:val="20"/>
                <w:szCs w:val="20"/>
                <w:color w:val="auto"/>
              </w:rPr>
            </w:pPr>
            <w:r>
              <w:rPr>
                <w:rFonts w:ascii="Arial" w:cs="Arial" w:eastAsia="Arial" w:hAnsi="Arial"/>
                <w:sz w:val="14"/>
                <w:szCs w:val="14"/>
                <w:b w:val="1"/>
                <w:bCs w:val="1"/>
                <w:color w:val="auto"/>
              </w:rPr>
              <w:t>Exhibit Description</w:t>
            </w:r>
          </w:p>
        </w:tc>
        <w:tc>
          <w:tcPr>
            <w:tcW w:w="96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Form</w:t>
            </w:r>
          </w:p>
        </w:tc>
        <w:tc>
          <w:tcPr>
            <w:tcW w:w="108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File No.</w:t>
            </w:r>
          </w:p>
        </w:tc>
        <w:tc>
          <w:tcPr>
            <w:tcW w:w="108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Exhibit</w:t>
            </w:r>
          </w:p>
        </w:tc>
        <w:tc>
          <w:tcPr>
            <w:tcW w:w="1420" w:type="dxa"/>
            <w:vAlign w:val="bottom"/>
            <w:gridSpan w:val="2"/>
            <w:vMerge w:val="restart"/>
          </w:tcPr>
          <w:p>
            <w:pPr>
              <w:ind w:left="220"/>
              <w:spacing w:after="0"/>
              <w:rPr>
                <w:sz w:val="20"/>
                <w:szCs w:val="20"/>
                <w:color w:val="auto"/>
              </w:rPr>
            </w:pPr>
            <w:r>
              <w:rPr>
                <w:rFonts w:ascii="Arial" w:cs="Arial" w:eastAsia="Arial" w:hAnsi="Arial"/>
                <w:sz w:val="14"/>
                <w:szCs w:val="14"/>
                <w:b w:val="1"/>
                <w:bCs w:val="1"/>
                <w:color w:val="auto"/>
              </w:rPr>
              <w:t>Filing Date</w:t>
            </w:r>
          </w:p>
        </w:tc>
        <w:tc>
          <w:tcPr>
            <w:tcW w:w="9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1740" w:type="dxa"/>
            <w:vAlign w:val="bottom"/>
            <w:gridSpan w:val="3"/>
          </w:tcPr>
          <w:p>
            <w:pPr>
              <w:spacing w:after="0"/>
              <w:rPr>
                <w:sz w:val="20"/>
                <w:szCs w:val="20"/>
                <w:color w:val="auto"/>
              </w:rPr>
            </w:pPr>
            <w:r>
              <w:rPr>
                <w:rFonts w:ascii="Arial" w:cs="Arial" w:eastAsia="Arial" w:hAnsi="Arial"/>
                <w:sz w:val="14"/>
                <w:szCs w:val="14"/>
                <w:b w:val="1"/>
                <w:bCs w:val="1"/>
                <w:color w:val="auto"/>
              </w:rPr>
              <w:t>Number</w:t>
            </w:r>
          </w:p>
        </w:tc>
        <w:tc>
          <w:tcPr>
            <w:tcW w:w="4180" w:type="dxa"/>
            <w:vAlign w:val="bottom"/>
            <w:gridSpan w:val="9"/>
            <w:vMerge w:val="continue"/>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1080" w:type="dxa"/>
            <w:vAlign w:val="bottom"/>
            <w:gridSpan w:val="2"/>
            <w:vMerge w:val="continue"/>
          </w:tcPr>
          <w:p>
            <w:pPr>
              <w:spacing w:after="0"/>
              <w:rPr>
                <w:sz w:val="14"/>
                <w:szCs w:val="14"/>
                <w:color w:val="auto"/>
              </w:rPr>
            </w:pPr>
          </w:p>
        </w:tc>
        <w:tc>
          <w:tcPr>
            <w:tcW w:w="1080" w:type="dxa"/>
            <w:vAlign w:val="bottom"/>
            <w:gridSpan w:val="2"/>
            <w:vMerge w:val="continue"/>
          </w:tcPr>
          <w:p>
            <w:pPr>
              <w:spacing w:after="0"/>
              <w:rPr>
                <w:sz w:val="14"/>
                <w:szCs w:val="14"/>
                <w:color w:val="auto"/>
              </w:rPr>
            </w:pPr>
          </w:p>
        </w:tc>
        <w:tc>
          <w:tcPr>
            <w:tcW w:w="1420" w:type="dxa"/>
            <w:vAlign w:val="bottom"/>
            <w:gridSpan w:val="2"/>
            <w:vMerge w:val="continue"/>
          </w:tcPr>
          <w:p>
            <w:pPr>
              <w:spacing w:after="0"/>
              <w:rPr>
                <w:sz w:val="14"/>
                <w:szCs w:val="14"/>
                <w:color w:val="auto"/>
              </w:rPr>
            </w:pPr>
          </w:p>
        </w:tc>
        <w:tc>
          <w:tcPr>
            <w:tcW w:w="960" w:type="dxa"/>
            <w:vAlign w:val="bottom"/>
          </w:tcPr>
          <w:p>
            <w:pPr>
              <w:jc w:val="center"/>
              <w:spacing w:after="0"/>
              <w:rPr>
                <w:sz w:val="20"/>
                <w:szCs w:val="20"/>
                <w:color w:val="auto"/>
              </w:rPr>
            </w:pPr>
            <w:r>
              <w:rPr>
                <w:rFonts w:ascii="Arial" w:cs="Arial" w:eastAsia="Arial" w:hAnsi="Arial"/>
                <w:sz w:val="14"/>
                <w:szCs w:val="14"/>
                <w:b w:val="1"/>
                <w:bCs w:val="1"/>
                <w:color w:val="auto"/>
                <w:w w:val="94"/>
              </w:rPr>
              <w:t>Herewith</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420" w:type="dxa"/>
            <w:vAlign w:val="bottom"/>
            <w:tcBorders>
              <w:top w:val="single" w:sz="8" w:color="auto"/>
            </w:tcBorders>
          </w:tcPr>
          <w:p>
            <w:pPr>
              <w:ind w:left="340"/>
              <w:spacing w:after="0" w:line="170" w:lineRule="exact"/>
              <w:rPr>
                <w:sz w:val="20"/>
                <w:szCs w:val="20"/>
                <w:color w:val="auto"/>
              </w:rPr>
            </w:pPr>
            <w:r>
              <w:rPr>
                <w:rFonts w:ascii="Arial" w:cs="Arial" w:eastAsia="Arial" w:hAnsi="Arial"/>
                <w:sz w:val="18"/>
                <w:szCs w:val="18"/>
                <w:color w:val="auto"/>
              </w:rPr>
              <w:t>31.1</w:t>
            </w:r>
          </w:p>
        </w:tc>
        <w:tc>
          <w:tcPr>
            <w:tcW w:w="300" w:type="dxa"/>
            <w:vAlign w:val="bottom"/>
          </w:tcPr>
          <w:p>
            <w:pPr>
              <w:spacing w:after="0"/>
              <w:rPr>
                <w:sz w:val="14"/>
                <w:szCs w:val="14"/>
                <w:color w:val="auto"/>
              </w:rPr>
            </w:pPr>
          </w:p>
        </w:tc>
        <w:tc>
          <w:tcPr>
            <w:tcW w:w="3880" w:type="dxa"/>
            <w:vAlign w:val="bottom"/>
            <w:tcBorders>
              <w:top w:val="single" w:sz="8" w:color="auto"/>
            </w:tcBorders>
            <w:gridSpan w:val="8"/>
          </w:tcPr>
          <w:p>
            <w:pPr>
              <w:spacing w:after="0" w:line="170" w:lineRule="exact"/>
              <w:rPr>
                <w:rFonts w:ascii="Arial" w:cs="Arial" w:eastAsia="Arial" w:hAnsi="Arial"/>
                <w:sz w:val="18"/>
                <w:szCs w:val="18"/>
                <w:color w:val="0000EE"/>
                <w:w w:val="95"/>
              </w:rPr>
            </w:pPr>
            <w:hyperlink w:anchor="page14">
              <w:r>
                <w:rPr>
                  <w:rFonts w:ascii="Arial" w:cs="Arial" w:eastAsia="Arial" w:hAnsi="Arial"/>
                  <w:sz w:val="18"/>
                  <w:szCs w:val="18"/>
                  <w:color w:val="0000EE"/>
                  <w:w w:val="95"/>
                </w:rPr>
                <w:t>Certification of Principal Executive Officer pursuant</w:t>
              </w:r>
            </w:hyperlink>
          </w:p>
        </w:tc>
        <w:tc>
          <w:tcPr>
            <w:tcW w:w="300" w:type="dxa"/>
            <w:vAlign w:val="bottom"/>
          </w:tcPr>
          <w:p>
            <w:pPr>
              <w:spacing w:after="0"/>
              <w:rPr>
                <w:sz w:val="14"/>
                <w:szCs w:val="14"/>
                <w:color w:val="auto"/>
              </w:rPr>
            </w:pPr>
          </w:p>
        </w:tc>
        <w:tc>
          <w:tcPr>
            <w:tcW w:w="680" w:type="dxa"/>
            <w:vAlign w:val="bottom"/>
            <w:tcBorders>
              <w:top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800" w:type="dxa"/>
            <w:vAlign w:val="bottom"/>
            <w:tcBorders>
              <w:top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800" w:type="dxa"/>
            <w:vAlign w:val="bottom"/>
            <w:tcBorders>
              <w:top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1140" w:type="dxa"/>
            <w:vAlign w:val="bottom"/>
            <w:tcBorders>
              <w:top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Borders>
              <w:top w:val="single" w:sz="8" w:color="auto"/>
            </w:tcBorders>
          </w:tcPr>
          <w:p>
            <w:pPr>
              <w:jc w:val="center"/>
              <w:spacing w:after="0" w:line="170" w:lineRule="exact"/>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360" w:type="dxa"/>
            <w:vAlign w:val="bottom"/>
            <w:shd w:val="clear" w:color="auto" w:fill="0000EE"/>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820" w:type="dxa"/>
            <w:vAlign w:val="bottom"/>
            <w:tcBorders>
              <w:bottom w:val="single" w:sz="8" w:color="0000EE"/>
            </w:tcBorders>
            <w:gridSpan w:val="7"/>
          </w:tcPr>
          <w:p>
            <w:pPr>
              <w:spacing w:after="0" w:line="196" w:lineRule="exact"/>
              <w:rPr>
                <w:rFonts w:ascii="Arial" w:cs="Arial" w:eastAsia="Arial" w:hAnsi="Arial"/>
                <w:sz w:val="18"/>
                <w:szCs w:val="18"/>
                <w:color w:val="0000EE"/>
                <w:w w:val="90"/>
              </w:rPr>
            </w:pPr>
            <w:hyperlink w:anchor="page14">
              <w:r>
                <w:rPr>
                  <w:rFonts w:ascii="Arial" w:cs="Arial" w:eastAsia="Arial" w:hAnsi="Arial"/>
                  <w:sz w:val="18"/>
                  <w:szCs w:val="18"/>
                  <w:color w:val="0000EE"/>
                  <w:w w:val="90"/>
                </w:rPr>
                <w:t>to Rule 13a-14(a) or Rule 15d-14(a) of the Securities</w:t>
              </w:r>
            </w:hyperlink>
          </w:p>
        </w:tc>
        <w:tc>
          <w:tcPr>
            <w:tcW w:w="360" w:type="dxa"/>
            <w:vAlign w:val="bottom"/>
            <w:gridSpan w:val="2"/>
          </w:tcPr>
          <w:p>
            <w:pPr>
              <w:spacing w:after="0"/>
              <w:rPr>
                <w:sz w:val="17"/>
                <w:szCs w:val="17"/>
                <w:color w:val="auto"/>
              </w:rPr>
            </w:pPr>
          </w:p>
        </w:tc>
        <w:tc>
          <w:tcPr>
            <w:tcW w:w="6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320" w:type="dxa"/>
            <w:vAlign w:val="bottom"/>
            <w:tcBorders>
              <w:bottom w:val="single" w:sz="8" w:color="0000EE"/>
            </w:tcBorders>
            <w:gridSpan w:val="2"/>
          </w:tcPr>
          <w:p>
            <w:pPr>
              <w:spacing w:after="0" w:line="196" w:lineRule="exact"/>
              <w:rPr>
                <w:rFonts w:ascii="Arial" w:cs="Arial" w:eastAsia="Arial" w:hAnsi="Arial"/>
                <w:sz w:val="18"/>
                <w:szCs w:val="18"/>
                <w:color w:val="0000EE"/>
                <w:w w:val="89"/>
              </w:rPr>
            </w:pPr>
            <w:hyperlink w:anchor="page14">
              <w:r>
                <w:rPr>
                  <w:rFonts w:ascii="Arial" w:cs="Arial" w:eastAsia="Arial" w:hAnsi="Arial"/>
                  <w:sz w:val="18"/>
                  <w:szCs w:val="18"/>
                  <w:color w:val="0000EE"/>
                  <w:w w:val="89"/>
                </w:rPr>
                <w:t>Exchange Act of 1934, as adopted pursuant to</w:t>
              </w:r>
            </w:hyperlink>
          </w:p>
        </w:tc>
        <w:tc>
          <w:tcPr>
            <w:tcW w:w="860" w:type="dxa"/>
            <w:vAlign w:val="bottom"/>
            <w:gridSpan w:val="7"/>
          </w:tcPr>
          <w:p>
            <w:pPr>
              <w:spacing w:after="0"/>
              <w:rPr>
                <w:sz w:val="17"/>
                <w:szCs w:val="17"/>
                <w:color w:val="auto"/>
              </w:rPr>
            </w:pPr>
          </w:p>
        </w:tc>
        <w:tc>
          <w:tcPr>
            <w:tcW w:w="6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460" w:type="dxa"/>
            <w:vAlign w:val="bottom"/>
            <w:tcBorders>
              <w:bottom w:val="single" w:sz="8" w:color="0000EE"/>
            </w:tcBorders>
            <w:gridSpan w:val="3"/>
          </w:tcPr>
          <w:p>
            <w:pPr>
              <w:spacing w:after="0" w:line="196" w:lineRule="exact"/>
              <w:rPr>
                <w:rFonts w:ascii="Arial" w:cs="Arial" w:eastAsia="Arial" w:hAnsi="Arial"/>
                <w:sz w:val="18"/>
                <w:szCs w:val="18"/>
                <w:color w:val="0000EE"/>
                <w:w w:val="90"/>
              </w:rPr>
            </w:pPr>
            <w:hyperlink w:anchor="page14">
              <w:r>
                <w:rPr>
                  <w:rFonts w:ascii="Arial" w:cs="Arial" w:eastAsia="Arial" w:hAnsi="Arial"/>
                  <w:sz w:val="18"/>
                  <w:szCs w:val="18"/>
                  <w:color w:val="0000EE"/>
                  <w:w w:val="90"/>
                </w:rPr>
                <w:t>Section 302 of the Sarbanes-Oxley Act of 2002.</w:t>
              </w:r>
            </w:hyperlink>
          </w:p>
        </w:tc>
        <w:tc>
          <w:tcPr>
            <w:tcW w:w="720" w:type="dxa"/>
            <w:vAlign w:val="bottom"/>
            <w:gridSpan w:val="6"/>
          </w:tcPr>
          <w:p>
            <w:pPr>
              <w:spacing w:after="0"/>
              <w:rPr>
                <w:sz w:val="17"/>
                <w:szCs w:val="17"/>
                <w:color w:val="auto"/>
              </w:rPr>
            </w:pPr>
          </w:p>
        </w:tc>
        <w:tc>
          <w:tcPr>
            <w:tcW w:w="6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1440" w:type="dxa"/>
            <w:vAlign w:val="bottom"/>
            <w:gridSpan w:val="2"/>
          </w:tcPr>
          <w:p>
            <w:pPr>
              <w:ind w:left="360"/>
              <w:spacing w:after="0"/>
              <w:rPr>
                <w:sz w:val="20"/>
                <w:szCs w:val="20"/>
                <w:color w:val="auto"/>
              </w:rPr>
            </w:pPr>
            <w:r>
              <w:rPr>
                <w:rFonts w:ascii="Arial" w:cs="Arial" w:eastAsia="Arial" w:hAnsi="Arial"/>
                <w:sz w:val="18"/>
                <w:szCs w:val="18"/>
                <w:color w:val="auto"/>
              </w:rPr>
              <w:t>31.2</w:t>
            </w:r>
          </w:p>
        </w:tc>
        <w:tc>
          <w:tcPr>
            <w:tcW w:w="300" w:type="dxa"/>
            <w:vAlign w:val="bottom"/>
          </w:tcPr>
          <w:p>
            <w:pPr>
              <w:spacing w:after="0"/>
              <w:rPr>
                <w:sz w:val="24"/>
                <w:szCs w:val="24"/>
                <w:color w:val="auto"/>
              </w:rPr>
            </w:pPr>
          </w:p>
        </w:tc>
        <w:tc>
          <w:tcPr>
            <w:tcW w:w="3780" w:type="dxa"/>
            <w:vAlign w:val="bottom"/>
            <w:tcBorders>
              <w:bottom w:val="single" w:sz="8" w:color="0000EE"/>
            </w:tcBorders>
            <w:gridSpan w:val="6"/>
          </w:tcPr>
          <w:p>
            <w:pPr>
              <w:spacing w:after="0"/>
              <w:rPr>
                <w:rFonts w:ascii="Arial" w:cs="Arial" w:eastAsia="Arial" w:hAnsi="Arial"/>
                <w:sz w:val="18"/>
                <w:szCs w:val="18"/>
                <w:color w:val="0000EE"/>
                <w:w w:val="93"/>
              </w:rPr>
            </w:pPr>
            <w:hyperlink w:anchor="page15">
              <w:r>
                <w:rPr>
                  <w:rFonts w:ascii="Arial" w:cs="Arial" w:eastAsia="Arial" w:hAnsi="Arial"/>
                  <w:sz w:val="18"/>
                  <w:szCs w:val="18"/>
                  <w:color w:val="0000EE"/>
                  <w:w w:val="93"/>
                </w:rPr>
                <w:t>Certification of Principal Financial Officer pursuant</w:t>
              </w:r>
            </w:hyperlink>
          </w:p>
        </w:tc>
        <w:tc>
          <w:tcPr>
            <w:tcW w:w="400" w:type="dxa"/>
            <w:vAlign w:val="bottom"/>
            <w:gridSpan w:val="3"/>
          </w:tcPr>
          <w:p>
            <w:pPr>
              <w:spacing w:after="0"/>
              <w:rPr>
                <w:sz w:val="24"/>
                <w:szCs w:val="24"/>
                <w:color w:val="auto"/>
              </w:rPr>
            </w:pPr>
          </w:p>
        </w:tc>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820" w:type="dxa"/>
            <w:vAlign w:val="bottom"/>
            <w:tcBorders>
              <w:bottom w:val="single" w:sz="8" w:color="0000EE"/>
            </w:tcBorders>
            <w:gridSpan w:val="7"/>
          </w:tcPr>
          <w:p>
            <w:pPr>
              <w:spacing w:after="0" w:line="196" w:lineRule="exact"/>
              <w:rPr>
                <w:rFonts w:ascii="Arial" w:cs="Arial" w:eastAsia="Arial" w:hAnsi="Arial"/>
                <w:sz w:val="18"/>
                <w:szCs w:val="18"/>
                <w:color w:val="0000EE"/>
                <w:w w:val="90"/>
              </w:rPr>
            </w:pPr>
            <w:hyperlink w:anchor="page15">
              <w:r>
                <w:rPr>
                  <w:rFonts w:ascii="Arial" w:cs="Arial" w:eastAsia="Arial" w:hAnsi="Arial"/>
                  <w:sz w:val="18"/>
                  <w:szCs w:val="18"/>
                  <w:color w:val="0000EE"/>
                  <w:w w:val="90"/>
                </w:rPr>
                <w:t>to Rule 13a-14(a) or Rule 15d-14(a) of the Securities</w:t>
              </w:r>
            </w:hyperlink>
          </w:p>
        </w:tc>
        <w:tc>
          <w:tcPr>
            <w:tcW w:w="360" w:type="dxa"/>
            <w:vAlign w:val="bottom"/>
            <w:gridSpan w:val="2"/>
          </w:tcPr>
          <w:p>
            <w:pPr>
              <w:spacing w:after="0"/>
              <w:rPr>
                <w:sz w:val="17"/>
                <w:szCs w:val="17"/>
                <w:color w:val="auto"/>
              </w:rPr>
            </w:pPr>
          </w:p>
        </w:tc>
        <w:tc>
          <w:tcPr>
            <w:tcW w:w="6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320" w:type="dxa"/>
            <w:vAlign w:val="bottom"/>
            <w:tcBorders>
              <w:bottom w:val="single" w:sz="8" w:color="0000EE"/>
            </w:tcBorders>
            <w:gridSpan w:val="2"/>
          </w:tcPr>
          <w:p>
            <w:pPr>
              <w:spacing w:after="0" w:line="196" w:lineRule="exact"/>
              <w:rPr>
                <w:rFonts w:ascii="Arial" w:cs="Arial" w:eastAsia="Arial" w:hAnsi="Arial"/>
                <w:sz w:val="18"/>
                <w:szCs w:val="18"/>
                <w:color w:val="0000EE"/>
                <w:w w:val="89"/>
              </w:rPr>
            </w:pPr>
            <w:hyperlink w:anchor="page15">
              <w:r>
                <w:rPr>
                  <w:rFonts w:ascii="Arial" w:cs="Arial" w:eastAsia="Arial" w:hAnsi="Arial"/>
                  <w:sz w:val="18"/>
                  <w:szCs w:val="18"/>
                  <w:color w:val="0000EE"/>
                  <w:w w:val="89"/>
                </w:rPr>
                <w:t>Exchange Act of 1934, as adopted pursuant to</w:t>
              </w:r>
            </w:hyperlink>
          </w:p>
        </w:tc>
        <w:tc>
          <w:tcPr>
            <w:tcW w:w="860" w:type="dxa"/>
            <w:vAlign w:val="bottom"/>
            <w:gridSpan w:val="7"/>
          </w:tcPr>
          <w:p>
            <w:pPr>
              <w:spacing w:after="0"/>
              <w:rPr>
                <w:sz w:val="17"/>
                <w:szCs w:val="17"/>
                <w:color w:val="auto"/>
              </w:rPr>
            </w:pPr>
          </w:p>
        </w:tc>
        <w:tc>
          <w:tcPr>
            <w:tcW w:w="6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460" w:type="dxa"/>
            <w:vAlign w:val="bottom"/>
            <w:tcBorders>
              <w:bottom w:val="single" w:sz="8" w:color="0000EE"/>
            </w:tcBorders>
            <w:gridSpan w:val="3"/>
          </w:tcPr>
          <w:p>
            <w:pPr>
              <w:spacing w:after="0" w:line="196" w:lineRule="exact"/>
              <w:rPr>
                <w:rFonts w:ascii="Arial" w:cs="Arial" w:eastAsia="Arial" w:hAnsi="Arial"/>
                <w:sz w:val="18"/>
                <w:szCs w:val="18"/>
                <w:color w:val="0000EE"/>
                <w:w w:val="90"/>
              </w:rPr>
            </w:pPr>
            <w:hyperlink w:anchor="page15">
              <w:r>
                <w:rPr>
                  <w:rFonts w:ascii="Arial" w:cs="Arial" w:eastAsia="Arial" w:hAnsi="Arial"/>
                  <w:sz w:val="18"/>
                  <w:szCs w:val="18"/>
                  <w:color w:val="0000EE"/>
                  <w:w w:val="90"/>
                </w:rPr>
                <w:t>Section 302 of the Sarbanes-Oxley Act of 2002.</w:t>
              </w:r>
            </w:hyperlink>
          </w:p>
        </w:tc>
        <w:tc>
          <w:tcPr>
            <w:tcW w:w="720" w:type="dxa"/>
            <w:vAlign w:val="bottom"/>
            <w:gridSpan w:val="6"/>
          </w:tcPr>
          <w:p>
            <w:pPr>
              <w:spacing w:after="0"/>
              <w:rPr>
                <w:sz w:val="17"/>
                <w:szCs w:val="17"/>
                <w:color w:val="auto"/>
              </w:rPr>
            </w:pPr>
          </w:p>
        </w:tc>
        <w:tc>
          <w:tcPr>
            <w:tcW w:w="6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1440" w:type="dxa"/>
            <w:vAlign w:val="bottom"/>
            <w:gridSpan w:val="2"/>
          </w:tcPr>
          <w:p>
            <w:pPr>
              <w:ind w:left="360"/>
              <w:spacing w:after="0"/>
              <w:rPr>
                <w:sz w:val="20"/>
                <w:szCs w:val="20"/>
                <w:color w:val="auto"/>
              </w:rPr>
            </w:pPr>
            <w:r>
              <w:rPr>
                <w:rFonts w:ascii="Arial" w:cs="Arial" w:eastAsia="Arial" w:hAnsi="Arial"/>
                <w:sz w:val="18"/>
                <w:szCs w:val="18"/>
                <w:color w:val="auto"/>
              </w:rPr>
              <w:t>32.1*</w:t>
            </w:r>
          </w:p>
        </w:tc>
        <w:tc>
          <w:tcPr>
            <w:tcW w:w="300" w:type="dxa"/>
            <w:vAlign w:val="bottom"/>
          </w:tcPr>
          <w:p>
            <w:pPr>
              <w:spacing w:after="0"/>
              <w:rPr>
                <w:sz w:val="24"/>
                <w:szCs w:val="24"/>
                <w:color w:val="auto"/>
              </w:rPr>
            </w:pPr>
          </w:p>
        </w:tc>
        <w:tc>
          <w:tcPr>
            <w:tcW w:w="3500" w:type="dxa"/>
            <w:vAlign w:val="bottom"/>
            <w:tcBorders>
              <w:bottom w:val="single" w:sz="8" w:color="0000EE"/>
            </w:tcBorders>
            <w:gridSpan w:val="4"/>
          </w:tcPr>
          <w:p>
            <w:pPr>
              <w:spacing w:after="0"/>
              <w:rPr>
                <w:rFonts w:ascii="Arial" w:cs="Arial" w:eastAsia="Arial" w:hAnsi="Arial"/>
                <w:sz w:val="18"/>
                <w:szCs w:val="18"/>
                <w:color w:val="0000EE"/>
                <w:w w:val="93"/>
              </w:rPr>
            </w:pPr>
            <w:hyperlink w:anchor="page16">
              <w:r>
                <w:rPr>
                  <w:rFonts w:ascii="Arial" w:cs="Arial" w:eastAsia="Arial" w:hAnsi="Arial"/>
                  <w:sz w:val="18"/>
                  <w:szCs w:val="18"/>
                  <w:color w:val="0000EE"/>
                  <w:w w:val="93"/>
                </w:rPr>
                <w:t>Certifications of Principal Executive Officer and</w:t>
              </w:r>
            </w:hyperlink>
          </w:p>
        </w:tc>
        <w:tc>
          <w:tcPr>
            <w:tcW w:w="680" w:type="dxa"/>
            <w:vAlign w:val="bottom"/>
            <w:gridSpan w:val="5"/>
          </w:tcPr>
          <w:p>
            <w:pPr>
              <w:spacing w:after="0"/>
              <w:rPr>
                <w:sz w:val="24"/>
                <w:szCs w:val="24"/>
                <w:color w:val="auto"/>
              </w:rPr>
            </w:pPr>
          </w:p>
        </w:tc>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180" w:type="dxa"/>
            <w:vAlign w:val="bottom"/>
            <w:gridSpan w:val="9"/>
          </w:tcPr>
          <w:p>
            <w:pPr>
              <w:spacing w:after="0" w:line="196" w:lineRule="exact"/>
              <w:rPr>
                <w:rFonts w:ascii="Arial" w:cs="Arial" w:eastAsia="Arial" w:hAnsi="Arial"/>
                <w:sz w:val="18"/>
                <w:szCs w:val="18"/>
                <w:color w:val="0000EE"/>
              </w:rPr>
            </w:pPr>
            <w:hyperlink w:anchor="page16">
              <w:r>
                <w:rPr>
                  <w:rFonts w:ascii="Arial" w:cs="Arial" w:eastAsia="Arial" w:hAnsi="Arial"/>
                  <w:sz w:val="18"/>
                  <w:szCs w:val="18"/>
                  <w:color w:val="0000EE"/>
                </w:rPr>
                <w:t>Principal Financial Officer, pursuant to 18 U.S.C.</w:t>
              </w:r>
            </w:hyperlink>
          </w:p>
        </w:tc>
        <w:tc>
          <w:tcPr>
            <w:tcW w:w="6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360" w:type="dxa"/>
            <w:vAlign w:val="bottom"/>
            <w:shd w:val="clear" w:color="auto" w:fill="0000EE"/>
          </w:tcPr>
          <w:p>
            <w:pPr>
              <w:spacing w:after="0" w:line="20" w:lineRule="exact"/>
              <w:rPr>
                <w:sz w:val="1"/>
                <w:szCs w:val="1"/>
                <w:color w:val="auto"/>
              </w:rPr>
            </w:pPr>
          </w:p>
        </w:tc>
        <w:tc>
          <w:tcPr>
            <w:tcW w:w="1200" w:type="dxa"/>
            <w:vAlign w:val="bottom"/>
            <w:gridSpan w:val="4"/>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180" w:type="dxa"/>
            <w:vAlign w:val="bottom"/>
            <w:gridSpan w:val="9"/>
          </w:tcPr>
          <w:p>
            <w:pPr>
              <w:spacing w:after="0" w:line="196" w:lineRule="exact"/>
              <w:rPr>
                <w:rFonts w:ascii="Arial" w:cs="Arial" w:eastAsia="Arial" w:hAnsi="Arial"/>
                <w:sz w:val="18"/>
                <w:szCs w:val="18"/>
                <w:color w:val="0000EE"/>
                <w:w w:val="99"/>
              </w:rPr>
            </w:pPr>
            <w:hyperlink w:anchor="page16">
              <w:r>
                <w:rPr>
                  <w:rFonts w:ascii="Arial" w:cs="Arial" w:eastAsia="Arial" w:hAnsi="Arial"/>
                  <w:sz w:val="18"/>
                  <w:szCs w:val="18"/>
                  <w:color w:val="0000EE"/>
                  <w:w w:val="99"/>
                </w:rPr>
                <w:t>Section 1350, as adopted pursuant to Section 906 of</w:t>
              </w:r>
            </w:hyperlink>
          </w:p>
        </w:tc>
        <w:tc>
          <w:tcPr>
            <w:tcW w:w="6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780" w:type="dxa"/>
            <w:vAlign w:val="bottom"/>
            <w:tcBorders>
              <w:top w:val="single" w:sz="8" w:color="0000EE"/>
            </w:tcBorders>
            <w:gridSpan w:val="6"/>
          </w:tcPr>
          <w:p>
            <w:pPr>
              <w:spacing w:after="0" w:line="196" w:lineRule="exact"/>
              <w:rPr>
                <w:rFonts w:ascii="Arial" w:cs="Arial" w:eastAsia="Arial" w:hAnsi="Arial"/>
                <w:sz w:val="18"/>
                <w:szCs w:val="18"/>
                <w:color w:val="0000EE"/>
              </w:rPr>
            </w:pPr>
            <w:hyperlink w:anchor="page16">
              <w:r>
                <w:rPr>
                  <w:rFonts w:ascii="Arial" w:cs="Arial" w:eastAsia="Arial" w:hAnsi="Arial"/>
                  <w:sz w:val="18"/>
                  <w:szCs w:val="18"/>
                  <w:color w:val="0000EE"/>
                </w:rPr>
                <w:t>the Sarbanes-Oxley Act of 2002.</w:t>
              </w:r>
            </w:hyperlink>
          </w:p>
        </w:tc>
        <w:tc>
          <w:tcPr>
            <w:tcW w:w="400" w:type="dxa"/>
            <w:vAlign w:val="bottom"/>
            <w:gridSpan w:val="3"/>
          </w:tcPr>
          <w:p>
            <w:pPr>
              <w:spacing w:after="0"/>
              <w:rPr>
                <w:sz w:val="17"/>
                <w:szCs w:val="17"/>
                <w:color w:val="auto"/>
              </w:rPr>
            </w:pPr>
          </w:p>
        </w:tc>
        <w:tc>
          <w:tcPr>
            <w:tcW w:w="6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53"/>
        </w:trPr>
        <w:tc>
          <w:tcPr>
            <w:tcW w:w="20" w:type="dxa"/>
            <w:vAlign w:val="bottom"/>
          </w:tcPr>
          <w:p>
            <w:pPr>
              <w:spacing w:after="0"/>
              <w:rPr>
                <w:sz w:val="24"/>
                <w:szCs w:val="24"/>
                <w:color w:val="auto"/>
              </w:rPr>
            </w:pPr>
          </w:p>
        </w:tc>
        <w:tc>
          <w:tcPr>
            <w:tcW w:w="1720" w:type="dxa"/>
            <w:vAlign w:val="bottom"/>
            <w:gridSpan w:val="2"/>
          </w:tcPr>
          <w:p>
            <w:pPr>
              <w:ind w:left="340"/>
              <w:spacing w:after="0"/>
              <w:rPr>
                <w:sz w:val="20"/>
                <w:szCs w:val="20"/>
                <w:color w:val="auto"/>
              </w:rPr>
            </w:pPr>
            <w:r>
              <w:rPr>
                <w:rFonts w:ascii="Arial" w:cs="Arial" w:eastAsia="Arial" w:hAnsi="Arial"/>
                <w:sz w:val="18"/>
                <w:szCs w:val="18"/>
                <w:color w:val="auto"/>
              </w:rPr>
              <w:t>101.INS</w:t>
            </w:r>
          </w:p>
        </w:tc>
        <w:tc>
          <w:tcPr>
            <w:tcW w:w="2360" w:type="dxa"/>
            <w:vAlign w:val="bottom"/>
            <w:tcBorders>
              <w:top w:val="single" w:sz="8" w:color="0000EE"/>
            </w:tcBorders>
          </w:tcPr>
          <w:p>
            <w:pPr>
              <w:spacing w:after="0"/>
              <w:rPr>
                <w:sz w:val="20"/>
                <w:szCs w:val="20"/>
                <w:color w:val="auto"/>
              </w:rPr>
            </w:pPr>
            <w:r>
              <w:rPr>
                <w:rFonts w:ascii="Arial" w:cs="Arial" w:eastAsia="Arial" w:hAnsi="Arial"/>
                <w:sz w:val="18"/>
                <w:szCs w:val="18"/>
                <w:color w:val="auto"/>
              </w:rPr>
              <w:t>XBRL Instance Document.</w:t>
            </w:r>
          </w:p>
        </w:tc>
        <w:tc>
          <w:tcPr>
            <w:tcW w:w="1820" w:type="dxa"/>
            <w:vAlign w:val="bottom"/>
            <w:gridSpan w:val="8"/>
          </w:tcPr>
          <w:p>
            <w:pPr>
              <w:spacing w:after="0"/>
              <w:rPr>
                <w:sz w:val="24"/>
                <w:szCs w:val="24"/>
                <w:color w:val="auto"/>
              </w:rPr>
            </w:pPr>
          </w:p>
        </w:tc>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1720" w:type="dxa"/>
            <w:vAlign w:val="bottom"/>
            <w:gridSpan w:val="2"/>
          </w:tcPr>
          <w:p>
            <w:pPr>
              <w:ind w:left="340"/>
              <w:spacing w:after="0"/>
              <w:rPr>
                <w:sz w:val="20"/>
                <w:szCs w:val="20"/>
                <w:color w:val="auto"/>
              </w:rPr>
            </w:pPr>
            <w:r>
              <w:rPr>
                <w:rFonts w:ascii="Arial" w:cs="Arial" w:eastAsia="Arial" w:hAnsi="Arial"/>
                <w:sz w:val="18"/>
                <w:szCs w:val="18"/>
                <w:color w:val="auto"/>
              </w:rPr>
              <w:t>101.SCH</w:t>
            </w:r>
          </w:p>
        </w:tc>
        <w:tc>
          <w:tcPr>
            <w:tcW w:w="4180" w:type="dxa"/>
            <w:vAlign w:val="bottom"/>
            <w:gridSpan w:val="9"/>
          </w:tcPr>
          <w:p>
            <w:pPr>
              <w:spacing w:after="0"/>
              <w:rPr>
                <w:sz w:val="20"/>
                <w:szCs w:val="20"/>
                <w:color w:val="auto"/>
              </w:rPr>
            </w:pPr>
            <w:r>
              <w:rPr>
                <w:rFonts w:ascii="Arial" w:cs="Arial" w:eastAsia="Arial" w:hAnsi="Arial"/>
                <w:sz w:val="18"/>
                <w:szCs w:val="18"/>
                <w:color w:val="auto"/>
              </w:rPr>
              <w:t>XBRL Taxonomy Extension Schema Document.</w:t>
            </w:r>
          </w:p>
        </w:tc>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1720" w:type="dxa"/>
            <w:vAlign w:val="bottom"/>
            <w:gridSpan w:val="2"/>
          </w:tcPr>
          <w:p>
            <w:pPr>
              <w:ind w:left="340"/>
              <w:spacing w:after="0"/>
              <w:rPr>
                <w:sz w:val="20"/>
                <w:szCs w:val="20"/>
                <w:color w:val="auto"/>
              </w:rPr>
            </w:pPr>
            <w:r>
              <w:rPr>
                <w:rFonts w:ascii="Arial" w:cs="Arial" w:eastAsia="Arial" w:hAnsi="Arial"/>
                <w:sz w:val="18"/>
                <w:szCs w:val="18"/>
                <w:color w:val="auto"/>
              </w:rPr>
              <w:t>101.CAL</w:t>
            </w:r>
          </w:p>
        </w:tc>
        <w:tc>
          <w:tcPr>
            <w:tcW w:w="4180" w:type="dxa"/>
            <w:vAlign w:val="bottom"/>
            <w:gridSpan w:val="9"/>
          </w:tcPr>
          <w:p>
            <w:pPr>
              <w:spacing w:after="0"/>
              <w:rPr>
                <w:sz w:val="20"/>
                <w:szCs w:val="20"/>
                <w:color w:val="auto"/>
              </w:rPr>
            </w:pPr>
            <w:r>
              <w:rPr>
                <w:rFonts w:ascii="Arial" w:cs="Arial" w:eastAsia="Arial" w:hAnsi="Arial"/>
                <w:sz w:val="18"/>
                <w:szCs w:val="18"/>
                <w:color w:val="auto"/>
              </w:rPr>
              <w:t>XBRL Taxonomy Extension Calculation Linkbase</w:t>
            </w:r>
          </w:p>
        </w:tc>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bl>
    <w:p>
      <w:pPr>
        <w:sectPr>
          <w:pgSz w:w="11900" w:h="16857" w:orient="portrait"/>
          <w:cols w:equalWidth="0" w:num="1">
            <w:col w:w="11420"/>
          </w:cols>
          <w:pgMar w:left="240" w:top="125" w:right="239" w:bottom="0" w:gutter="0" w:footer="0" w:header="0"/>
        </w:sectPr>
      </w:pPr>
    </w:p>
    <w:bookmarkStart w:id="13" w:name="page14"/>
    <w:bookmarkEnd w:id="13"/>
    <w:p>
      <w:pPr>
        <w:ind w:left="1740"/>
        <w:spacing w:after="0"/>
        <w:rPr>
          <w:sz w:val="20"/>
          <w:szCs w:val="20"/>
          <w:color w:val="auto"/>
        </w:rPr>
      </w:pPr>
      <w:r>
        <w:rPr>
          <w:rFonts w:ascii="Arial" w:cs="Arial" w:eastAsia="Arial" w:hAnsi="Arial"/>
          <w:sz w:val="18"/>
          <w:szCs w:val="18"/>
          <w:color w:val="auto"/>
        </w:rPr>
        <w:t>Document.</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000" w:type="dxa"/>
            <w:vAlign w:val="bottom"/>
          </w:tcPr>
          <w:p>
            <w:pPr>
              <w:spacing w:after="0"/>
              <w:rPr>
                <w:sz w:val="20"/>
                <w:szCs w:val="20"/>
                <w:color w:val="auto"/>
              </w:rPr>
            </w:pPr>
          </w:p>
        </w:tc>
        <w:tc>
          <w:tcPr>
            <w:tcW w:w="5940" w:type="dxa"/>
            <w:vAlign w:val="bottom"/>
          </w:tcPr>
          <w:p>
            <w:pPr>
              <w:jc w:val="right"/>
              <w:ind w:right="5570"/>
              <w:spacing w:after="0"/>
              <w:rPr>
                <w:sz w:val="20"/>
                <w:szCs w:val="20"/>
                <w:color w:val="auto"/>
              </w:rPr>
            </w:pPr>
            <w:r>
              <w:rPr>
                <w:rFonts w:ascii="Arial" w:cs="Arial" w:eastAsia="Arial" w:hAnsi="Arial"/>
                <w:sz w:val="18"/>
                <w:szCs w:val="18"/>
                <w:color w:val="auto"/>
              </w:rPr>
              <w:t>20</w:t>
            </w:r>
          </w:p>
        </w:tc>
      </w:tr>
      <w:tr>
        <w:trPr>
          <w:trHeight w:val="132"/>
        </w:trPr>
        <w:tc>
          <w:tcPr>
            <w:tcW w:w="1280" w:type="dxa"/>
            <w:vAlign w:val="bottom"/>
            <w:tcBorders>
              <w:bottom w:val="single" w:sz="8" w:color="808080"/>
            </w:tcBorders>
          </w:tcPr>
          <w:p>
            <w:pPr>
              <w:spacing w:after="0"/>
              <w:rPr>
                <w:sz w:val="11"/>
                <w:szCs w:val="11"/>
                <w:color w:val="auto"/>
              </w:rPr>
            </w:pPr>
          </w:p>
        </w:tc>
        <w:tc>
          <w:tcPr>
            <w:tcW w:w="240" w:type="dxa"/>
            <w:vAlign w:val="bottom"/>
            <w:tcBorders>
              <w:bottom w:val="single" w:sz="8" w:color="808080"/>
            </w:tcBorders>
          </w:tcPr>
          <w:p>
            <w:pPr>
              <w:spacing w:after="0"/>
              <w:rPr>
                <w:sz w:val="11"/>
                <w:szCs w:val="11"/>
                <w:color w:val="auto"/>
              </w:rPr>
            </w:pPr>
          </w:p>
        </w:tc>
        <w:tc>
          <w:tcPr>
            <w:tcW w:w="4000" w:type="dxa"/>
            <w:vAlign w:val="bottom"/>
            <w:tcBorders>
              <w:bottom w:val="single" w:sz="8" w:color="808080"/>
            </w:tcBorders>
          </w:tcPr>
          <w:p>
            <w:pPr>
              <w:spacing w:after="0"/>
              <w:rPr>
                <w:sz w:val="11"/>
                <w:szCs w:val="11"/>
                <w:color w:val="auto"/>
              </w:rPr>
            </w:pPr>
          </w:p>
        </w:tc>
        <w:tc>
          <w:tcPr>
            <w:tcW w:w="5940" w:type="dxa"/>
            <w:vAlign w:val="bottom"/>
            <w:tcBorders>
              <w:bottom w:val="single" w:sz="8" w:color="808080"/>
            </w:tcBorders>
          </w:tcPr>
          <w:p>
            <w:pPr>
              <w:spacing w:after="0"/>
              <w:rPr>
                <w:sz w:val="11"/>
                <w:szCs w:val="11"/>
                <w:color w:val="auto"/>
              </w:rPr>
            </w:pPr>
          </w:p>
        </w:tc>
      </w:tr>
      <w:tr>
        <w:trPr>
          <w:trHeight w:val="523"/>
        </w:trPr>
        <w:tc>
          <w:tcPr>
            <w:tcW w:w="1520" w:type="dxa"/>
            <w:vAlign w:val="bottom"/>
            <w:gridSpan w:val="2"/>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4000" w:type="dxa"/>
            <w:vAlign w:val="bottom"/>
          </w:tcPr>
          <w:p>
            <w:pPr>
              <w:spacing w:after="0"/>
              <w:rPr>
                <w:sz w:val="24"/>
                <w:szCs w:val="24"/>
                <w:color w:val="auto"/>
              </w:rPr>
            </w:pPr>
          </w:p>
        </w:tc>
        <w:tc>
          <w:tcPr>
            <w:tcW w:w="5940" w:type="dxa"/>
            <w:vAlign w:val="bottom"/>
          </w:tcPr>
          <w:p>
            <w:pPr>
              <w:spacing w:after="0"/>
              <w:rPr>
                <w:sz w:val="24"/>
                <w:szCs w:val="24"/>
                <w:color w:val="auto"/>
              </w:rPr>
            </w:pPr>
          </w:p>
        </w:tc>
      </w:tr>
      <w:tr>
        <w:trPr>
          <w:trHeight w:val="438"/>
        </w:trPr>
        <w:tc>
          <w:tcPr>
            <w:tcW w:w="1280" w:type="dxa"/>
            <w:vAlign w:val="bottom"/>
            <w:tcBorders>
              <w:top w:val="single" w:sz="8" w:color="0000EE"/>
            </w:tcBorders>
          </w:tcPr>
          <w:p>
            <w:pPr>
              <w:ind w:left="360"/>
              <w:spacing w:after="0"/>
              <w:rPr>
                <w:sz w:val="20"/>
                <w:szCs w:val="20"/>
                <w:color w:val="auto"/>
              </w:rPr>
            </w:pPr>
            <w:r>
              <w:rPr>
                <w:rFonts w:ascii="Arial" w:cs="Arial" w:eastAsia="Arial" w:hAnsi="Arial"/>
                <w:sz w:val="18"/>
                <w:szCs w:val="18"/>
                <w:color w:val="auto"/>
              </w:rPr>
              <w:t>101.LAB</w:t>
            </w:r>
          </w:p>
        </w:tc>
        <w:tc>
          <w:tcPr>
            <w:tcW w:w="240" w:type="dxa"/>
            <w:vAlign w:val="bottom"/>
          </w:tcPr>
          <w:p>
            <w:pPr>
              <w:spacing w:after="0"/>
              <w:rPr>
                <w:sz w:val="24"/>
                <w:szCs w:val="24"/>
                <w:color w:val="auto"/>
              </w:rPr>
            </w:pPr>
          </w:p>
        </w:tc>
        <w:tc>
          <w:tcPr>
            <w:tcW w:w="4000" w:type="dxa"/>
            <w:vAlign w:val="bottom"/>
          </w:tcPr>
          <w:p>
            <w:pPr>
              <w:ind w:left="220"/>
              <w:spacing w:after="0"/>
              <w:rPr>
                <w:sz w:val="20"/>
                <w:szCs w:val="20"/>
                <w:color w:val="auto"/>
              </w:rPr>
            </w:pPr>
            <w:r>
              <w:rPr>
                <w:rFonts w:ascii="Arial" w:cs="Arial" w:eastAsia="Arial" w:hAnsi="Arial"/>
                <w:sz w:val="18"/>
                <w:szCs w:val="18"/>
                <w:color w:val="auto"/>
              </w:rPr>
              <w:t>XBRL Taxonomy Extension Label Linkbase</w:t>
            </w:r>
          </w:p>
        </w:tc>
        <w:tc>
          <w:tcPr>
            <w:tcW w:w="5940" w:type="dxa"/>
            <w:vAlign w:val="bottom"/>
          </w:tcPr>
          <w:p>
            <w:pPr>
              <w:ind w:left="5360"/>
              <w:spacing w:after="0"/>
              <w:rPr>
                <w:sz w:val="20"/>
                <w:szCs w:val="20"/>
                <w:color w:val="auto"/>
              </w:rPr>
            </w:pPr>
            <w:r>
              <w:rPr>
                <w:rFonts w:ascii="Arial" w:cs="Arial" w:eastAsia="Arial" w:hAnsi="Arial"/>
                <w:sz w:val="18"/>
                <w:szCs w:val="18"/>
                <w:color w:val="auto"/>
              </w:rPr>
              <w:t>X</w:t>
            </w:r>
          </w:p>
        </w:tc>
      </w:tr>
      <w:tr>
        <w:trPr>
          <w:trHeight w:val="230"/>
        </w:trPr>
        <w:tc>
          <w:tcPr>
            <w:tcW w:w="1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000" w:type="dxa"/>
            <w:vAlign w:val="bottom"/>
          </w:tcPr>
          <w:p>
            <w:pPr>
              <w:ind w:left="220"/>
              <w:spacing w:after="0"/>
              <w:rPr>
                <w:sz w:val="20"/>
                <w:szCs w:val="20"/>
                <w:color w:val="auto"/>
              </w:rPr>
            </w:pPr>
            <w:r>
              <w:rPr>
                <w:rFonts w:ascii="Arial" w:cs="Arial" w:eastAsia="Arial" w:hAnsi="Arial"/>
                <w:sz w:val="18"/>
                <w:szCs w:val="18"/>
                <w:color w:val="auto"/>
              </w:rPr>
              <w:t>Document.</w:t>
            </w:r>
          </w:p>
        </w:tc>
        <w:tc>
          <w:tcPr>
            <w:tcW w:w="5940" w:type="dxa"/>
            <w:vAlign w:val="bottom"/>
          </w:tcPr>
          <w:p>
            <w:pPr>
              <w:spacing w:after="0"/>
              <w:rPr>
                <w:sz w:val="20"/>
                <w:szCs w:val="20"/>
                <w:color w:val="auto"/>
              </w:rPr>
            </w:pPr>
          </w:p>
        </w:tc>
      </w:tr>
      <w:tr>
        <w:trPr>
          <w:trHeight w:val="418"/>
        </w:trPr>
        <w:tc>
          <w:tcPr>
            <w:tcW w:w="1520" w:type="dxa"/>
            <w:vAlign w:val="bottom"/>
            <w:gridSpan w:val="2"/>
          </w:tcPr>
          <w:p>
            <w:pPr>
              <w:ind w:left="360"/>
              <w:spacing w:after="0"/>
              <w:rPr>
                <w:sz w:val="20"/>
                <w:szCs w:val="20"/>
                <w:color w:val="auto"/>
              </w:rPr>
            </w:pPr>
            <w:r>
              <w:rPr>
                <w:rFonts w:ascii="Arial" w:cs="Arial" w:eastAsia="Arial" w:hAnsi="Arial"/>
                <w:sz w:val="18"/>
                <w:szCs w:val="18"/>
                <w:color w:val="auto"/>
              </w:rPr>
              <w:t>101.PRE</w:t>
            </w:r>
          </w:p>
        </w:tc>
        <w:tc>
          <w:tcPr>
            <w:tcW w:w="4000" w:type="dxa"/>
            <w:vAlign w:val="bottom"/>
          </w:tcPr>
          <w:p>
            <w:pPr>
              <w:ind w:left="220"/>
              <w:spacing w:after="0"/>
              <w:rPr>
                <w:sz w:val="20"/>
                <w:szCs w:val="20"/>
                <w:color w:val="auto"/>
              </w:rPr>
            </w:pPr>
            <w:r>
              <w:rPr>
                <w:rFonts w:ascii="Arial" w:cs="Arial" w:eastAsia="Arial" w:hAnsi="Arial"/>
                <w:sz w:val="18"/>
                <w:szCs w:val="18"/>
                <w:color w:val="auto"/>
                <w:w w:val="93"/>
              </w:rPr>
              <w:t>XBRL Taxonomy Extension Presentation Linkbase</w:t>
            </w:r>
          </w:p>
        </w:tc>
        <w:tc>
          <w:tcPr>
            <w:tcW w:w="5940" w:type="dxa"/>
            <w:vAlign w:val="bottom"/>
          </w:tcPr>
          <w:p>
            <w:pPr>
              <w:ind w:left="5360"/>
              <w:spacing w:after="0"/>
              <w:rPr>
                <w:sz w:val="20"/>
                <w:szCs w:val="20"/>
                <w:color w:val="auto"/>
              </w:rPr>
            </w:pPr>
            <w:r>
              <w:rPr>
                <w:rFonts w:ascii="Arial" w:cs="Arial" w:eastAsia="Arial" w:hAnsi="Arial"/>
                <w:sz w:val="18"/>
                <w:szCs w:val="18"/>
                <w:color w:val="auto"/>
              </w:rPr>
              <w:t>X</w:t>
            </w:r>
          </w:p>
        </w:tc>
      </w:tr>
      <w:tr>
        <w:trPr>
          <w:trHeight w:val="230"/>
        </w:trPr>
        <w:tc>
          <w:tcPr>
            <w:tcW w:w="1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000" w:type="dxa"/>
            <w:vAlign w:val="bottom"/>
          </w:tcPr>
          <w:p>
            <w:pPr>
              <w:ind w:left="220"/>
              <w:spacing w:after="0"/>
              <w:rPr>
                <w:sz w:val="20"/>
                <w:szCs w:val="20"/>
                <w:color w:val="auto"/>
              </w:rPr>
            </w:pPr>
            <w:r>
              <w:rPr>
                <w:rFonts w:ascii="Arial" w:cs="Arial" w:eastAsia="Arial" w:hAnsi="Arial"/>
                <w:sz w:val="18"/>
                <w:szCs w:val="18"/>
                <w:color w:val="auto"/>
              </w:rPr>
              <w:t>Document.</w:t>
            </w:r>
          </w:p>
        </w:tc>
        <w:tc>
          <w:tcPr>
            <w:tcW w:w="5940" w:type="dxa"/>
            <w:vAlign w:val="bottom"/>
          </w:tcPr>
          <w:p>
            <w:pPr>
              <w:spacing w:after="0"/>
              <w:rPr>
                <w:sz w:val="20"/>
                <w:szCs w:val="20"/>
                <w:color w:val="auto"/>
              </w:rPr>
            </w:pPr>
          </w:p>
        </w:tc>
      </w:tr>
      <w:tr>
        <w:trPr>
          <w:trHeight w:val="418"/>
        </w:trPr>
        <w:tc>
          <w:tcPr>
            <w:tcW w:w="1520" w:type="dxa"/>
            <w:vAlign w:val="bottom"/>
            <w:gridSpan w:val="2"/>
          </w:tcPr>
          <w:p>
            <w:pPr>
              <w:ind w:left="360"/>
              <w:spacing w:after="0"/>
              <w:rPr>
                <w:sz w:val="20"/>
                <w:szCs w:val="20"/>
                <w:color w:val="auto"/>
              </w:rPr>
            </w:pPr>
            <w:r>
              <w:rPr>
                <w:rFonts w:ascii="Arial" w:cs="Arial" w:eastAsia="Arial" w:hAnsi="Arial"/>
                <w:sz w:val="18"/>
                <w:szCs w:val="18"/>
                <w:color w:val="auto"/>
              </w:rPr>
              <w:t>101.DEF</w:t>
            </w:r>
          </w:p>
        </w:tc>
        <w:tc>
          <w:tcPr>
            <w:tcW w:w="4000" w:type="dxa"/>
            <w:vAlign w:val="bottom"/>
          </w:tcPr>
          <w:p>
            <w:pPr>
              <w:ind w:left="220"/>
              <w:spacing w:after="0"/>
              <w:rPr>
                <w:sz w:val="20"/>
                <w:szCs w:val="20"/>
                <w:color w:val="auto"/>
              </w:rPr>
            </w:pPr>
            <w:r>
              <w:rPr>
                <w:rFonts w:ascii="Arial" w:cs="Arial" w:eastAsia="Arial" w:hAnsi="Arial"/>
                <w:sz w:val="18"/>
                <w:szCs w:val="18"/>
                <w:color w:val="auto"/>
                <w:w w:val="99"/>
              </w:rPr>
              <w:t>XBRL Taxonomy Extension Definition Linkbase</w:t>
            </w:r>
          </w:p>
        </w:tc>
        <w:tc>
          <w:tcPr>
            <w:tcW w:w="5940" w:type="dxa"/>
            <w:vAlign w:val="bottom"/>
          </w:tcPr>
          <w:p>
            <w:pPr>
              <w:ind w:left="5360"/>
              <w:spacing w:after="0"/>
              <w:rPr>
                <w:sz w:val="20"/>
                <w:szCs w:val="20"/>
                <w:color w:val="auto"/>
              </w:rPr>
            </w:pPr>
            <w:r>
              <w:rPr>
                <w:rFonts w:ascii="Arial" w:cs="Arial" w:eastAsia="Arial" w:hAnsi="Arial"/>
                <w:sz w:val="18"/>
                <w:szCs w:val="18"/>
                <w:color w:val="auto"/>
              </w:rPr>
              <w:t>X</w:t>
            </w:r>
          </w:p>
        </w:tc>
      </w:tr>
      <w:tr>
        <w:trPr>
          <w:trHeight w:val="230"/>
        </w:trPr>
        <w:tc>
          <w:tcPr>
            <w:tcW w:w="1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000" w:type="dxa"/>
            <w:vAlign w:val="bottom"/>
          </w:tcPr>
          <w:p>
            <w:pPr>
              <w:ind w:left="220"/>
              <w:spacing w:after="0"/>
              <w:rPr>
                <w:sz w:val="20"/>
                <w:szCs w:val="20"/>
                <w:color w:val="auto"/>
              </w:rPr>
            </w:pPr>
            <w:r>
              <w:rPr>
                <w:rFonts w:ascii="Arial" w:cs="Arial" w:eastAsia="Arial" w:hAnsi="Arial"/>
                <w:sz w:val="18"/>
                <w:szCs w:val="18"/>
                <w:color w:val="auto"/>
              </w:rPr>
              <w:t>Document.</w:t>
            </w:r>
          </w:p>
        </w:tc>
        <w:tc>
          <w:tcPr>
            <w:tcW w:w="594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-1622425</wp:posOffset>
            </wp:positionV>
            <wp:extent cx="12700" cy="298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-1622425</wp:posOffset>
            </wp:positionV>
            <wp:extent cx="12700" cy="298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660" w:right="80" w:hanging="652"/>
        <w:spacing w:after="0" w:line="259" w:lineRule="auto"/>
        <w:tabs>
          <w:tab w:leader="none" w:pos="655"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certifications attached as Exhibit 32.1 that accompany this Quarterly Report pursuant to 18 U.S.C. Section 1350, as adopted pursuant to Section 906 of the Sarbanes-Oxley Act of 2002, shall not be deemed “filed” by the registrant for purposes of Section 18 of the Exchange Act and are not to be incorporated by reference into any of the registrant’s filings under the Securities Act or the Exchange Act, irrespective of any general incorporation language contained in any such filing.</w:t>
      </w:r>
    </w:p>
    <w:p>
      <w:pPr>
        <w:spacing w:after="0" w:line="187"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500" w:type="dxa"/>
            <w:vAlign w:val="bottom"/>
          </w:tcPr>
          <w:p>
            <w:pPr>
              <w:spacing w:after="0"/>
              <w:rPr>
                <w:sz w:val="20"/>
                <w:szCs w:val="20"/>
                <w:color w:val="auto"/>
              </w:rPr>
            </w:pPr>
          </w:p>
        </w:tc>
        <w:tc>
          <w:tcPr>
            <w:tcW w:w="7920" w:type="dxa"/>
            <w:vAlign w:val="bottom"/>
            <w:gridSpan w:val="2"/>
          </w:tcPr>
          <w:p>
            <w:pPr>
              <w:ind w:left="2220"/>
              <w:spacing w:after="0"/>
              <w:rPr>
                <w:sz w:val="20"/>
                <w:szCs w:val="20"/>
                <w:color w:val="auto"/>
              </w:rPr>
            </w:pPr>
            <w:r>
              <w:rPr>
                <w:rFonts w:ascii="Arial" w:cs="Arial" w:eastAsia="Arial" w:hAnsi="Arial"/>
                <w:sz w:val="18"/>
                <w:szCs w:val="18"/>
                <w:color w:val="auto"/>
              </w:rPr>
              <w:t>MADRIGAL PHARMACEUTICALS, INC.</w:t>
            </w:r>
          </w:p>
        </w:tc>
        <w:tc>
          <w:tcPr>
            <w:tcW w:w="40" w:type="dxa"/>
            <w:vAlign w:val="bottom"/>
          </w:tcPr>
          <w:p>
            <w:pPr>
              <w:spacing w:after="0"/>
              <w:rPr>
                <w:sz w:val="20"/>
                <w:szCs w:val="20"/>
                <w:color w:val="auto"/>
              </w:rPr>
            </w:pPr>
          </w:p>
        </w:tc>
      </w:tr>
      <w:tr>
        <w:trPr>
          <w:trHeight w:val="648"/>
        </w:trPr>
        <w:tc>
          <w:tcPr>
            <w:tcW w:w="3500" w:type="dxa"/>
            <w:vAlign w:val="bottom"/>
          </w:tcPr>
          <w:p>
            <w:pPr>
              <w:spacing w:after="0"/>
              <w:rPr>
                <w:sz w:val="20"/>
                <w:szCs w:val="20"/>
                <w:color w:val="auto"/>
              </w:rPr>
            </w:pPr>
            <w:r>
              <w:rPr>
                <w:rFonts w:ascii="Arial" w:cs="Arial" w:eastAsia="Arial" w:hAnsi="Arial"/>
                <w:sz w:val="18"/>
                <w:szCs w:val="18"/>
                <w:color w:val="auto"/>
              </w:rPr>
              <w:t>Date: May 8, 2018</w:t>
            </w:r>
          </w:p>
        </w:tc>
        <w:tc>
          <w:tcPr>
            <w:tcW w:w="2700" w:type="dxa"/>
            <w:vAlign w:val="bottom"/>
          </w:tcPr>
          <w:p>
            <w:pPr>
              <w:ind w:left="2220"/>
              <w:spacing w:after="0"/>
              <w:rPr>
                <w:sz w:val="20"/>
                <w:szCs w:val="20"/>
                <w:color w:val="auto"/>
              </w:rPr>
            </w:pPr>
            <w:r>
              <w:rPr>
                <w:rFonts w:ascii="Arial" w:cs="Arial" w:eastAsia="Arial" w:hAnsi="Arial"/>
                <w:sz w:val="18"/>
                <w:szCs w:val="18"/>
                <w:color w:val="auto"/>
              </w:rPr>
              <w:t>By:</w:t>
            </w:r>
          </w:p>
        </w:tc>
        <w:tc>
          <w:tcPr>
            <w:tcW w:w="52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Paul A. Friedman, M.D.</w:t>
            </w:r>
          </w:p>
        </w:tc>
        <w:tc>
          <w:tcPr>
            <w:tcW w:w="40" w:type="dxa"/>
            <w:vAlign w:val="bottom"/>
          </w:tcPr>
          <w:p>
            <w:pPr>
              <w:spacing w:after="0"/>
              <w:rPr>
                <w:sz w:val="24"/>
                <w:szCs w:val="24"/>
                <w:color w:val="auto"/>
              </w:rPr>
            </w:pPr>
          </w:p>
        </w:tc>
      </w:tr>
      <w:tr>
        <w:trPr>
          <w:trHeight w:val="195"/>
        </w:trPr>
        <w:tc>
          <w:tcPr>
            <w:tcW w:w="3500" w:type="dxa"/>
            <w:vAlign w:val="bottom"/>
          </w:tcPr>
          <w:p>
            <w:pPr>
              <w:spacing w:after="0"/>
              <w:rPr>
                <w:sz w:val="16"/>
                <w:szCs w:val="16"/>
                <w:color w:val="auto"/>
              </w:rPr>
            </w:pPr>
          </w:p>
        </w:tc>
        <w:tc>
          <w:tcPr>
            <w:tcW w:w="2700" w:type="dxa"/>
            <w:vAlign w:val="bottom"/>
          </w:tcPr>
          <w:p>
            <w:pPr>
              <w:spacing w:after="0"/>
              <w:rPr>
                <w:sz w:val="16"/>
                <w:szCs w:val="16"/>
                <w:color w:val="auto"/>
              </w:rPr>
            </w:pPr>
          </w:p>
        </w:tc>
        <w:tc>
          <w:tcPr>
            <w:tcW w:w="5220" w:type="dxa"/>
            <w:vAlign w:val="bottom"/>
          </w:tcPr>
          <w:p>
            <w:pPr>
              <w:spacing w:after="0" w:line="195" w:lineRule="exact"/>
              <w:rPr>
                <w:sz w:val="20"/>
                <w:szCs w:val="20"/>
                <w:color w:val="auto"/>
              </w:rPr>
            </w:pPr>
            <w:r>
              <w:rPr>
                <w:rFonts w:ascii="Arial" w:cs="Arial" w:eastAsia="Arial" w:hAnsi="Arial"/>
                <w:sz w:val="18"/>
                <w:szCs w:val="18"/>
                <w:color w:val="auto"/>
              </w:rPr>
              <w:t>Paul A. Friedman, M.D.</w:t>
            </w:r>
          </w:p>
        </w:tc>
        <w:tc>
          <w:tcPr>
            <w:tcW w:w="40" w:type="dxa"/>
            <w:vAlign w:val="bottom"/>
          </w:tcPr>
          <w:p>
            <w:pPr>
              <w:spacing w:after="0"/>
              <w:rPr>
                <w:sz w:val="16"/>
                <w:szCs w:val="16"/>
                <w:color w:val="auto"/>
              </w:rPr>
            </w:pPr>
          </w:p>
        </w:tc>
      </w:tr>
      <w:tr>
        <w:trPr>
          <w:trHeight w:val="216"/>
        </w:trPr>
        <w:tc>
          <w:tcPr>
            <w:tcW w:w="350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5220" w:type="dxa"/>
            <w:vAlign w:val="bottom"/>
          </w:tcPr>
          <w:p>
            <w:pPr>
              <w:spacing w:after="0"/>
              <w:rPr>
                <w:sz w:val="20"/>
                <w:szCs w:val="20"/>
                <w:color w:val="auto"/>
              </w:rPr>
            </w:pPr>
            <w:r>
              <w:rPr>
                <w:rFonts w:ascii="Arial" w:cs="Arial" w:eastAsia="Arial" w:hAnsi="Arial"/>
                <w:sz w:val="18"/>
                <w:szCs w:val="18"/>
                <w:color w:val="auto"/>
              </w:rPr>
              <w:t>Chief Executive Officer</w:t>
            </w:r>
          </w:p>
        </w:tc>
        <w:tc>
          <w:tcPr>
            <w:tcW w:w="40" w:type="dxa"/>
            <w:vAlign w:val="bottom"/>
          </w:tcPr>
          <w:p>
            <w:pPr>
              <w:spacing w:after="0"/>
              <w:rPr>
                <w:sz w:val="18"/>
                <w:szCs w:val="18"/>
                <w:color w:val="auto"/>
              </w:rPr>
            </w:pPr>
          </w:p>
        </w:tc>
      </w:tr>
      <w:tr>
        <w:trPr>
          <w:trHeight w:val="230"/>
        </w:trPr>
        <w:tc>
          <w:tcPr>
            <w:tcW w:w="3500" w:type="dxa"/>
            <w:vAlign w:val="bottom"/>
          </w:tcPr>
          <w:p>
            <w:pPr>
              <w:spacing w:after="0"/>
              <w:rPr>
                <w:sz w:val="20"/>
                <w:szCs w:val="20"/>
                <w:color w:val="auto"/>
              </w:rPr>
            </w:pPr>
          </w:p>
        </w:tc>
        <w:tc>
          <w:tcPr>
            <w:tcW w:w="2700" w:type="dxa"/>
            <w:vAlign w:val="bottom"/>
          </w:tcPr>
          <w:p>
            <w:pPr>
              <w:spacing w:after="0"/>
              <w:rPr>
                <w:sz w:val="20"/>
                <w:szCs w:val="20"/>
                <w:color w:val="auto"/>
              </w:rPr>
            </w:pPr>
          </w:p>
        </w:tc>
        <w:tc>
          <w:tcPr>
            <w:tcW w:w="5220" w:type="dxa"/>
            <w:vAlign w:val="bottom"/>
          </w:tcPr>
          <w:p>
            <w:pPr>
              <w:spacing w:after="0"/>
              <w:rPr>
                <w:sz w:val="20"/>
                <w:szCs w:val="20"/>
                <w:color w:val="auto"/>
              </w:rPr>
            </w:pPr>
            <w:r>
              <w:rPr>
                <w:rFonts w:ascii="Arial" w:cs="Arial" w:eastAsia="Arial" w:hAnsi="Arial"/>
                <w:sz w:val="18"/>
                <w:szCs w:val="18"/>
                <w:color w:val="auto"/>
              </w:rPr>
              <w:t>(Principal Executive Officer)</w:t>
            </w:r>
          </w:p>
        </w:tc>
        <w:tc>
          <w:tcPr>
            <w:tcW w:w="40" w:type="dxa"/>
            <w:vAlign w:val="bottom"/>
          </w:tcPr>
          <w:p>
            <w:pPr>
              <w:spacing w:after="0"/>
              <w:rPr>
                <w:sz w:val="20"/>
                <w:szCs w:val="20"/>
                <w:color w:val="auto"/>
              </w:rPr>
            </w:pPr>
          </w:p>
        </w:tc>
      </w:tr>
      <w:tr>
        <w:trPr>
          <w:trHeight w:val="648"/>
        </w:trPr>
        <w:tc>
          <w:tcPr>
            <w:tcW w:w="3500" w:type="dxa"/>
            <w:vAlign w:val="bottom"/>
          </w:tcPr>
          <w:p>
            <w:pPr>
              <w:spacing w:after="0"/>
              <w:rPr>
                <w:sz w:val="20"/>
                <w:szCs w:val="20"/>
                <w:color w:val="auto"/>
              </w:rPr>
            </w:pPr>
            <w:r>
              <w:rPr>
                <w:rFonts w:ascii="Arial" w:cs="Arial" w:eastAsia="Arial" w:hAnsi="Arial"/>
                <w:sz w:val="18"/>
                <w:szCs w:val="18"/>
                <w:color w:val="auto"/>
              </w:rPr>
              <w:t>Date: May 8, 2018</w:t>
            </w:r>
          </w:p>
        </w:tc>
        <w:tc>
          <w:tcPr>
            <w:tcW w:w="2700" w:type="dxa"/>
            <w:vAlign w:val="bottom"/>
          </w:tcPr>
          <w:p>
            <w:pPr>
              <w:ind w:left="2220"/>
              <w:spacing w:after="0"/>
              <w:rPr>
                <w:sz w:val="20"/>
                <w:szCs w:val="20"/>
                <w:color w:val="auto"/>
              </w:rPr>
            </w:pPr>
            <w:r>
              <w:rPr>
                <w:rFonts w:ascii="Arial" w:cs="Arial" w:eastAsia="Arial" w:hAnsi="Arial"/>
                <w:sz w:val="18"/>
                <w:szCs w:val="18"/>
                <w:color w:val="auto"/>
              </w:rPr>
              <w:t>By:</w:t>
            </w:r>
          </w:p>
        </w:tc>
        <w:tc>
          <w:tcPr>
            <w:tcW w:w="52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Marc R. Schneebaum</w:t>
            </w:r>
          </w:p>
        </w:tc>
        <w:tc>
          <w:tcPr>
            <w:tcW w:w="40" w:type="dxa"/>
            <w:vAlign w:val="bottom"/>
          </w:tcPr>
          <w:p>
            <w:pPr>
              <w:spacing w:after="0"/>
              <w:rPr>
                <w:sz w:val="24"/>
                <w:szCs w:val="24"/>
                <w:color w:val="auto"/>
              </w:rPr>
            </w:pPr>
          </w:p>
        </w:tc>
      </w:tr>
      <w:tr>
        <w:trPr>
          <w:trHeight w:val="195"/>
        </w:trPr>
        <w:tc>
          <w:tcPr>
            <w:tcW w:w="3500" w:type="dxa"/>
            <w:vAlign w:val="bottom"/>
          </w:tcPr>
          <w:p>
            <w:pPr>
              <w:spacing w:after="0"/>
              <w:rPr>
                <w:sz w:val="16"/>
                <w:szCs w:val="16"/>
                <w:color w:val="auto"/>
              </w:rPr>
            </w:pPr>
          </w:p>
        </w:tc>
        <w:tc>
          <w:tcPr>
            <w:tcW w:w="2700" w:type="dxa"/>
            <w:vAlign w:val="bottom"/>
          </w:tcPr>
          <w:p>
            <w:pPr>
              <w:spacing w:after="0"/>
              <w:rPr>
                <w:sz w:val="16"/>
                <w:szCs w:val="16"/>
                <w:color w:val="auto"/>
              </w:rPr>
            </w:pPr>
          </w:p>
        </w:tc>
        <w:tc>
          <w:tcPr>
            <w:tcW w:w="5220" w:type="dxa"/>
            <w:vAlign w:val="bottom"/>
          </w:tcPr>
          <w:p>
            <w:pPr>
              <w:spacing w:after="0" w:line="195" w:lineRule="exact"/>
              <w:rPr>
                <w:sz w:val="20"/>
                <w:szCs w:val="20"/>
                <w:color w:val="auto"/>
              </w:rPr>
            </w:pPr>
            <w:r>
              <w:rPr>
                <w:rFonts w:ascii="Arial" w:cs="Arial" w:eastAsia="Arial" w:hAnsi="Arial"/>
                <w:sz w:val="18"/>
                <w:szCs w:val="18"/>
                <w:color w:val="auto"/>
              </w:rPr>
              <w:t>Marc R. Schneebaum</w:t>
            </w:r>
          </w:p>
        </w:tc>
        <w:tc>
          <w:tcPr>
            <w:tcW w:w="40" w:type="dxa"/>
            <w:vAlign w:val="bottom"/>
          </w:tcPr>
          <w:p>
            <w:pPr>
              <w:spacing w:after="0"/>
              <w:rPr>
                <w:sz w:val="16"/>
                <w:szCs w:val="16"/>
                <w:color w:val="auto"/>
              </w:rPr>
            </w:pPr>
          </w:p>
        </w:tc>
      </w:tr>
      <w:tr>
        <w:trPr>
          <w:trHeight w:val="216"/>
        </w:trPr>
        <w:tc>
          <w:tcPr>
            <w:tcW w:w="350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5220" w:type="dxa"/>
            <w:vAlign w:val="bottom"/>
          </w:tcPr>
          <w:p>
            <w:pPr>
              <w:spacing w:after="0"/>
              <w:rPr>
                <w:sz w:val="20"/>
                <w:szCs w:val="20"/>
                <w:color w:val="auto"/>
              </w:rPr>
            </w:pPr>
            <w:r>
              <w:rPr>
                <w:rFonts w:ascii="Arial" w:cs="Arial" w:eastAsia="Arial" w:hAnsi="Arial"/>
                <w:sz w:val="18"/>
                <w:szCs w:val="18"/>
                <w:color w:val="auto"/>
              </w:rPr>
              <w:t>Chief Financial Officer</w:t>
            </w:r>
          </w:p>
        </w:tc>
        <w:tc>
          <w:tcPr>
            <w:tcW w:w="40" w:type="dxa"/>
            <w:vAlign w:val="bottom"/>
          </w:tcPr>
          <w:p>
            <w:pPr>
              <w:spacing w:after="0"/>
              <w:rPr>
                <w:sz w:val="18"/>
                <w:szCs w:val="18"/>
                <w:color w:val="auto"/>
              </w:rPr>
            </w:pPr>
          </w:p>
        </w:tc>
      </w:tr>
      <w:tr>
        <w:trPr>
          <w:trHeight w:val="230"/>
        </w:trPr>
        <w:tc>
          <w:tcPr>
            <w:tcW w:w="3500" w:type="dxa"/>
            <w:vAlign w:val="bottom"/>
          </w:tcPr>
          <w:p>
            <w:pPr>
              <w:spacing w:after="0"/>
              <w:rPr>
                <w:sz w:val="20"/>
                <w:szCs w:val="20"/>
                <w:color w:val="auto"/>
              </w:rPr>
            </w:pPr>
          </w:p>
        </w:tc>
        <w:tc>
          <w:tcPr>
            <w:tcW w:w="2700" w:type="dxa"/>
            <w:vAlign w:val="bottom"/>
          </w:tcPr>
          <w:p>
            <w:pPr>
              <w:spacing w:after="0"/>
              <w:rPr>
                <w:sz w:val="20"/>
                <w:szCs w:val="20"/>
                <w:color w:val="auto"/>
              </w:rPr>
            </w:pPr>
          </w:p>
        </w:tc>
        <w:tc>
          <w:tcPr>
            <w:tcW w:w="5220" w:type="dxa"/>
            <w:vAlign w:val="bottom"/>
          </w:tcPr>
          <w:p>
            <w:pPr>
              <w:spacing w:after="0"/>
              <w:rPr>
                <w:sz w:val="20"/>
                <w:szCs w:val="20"/>
                <w:color w:val="auto"/>
              </w:rPr>
            </w:pPr>
            <w:r>
              <w:rPr>
                <w:rFonts w:ascii="Arial" w:cs="Arial" w:eastAsia="Arial" w:hAnsi="Arial"/>
                <w:sz w:val="18"/>
                <w:szCs w:val="18"/>
                <w:color w:val="auto"/>
              </w:rPr>
              <w:t>(Principal Financial and Accounting Officer)</w:t>
            </w:r>
          </w:p>
        </w:tc>
        <w:tc>
          <w:tcPr>
            <w:tcW w:w="40" w:type="dxa"/>
            <w:vAlign w:val="bottom"/>
          </w:tcPr>
          <w:p>
            <w:pPr>
              <w:spacing w:after="0"/>
              <w:rPr>
                <w:sz w:val="20"/>
                <w:szCs w:val="20"/>
                <w:color w:val="auto"/>
              </w:rPr>
            </w:pPr>
          </w:p>
        </w:tc>
      </w:tr>
      <w:tr>
        <w:trPr>
          <w:trHeight w:val="432"/>
        </w:trPr>
        <w:tc>
          <w:tcPr>
            <w:tcW w:w="3500" w:type="dxa"/>
            <w:vAlign w:val="bottom"/>
          </w:tcPr>
          <w:p>
            <w:pPr>
              <w:spacing w:after="0"/>
              <w:rPr>
                <w:sz w:val="24"/>
                <w:szCs w:val="24"/>
                <w:color w:val="auto"/>
              </w:rPr>
            </w:pPr>
          </w:p>
        </w:tc>
        <w:tc>
          <w:tcPr>
            <w:tcW w:w="2700" w:type="dxa"/>
            <w:vAlign w:val="bottom"/>
          </w:tcPr>
          <w:p>
            <w:pPr>
              <w:jc w:val="right"/>
              <w:ind w:right="310"/>
              <w:spacing w:after="0"/>
              <w:rPr>
                <w:sz w:val="20"/>
                <w:szCs w:val="20"/>
                <w:color w:val="auto"/>
              </w:rPr>
            </w:pPr>
            <w:r>
              <w:rPr>
                <w:rFonts w:ascii="Arial" w:cs="Arial" w:eastAsia="Arial" w:hAnsi="Arial"/>
                <w:sz w:val="18"/>
                <w:szCs w:val="18"/>
                <w:color w:val="auto"/>
              </w:rPr>
              <w:t>22</w:t>
            </w:r>
          </w:p>
        </w:tc>
        <w:tc>
          <w:tcPr>
            <w:tcW w:w="52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2"/>
        </w:trPr>
        <w:tc>
          <w:tcPr>
            <w:tcW w:w="3500" w:type="dxa"/>
            <w:vAlign w:val="bottom"/>
            <w:tcBorders>
              <w:bottom w:val="single" w:sz="8" w:color="808080"/>
            </w:tcBorders>
          </w:tcPr>
          <w:p>
            <w:pPr>
              <w:spacing w:after="0"/>
              <w:rPr>
                <w:sz w:val="11"/>
                <w:szCs w:val="11"/>
                <w:color w:val="auto"/>
              </w:rPr>
            </w:pPr>
          </w:p>
        </w:tc>
        <w:tc>
          <w:tcPr>
            <w:tcW w:w="2700" w:type="dxa"/>
            <w:vAlign w:val="bottom"/>
            <w:tcBorders>
              <w:bottom w:val="single" w:sz="8" w:color="808080"/>
            </w:tcBorders>
          </w:tcPr>
          <w:p>
            <w:pPr>
              <w:spacing w:after="0"/>
              <w:rPr>
                <w:sz w:val="11"/>
                <w:szCs w:val="11"/>
                <w:color w:val="auto"/>
              </w:rPr>
            </w:pPr>
          </w:p>
        </w:tc>
        <w:tc>
          <w:tcPr>
            <w:tcW w:w="522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25" w:right="199" w:bottom="1440" w:gutter="0" w:footer="0" w:header="0"/>
        </w:sectPr>
      </w:pPr>
    </w:p>
    <w:bookmarkStart w:id="14" w:name="page15"/>
    <w:bookmarkEnd w:id="14"/>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ind w:left="260" w:right="2100"/>
        <w:spacing w:after="0" w:line="266" w:lineRule="auto"/>
        <w:rPr>
          <w:sz w:val="20"/>
          <w:szCs w:val="20"/>
          <w:color w:val="auto"/>
        </w:rPr>
      </w:pPr>
      <w:r>
        <w:rPr>
          <w:rFonts w:ascii="Arial" w:cs="Arial" w:eastAsia="Arial" w:hAnsi="Arial"/>
          <w:sz w:val="18"/>
          <w:szCs w:val="18"/>
          <w:b w:val="1"/>
          <w:bCs w:val="1"/>
          <w:color w:val="auto"/>
        </w:rPr>
        <w:t>CERTIFICATION OF PRINCIPAL EXECUTIVE OFFICER PURSUANT TO EXCHANGE ACT RULES 13a-14(a) AND 15d-14(a) AS ADOPTED PURSUANT TO SECTION 302 OF THE SARBANES-OXLEY ACT OF 2002</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I, Paul A. Friedman, M.D., certify that:</w:t>
      </w:r>
    </w:p>
    <w:p>
      <w:pPr>
        <w:spacing w:after="0" w:line="225" w:lineRule="exact"/>
        <w:rPr>
          <w:sz w:val="20"/>
          <w:szCs w:val="20"/>
          <w:color w:val="auto"/>
        </w:rPr>
      </w:pPr>
    </w:p>
    <w:p>
      <w:pPr>
        <w:ind w:left="760" w:hanging="752"/>
        <w:spacing w:after="0"/>
        <w:tabs>
          <w:tab w:leader="none" w:pos="760" w:val="left"/>
        </w:tabs>
        <w:numPr>
          <w:ilvl w:val="0"/>
          <w:numId w:val="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Madrigal Pharmaceuticals, Inc.;</w:t>
      </w:r>
    </w:p>
    <w:p>
      <w:pPr>
        <w:spacing w:after="0" w:line="225" w:lineRule="exact"/>
        <w:rPr>
          <w:rFonts w:ascii="Arial" w:cs="Arial" w:eastAsia="Arial" w:hAnsi="Arial"/>
          <w:sz w:val="18"/>
          <w:szCs w:val="18"/>
          <w:color w:val="auto"/>
        </w:rPr>
      </w:pPr>
    </w:p>
    <w:p>
      <w:pPr>
        <w:ind w:right="200" w:firstLine="8"/>
        <w:spacing w:after="0" w:line="342" w:lineRule="auto"/>
        <w:tabs>
          <w:tab w:leader="none" w:pos="743" w:val="left"/>
        </w:tabs>
        <w:numPr>
          <w:ilvl w:val="0"/>
          <w:numId w:val="8"/>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right="160" w:firstLine="8"/>
        <w:spacing w:after="0" w:line="277" w:lineRule="auto"/>
        <w:tabs>
          <w:tab w:leader="none" w:pos="743" w:val="left"/>
        </w:tabs>
        <w:numPr>
          <w:ilvl w:val="0"/>
          <w:numId w:val="8"/>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right="200" w:firstLine="8"/>
        <w:spacing w:after="0" w:line="264" w:lineRule="auto"/>
        <w:tabs>
          <w:tab w:leader="none" w:pos="743"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sz w:val="20"/>
          <w:szCs w:val="20"/>
          <w:color w:val="auto"/>
        </w:rPr>
      </w:pPr>
    </w:p>
    <w:p>
      <w:pPr>
        <w:ind w:right="460" w:firstLine="8"/>
        <w:spacing w:after="0" w:line="264" w:lineRule="auto"/>
        <w:tabs>
          <w:tab w:leader="none" w:pos="740" w:val="left"/>
        </w:tabs>
        <w:numPr>
          <w:ilvl w:val="0"/>
          <w:numId w:val="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right="20" w:firstLine="8"/>
        <w:spacing w:after="0" w:line="264" w:lineRule="auto"/>
        <w:tabs>
          <w:tab w:leader="none" w:pos="750" w:val="left"/>
        </w:tabs>
        <w:numPr>
          <w:ilvl w:val="0"/>
          <w:numId w:val="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right="960" w:firstLine="8"/>
        <w:spacing w:after="0" w:line="342" w:lineRule="auto"/>
        <w:tabs>
          <w:tab w:leader="none" w:pos="753" w:val="left"/>
        </w:tabs>
        <w:numPr>
          <w:ilvl w:val="0"/>
          <w:numId w:val="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right="20" w:firstLine="8"/>
        <w:spacing w:after="0" w:line="264" w:lineRule="auto"/>
        <w:tabs>
          <w:tab w:leader="none" w:pos="750" w:val="left"/>
        </w:tabs>
        <w:numPr>
          <w:ilvl w:val="0"/>
          <w:numId w:val="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sz w:val="20"/>
          <w:szCs w:val="20"/>
          <w:color w:val="auto"/>
        </w:rPr>
      </w:pPr>
    </w:p>
    <w:p>
      <w:pPr>
        <w:ind w:right="160" w:firstLine="8"/>
        <w:spacing w:after="0" w:line="308" w:lineRule="auto"/>
        <w:tabs>
          <w:tab w:leader="none" w:pos="743" w:val="left"/>
        </w:tabs>
        <w:numPr>
          <w:ilvl w:val="0"/>
          <w:numId w:val="10"/>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7" w:lineRule="exact"/>
        <w:rPr>
          <w:sz w:val="20"/>
          <w:szCs w:val="20"/>
          <w:color w:val="auto"/>
        </w:rPr>
      </w:pPr>
    </w:p>
    <w:p>
      <w:pPr>
        <w:ind w:right="360" w:firstLine="8"/>
        <w:spacing w:after="0" w:line="277" w:lineRule="auto"/>
        <w:tabs>
          <w:tab w:leader="none" w:pos="7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right="320" w:firstLine="8"/>
        <w:spacing w:after="0" w:line="277" w:lineRule="auto"/>
        <w:tabs>
          <w:tab w:leader="none" w:pos="75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/s/ Paul A. Friedman, M.D.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Paul A. Friedman, M.D.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3627755"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 and Chairman of the Board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(Principal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Date: May 8, 2018</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5" w:name="page16"/>
    <w:bookmarkEnd w:id="15"/>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ind w:left="260" w:right="2100"/>
        <w:spacing w:after="0" w:line="266" w:lineRule="auto"/>
        <w:rPr>
          <w:sz w:val="20"/>
          <w:szCs w:val="20"/>
          <w:color w:val="auto"/>
        </w:rPr>
      </w:pPr>
      <w:r>
        <w:rPr>
          <w:rFonts w:ascii="Arial" w:cs="Arial" w:eastAsia="Arial" w:hAnsi="Arial"/>
          <w:sz w:val="18"/>
          <w:szCs w:val="18"/>
          <w:b w:val="1"/>
          <w:bCs w:val="1"/>
          <w:color w:val="auto"/>
        </w:rPr>
        <w:t>CERTIFICATION OF PRINCIPAL FINANCIAL OFFICER PURSUANT TO EXCHANGE ACT RULES 13a-14(a) AND 15d-14(a) AS ADOPTED PURSUANT TO SECTION 302 OF THE SARBANES-OXLEY ACT OF 2002</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I, Marc R. Schneebaum, certify that:</w:t>
      </w:r>
    </w:p>
    <w:p>
      <w:pPr>
        <w:spacing w:after="0" w:line="225" w:lineRule="exact"/>
        <w:rPr>
          <w:sz w:val="20"/>
          <w:szCs w:val="20"/>
          <w:color w:val="auto"/>
        </w:rPr>
      </w:pPr>
    </w:p>
    <w:p>
      <w:pPr>
        <w:ind w:left="760" w:hanging="752"/>
        <w:spacing w:after="0"/>
        <w:tabs>
          <w:tab w:leader="none" w:pos="7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Madrigal Pharmaceuticals, Inc.;</w:t>
      </w:r>
    </w:p>
    <w:p>
      <w:pPr>
        <w:spacing w:after="0" w:line="225" w:lineRule="exact"/>
        <w:rPr>
          <w:rFonts w:ascii="Arial" w:cs="Arial" w:eastAsia="Arial" w:hAnsi="Arial"/>
          <w:sz w:val="18"/>
          <w:szCs w:val="18"/>
          <w:color w:val="auto"/>
        </w:rPr>
      </w:pPr>
    </w:p>
    <w:p>
      <w:pPr>
        <w:ind w:right="200" w:firstLine="8"/>
        <w:spacing w:after="0" w:line="342" w:lineRule="auto"/>
        <w:tabs>
          <w:tab w:leader="none" w:pos="743" w:val="left"/>
        </w:tabs>
        <w:numPr>
          <w:ilvl w:val="0"/>
          <w:numId w:val="12"/>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right="160" w:firstLine="8"/>
        <w:spacing w:after="0" w:line="277" w:lineRule="auto"/>
        <w:tabs>
          <w:tab w:leader="none" w:pos="743" w:val="left"/>
        </w:tabs>
        <w:numPr>
          <w:ilvl w:val="0"/>
          <w:numId w:val="12"/>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right="200" w:firstLine="8"/>
        <w:spacing w:after="0" w:line="264" w:lineRule="auto"/>
        <w:tabs>
          <w:tab w:leader="none" w:pos="743"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sz w:val="20"/>
          <w:szCs w:val="20"/>
          <w:color w:val="auto"/>
        </w:rPr>
      </w:pPr>
    </w:p>
    <w:p>
      <w:pPr>
        <w:ind w:right="460" w:firstLine="8"/>
        <w:spacing w:after="0" w:line="264" w:lineRule="auto"/>
        <w:tabs>
          <w:tab w:leader="none" w:pos="7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right="20" w:firstLine="8"/>
        <w:spacing w:after="0" w:line="264" w:lineRule="auto"/>
        <w:tabs>
          <w:tab w:leader="none" w:pos="75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right="960" w:firstLine="8"/>
        <w:spacing w:after="0" w:line="342" w:lineRule="auto"/>
        <w:tabs>
          <w:tab w:leader="none" w:pos="753" w:val="left"/>
        </w:tabs>
        <w:numPr>
          <w:ilvl w:val="0"/>
          <w:numId w:val="1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right="20" w:firstLine="8"/>
        <w:spacing w:after="0" w:line="264" w:lineRule="auto"/>
        <w:tabs>
          <w:tab w:leader="none" w:pos="75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sz w:val="20"/>
          <w:szCs w:val="20"/>
          <w:color w:val="auto"/>
        </w:rPr>
      </w:pPr>
    </w:p>
    <w:p>
      <w:pPr>
        <w:ind w:right="160" w:firstLine="8"/>
        <w:spacing w:after="0" w:line="308" w:lineRule="auto"/>
        <w:tabs>
          <w:tab w:leader="none" w:pos="743" w:val="left"/>
        </w:tabs>
        <w:numPr>
          <w:ilvl w:val="0"/>
          <w:numId w:val="14"/>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7" w:lineRule="exact"/>
        <w:rPr>
          <w:sz w:val="20"/>
          <w:szCs w:val="20"/>
          <w:color w:val="auto"/>
        </w:rPr>
      </w:pPr>
    </w:p>
    <w:p>
      <w:pPr>
        <w:ind w:right="360" w:firstLine="8"/>
        <w:spacing w:after="0" w:line="277" w:lineRule="auto"/>
        <w:tabs>
          <w:tab w:leader="none" w:pos="7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right="320" w:firstLine="8"/>
        <w:spacing w:after="0" w:line="277" w:lineRule="auto"/>
        <w:tabs>
          <w:tab w:leader="none" w:pos="75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/s/ Marc R. Schneebaum</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 R. Schneebaum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3627755"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Senior Vice President and 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(Principal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Date: May 8, 2018</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6" w:name="page17"/>
    <w:bookmarkEnd w:id="16"/>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 PURSUANT TO 18 U.S.C. SECTION 1350,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SARBANES-OXLEY ACT OF 2002</w:t>
      </w:r>
    </w:p>
    <w:p>
      <w:pPr>
        <w:spacing w:after="0" w:line="211" w:lineRule="exact"/>
        <w:rPr>
          <w:sz w:val="20"/>
          <w:szCs w:val="20"/>
          <w:color w:val="auto"/>
        </w:rPr>
      </w:pPr>
    </w:p>
    <w:p>
      <w:pPr>
        <w:jc w:val="both"/>
        <w:ind w:right="180"/>
        <w:spacing w:after="0" w:line="264" w:lineRule="auto"/>
        <w:rPr>
          <w:sz w:val="20"/>
          <w:szCs w:val="20"/>
          <w:color w:val="auto"/>
        </w:rPr>
      </w:pPr>
      <w:r>
        <w:rPr>
          <w:rFonts w:ascii="Arial" w:cs="Arial" w:eastAsia="Arial" w:hAnsi="Arial"/>
          <w:sz w:val="18"/>
          <w:szCs w:val="18"/>
          <w:color w:val="auto"/>
        </w:rPr>
        <w:t>Pursuant to Section 906 of the Sarbanes-Oxley Act of 2002 (Subsections (a) and (b) of Section 1350 of Chapter 63 of Title 18 of the United States Code (18 U.S.C. Section 1350)), each of the undersigned officers of Madrigal Pharmaceuticals, Inc., a Delaware corporation (the “Company”), does hereby certify, to such officer’s knowledge, that:</w:t>
      </w:r>
    </w:p>
    <w:p>
      <w:pPr>
        <w:spacing w:after="0" w:line="181" w:lineRule="exact"/>
        <w:rPr>
          <w:sz w:val="20"/>
          <w:szCs w:val="20"/>
          <w:color w:val="auto"/>
        </w:rPr>
      </w:pPr>
    </w:p>
    <w:p>
      <w:pPr>
        <w:jc w:val="both"/>
        <w:ind w:right="100"/>
        <w:spacing w:after="0" w:line="264" w:lineRule="auto"/>
        <w:rPr>
          <w:sz w:val="20"/>
          <w:szCs w:val="20"/>
          <w:color w:val="auto"/>
        </w:rPr>
      </w:pPr>
      <w:r>
        <w:rPr>
          <w:rFonts w:ascii="Arial" w:cs="Arial" w:eastAsia="Arial" w:hAnsi="Arial"/>
          <w:sz w:val="18"/>
          <w:szCs w:val="18"/>
          <w:color w:val="auto"/>
        </w:rPr>
        <w:t>The Quarterly Report on Form 10-Q for the quarterly period ended March 31, 2018 (the “Form 10-Q”) of the Company fully complies with the requirements of Section 13(a) or 15(d) of the Securities Exchange Act of 1934, and the information contained in the Form 10-Q fairly presents, in all material respects, the financial condition and results of operations of the Company.</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720" w:type="dxa"/>
            <w:vAlign w:val="bottom"/>
          </w:tcPr>
          <w:p>
            <w:pPr>
              <w:spacing w:after="0"/>
              <w:rPr>
                <w:sz w:val="20"/>
                <w:szCs w:val="20"/>
                <w:color w:val="auto"/>
              </w:rPr>
            </w:pPr>
            <w:r>
              <w:rPr>
                <w:rFonts w:ascii="Arial" w:cs="Arial" w:eastAsia="Arial" w:hAnsi="Arial"/>
                <w:sz w:val="18"/>
                <w:szCs w:val="18"/>
                <w:color w:val="auto"/>
              </w:rPr>
              <w:t>Dated: May 8, 2018</w:t>
            </w:r>
          </w:p>
        </w:tc>
        <w:tc>
          <w:tcPr>
            <w:tcW w:w="57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Paul A. Friedman, M.D.</w:t>
            </w:r>
          </w:p>
        </w:tc>
      </w:tr>
      <w:tr>
        <w:trPr>
          <w:trHeight w:val="195"/>
        </w:trPr>
        <w:tc>
          <w:tcPr>
            <w:tcW w:w="5720" w:type="dxa"/>
            <w:vAlign w:val="bottom"/>
          </w:tcPr>
          <w:p>
            <w:pPr>
              <w:spacing w:after="0"/>
              <w:rPr>
                <w:sz w:val="16"/>
                <w:szCs w:val="16"/>
                <w:color w:val="auto"/>
              </w:rPr>
            </w:pPr>
          </w:p>
        </w:tc>
        <w:tc>
          <w:tcPr>
            <w:tcW w:w="5700" w:type="dxa"/>
            <w:vAlign w:val="bottom"/>
          </w:tcPr>
          <w:p>
            <w:pPr>
              <w:spacing w:after="0" w:line="195" w:lineRule="exact"/>
              <w:rPr>
                <w:sz w:val="20"/>
                <w:szCs w:val="20"/>
                <w:color w:val="auto"/>
              </w:rPr>
            </w:pPr>
            <w:r>
              <w:rPr>
                <w:rFonts w:ascii="Arial" w:cs="Arial" w:eastAsia="Arial" w:hAnsi="Arial"/>
                <w:sz w:val="18"/>
                <w:szCs w:val="18"/>
                <w:color w:val="auto"/>
              </w:rPr>
              <w:t>Paul A. Friedman, M.D.</w:t>
            </w:r>
          </w:p>
        </w:tc>
      </w:tr>
      <w:tr>
        <w:trPr>
          <w:trHeight w:val="216"/>
        </w:trPr>
        <w:tc>
          <w:tcPr>
            <w:tcW w:w="5720" w:type="dxa"/>
            <w:vAlign w:val="bottom"/>
          </w:tcPr>
          <w:p>
            <w:pPr>
              <w:spacing w:after="0"/>
              <w:rPr>
                <w:sz w:val="18"/>
                <w:szCs w:val="18"/>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Chief Executive Officer and Chairman of the Board</w:t>
            </w:r>
          </w:p>
        </w:tc>
      </w:tr>
      <w:tr>
        <w:trPr>
          <w:trHeight w:val="230"/>
        </w:trPr>
        <w:tc>
          <w:tcPr>
            <w:tcW w:w="5720" w:type="dxa"/>
            <w:vAlign w:val="bottom"/>
          </w:tcPr>
          <w:p>
            <w:pPr>
              <w:spacing w:after="0"/>
              <w:rPr>
                <w:sz w:val="20"/>
                <w:szCs w:val="20"/>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(Principal Executive Officer)</w:t>
            </w:r>
          </w:p>
        </w:tc>
      </w:tr>
      <w:tr>
        <w:trPr>
          <w:trHeight w:val="432"/>
        </w:trPr>
        <w:tc>
          <w:tcPr>
            <w:tcW w:w="5720" w:type="dxa"/>
            <w:vAlign w:val="bottom"/>
          </w:tcPr>
          <w:p>
            <w:pPr>
              <w:spacing w:after="0"/>
              <w:rPr>
                <w:sz w:val="20"/>
                <w:szCs w:val="20"/>
                <w:color w:val="auto"/>
              </w:rPr>
            </w:pPr>
            <w:r>
              <w:rPr>
                <w:rFonts w:ascii="Arial" w:cs="Arial" w:eastAsia="Arial" w:hAnsi="Arial"/>
                <w:sz w:val="18"/>
                <w:szCs w:val="18"/>
                <w:color w:val="auto"/>
              </w:rPr>
              <w:t>Dated: May 8, 2018</w:t>
            </w:r>
          </w:p>
        </w:tc>
        <w:tc>
          <w:tcPr>
            <w:tcW w:w="57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Marc R. Schneebaum</w:t>
            </w:r>
          </w:p>
        </w:tc>
      </w:tr>
      <w:tr>
        <w:trPr>
          <w:trHeight w:val="195"/>
        </w:trPr>
        <w:tc>
          <w:tcPr>
            <w:tcW w:w="5720" w:type="dxa"/>
            <w:vAlign w:val="bottom"/>
          </w:tcPr>
          <w:p>
            <w:pPr>
              <w:spacing w:after="0"/>
              <w:rPr>
                <w:sz w:val="16"/>
                <w:szCs w:val="16"/>
                <w:color w:val="auto"/>
              </w:rPr>
            </w:pPr>
          </w:p>
        </w:tc>
        <w:tc>
          <w:tcPr>
            <w:tcW w:w="5700" w:type="dxa"/>
            <w:vAlign w:val="bottom"/>
          </w:tcPr>
          <w:p>
            <w:pPr>
              <w:spacing w:after="0" w:line="195" w:lineRule="exact"/>
              <w:rPr>
                <w:sz w:val="20"/>
                <w:szCs w:val="20"/>
                <w:color w:val="auto"/>
              </w:rPr>
            </w:pPr>
            <w:r>
              <w:rPr>
                <w:rFonts w:ascii="Arial" w:cs="Arial" w:eastAsia="Arial" w:hAnsi="Arial"/>
                <w:sz w:val="18"/>
                <w:szCs w:val="18"/>
                <w:color w:val="auto"/>
              </w:rPr>
              <w:t>Marc R. Schneebaum</w:t>
            </w:r>
          </w:p>
        </w:tc>
      </w:tr>
      <w:tr>
        <w:trPr>
          <w:trHeight w:val="216"/>
        </w:trPr>
        <w:tc>
          <w:tcPr>
            <w:tcW w:w="5720" w:type="dxa"/>
            <w:vAlign w:val="bottom"/>
          </w:tcPr>
          <w:p>
            <w:pPr>
              <w:spacing w:after="0"/>
              <w:rPr>
                <w:sz w:val="18"/>
                <w:szCs w:val="18"/>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Senior Vice President and Chief Financial Officer</w:t>
            </w:r>
          </w:p>
        </w:tc>
      </w:tr>
      <w:tr>
        <w:trPr>
          <w:trHeight w:val="230"/>
        </w:trPr>
        <w:tc>
          <w:tcPr>
            <w:tcW w:w="5720" w:type="dxa"/>
            <w:vAlign w:val="bottom"/>
          </w:tcPr>
          <w:p>
            <w:pPr>
              <w:spacing w:after="0"/>
              <w:rPr>
                <w:sz w:val="20"/>
                <w:szCs w:val="20"/>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(Principal Accounting and Financial Officer)</w:t>
            </w:r>
          </w:p>
        </w:tc>
      </w:tr>
    </w:tbl>
    <w:p>
      <w:pPr>
        <w:spacing w:after="0" w:line="202" w:lineRule="exact"/>
        <w:rPr>
          <w:sz w:val="20"/>
          <w:szCs w:val="20"/>
          <w:color w:val="auto"/>
        </w:rPr>
      </w:pPr>
    </w:p>
    <w:p>
      <w:pPr>
        <w:ind w:right="180"/>
        <w:spacing w:after="0" w:line="286" w:lineRule="auto"/>
        <w:rPr>
          <w:sz w:val="20"/>
          <w:szCs w:val="20"/>
          <w:color w:val="auto"/>
        </w:rPr>
      </w:pPr>
      <w:r>
        <w:rPr>
          <w:rFonts w:ascii="Arial" w:cs="Arial" w:eastAsia="Arial" w:hAnsi="Arial"/>
          <w:sz w:val="17"/>
          <w:szCs w:val="17"/>
          <w:color w:val="auto"/>
        </w:rPr>
        <w:t>These certifications accompany the Form 10-Q, are not deemed filed with the Securities and Exchange Commission and are not to be incorporated by reference into any filing of the Company under the Securities Act of 1933, as amended, or the Securities Exchange Act of 1934, as amended (whether made before or after the date of the Form 10-Q), irrespective of any general incorporation language contained in such filing.</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545E146"/>
    <w:multiLevelType w:val="hybridMultilevel"/>
    <w:lvl w:ilvl="0">
      <w:lvlJc w:val="left"/>
      <w:lvlText w:val="x"/>
      <w:numFmt w:val="bullet"/>
      <w:start w:val="1"/>
    </w:lvl>
  </w:abstractNum>
  <w:abstractNum w:abstractNumId="1">
    <w:nsid w:val="515F007C"/>
    <w:multiLevelType w:val="hybridMultilevel"/>
    <w:lvl w:ilvl="0">
      <w:lvlJc w:val="left"/>
      <w:lvlText w:val="o"/>
      <w:numFmt w:val="bullet"/>
      <w:start w:val="1"/>
    </w:lvl>
  </w:abstractNum>
  <w:abstractNum w:abstractNumId="2">
    <w:nsid w:val="5BD062C2"/>
    <w:multiLevelType w:val="hybridMultilevel"/>
    <w:lvl w:ilvl="0">
      <w:lvlJc w:val="left"/>
      <w:lvlText w:val="%1."/>
      <w:numFmt w:val="decimal"/>
      <w:start w:val="1"/>
    </w:lvl>
  </w:abstractNum>
  <w:abstractNum w:abstractNumId="3">
    <w:nsid w:val="12200854"/>
    <w:multiLevelType w:val="hybridMultilevel"/>
    <w:lvl w:ilvl="0">
      <w:lvlJc w:val="left"/>
      <w:lvlText w:val="%1."/>
      <w:numFmt w:val="decimal"/>
      <w:start w:val="2"/>
    </w:lvl>
  </w:abstractNum>
  <w:abstractNum w:abstractNumId="4">
    <w:nsid w:val="4DB127F8"/>
    <w:multiLevelType w:val="hybridMultilevel"/>
    <w:lvl w:ilvl="0">
      <w:lvlJc w:val="left"/>
      <w:lvlText w:val="%1."/>
      <w:numFmt w:val="decimal"/>
      <w:start w:val="5"/>
    </w:lvl>
  </w:abstractNum>
  <w:abstractNum w:abstractNumId="5">
    <w:nsid w:val="216231B"/>
    <w:multiLevelType w:val="hybridMultilevel"/>
    <w:lvl w:ilvl="0">
      <w:lvlJc w:val="left"/>
      <w:lvlText w:val="·"/>
      <w:numFmt w:val="bullet"/>
      <w:start w:val="1"/>
    </w:lvl>
  </w:abstractNum>
  <w:abstractNum w:abstractNumId="6">
    <w:nsid w:val="1F16E9E8"/>
    <w:multiLevelType w:val="hybridMultilevel"/>
    <w:lvl w:ilvl="0">
      <w:lvlJc w:val="left"/>
      <w:lvlText w:val="*"/>
      <w:numFmt w:val="bullet"/>
      <w:start w:val="1"/>
    </w:lvl>
  </w:abstractNum>
  <w:abstractNum w:abstractNumId="7">
    <w:nsid w:val="1190CDE7"/>
    <w:multiLevelType w:val="hybridMultilevel"/>
    <w:lvl w:ilvl="0">
      <w:lvlJc w:val="left"/>
      <w:lvlText w:val="%1."/>
      <w:numFmt w:val="decimal"/>
      <w:start w:val="1"/>
    </w:lvl>
  </w:abstractNum>
  <w:abstractNum w:abstractNumId="8">
    <w:nsid w:val="66EF438D"/>
    <w:multiLevelType w:val="hybridMultilevel"/>
    <w:lvl w:ilvl="0">
      <w:lvlJc w:val="left"/>
      <w:lvlText w:val="(%1)"/>
      <w:numFmt w:val="lowerLetter"/>
      <w:start w:val="1"/>
    </w:lvl>
  </w:abstractNum>
  <w:abstractNum w:abstractNumId="9">
    <w:nsid w:val="140E0F76"/>
    <w:multiLevelType w:val="hybridMultilevel"/>
    <w:lvl w:ilvl="0">
      <w:lvlJc w:val="left"/>
      <w:lvlText w:val="%1."/>
      <w:numFmt w:val="decimal"/>
      <w:start w:val="5"/>
    </w:lvl>
  </w:abstractNum>
  <w:abstractNum w:abstractNumId="10">
    <w:nsid w:val="3352255A"/>
    <w:multiLevelType w:val="hybridMultilevel"/>
    <w:lvl w:ilvl="0">
      <w:lvlJc w:val="left"/>
      <w:lvlText w:val="(%1)"/>
      <w:numFmt w:val="lowerLetter"/>
      <w:start w:val="1"/>
    </w:lvl>
  </w:abstractNum>
  <w:abstractNum w:abstractNumId="11">
    <w:nsid w:val="109CF92E"/>
    <w:multiLevelType w:val="hybridMultilevel"/>
    <w:lvl w:ilvl="0">
      <w:lvlJc w:val="left"/>
      <w:lvlText w:val="%1."/>
      <w:numFmt w:val="decimal"/>
      <w:start w:val="1"/>
    </w:lvl>
  </w:abstractNum>
  <w:abstractNum w:abstractNumId="12">
    <w:nsid w:val="DED7263"/>
    <w:multiLevelType w:val="hybridMultilevel"/>
    <w:lvl w:ilvl="0">
      <w:lvlJc w:val="left"/>
      <w:lvlText w:val="(%1)"/>
      <w:numFmt w:val="lowerLetter"/>
      <w:start w:val="1"/>
    </w:lvl>
  </w:abstractNum>
  <w:abstractNum w:abstractNumId="13">
    <w:nsid w:val="7FDCC233"/>
    <w:multiLevelType w:val="hybridMultilevel"/>
    <w:lvl w:ilvl="0">
      <w:lvlJc w:val="left"/>
      <w:lvlText w:val="%1."/>
      <w:numFmt w:val="decimal"/>
      <w:start w:val="5"/>
    </w:lvl>
  </w:abstractNum>
  <w:abstractNum w:abstractNumId="14">
    <w:nsid w:val="1BEFD79F"/>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2019-12-28T22:33:08Z</dcterms:created>
  <dcterms:modified xsi:type="dcterms:W3CDTF">2019-12-28T22:33:08Z</dcterms:modified>
</cp:coreProperties>
</file>