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40" w:right="100" w:hanging="436"/>
        <w:spacing w:after="0" w:line="237"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40" w:right="34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500" w:type="dxa"/>
            <w:vAlign w:val="bottom"/>
          </w:tcPr>
          <w:p>
            <w:pPr>
              <w:jc w:val="center"/>
              <w:ind w:right="177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61"/>
              <w:spacing w:after="0"/>
              <w:rPr>
                <w:sz w:val="20"/>
                <w:szCs w:val="20"/>
                <w:color w:val="auto"/>
              </w:rPr>
            </w:pPr>
            <w:r>
              <w:rPr>
                <w:rFonts w:ascii="Arial" w:cs="Arial" w:eastAsia="Arial" w:hAnsi="Arial"/>
                <w:sz w:val="18"/>
                <w:szCs w:val="18"/>
                <w:b w:val="1"/>
                <w:bCs w:val="1"/>
                <w:color w:val="auto"/>
              </w:rPr>
              <w:t>04-3508648</w:t>
            </w:r>
          </w:p>
        </w:tc>
      </w:tr>
      <w:tr>
        <w:trPr>
          <w:trHeight w:val="149"/>
        </w:trPr>
        <w:tc>
          <w:tcPr>
            <w:tcW w:w="45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500" w:type="dxa"/>
            <w:vAlign w:val="bottom"/>
          </w:tcPr>
          <w:p>
            <w:pPr>
              <w:jc w:val="center"/>
              <w:ind w:right="177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500" w:type="dxa"/>
            <w:vAlign w:val="bottom"/>
          </w:tcPr>
          <w:p>
            <w:pPr>
              <w:jc w:val="center"/>
              <w:ind w:right="177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12"/>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00" w:lineRule="exact"/>
        <w:rPr>
          <w:sz w:val="24"/>
          <w:szCs w:val="24"/>
          <w:color w:val="auto"/>
        </w:rPr>
      </w:pP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6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20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20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240" w:top="230"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2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60" w:type="dxa"/>
            <w:vAlign w:val="bottom"/>
          </w:tcPr>
          <w:p>
            <w:pPr>
              <w:ind w:left="322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August 01, 2019, the registrant had 15,426,297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 w:type="dxa"/>
            <w:vAlign w:val="bottom"/>
          </w:tcPr>
          <w:p>
            <w:pPr>
              <w:spacing w:after="0"/>
              <w:rPr>
                <w:sz w:val="16"/>
                <w:szCs w:val="16"/>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40" w:type="dxa"/>
            <w:vAlign w:val="bottom"/>
            <w:gridSpan w:val="9"/>
          </w:tcPr>
          <w:p>
            <w:pPr>
              <w:ind w:left="60"/>
              <w:spacing w:after="0"/>
              <w:rPr>
                <w:sz w:val="20"/>
                <w:szCs w:val="20"/>
                <w:color w:val="auto"/>
              </w:rPr>
            </w:pPr>
            <w:r>
              <w:rPr>
                <w:rFonts w:ascii="Arial" w:cs="Arial" w:eastAsia="Arial" w:hAnsi="Arial"/>
                <w:sz w:val="14"/>
                <w:szCs w:val="14"/>
                <w:b w:val="1"/>
                <w:bCs w:val="1"/>
                <w:color w:val="auto"/>
              </w:rPr>
              <w:t>Description</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280" w:type="dxa"/>
            <w:vAlign w:val="bottom"/>
          </w:tcPr>
          <w:p>
            <w:pPr>
              <w:spacing w:after="0"/>
              <w:rPr>
                <w:sz w:val="16"/>
                <w:szCs w:val="16"/>
                <w:color w:val="auto"/>
              </w:rPr>
            </w:pPr>
          </w:p>
        </w:tc>
      </w:tr>
      <w:tr>
        <w:trPr>
          <w:trHeight w:val="163"/>
        </w:trPr>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13"/>
          </w:tcPr>
          <w:p>
            <w:pPr>
              <w:spacing w:after="0" w:line="163"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0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4"/>
                <w:szCs w:val="14"/>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w w:val="87"/>
              </w:rPr>
              <w:t>Item 1.</w:t>
            </w:r>
          </w:p>
        </w:tc>
        <w:tc>
          <w:tcPr>
            <w:tcW w:w="340" w:type="dxa"/>
            <w:vAlign w:val="bottom"/>
            <w:gridSpan w:val="2"/>
          </w:tcPr>
          <w:p>
            <w:pPr>
              <w:spacing w:after="0"/>
              <w:rPr>
                <w:sz w:val="24"/>
                <w:szCs w:val="24"/>
                <w:color w:val="auto"/>
              </w:rPr>
            </w:pPr>
          </w:p>
        </w:tc>
        <w:tc>
          <w:tcPr>
            <w:tcW w:w="960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2019 and December 31, 2018</w:t>
              </w:r>
            </w:hyperlink>
          </w:p>
        </w:tc>
        <w:tc>
          <w:tcPr>
            <w:tcW w:w="3680" w:type="dxa"/>
            <w:vAlign w:val="bottom"/>
            <w:gridSpan w:val="6"/>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for the Three Months and Six Months Ended June 30, 2019 and 2018</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Loss for the Three Months and Six Months Ended June 30, 2019 and 2018</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Months and Six Months Ended June 30, 2019 and 2018</w:t>
              </w:r>
            </w:hyperlink>
          </w:p>
        </w:tc>
        <w:tc>
          <w:tcPr>
            <w:tcW w:w="18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June 30, 2019 and 2018</w:t>
              </w:r>
            </w:hyperlink>
          </w:p>
        </w:tc>
        <w:tc>
          <w:tcPr>
            <w:tcW w:w="2220" w:type="dxa"/>
            <w:vAlign w:val="bottom"/>
            <w:gridSpan w:val="4"/>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Item 2.</w:t>
            </w:r>
          </w:p>
        </w:tc>
        <w:tc>
          <w:tcPr>
            <w:tcW w:w="340" w:type="dxa"/>
            <w:vAlign w:val="bottom"/>
            <w:gridSpan w:val="2"/>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gridSpan w:val="5"/>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Item 3.</w:t>
            </w:r>
          </w:p>
        </w:tc>
        <w:tc>
          <w:tcPr>
            <w:tcW w:w="340" w:type="dxa"/>
            <w:vAlign w:val="bottom"/>
            <w:gridSpan w:val="2"/>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240" w:type="dxa"/>
            <w:vAlign w:val="bottom"/>
            <w:gridSpan w:val="9"/>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auto"/>
                <w:w w:val="87"/>
              </w:rPr>
              <w:t>Item 4.</w:t>
            </w:r>
          </w:p>
        </w:tc>
        <w:tc>
          <w:tcPr>
            <w:tcW w:w="340" w:type="dxa"/>
            <w:vAlign w:val="bottom"/>
            <w:gridSpan w:val="2"/>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Pr>
          <w:p>
            <w:pPr>
              <w:spacing w:after="0"/>
              <w:rPr>
                <w:sz w:val="17"/>
                <w:szCs w:val="17"/>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22">
              <w:r>
                <w:rPr>
                  <w:rFonts w:ascii="Arial" w:cs="Arial" w:eastAsia="Arial" w:hAnsi="Arial"/>
                  <w:sz w:val="18"/>
                  <w:szCs w:val="18"/>
                  <w:b w:val="1"/>
                  <w:bCs w:val="1"/>
                  <w:color w:val="0000EE"/>
                  <w:w w:val="96"/>
                </w:rPr>
                <w:t>Part II. Other Information</w:t>
              </w:r>
            </w:hyperlink>
          </w:p>
        </w:tc>
        <w:tc>
          <w:tcPr>
            <w:tcW w:w="7540" w:type="dxa"/>
            <w:vAlign w:val="bottom"/>
            <w:gridSpan w:val="15"/>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r>
      <w:tr>
        <w:trPr>
          <w:trHeight w:val="304"/>
        </w:trPr>
        <w:tc>
          <w:tcPr>
            <w:tcW w:w="2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w w:val="87"/>
              </w:rPr>
              <w:t>Item 1.</w:t>
            </w:r>
          </w:p>
        </w:tc>
        <w:tc>
          <w:tcPr>
            <w:tcW w:w="340" w:type="dxa"/>
            <w:vAlign w:val="bottom"/>
            <w:gridSpan w:val="2"/>
          </w:tcPr>
          <w:p>
            <w:pPr>
              <w:spacing w:after="0"/>
              <w:rPr>
                <w:sz w:val="24"/>
                <w:szCs w:val="24"/>
                <w:color w:val="auto"/>
              </w:rPr>
            </w:pPr>
          </w:p>
        </w:tc>
        <w:tc>
          <w:tcPr>
            <w:tcW w:w="96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4"/>
          </w:tcPr>
          <w:p>
            <w:pPr>
              <w:spacing w:after="0" w:line="196" w:lineRule="exact"/>
              <w:rPr>
                <w:sz w:val="20"/>
                <w:szCs w:val="20"/>
                <w:color w:val="auto"/>
              </w:rPr>
            </w:pPr>
            <w:r>
              <w:rPr>
                <w:rFonts w:ascii="Arial" w:cs="Arial" w:eastAsia="Arial" w:hAnsi="Arial"/>
                <w:sz w:val="18"/>
                <w:szCs w:val="18"/>
                <w:color w:val="auto"/>
              </w:rPr>
              <w:t>Item 1A.</w:t>
            </w:r>
          </w:p>
        </w:tc>
        <w:tc>
          <w:tcPr>
            <w:tcW w:w="960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auto"/>
                <w:w w:val="87"/>
              </w:rPr>
              <w:t>Item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Item 3.</w:t>
            </w:r>
          </w:p>
        </w:tc>
        <w:tc>
          <w:tcPr>
            <w:tcW w:w="34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260" w:type="dxa"/>
            <w:vAlign w:val="bottom"/>
            <w:gridSpan w:val="10"/>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Arial" w:cs="Arial" w:eastAsia="Arial" w:hAnsi="Arial"/>
                <w:sz w:val="18"/>
                <w:szCs w:val="18"/>
                <w:color w:val="auto"/>
                <w:w w:val="87"/>
              </w:rPr>
              <w:t>Item 4.</w:t>
            </w:r>
          </w:p>
        </w:tc>
        <w:tc>
          <w:tcPr>
            <w:tcW w:w="340" w:type="dxa"/>
            <w:vAlign w:val="bottom"/>
            <w:gridSpan w:val="2"/>
          </w:tcPr>
          <w:p>
            <w:pPr>
              <w:spacing w:after="0"/>
              <w:rPr>
                <w:sz w:val="17"/>
                <w:szCs w:val="17"/>
                <w:color w:val="auto"/>
              </w:rPr>
            </w:pPr>
          </w:p>
        </w:tc>
        <w:tc>
          <w:tcPr>
            <w:tcW w:w="960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Item 5.</w:t>
            </w:r>
          </w:p>
        </w:tc>
        <w:tc>
          <w:tcPr>
            <w:tcW w:w="340" w:type="dxa"/>
            <w:vAlign w:val="bottom"/>
            <w:gridSpan w:val="2"/>
          </w:tcPr>
          <w:p>
            <w:pPr>
              <w:spacing w:after="0"/>
              <w:rPr>
                <w:sz w:val="17"/>
                <w:szCs w:val="17"/>
                <w:color w:val="auto"/>
              </w:rPr>
            </w:pPr>
          </w:p>
        </w:tc>
        <w:tc>
          <w:tcPr>
            <w:tcW w:w="17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840" w:type="dxa"/>
            <w:vAlign w:val="bottom"/>
            <w:gridSpan w:val="16"/>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Item 6.</w:t>
            </w:r>
          </w:p>
        </w:tc>
        <w:tc>
          <w:tcPr>
            <w:tcW w:w="34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17"/>
                <w:szCs w:val="17"/>
                <w:color w:val="auto"/>
              </w:rPr>
            </w:pPr>
          </w:p>
        </w:tc>
        <w:tc>
          <w:tcPr>
            <w:tcW w:w="8280" w:type="dxa"/>
            <w:vAlign w:val="bottom"/>
            <w:gridSpan w:val="17"/>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Signatures</w:t>
              </w:r>
            </w:hyperlink>
          </w:p>
        </w:tc>
        <w:tc>
          <w:tcPr>
            <w:tcW w:w="8840" w:type="dxa"/>
            <w:vAlign w:val="bottom"/>
            <w:gridSpan w:val="19"/>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r>
      <w:tr>
        <w:trPr>
          <w:trHeight w:val="453"/>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40" w:type="dxa"/>
            <w:vAlign w:val="bottom"/>
            <w:gridSpan w:val="14"/>
          </w:tcPr>
          <w:p>
            <w:pPr>
              <w:ind w:left="460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43"/>
        </w:trPr>
        <w:tc>
          <w:tcPr>
            <w:tcW w:w="220" w:type="dxa"/>
            <w:vAlign w:val="bottom"/>
            <w:tcBorders>
              <w:bottom w:val="single" w:sz="8" w:color="999999"/>
            </w:tcBorders>
          </w:tcPr>
          <w:p>
            <w:pPr>
              <w:spacing w:after="0"/>
              <w:rPr>
                <w:sz w:val="21"/>
                <w:szCs w:val="21"/>
                <w:color w:val="auto"/>
              </w:rPr>
            </w:pPr>
          </w:p>
        </w:tc>
        <w:tc>
          <w:tcPr>
            <w:tcW w:w="280" w:type="dxa"/>
            <w:vAlign w:val="bottom"/>
            <w:tcBorders>
              <w:bottom w:val="single" w:sz="8" w:color="999999"/>
            </w:tcBorders>
          </w:tcPr>
          <w:p>
            <w:pPr>
              <w:spacing w:after="0"/>
              <w:rPr>
                <w:sz w:val="21"/>
                <w:szCs w:val="21"/>
                <w:color w:val="auto"/>
              </w:rPr>
            </w:pPr>
          </w:p>
        </w:tc>
        <w:tc>
          <w:tcPr>
            <w:tcW w:w="220" w:type="dxa"/>
            <w:vAlign w:val="bottom"/>
            <w:tcBorders>
              <w:bottom w:val="single" w:sz="8" w:color="999999"/>
            </w:tcBorders>
          </w:tcPr>
          <w:p>
            <w:pPr>
              <w:spacing w:after="0"/>
              <w:rPr>
                <w:sz w:val="21"/>
                <w:szCs w:val="21"/>
                <w:color w:val="auto"/>
              </w:rPr>
            </w:pPr>
          </w:p>
        </w:tc>
        <w:tc>
          <w:tcPr>
            <w:tcW w:w="120" w:type="dxa"/>
            <w:vAlign w:val="bottom"/>
            <w:tcBorders>
              <w:bottom w:val="single" w:sz="8" w:color="999999"/>
            </w:tcBorders>
          </w:tcPr>
          <w:p>
            <w:pPr>
              <w:spacing w:after="0"/>
              <w:rPr>
                <w:sz w:val="21"/>
                <w:szCs w:val="21"/>
                <w:color w:val="auto"/>
              </w:rPr>
            </w:pPr>
          </w:p>
        </w:tc>
        <w:tc>
          <w:tcPr>
            <w:tcW w:w="220" w:type="dxa"/>
            <w:vAlign w:val="bottom"/>
            <w:tcBorders>
              <w:bottom w:val="single" w:sz="8" w:color="999999"/>
            </w:tcBorders>
          </w:tcPr>
          <w:p>
            <w:pPr>
              <w:spacing w:after="0"/>
              <w:rPr>
                <w:sz w:val="21"/>
                <w:szCs w:val="21"/>
                <w:color w:val="auto"/>
              </w:rPr>
            </w:pPr>
          </w:p>
        </w:tc>
        <w:tc>
          <w:tcPr>
            <w:tcW w:w="600" w:type="dxa"/>
            <w:vAlign w:val="bottom"/>
            <w:tcBorders>
              <w:bottom w:val="single" w:sz="8" w:color="999999"/>
            </w:tcBorders>
          </w:tcPr>
          <w:p>
            <w:pPr>
              <w:spacing w:after="0"/>
              <w:rPr>
                <w:sz w:val="21"/>
                <w:szCs w:val="21"/>
                <w:color w:val="auto"/>
              </w:rPr>
            </w:pPr>
          </w:p>
        </w:tc>
        <w:tc>
          <w:tcPr>
            <w:tcW w:w="160" w:type="dxa"/>
            <w:vAlign w:val="bottom"/>
            <w:tcBorders>
              <w:bottom w:val="single" w:sz="8" w:color="999999"/>
            </w:tcBorders>
          </w:tcPr>
          <w:p>
            <w:pPr>
              <w:spacing w:after="0"/>
              <w:rPr>
                <w:sz w:val="21"/>
                <w:szCs w:val="21"/>
                <w:color w:val="auto"/>
              </w:rPr>
            </w:pPr>
          </w:p>
        </w:tc>
        <w:tc>
          <w:tcPr>
            <w:tcW w:w="140" w:type="dxa"/>
            <w:vAlign w:val="bottom"/>
            <w:tcBorders>
              <w:bottom w:val="single" w:sz="8" w:color="999999"/>
            </w:tcBorders>
          </w:tcPr>
          <w:p>
            <w:pPr>
              <w:spacing w:after="0"/>
              <w:rPr>
                <w:sz w:val="21"/>
                <w:szCs w:val="21"/>
                <w:color w:val="auto"/>
              </w:rPr>
            </w:pPr>
          </w:p>
        </w:tc>
        <w:tc>
          <w:tcPr>
            <w:tcW w:w="420" w:type="dxa"/>
            <w:vAlign w:val="bottom"/>
            <w:tcBorders>
              <w:bottom w:val="single" w:sz="8" w:color="999999"/>
            </w:tcBorders>
          </w:tcPr>
          <w:p>
            <w:pPr>
              <w:spacing w:after="0"/>
              <w:rPr>
                <w:sz w:val="21"/>
                <w:szCs w:val="21"/>
                <w:color w:val="auto"/>
              </w:rPr>
            </w:pPr>
          </w:p>
        </w:tc>
        <w:tc>
          <w:tcPr>
            <w:tcW w:w="440" w:type="dxa"/>
            <w:vAlign w:val="bottom"/>
            <w:tcBorders>
              <w:bottom w:val="single" w:sz="8" w:color="999999"/>
            </w:tcBorders>
          </w:tcPr>
          <w:p>
            <w:pPr>
              <w:spacing w:after="0"/>
              <w:rPr>
                <w:sz w:val="21"/>
                <w:szCs w:val="21"/>
                <w:color w:val="auto"/>
              </w:rPr>
            </w:pPr>
          </w:p>
        </w:tc>
        <w:tc>
          <w:tcPr>
            <w:tcW w:w="300" w:type="dxa"/>
            <w:vAlign w:val="bottom"/>
            <w:tcBorders>
              <w:bottom w:val="single" w:sz="8" w:color="999999"/>
            </w:tcBorders>
          </w:tcPr>
          <w:p>
            <w:pPr>
              <w:spacing w:after="0"/>
              <w:rPr>
                <w:sz w:val="21"/>
                <w:szCs w:val="21"/>
                <w:color w:val="auto"/>
              </w:rPr>
            </w:pPr>
          </w:p>
        </w:tc>
        <w:tc>
          <w:tcPr>
            <w:tcW w:w="18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140" w:type="dxa"/>
            <w:vAlign w:val="bottom"/>
            <w:tcBorders>
              <w:bottom w:val="single" w:sz="8" w:color="999999"/>
            </w:tcBorders>
          </w:tcPr>
          <w:p>
            <w:pPr>
              <w:spacing w:after="0"/>
              <w:rPr>
                <w:sz w:val="21"/>
                <w:szCs w:val="21"/>
                <w:color w:val="auto"/>
              </w:rPr>
            </w:pPr>
          </w:p>
        </w:tc>
        <w:tc>
          <w:tcPr>
            <w:tcW w:w="1520" w:type="dxa"/>
            <w:vAlign w:val="bottom"/>
            <w:tcBorders>
              <w:bottom w:val="single" w:sz="8" w:color="999999"/>
            </w:tcBorders>
          </w:tcPr>
          <w:p>
            <w:pPr>
              <w:spacing w:after="0"/>
              <w:rPr>
                <w:sz w:val="21"/>
                <w:szCs w:val="21"/>
                <w:color w:val="auto"/>
              </w:rPr>
            </w:pPr>
          </w:p>
        </w:tc>
        <w:tc>
          <w:tcPr>
            <w:tcW w:w="360" w:type="dxa"/>
            <w:vAlign w:val="bottom"/>
            <w:tcBorders>
              <w:bottom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80" w:type="dxa"/>
            <w:vAlign w:val="bottom"/>
            <w:tcBorders>
              <w:bottom w:val="single" w:sz="8" w:color="999999"/>
            </w:tcBorders>
          </w:tcPr>
          <w:p>
            <w:pPr>
              <w:spacing w:after="0"/>
              <w:rPr>
                <w:sz w:val="21"/>
                <w:szCs w:val="21"/>
                <w:color w:val="auto"/>
              </w:rPr>
            </w:pPr>
          </w:p>
        </w:tc>
        <w:tc>
          <w:tcPr>
            <w:tcW w:w="700" w:type="dxa"/>
            <w:vAlign w:val="bottom"/>
            <w:tcBorders>
              <w:bottom w:val="single" w:sz="8" w:color="999999"/>
            </w:tcBorders>
          </w:tcPr>
          <w:p>
            <w:pPr>
              <w:spacing w:after="0"/>
              <w:rPr>
                <w:sz w:val="21"/>
                <w:szCs w:val="21"/>
                <w:color w:val="auto"/>
              </w:rPr>
            </w:pPr>
          </w:p>
        </w:tc>
        <w:tc>
          <w:tcPr>
            <w:tcW w:w="780" w:type="dxa"/>
            <w:vAlign w:val="bottom"/>
            <w:tcBorders>
              <w:bottom w:val="single" w:sz="8" w:color="999999"/>
            </w:tcBorders>
          </w:tcPr>
          <w:p>
            <w:pPr>
              <w:spacing w:after="0"/>
              <w:rPr>
                <w:sz w:val="21"/>
                <w:szCs w:val="21"/>
                <w:color w:val="auto"/>
              </w:rPr>
            </w:pPr>
          </w:p>
        </w:tc>
        <w:tc>
          <w:tcPr>
            <w:tcW w:w="540" w:type="dxa"/>
            <w:vAlign w:val="bottom"/>
            <w:tcBorders>
              <w:bottom w:val="single" w:sz="8" w:color="999999"/>
            </w:tcBorders>
          </w:tcPr>
          <w:p>
            <w:pPr>
              <w:spacing w:after="0"/>
              <w:rPr>
                <w:sz w:val="21"/>
                <w:szCs w:val="21"/>
                <w:color w:val="auto"/>
              </w:rPr>
            </w:pPr>
          </w:p>
        </w:tc>
        <w:tc>
          <w:tcPr>
            <w:tcW w:w="920" w:type="dxa"/>
            <w:vAlign w:val="bottom"/>
            <w:tcBorders>
              <w:bottom w:val="single" w:sz="8" w:color="999999"/>
            </w:tcBorders>
          </w:tcPr>
          <w:p>
            <w:pPr>
              <w:spacing w:after="0"/>
              <w:rPr>
                <w:sz w:val="21"/>
                <w:szCs w:val="21"/>
                <w:color w:val="auto"/>
              </w:rPr>
            </w:pPr>
          </w:p>
        </w:tc>
        <w:tc>
          <w:tcPr>
            <w:tcW w:w="1300" w:type="dxa"/>
            <w:vAlign w:val="bottom"/>
            <w:tcBorders>
              <w:bottom w:val="single" w:sz="8" w:color="999999"/>
            </w:tcBorders>
          </w:tcPr>
          <w:p>
            <w:pPr>
              <w:spacing w:after="0"/>
              <w:rPr>
                <w:sz w:val="21"/>
                <w:szCs w:val="21"/>
                <w:color w:val="auto"/>
              </w:rPr>
            </w:pPr>
          </w:p>
        </w:tc>
        <w:tc>
          <w:tcPr>
            <w:tcW w:w="720" w:type="dxa"/>
            <w:vAlign w:val="bottom"/>
            <w:tcBorders>
              <w:bottom w:val="single" w:sz="8" w:color="999999"/>
            </w:tcBorders>
          </w:tcPr>
          <w:p>
            <w:pPr>
              <w:spacing w:after="0"/>
              <w:rPr>
                <w:sz w:val="21"/>
                <w:szCs w:val="21"/>
                <w:color w:val="auto"/>
              </w:rPr>
            </w:pPr>
          </w:p>
        </w:tc>
        <w:tc>
          <w:tcPr>
            <w:tcW w:w="20" w:type="dxa"/>
            <w:vAlign w:val="bottom"/>
            <w:tcBorders>
              <w:bottom w:val="single" w:sz="8" w:color="999999"/>
            </w:tcBorders>
          </w:tcPr>
          <w:p>
            <w:pPr>
              <w:spacing w:after="0"/>
              <w:rPr>
                <w:sz w:val="21"/>
                <w:szCs w:val="21"/>
                <w:color w:val="auto"/>
              </w:rPr>
            </w:pPr>
          </w:p>
        </w:tc>
        <w:tc>
          <w:tcPr>
            <w:tcW w:w="180" w:type="dxa"/>
            <w:vAlign w:val="bottom"/>
            <w:tcBorders>
              <w:bottom w:val="single" w:sz="8" w:color="999999"/>
            </w:tcBorders>
          </w:tcPr>
          <w:p>
            <w:pPr>
              <w:spacing w:after="0"/>
              <w:rPr>
                <w:sz w:val="21"/>
                <w:szCs w:val="21"/>
                <w:color w:val="auto"/>
              </w:rPr>
            </w:pPr>
          </w:p>
        </w:tc>
        <w:tc>
          <w:tcPr>
            <w:tcW w:w="200" w:type="dxa"/>
            <w:vAlign w:val="bottom"/>
            <w:tcBorders>
              <w:bottom w:val="single" w:sz="8" w:color="999999"/>
            </w:tcBorders>
          </w:tcPr>
          <w:p>
            <w:pPr>
              <w:spacing w:after="0"/>
              <w:rPr>
                <w:sz w:val="21"/>
                <w:szCs w:val="21"/>
                <w:color w:val="auto"/>
              </w:rPr>
            </w:pPr>
          </w:p>
        </w:tc>
        <w:tc>
          <w:tcPr>
            <w:tcW w:w="280" w:type="dxa"/>
            <w:vAlign w:val="bottom"/>
            <w:tcBorders>
              <w:bottom w:val="single" w:sz="8" w:color="999999"/>
            </w:tcBorders>
          </w:tcPr>
          <w:p>
            <w:pPr>
              <w:spacing w:after="0"/>
              <w:rPr>
                <w:sz w:val="21"/>
                <w:szCs w:val="21"/>
                <w:color w:val="auto"/>
              </w:rPr>
            </w:pPr>
          </w:p>
        </w:tc>
        <w:tc>
          <w:tcPr>
            <w:tcW w:w="280" w:type="dxa"/>
            <w:vAlign w:val="bottom"/>
            <w:tcBorders>
              <w:bottom w:val="single" w:sz="8" w:color="999999"/>
            </w:tcBorders>
          </w:tcPr>
          <w:p>
            <w:pPr>
              <w:spacing w:after="0"/>
              <w:rPr>
                <w:sz w:val="21"/>
                <w:szCs w:val="21"/>
                <w:color w:val="auto"/>
              </w:rPr>
            </w:pPr>
          </w:p>
        </w:tc>
      </w:tr>
    </w:tbl>
    <w:p>
      <w:pPr>
        <w:sectPr>
          <w:pgSz w:w="11900" w:h="16838" w:orient="portrait"/>
          <w:cols w:equalWidth="0" w:num="1">
            <w:col w:w="11420"/>
          </w:cols>
          <w:pgMar w:left="240" w:top="72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720" w:type="dxa"/>
            <w:vAlign w:val="bottom"/>
          </w:tcPr>
          <w:p>
            <w:pPr>
              <w:jc w:val="center"/>
              <w:ind w:left="91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gridSpan w:val="2"/>
          </w:tcPr>
          <w:p>
            <w:pPr>
              <w:ind w:left="200"/>
              <w:spacing w:after="0"/>
              <w:rPr>
                <w:sz w:val="20"/>
                <w:szCs w:val="20"/>
                <w:color w:val="auto"/>
              </w:rPr>
            </w:pPr>
            <w:r>
              <w:rPr>
                <w:rFonts w:ascii="Arial" w:cs="Arial" w:eastAsia="Arial" w:hAnsi="Arial"/>
                <w:sz w:val="18"/>
                <w:szCs w:val="18"/>
                <w:b w:val="1"/>
                <w:bCs w:val="1"/>
                <w:color w:val="auto"/>
                <w:w w:val="91"/>
              </w:rPr>
              <w:t>Item 1.</w:t>
            </w:r>
          </w:p>
        </w:tc>
        <w:tc>
          <w:tcPr>
            <w:tcW w:w="834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rPr>
              <w:t>MADRIGAL PHARMACEUTICALS,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(Unaudited; in thousands, except share and per share amounts)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7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6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393,888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34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468,785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Right-of-use asset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3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469,822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08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8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vMerge w:val="restart"/>
          </w:tcPr>
          <w:p>
            <w:pPr>
              <w:spacing w:after="0"/>
              <w:rPr>
                <w:sz w:val="2"/>
                <w:szCs w:val="2"/>
                <w:color w:val="auto"/>
              </w:rPr>
            </w:pPr>
          </w:p>
        </w:tc>
        <w:tc>
          <w:tcPr>
            <w:tcW w:w="1140" w:type="dxa"/>
            <w:vAlign w:val="bottom"/>
            <w:gridSpan w:val="2"/>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vMerge w:val="continue"/>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Lease liability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3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long term liabilities</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8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Preferred stock, par value $0.0001 per share authorized: 5,000,000 shares at June 30, 2019 and December 31, 2018;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1,969,797 shares issued and outstanding at June 30, 2019 and December 31, 2018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w w:val="94"/>
              </w:rPr>
              <w:t>Common stock, par value $0.0001 per share authorized: 200,000,000 at June 30, 2019 and December 31, 2018;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w w:val="91"/>
              </w:rPr>
              <w:t>15,426,297 and 15,409,023 shares issued and outstanding at June 30, 2019 and December 31, 2018, respectively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630,550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gain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(174,051)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(139,272)</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456,986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469,822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240" w:top="351" w:right="41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6"/>
        </w:trPr>
        <w:tc>
          <w:tcPr>
            <w:tcW w:w="20" w:type="dxa"/>
            <w:vAlign w:val="bottom"/>
          </w:tcPr>
          <w:p>
            <w:pPr>
              <w:spacing w:after="0"/>
              <w:rPr>
                <w:sz w:val="17"/>
                <w:szCs w:val="17"/>
                <w:color w:val="auto"/>
              </w:rPr>
            </w:pPr>
          </w:p>
        </w:tc>
        <w:tc>
          <w:tcPr>
            <w:tcW w:w="59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loss</w:t>
            </w:r>
          </w:p>
        </w:tc>
        <w:tc>
          <w:tcPr>
            <w:tcW w:w="56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(19,699)</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w:t>
            </w: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(12,824)</w:t>
            </w:r>
          </w:p>
        </w:tc>
        <w:tc>
          <w:tcPr>
            <w:tcW w:w="80" w:type="dxa"/>
            <w:vAlign w:val="bottom"/>
            <w:tcBorders>
              <w:bottom w:val="single" w:sz="8" w:color="CCEEFF"/>
            </w:tcBorders>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8"/>
              </w:rPr>
              <w:t>Basic and diluted weighted average number of common shares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15,368,986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14,383,720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15,366,738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14,256,501</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125"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500" w:right="230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3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6"/>
        </w:trPr>
        <w:tc>
          <w:tcPr>
            <w:tcW w:w="20" w:type="dxa"/>
            <w:vAlign w:val="bottom"/>
          </w:tcPr>
          <w:p>
            <w:pPr>
              <w:spacing w:after="0"/>
              <w:rPr>
                <w:sz w:val="17"/>
                <w:szCs w:val="17"/>
                <w:color w:val="auto"/>
              </w:rPr>
            </w:pPr>
          </w:p>
        </w:tc>
        <w:tc>
          <w:tcPr>
            <w:tcW w:w="70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(34,779)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available-for-sale securities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7060" w:type="dxa"/>
            <w:vAlign w:val="bottom"/>
          </w:tcPr>
          <w:p>
            <w:pPr>
              <w:ind w:left="70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(19,392)</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(33,975)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(12,836)</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240" w:top="621" w:right="47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460" w:right="222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5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1"/>
              </w:rPr>
              <w:t>Preferred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2"/>
              </w:rPr>
              <w:t>Common stock</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auto"/>
            </w:tcBorders>
            <w:gridSpan w:val="3"/>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ind w:right="51"/>
              <w:spacing w:after="0" w:line="149" w:lineRule="exact"/>
              <w:rPr>
                <w:sz w:val="20"/>
                <w:szCs w:val="20"/>
                <w:color w:val="auto"/>
              </w:rPr>
            </w:pPr>
            <w:r>
              <w:rPr>
                <w:rFonts w:ascii="Arial" w:cs="Arial" w:eastAsia="Arial" w:hAnsi="Arial"/>
                <w:sz w:val="14"/>
                <w:szCs w:val="14"/>
                <w:b w:val="1"/>
                <w:bCs w:val="1"/>
                <w:color w:val="auto"/>
                <w:w w:val="95"/>
              </w:rPr>
              <w:t>paid-in</w:t>
            </w:r>
          </w:p>
        </w:tc>
        <w:tc>
          <w:tcPr>
            <w:tcW w:w="12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9"/>
                <w:szCs w:val="9"/>
                <w:color w:val="auto"/>
              </w:rPr>
            </w:pPr>
          </w:p>
        </w:tc>
        <w:tc>
          <w:tcPr>
            <w:tcW w:w="1080" w:type="dxa"/>
            <w:vAlign w:val="bottom"/>
            <w:gridSpan w:val="3"/>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stockholders’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1"/>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15,409,023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616,573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(139,272)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476,984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options for services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securities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15,417,064</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622,678</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(154,352)</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468,506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stock options for services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shd w:val="clear" w:color="auto" w:fill="CCEEFF"/>
              </w:rPr>
              <w:t>Unrealized gain on marketable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ind w:left="540"/>
              <w:spacing w:after="0"/>
              <w:rPr>
                <w:sz w:val="20"/>
                <w:szCs w:val="20"/>
                <w:color w:val="auto"/>
              </w:rPr>
            </w:pPr>
            <w:r>
              <w:rPr>
                <w:rFonts w:ascii="Arial" w:cs="Arial" w:eastAsia="Arial" w:hAnsi="Arial"/>
                <w:sz w:val="18"/>
                <w:szCs w:val="18"/>
                <w:color w:val="auto"/>
                <w:shd w:val="clear" w:color="auto" w:fill="CCEEFF"/>
              </w:rPr>
              <w:t>securities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307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(19,699)</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vMerge w:val="continue"/>
            <w:shd w:val="clear" w:color="auto" w:fill="CCEEFF"/>
          </w:tcPr>
          <w:p>
            <w:pPr>
              <w:spacing w:after="0"/>
              <w:rPr>
                <w:sz w:val="20"/>
                <w:szCs w:val="20"/>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15,426,297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630,550</w:t>
            </w:r>
          </w:p>
        </w:tc>
        <w:tc>
          <w:tcPr>
            <w:tcW w:w="4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485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(174,051</w:t>
            </w:r>
          </w:p>
        </w:tc>
        <w:tc>
          <w:tcPr>
            <w:tcW w:w="240" w:type="dxa"/>
            <w:vAlign w:val="bottom"/>
            <w:tcBorders>
              <w:right w:val="single" w:sz="8" w:color="CCEEFF"/>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456,986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14,227,634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288,750</w:t>
            </w:r>
          </w:p>
        </w:tc>
        <w:tc>
          <w:tcPr>
            <w:tcW w:w="4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(106,461)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options for services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Unrealized loss on marketable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securities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14,250,726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290,182</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(112,825)</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177,184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w w:val="98"/>
              </w:rPr>
              <w:t>Issuance of common shares in equity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offering, excluding related parties,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net of transaction costs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1,079,580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311,824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311,825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options for services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520"/>
              <w:spacing w:after="0"/>
              <w:rPr>
                <w:sz w:val="20"/>
                <w:szCs w:val="20"/>
                <w:color w:val="auto"/>
              </w:rPr>
            </w:pPr>
            <w:r>
              <w:rPr>
                <w:rFonts w:ascii="Arial" w:cs="Arial" w:eastAsia="Arial" w:hAnsi="Arial"/>
                <w:sz w:val="18"/>
                <w:szCs w:val="18"/>
                <w:color w:val="auto"/>
              </w:rPr>
              <w:t>securities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15,365,384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605,418</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(119,285)</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486,092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368"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(34,779)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(266,116)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net of disposals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(183,036)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311,825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common stock options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313,274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in cash and cash equivalents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148,627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continu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6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Obtaining a right-of-use asset in exchange for a lease liability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527"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480" w:right="252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200" w:right="7000" w:firstLine="4"/>
        <w:spacing w:after="0" w:line="378"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200" w:firstLine="441"/>
        <w:spacing w:after="0" w:line="291" w:lineRule="auto"/>
        <w:rPr>
          <w:sz w:val="20"/>
          <w:szCs w:val="20"/>
          <w:color w:val="auto"/>
        </w:rPr>
      </w:pPr>
      <w:r>
        <w:rPr>
          <w:rFonts w:ascii="Arial" w:cs="Arial" w:eastAsia="Arial" w:hAnsi="Arial"/>
          <w:sz w:val="16"/>
          <w:szCs w:val="16"/>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indications in dyslipidemia, potentially including genetic dyslipidemias such as familial hypercholesterolemia (“FH”). The Company initiated a Phase 2 study of resmetirom in NASH in October 2016. In February 2017, the Company initiated a Phase 2 study of resmetirom in patients with Heterozygous Familial Hypercholesterolemia (“HeFH”). Both Phase 2 studies were fully enrolled in 2017, the HeFH study was completed in February 2018, and the NASH study was completed in May 2018. The Company initiated a Phase 3 study of resmetirom in NASH in March 2019.</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Madrigal was originally incorporated as a private company (“Private Madrigal”) on August 19, 2011 and operations commenced in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2011. On July 22, 2016, Private Madrigal completed a reverse merger (the “Merger”) into Synta Pharmaceuticals Corp. (“Synta”). Upon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consummation of the Merger, the historical financial statements of Private Madrigal became the Company’s historical financial statements.</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2019 or any subsequent period. These unaudited condensed financial statements should be read in conjunction with the audited consolidated financial statements and the notes to those statements for the year ended December 31, 2018.</w:t>
      </w:r>
    </w:p>
    <w:p>
      <w:pPr>
        <w:spacing w:after="0" w:line="283" w:lineRule="exact"/>
        <w:rPr>
          <w:sz w:val="20"/>
          <w:szCs w:val="20"/>
          <w:color w:val="auto"/>
        </w:rPr>
      </w:pPr>
    </w:p>
    <w:p>
      <w:pPr>
        <w:ind w:left="200" w:right="7420" w:firstLine="4"/>
        <w:spacing w:after="0" w:line="378"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ind w:left="200" w:right="680" w:firstLine="44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the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527"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and six months ended June 30, 2019 and 2018, the Company determined it did not have any securities that were other-than-temporarily impaired.</w:t>
      </w:r>
    </w:p>
    <w:p>
      <w:pPr>
        <w:spacing w:after="0" w:line="178"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and six months ended June 30, 2019 and 2018, the Company did not have any realized gains or losses on marketable securities.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June 30, 2019, the Company’s financial assets valued based on Level 1 inputs consisted of cash and cash equivalents in a money market fund and its financial assets valued based on Level 2 inputs consisted of high-grade corporate bonds and commercial paper. During the three and six months ended June 30, 2019 and 2018, the Company did not have any transfers of financial assets between Levels 1 and 2. As of June 30, 2019 and December 31, 2018, the Company did not have any financial liabilities that were recorded at fair value on a recurring basis on the balance sheet.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process, and conducted clinical trials, all of which are considered research and development expenditures.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500"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six months ended June 30, 2019 and 2018,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Three and Six Months Ended June 30,</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1,137,507)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52,063)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104,127)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February 2016, the FASB issued ASU 2016-02, “Leases,” which, together with amendments comprising ASC 842, requires lessees to identify arrangements that should be accounted for as leases and generally recognized, for operating and finance leases with terms exceeding twelve months, a right-of-use asset (or “ROU”) and lease liability on the balance sheet. For public business entities, ASU 2016-02 is effective for annual and interim reporting periods beginning after December 15, 2018, with early adoption permitted. A modified retrospective transition approach is required, applying the new standard to all leases existing at the date of initial application. The Company adopted ASU 2016-02 effective January 1, 2019. There was no significant retrospective impact from the</w:t>
      </w:r>
    </w:p>
    <w:p>
      <w:pPr>
        <w:sectPr>
          <w:pgSz w:w="11900" w:h="16838" w:orient="portrait"/>
          <w:cols w:equalWidth="0" w:num="1">
            <w:col w:w="11200"/>
          </w:cols>
          <w:pgMar w:left="240" w:top="500" w:right="459" w:bottom="1440" w:gutter="0" w:footer="0" w:header="0"/>
        </w:sect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240" w:top="500"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right="260"/>
        <w:spacing w:after="0" w:line="257" w:lineRule="auto"/>
        <w:rPr>
          <w:sz w:val="20"/>
          <w:szCs w:val="20"/>
          <w:color w:val="auto"/>
        </w:rPr>
      </w:pPr>
      <w:r>
        <w:rPr>
          <w:rFonts w:ascii="Arial" w:cs="Arial" w:eastAsia="Arial" w:hAnsi="Arial"/>
          <w:sz w:val="18"/>
          <w:szCs w:val="18"/>
          <w:color w:val="auto"/>
        </w:rPr>
        <w:t>adoption. The new standard provides a number of optional practical expedients in transition. We have elected the package of practical expedients, which permits us not to reassess under the new standard our prior conclusions about lease identification, lease classification and initial direct costs. The new standard also provides practical expedients for an entity’s ongoing accounting. We have elected the short-term lease exception and we will not recognize ROU assets or lease liabilities for qualifying leases (leases with a term of less than 12 months from lease commencement). In 2019, the Company accounted for a new lease under the guidance (see Note 7) .</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200" w:right="520" w:firstLine="441"/>
        <w:spacing w:after="0" w:line="302" w:lineRule="auto"/>
        <w:rPr>
          <w:sz w:val="20"/>
          <w:szCs w:val="20"/>
          <w:color w:val="auto"/>
        </w:rPr>
      </w:pPr>
      <w:r>
        <w:rPr>
          <w:rFonts w:ascii="Arial" w:cs="Arial" w:eastAsia="Arial" w:hAnsi="Arial"/>
          <w:sz w:val="16"/>
          <w:szCs w:val="16"/>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54"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Company has incurred losses since inception, including approximately $34.8 million for the six months ended June 30, 2019, resulting in an accumulated deficit of approximately $174.1 million as of June 30, 2019. Management expects to incur losses for the foreseeable future. To date, the Company has funded its operations primarily through the issuance of convertible debt, the proceeds from the Merger on July 22, 2016, and proceeds from sales of the Company’s equity securities.</w:t>
      </w:r>
    </w:p>
    <w:p>
      <w:pPr>
        <w:spacing w:after="0" w:line="187"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June 30, 2019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2019 and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94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Cash (Level 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300" w:type="dxa"/>
            <w:vAlign w:val="bottom"/>
            <w:gridSpan w:val="2"/>
          </w:tcPr>
          <w:p>
            <w:pPr>
              <w:jc w:val="center"/>
              <w:ind w:left="13"/>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34"/>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70,174</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w w:val="99"/>
              </w:rPr>
              <w:t>Corporate debt securities due within 3 months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383,546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479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384,025</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w w:val="96"/>
              </w:rPr>
              <w:t>Corporate debt securities due within 1 to 2 years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9,863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465,911</w:t>
            </w:r>
          </w:p>
        </w:tc>
        <w:tc>
          <w:tcPr>
            <w:tcW w:w="30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490</w:t>
            </w:r>
          </w:p>
        </w:tc>
        <w:tc>
          <w:tcPr>
            <w:tcW w:w="56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466,396</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80" w:type="dxa"/>
            <w:vAlign w:val="bottom"/>
            <w:gridSpan w:val="3"/>
            <w:vMerge w:val="restart"/>
          </w:tcPr>
          <w:p>
            <w:pPr>
              <w:jc w:val="right"/>
              <w:ind w:right="8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60" w:type="dxa"/>
            <w:vAlign w:val="bottom"/>
            <w:tcBorders>
              <w:bottom w:val="single" w:sz="8" w:color="9A9A9A"/>
            </w:tcBorders>
            <w:gridSpan w:val="2"/>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360" w:type="dxa"/>
            <w:vAlign w:val="bottom"/>
            <w:tcBorders>
              <w:bottom w:val="single" w:sz="8" w:color="EEEEEE"/>
            </w:tcBorders>
            <w:gridSpan w:val="2"/>
          </w:tcPr>
          <w:p>
            <w:pPr>
              <w:spacing w:after="0"/>
              <w:rPr>
                <w:sz w:val="2"/>
                <w:szCs w:val="2"/>
                <w:color w:val="auto"/>
              </w:rPr>
            </w:pPr>
          </w:p>
        </w:tc>
        <w:tc>
          <w:tcPr>
            <w:tcW w:w="5320" w:type="dxa"/>
            <w:vAlign w:val="bottom"/>
            <w:tcBorders>
              <w:bottom w:val="single" w:sz="8" w:color="EEEEEE"/>
            </w:tcBorders>
          </w:tcPr>
          <w:p>
            <w:pPr>
              <w:spacing w:after="0"/>
              <w:rPr>
                <w:sz w:val="2"/>
                <w:szCs w:val="2"/>
                <w:color w:val="auto"/>
              </w:rPr>
            </w:pPr>
          </w:p>
        </w:tc>
        <w:tc>
          <w:tcPr>
            <w:tcW w:w="20" w:type="dxa"/>
            <w:vAlign w:val="bottom"/>
            <w:tcBorders>
              <w:bottom w:val="single" w:sz="8" w:color="EEEEEE"/>
            </w:tcBorders>
          </w:tcPr>
          <w:p>
            <w:pPr>
              <w:spacing w:after="0"/>
              <w:rPr>
                <w:sz w:val="2"/>
                <w:szCs w:val="2"/>
                <w:color w:val="auto"/>
              </w:rPr>
            </w:pPr>
          </w:p>
        </w:tc>
        <w:tc>
          <w:tcPr>
            <w:tcW w:w="60" w:type="dxa"/>
            <w:vAlign w:val="bottom"/>
            <w:tcBorders>
              <w:bottom w:val="single" w:sz="8" w:color="EEEEEE"/>
            </w:tcBorders>
          </w:tcPr>
          <w:p>
            <w:pPr>
              <w:spacing w:after="0"/>
              <w:rPr>
                <w:sz w:val="2"/>
                <w:szCs w:val="2"/>
                <w:color w:val="auto"/>
              </w:rPr>
            </w:pPr>
          </w:p>
        </w:tc>
        <w:tc>
          <w:tcPr>
            <w:tcW w:w="600" w:type="dxa"/>
            <w:vAlign w:val="bottom"/>
            <w:tcBorders>
              <w:bottom w:val="single" w:sz="8" w:color="EEEEEE"/>
            </w:tcBorders>
          </w:tcPr>
          <w:p>
            <w:pPr>
              <w:spacing w:after="0"/>
              <w:rPr>
                <w:sz w:val="2"/>
                <w:szCs w:val="2"/>
                <w:color w:val="auto"/>
              </w:rPr>
            </w:pPr>
          </w:p>
        </w:tc>
        <w:tc>
          <w:tcPr>
            <w:tcW w:w="4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260" w:type="dxa"/>
            <w:vAlign w:val="bottom"/>
            <w:tcBorders>
              <w:bottom w:val="single" w:sz="8" w:color="EEEEEE"/>
            </w:tcBorders>
          </w:tcPr>
          <w:p>
            <w:pPr>
              <w:spacing w:after="0"/>
              <w:rPr>
                <w:sz w:val="2"/>
                <w:szCs w:val="2"/>
                <w:color w:val="auto"/>
              </w:rPr>
            </w:pPr>
          </w:p>
        </w:tc>
        <w:tc>
          <w:tcPr>
            <w:tcW w:w="380" w:type="dxa"/>
            <w:vAlign w:val="bottom"/>
            <w:tcBorders>
              <w:bottom w:val="single" w:sz="8" w:color="EEEEEE"/>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140" w:type="dxa"/>
            <w:vAlign w:val="bottom"/>
            <w:tcBorders>
              <w:bottom w:val="single" w:sz="8" w:color="EEEEEE"/>
            </w:tcBorders>
          </w:tcPr>
          <w:p>
            <w:pPr>
              <w:spacing w:after="0"/>
              <w:rPr>
                <w:sz w:val="2"/>
                <w:szCs w:val="2"/>
                <w:color w:val="auto"/>
              </w:rPr>
            </w:pPr>
          </w:p>
        </w:tc>
        <w:tc>
          <w:tcPr>
            <w:tcW w:w="42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400" w:type="dxa"/>
            <w:vAlign w:val="bottom"/>
            <w:tcBorders>
              <w:bottom w:val="single" w:sz="8" w:color="EEEEEE"/>
            </w:tcBorders>
          </w:tcPr>
          <w:p>
            <w:pPr>
              <w:spacing w:after="0"/>
              <w:rPr>
                <w:sz w:val="2"/>
                <w:szCs w:val="2"/>
                <w:color w:val="auto"/>
              </w:rPr>
            </w:pPr>
          </w:p>
        </w:tc>
        <w:tc>
          <w:tcPr>
            <w:tcW w:w="280" w:type="dxa"/>
            <w:vAlign w:val="bottom"/>
            <w:tcBorders>
              <w:bottom w:val="single" w:sz="8" w:color="EEEEEE"/>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c>
          <w:tcPr>
            <w:tcW w:w="60" w:type="dxa"/>
            <w:vAlign w:val="bottom"/>
            <w:tcBorders>
              <w:bottom w:val="single" w:sz="8" w:color="EEEEEE"/>
            </w:tcBorders>
          </w:tcPr>
          <w:p>
            <w:pPr>
              <w:spacing w:after="0"/>
              <w:rPr>
                <w:sz w:val="2"/>
                <w:szCs w:val="2"/>
                <w:color w:val="auto"/>
              </w:rPr>
            </w:pPr>
          </w:p>
        </w:tc>
        <w:tc>
          <w:tcPr>
            <w:tcW w:w="80" w:type="dxa"/>
            <w:vAlign w:val="bottom"/>
            <w:tcBorders>
              <w:bottom w:val="single" w:sz="8" w:color="EEEEEE"/>
            </w:tcBorders>
          </w:tcPr>
          <w:p>
            <w:pPr>
              <w:spacing w:after="0"/>
              <w:rPr>
                <w:sz w:val="2"/>
                <w:szCs w:val="2"/>
                <w:color w:val="auto"/>
              </w:rPr>
            </w:pPr>
          </w:p>
        </w:tc>
        <w:tc>
          <w:tcPr>
            <w:tcW w:w="600" w:type="dxa"/>
            <w:vAlign w:val="bottom"/>
            <w:tcBorders>
              <w:bottom w:val="single" w:sz="8" w:color="EEEEEE"/>
            </w:tcBorders>
          </w:tcPr>
          <w:p>
            <w:pPr>
              <w:spacing w:after="0"/>
              <w:rPr>
                <w:sz w:val="2"/>
                <w:szCs w:val="2"/>
                <w:color w:val="auto"/>
              </w:rPr>
            </w:pPr>
          </w:p>
        </w:tc>
        <w:tc>
          <w:tcPr>
            <w:tcW w:w="80" w:type="dxa"/>
            <w:vAlign w:val="bottom"/>
            <w:tcBorders>
              <w:bottom w:val="single" w:sz="8" w:color="EEEEEE"/>
            </w:tcBorders>
          </w:tcPr>
          <w:p>
            <w:pPr>
              <w:spacing w:after="0"/>
              <w:rPr>
                <w:sz w:val="2"/>
                <w:szCs w:val="2"/>
                <w:color w:val="auto"/>
              </w:rPr>
            </w:pPr>
          </w:p>
        </w:tc>
        <w:tc>
          <w:tcPr>
            <w:tcW w:w="660" w:type="dxa"/>
            <w:vAlign w:val="bottom"/>
            <w:tcBorders>
              <w:bottom w:val="single" w:sz="8" w:color="EEEEEE"/>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680" w:type="dxa"/>
            <w:vAlign w:val="bottom"/>
            <w:gridSpan w:val="3"/>
          </w:tcPr>
          <w:p>
            <w:pPr>
              <w:jc w:val="right"/>
              <w:ind w:right="5320"/>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234"/>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Unrealized</w:t>
            </w:r>
          </w:p>
        </w:tc>
        <w:tc>
          <w:tcPr>
            <w:tcW w:w="11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ind w:left="18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87"/>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Cash (Level 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w w:val="99"/>
              </w:rPr>
              <w:t>Corporate debt securities due within 3 months of date of purchase (Level 2)</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426,658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426,339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484,037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8"/>
              </w:rPr>
              <w:t>(333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483,718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-1838960</wp:posOffset>
            </wp:positionV>
            <wp:extent cx="3429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-1838960</wp:posOffset>
            </wp:positionV>
            <wp:extent cx="3429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286" w:lineRule="exact"/>
        <w:rPr>
          <w:sz w:val="20"/>
          <w:szCs w:val="20"/>
          <w:color w:val="auto"/>
        </w:rPr>
      </w:pPr>
    </w:p>
    <w:p>
      <w:pPr>
        <w:ind w:left="200" w:right="9440" w:firstLine="4"/>
        <w:spacing w:after="0" w:line="425" w:lineRule="auto"/>
        <w:tabs>
          <w:tab w:leader="none" w:pos="3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440"/>
          </w:cols>
          <w:pgMar w:left="240" w:top="500" w:right="219" w:bottom="77" w:gutter="0" w:footer="0" w:header="0"/>
        </w:sectPr>
      </w:pPr>
    </w:p>
    <w:bookmarkStart w:id="12" w:name="page13"/>
    <w:bookmarkEnd w:id="12"/>
    <w:p>
      <w:pPr>
        <w:ind w:right="20" w:firstLine="441"/>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Registered Offering of Common Stock</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 June 2018, the Company entered into an underwriting agreement with Goldman Sachs &amp; Co. LLC, as representative of the several underwriters named therein (the “June 2018 Underwriters”), relating to an underwritten public offering (the “June 2018 Offering”) of 1,079,580 shares of the Company’s common stock, including 95,973 shares of the Company’s common stock purchased by the June 2018 Underwriters pursuant to a 30-day option to purchase such additional shares granted therein, at a public offering price of $305.00 per share. The June 2018 Offering resulted in net proceeds to the Company of approximately $311.8 million, after deducting the June 2018 Underwriters’ discount and other offering costs. The June 2018 Offering closed on June 11,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June 30, 2019, the Company had options outstanding to purchase 1,454,844 shares of its common stock, which includes options outstanding under its 2006 Stock Plan. As of June 30, 2019, 1,361,345 shares were available for future issuance.</w:t>
      </w:r>
    </w:p>
    <w:p>
      <w:pPr>
        <w:sectPr>
          <w:pgSz w:w="11900" w:h="16838" w:orient="portrait"/>
          <w:cols w:equalWidth="0" w:num="1">
            <w:col w:w="11020"/>
          </w:cols>
          <w:pgMar w:left="440" w:top="125" w:right="439" w:bottom="1440" w:gutter="0" w:footer="0" w:header="0"/>
        </w:sectPr>
      </w:pPr>
    </w:p>
    <w:bookmarkStart w:id="13" w:name="page14"/>
    <w:bookmarkEnd w:id="13"/>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stock option activity during the six months ended June 30, 2019:</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Shares</w:t>
            </w:r>
          </w:p>
        </w:tc>
        <w:tc>
          <w:tcPr>
            <w:tcW w:w="2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5"/>
              </w:rPr>
              <w:t>price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1,132,618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339,500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Options 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1,454,844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2019</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continue"/>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745,023</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$0.2 million and $1.4 million, respectively, for the six months ended June 30, 2019 and 2018. The weighted-average grant date fair values, based on the Black-Scholes option model, of options granted during the six months ended June 30, 2019 and 2018 were $92.97 and $129.03,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52,063 unvested restricted shares outstanding at a weighted average grant date fair value of $9.45 at June 30, 2019 and December 31,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during the three and six months ended June 30, 2019 and 2018 was as follows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Three Months Ended 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7,632</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36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Effect of stock-based compensation expense by line item:</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2,366</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Total stock-based compensation expense included in net loss</w:t>
            </w:r>
          </w:p>
        </w:tc>
        <w:tc>
          <w:tcPr>
            <w:tcW w:w="1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36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3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40" w:type="dxa"/>
            <w:vAlign w:val="bottom"/>
            <w:vMerge w:val="restart"/>
          </w:tcPr>
          <w:p>
            <w:pPr>
              <w:jc w:val="right"/>
              <w:ind w:right="57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368"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Unrecognized stock-based compensation expense as of June 30, 2019 was as follows (in thousands):</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80" w:type="dxa"/>
            <w:vAlign w:val="bottom"/>
            <w:gridSpan w:val="3"/>
            <w:vMerge w:val="restart"/>
          </w:tcPr>
          <w:p>
            <w:pPr>
              <w:ind w:left="2520"/>
              <w:spacing w:after="0"/>
              <w:rPr>
                <w:sz w:val="20"/>
                <w:szCs w:val="20"/>
                <w:color w:val="auto"/>
              </w:rPr>
            </w:pPr>
            <w:r>
              <w:rPr>
                <w:rFonts w:ascii="Arial" w:cs="Arial" w:eastAsia="Arial" w:hAnsi="Arial"/>
                <w:sz w:val="14"/>
                <w:szCs w:val="14"/>
                <w:b w:val="1"/>
                <w:bCs w:val="1"/>
                <w:color w:val="auto"/>
                <w:w w:val="90"/>
              </w:rPr>
              <w:t>Unrecognized</w:t>
            </w:r>
          </w:p>
        </w:tc>
        <w:tc>
          <w:tcPr>
            <w:tcW w:w="6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stock</w:t>
            </w:r>
          </w:p>
        </w:tc>
        <w:tc>
          <w:tcPr>
            <w:tcW w:w="1320" w:type="dxa"/>
            <w:vAlign w:val="bottom"/>
            <w:gridSpan w:val="3"/>
          </w:tcPr>
          <w:p>
            <w:pPr>
              <w:jc w:val="center"/>
              <w:ind w:left="436"/>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80" w:type="dxa"/>
            <w:vAlign w:val="bottom"/>
            <w:gridSpan w:val="3"/>
          </w:tcPr>
          <w:p>
            <w:pPr>
              <w:ind w:left="25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2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2"/>
              </w:rPr>
              <w:t>expense</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Restricted stock</w:t>
            </w:r>
          </w:p>
        </w:tc>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2019, the Company entered into an operating lease for office space. As described within Note 2, we adopted ASU 2016-02, “Leases,” on January 1, 2019 requiring, among other changes, operating and finance leases with terms exceeding twelve months to be recognized as ROU assets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Future minimum payments under the Company’s operating leases related to the ROU asset and lease liability as of June 30, 2019 was as follows (in thousand):</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960" w:type="dxa"/>
            <w:vAlign w:val="bottom"/>
            <w:gridSpan w:val="4"/>
          </w:tcPr>
          <w:p>
            <w:pPr>
              <w:ind w:left="2240"/>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34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2020</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2022</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2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9"/>
                <w:szCs w:val="19"/>
                <w:color w:val="auto"/>
              </w:rPr>
            </w:pPr>
          </w:p>
        </w:tc>
      </w:tr>
    </w:tbl>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of June 30, 2019, the weighted average remaining operating lease term was 2.6 years and the weighted average discount rate used to determine the operating lease liabilities was 5.5%. Operating lease costs were $117 thousand and $174 thousand, short-term lease costs were $68 thousand and $117 thousand, and there were no) variable lease costs for the three and six months ended June 30, 2019,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 the agreement total $8 million and are earned by achieving specified objectives related to future regulatory approval in the United States and Europe of a product developed from MGL-3196(resmetirom).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six months ended June 30, 2019 and 2018.</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3 clinical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trials.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500"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20"/>
        <w:spacing w:after="0" w:line="286" w:lineRule="auto"/>
        <w:rPr>
          <w:sz w:val="20"/>
          <w:szCs w:val="20"/>
          <w:color w:val="auto"/>
        </w:rPr>
      </w:pPr>
      <w:r>
        <w:rPr>
          <w:rFonts w:ascii="Arial" w:cs="Arial" w:eastAsia="Arial" w:hAnsi="Arial"/>
          <w:sz w:val="16"/>
          <w:szCs w:val="16"/>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Forward-looking statements include but are not limited to statements or references concerning: our clinical trials, research and development activities, the timing and results associated with the future development of our lead product candidate, MGL-3196 (resmetirom); our primary and secondary study endpoints for resmetirom and the potential for achieving such endpoints; optimal dosing levels for resmetirom; projections regarding potential future NASH resolution, fibrosis treatment, cardiovascular effects and lipid treatment; the achievement of enrollment objectives concerning patient number and/or timing for our studies; potential NASH or NAFLD patient risk profile benefits;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“anticipates,” “be,” “believes,” “continue,” “could,” “estimates,” “expects,” “future,” “intends,” “may,” “might,” “plans,” “potential,” “predicts,” “projects,” “seeks,” “should,” “will,”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2"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Forward-looking statements are subject to a number of risks and uncertainties including, but not limited to: the company’s clinical development of resmetirom; enrollment uncertainties; outcomes or trends from competitive studies; the risks of achieving potential benefits in a study that includes substantially more patients than our prior study; the timing and outcomes of clinical studies of resmetirom; the uncertainties inherent in clinical testing; and the risks affecting our development objectives, business, financial condition, prospects and resources, as set forth in detail under “Risk Factors” as disclosed in Part I, Item 1A of our Annual Report on Form 10-K for the fiscal year ended December 31, 2018 filed with the SEC on February 27,</w:t>
      </w:r>
    </w:p>
    <w:p>
      <w:pPr>
        <w:spacing w:after="0" w:line="2"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color w:val="auto"/>
        </w:rPr>
        <w:t>2019.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also refer to Madrigal’s past and future filings with the U.S. Securities and Exchange Commission for more detailed information regarding these risks and uncertainties and other factors that may cause actual results to differ materially from those expressed or implied.</w:t>
      </w:r>
    </w:p>
    <w:p>
      <w:pPr>
        <w:spacing w:after="0" w:line="29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2018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section entitled “Special Note Regarding Forward-Looking Statements” included elsewhere in this report. Our operating results are not necessarily indicative of results that may occur for the full fiscal year or any other future period.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innovative therapeutic candidates 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the Phase 2 clinical trial, which includes 14 patients who received placebo in the main study. We are also developing resmetirom for dyslipidemia, which began with a study of a genetic dyslipidemia known as heterozygous familial hypercholesterolemia, or HeFH. We enrolled 116 patients and completed a Phase 2 clinical trial in HeFH patients, and we reported the results in February 2018. We are also planning to advance resmetirom in registration studies for the treatment of dyslipidemia in patients with fatty liver disease, including NAFLD/NASH patients because of its demonstrated ability to lower LDL-cholesterol and multiple atherogenic lipids including triglycerides, lipoprotein (a) and apolipoprotein B. In addition to the NASH and HeFH Phase 2</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365"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clinical trials, resmetirom has also been studied in seven completed Phase 1 trials in a total of 198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formulations versus capsule formulation, and a multiple dose drug interaction and food effect study.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Initiation of Phase 3 clinical trial in NASH</w:t>
      </w:r>
    </w:p>
    <w:p>
      <w:pPr>
        <w:spacing w:after="0" w:line="11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On March 28, 2019, the Company announced that it had initiated a Phase 3 trial in NASH with its once daily, oral thyroid hormone receptor beta selective agonist, MGL-3196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 point reduction in NAS,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8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In the second quarter, the Phase 3 trial in NASH triggered a $2 million milestone payment under our Research, Development and Commercialization Agreement with Hoffmann-La Roche (“Roche”).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Research and development expenses primarily consist of costs associated with our research activities, including the preclinical and clinical development of our product candidates. We expense our research and development costs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 Our research and development expenses consist primarily of:</w:t>
      </w:r>
    </w:p>
    <w:p>
      <w:pPr>
        <w:spacing w:after="0" w:line="71"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17"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providers and consultants that conduct clinical trials;</w:t>
      </w:r>
    </w:p>
    <w:p>
      <w:pPr>
        <w:spacing w:after="0" w:line="62"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40" w:lineRule="exact"/>
        <w:rPr>
          <w:rFonts w:ascii="Arial" w:cs="Arial" w:eastAsia="Arial" w:hAnsi="Arial"/>
          <w:sz w:val="16"/>
          <w:szCs w:val="16"/>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17"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2019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621"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81"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2019, as compared to those disclosed in our Annual Report on Form 10-K for the fiscal year ended December 31, 2018 filed with the SEC on February 27, 2019.</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Three Months Ended June 30, 2019 and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June 30, 2019 and 2018 (in thousands):</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 June 30,</w:t>
            </w: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Increase / (Decrease)</w:t>
            </w:r>
          </w:p>
        </w:tc>
      </w:tr>
      <w:tr>
        <w:trPr>
          <w:trHeight w:val="196"/>
        </w:trPr>
        <w:tc>
          <w:tcPr>
            <w:tcW w:w="20" w:type="dxa"/>
            <w:vAlign w:val="bottom"/>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2,717</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4,393</w:t>
            </w: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had no revenue for the three months ended June 30, 2019 and 2018.</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621"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Our research and development expenses were $15.6 million for the three months ended June 30, 2019, compared to $5.1 million in the corresponding period in 2018. Research and development expenses increased by $10.5 million in the 2019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time as we advance our clinical and preclinical development programs for MGL-3196 (resmetirom).</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Our general and administrative expenses were $7.1 million for the three months ended June 30, 2019, compared to $2.7 million in the corresponding period in 2018. General and administrative expenses increased by $4.4 million in the 2019 period due primarily to an increase in non-cash stock compensation from stock option awards. We believe our general and administrative expenses may increase over time as we advance our clinical and preclinical development programs for MGL-3196 (resmetirom), which will likely result in an increase in our headcount, consulting services, and related overhead needed to support those efforts.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Our net interest income was $3.0 million for the three months ended June 30, 2019, compared to $1.2 million in the corresponding period in 2018. The increase in interest income was due primarily to a higher average principal balance in our investment account in 2019, and increased interest rates.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Six Months Ended June 30, 2019 and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table provides comparative unaudited results of operations for the six months ended June 30, 2019 and 2018 (in thousands):</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1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Increase / (Decrease)</w:t>
            </w:r>
          </w:p>
        </w:tc>
      </w:tr>
      <w:tr>
        <w:trPr>
          <w:trHeight w:val="196"/>
        </w:trPr>
        <w:tc>
          <w:tcPr>
            <w:tcW w:w="20" w:type="dxa"/>
            <w:vAlign w:val="bottom"/>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4,588</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8,268</w:t>
            </w:r>
          </w:p>
        </w:tc>
        <w:tc>
          <w:tcPr>
            <w:tcW w:w="3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21,955</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had no revenue for the six months ended June 30, 2019 and 2018.</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Our research and development expenses were $28.0 million for the six months ended June 30, 2019, compared to $10.3 million in the corresponding period in 2018. Research and development expenses increased by $17.7 million in the 2019 period due primarily to the additional activities related to the initiation of the Phase 3 clinical trial in NASH, including a payment due related to a milestone achieved under our agreement with Roche, an increase in head count, and an increase in non-cash stock compensation from stock option awards. We expect our research and development expenses to increase over time as we advance our clinical and preclinical development programs for MGL-3196 (resmetirom).</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Our general and administrative expenses were $12.9 million for the six months ended June 30, 2019, compared to $4.6 million in the corresponding period in 2018. General and administrative expenses increased by $8.3 million in the 2019 period due primarily to an increase in non-cash stock compensation from stock option awards. We believe our general and administrative expenses may increase over time as we advance our clinical and preclinical development programs for MGL-3196 (resmetirom), which will likely result in an increase in our headcount, consulting services, and related overhead needed to support those efforts.</w:t>
      </w: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621"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200" w:right="300"/>
        <w:spacing w:after="0" w:line="342" w:lineRule="auto"/>
        <w:rPr>
          <w:sz w:val="20"/>
          <w:szCs w:val="20"/>
          <w:color w:val="auto"/>
        </w:rPr>
      </w:pPr>
      <w:r>
        <w:rPr>
          <w:rFonts w:ascii="Arial" w:cs="Arial" w:eastAsia="Arial" w:hAnsi="Arial"/>
          <w:sz w:val="16"/>
          <w:szCs w:val="16"/>
          <w:color w:val="auto"/>
        </w:rPr>
        <w:t>Our net interest income was $6.0 million for the six months ended June 30, 2019, compared to $1.9 million in the corresponding period in 2018. The increase in interest income was due primarily to a higher average principal balance in our investment account in 2019, and increased interest rates.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71"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As of June 30, 2019, we had cash, cash equivalents and marketable securities totaling $466.4 million compared to $483.7 million as of December 31, 2018, with the decrease primarily attributable to our net operating loss.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54"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June 30, 2019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could be harmed. Furthermore, any sales of additional equity securities may result in dilution to our stockholders, and any debt financing may include covenants that restrict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(183,036)</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313,274</w:t>
            </w: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15,129</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116,234</w:t>
            </w:r>
          </w:p>
        </w:tc>
        <w:tc>
          <w:tcPr>
            <w:tcW w:w="80" w:type="dxa"/>
            <w:vAlign w:val="bottom"/>
          </w:tcPr>
          <w:p>
            <w:pPr>
              <w:spacing w:after="0"/>
              <w:rPr>
                <w:sz w:val="19"/>
                <w:szCs w:val="19"/>
                <w:color w:val="auto"/>
              </w:rPr>
            </w:pPr>
          </w:p>
        </w:tc>
      </w:tr>
    </w:tbl>
    <w:p>
      <w:pPr>
        <w:spacing w:after="0" w:line="18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Net cash used in operating activities was $18.0 million for the six months ended June 30, 2019, compared to $14.0 million for the corresponding period in 2018.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cash provided by investing activities was $32.9 million for the six months ended June 30, 2019, compared to $183.0 million used in investing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activities for the corresponding period in 2018. Net cash provided by investing activities for the six months ended June 30, 2019 consisted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$299.1 million from sales and maturities of marketable securities, partially offset by $266.1 million of purchases of marketable securities for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 portfolio. Net cash used by investing activities for the six months ended June 30, 2018 consisted of $251.9 million of purchases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marketable securities for our investment portfolio, partially offset by $68.8 million from sales and maturities of marketable securities.</w:t>
      </w:r>
    </w:p>
    <w:p>
      <w:pPr>
        <w:spacing w:after="0" w:line="21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Net cash provided by financing activities was $0.2 million for the six months ended June 30, 2019, compared to $313.3 million for the corresponding period in 2018. Net cash provided by financing activities for the six months ended June 30, 2019 consisted of proceeds from exercise of stock options. Net cash provided by financing activities for the six months ended June 30, 2018 consisted of net proceeds from the issuance of common stock pursuant to the June 2018 Offering and the exercise of stock options.</w:t>
      </w: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621"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No significant changes to contractual obligations and commitments occurred during the six months ended June 30, 2019, as compared to those disclosed in our Quarterly Report on Form 10-Q for the quarter ended March 31, 2019, filed with the SEC on May 8,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5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621"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27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There have been no material changes to the risk factors included in our Annual Report on Form 10-K for the annual period ended December 31, 2018.</w:t>
      </w:r>
    </w:p>
    <w:p>
      <w:pPr>
        <w:spacing w:after="0" w:line="35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20"/>
          </w:cols>
          <w:pgMar w:left="240" w:top="621" w:right="439" w:bottom="1440" w:gutter="0" w:footer="0" w:header="0"/>
        </w:sectPr>
      </w:pP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19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9"/>
              </w:rPr>
              <w:t>Number  Exhibit Description</w:t>
            </w:r>
          </w:p>
        </w:tc>
        <w:tc>
          <w:tcPr>
            <w:tcW w:w="4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Form</w:t>
            </w:r>
          </w:p>
        </w:tc>
        <w:tc>
          <w:tcPr>
            <w:tcW w:w="2660" w:type="dxa"/>
            <w:vAlign w:val="bottom"/>
            <w:gridSpan w:val="7"/>
          </w:tcPr>
          <w:p>
            <w:pPr>
              <w:ind w:left="180"/>
              <w:spacing w:after="0" w:line="142" w:lineRule="exact"/>
              <w:rPr>
                <w:sz w:val="20"/>
                <w:szCs w:val="20"/>
                <w:color w:val="auto"/>
              </w:rPr>
            </w:pPr>
            <w:r>
              <w:rPr>
                <w:rFonts w:ascii="Arial" w:cs="Arial" w:eastAsia="Arial" w:hAnsi="Arial"/>
                <w:sz w:val="14"/>
                <w:szCs w:val="14"/>
                <w:b w:val="1"/>
                <w:bCs w:val="1"/>
                <w:color w:val="auto"/>
              </w:rPr>
              <w:t>File No.   Exhibit   Filing Date</w:t>
            </w:r>
          </w:p>
        </w:tc>
      </w:tr>
      <w:tr>
        <w:trPr>
          <w:trHeight w:val="277"/>
        </w:trPr>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Principal Executive Officer pursuant to Rule 13a-14(a) or</w:t>
              </w:r>
            </w:hyperlink>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gridSpan w:val="2"/>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Rule 15d-14(a) of the Securities Exchange Act of 1934, as adopted</w:t>
              </w:r>
            </w:hyperlink>
          </w:p>
        </w:tc>
        <w:tc>
          <w:tcPr>
            <w:tcW w:w="3520" w:type="dxa"/>
            <w:vAlign w:val="bottom"/>
            <w:gridSpan w:val="11"/>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34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pursuant to Section 302 of the Sarbanes-Oxley Act of 2002.</w:t>
              </w:r>
            </w:hyperlink>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line="297" w:lineRule="auto"/>
        <w:rPr>
          <w:sz w:val="20"/>
          <w:szCs w:val="20"/>
          <w:color w:val="auto"/>
        </w:rPr>
      </w:pPr>
      <w:r>
        <w:rPr>
          <w:rFonts w:ascii="Arial" w:cs="Arial" w:eastAsia="Arial" w:hAnsi="Arial"/>
          <w:sz w:val="13"/>
          <w:szCs w:val="13"/>
          <w:b w:val="1"/>
          <w:bCs w:val="1"/>
          <w:color w:val="auto"/>
        </w:rPr>
        <w:t xml:space="preserve">Filed </w:t>
      </w:r>
      <w:r>
        <w:rPr>
          <w:rFonts w:ascii="Arial" w:cs="Arial" w:eastAsia="Arial" w:hAnsi="Arial"/>
          <w:sz w:val="13"/>
          <w:szCs w:val="13"/>
          <w:b w:val="1"/>
          <w:bCs w:val="1"/>
          <w:u w:val="single" w:color="auto"/>
          <w:color w:val="auto"/>
        </w:rPr>
        <w:t>Herewith</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532" w:lineRule="exact"/>
        <w:rPr>
          <w:sz w:val="20"/>
          <w:szCs w:val="20"/>
          <w:color w:val="auto"/>
        </w:rPr>
      </w:pPr>
    </w:p>
    <w:p>
      <w:pPr>
        <w:sectPr>
          <w:pgSz w:w="11900" w:h="16838" w:orient="portrait"/>
          <w:cols w:equalWidth="0" w:num="2">
            <w:col w:w="10560" w:space="80"/>
            <w:col w:w="580"/>
          </w:cols>
          <w:pgMar w:left="240" w:top="621" w:right="439" w:bottom="1440" w:gutter="0" w:footer="0" w:header="0"/>
          <w:type w:val="continuous"/>
        </w:sectPr>
      </w:pPr>
    </w:p>
    <w:tbl>
      <w:tblPr>
        <w:tblLayout w:type="fixed"/>
        <w:tblInd w:w="260" w:type="dxa"/>
        <w:tblCellMar>
          <w:top w:w="0" w:type="dxa"/>
          <w:left w:w="0" w:type="dxa"/>
          <w:bottom w:w="0" w:type="dxa"/>
          <w:right w:w="0" w:type="dxa"/>
        </w:tblCellMar>
      </w:tblPr>
      <w:tr>
        <w:trPr>
          <w:trHeight w:val="207"/>
        </w:trPr>
        <w:tc>
          <w:tcPr>
            <w:tcW w:w="1960" w:type="dxa"/>
            <w:vAlign w:val="bottom"/>
          </w:tcPr>
          <w:p>
            <w:pPr>
              <w:ind w:left="80"/>
              <w:spacing w:after="0"/>
              <w:rPr>
                <w:sz w:val="20"/>
                <w:szCs w:val="20"/>
                <w:color w:val="auto"/>
              </w:rPr>
            </w:pPr>
            <w:r>
              <w:rPr>
                <w:rFonts w:ascii="Arial" w:cs="Arial" w:eastAsia="Arial" w:hAnsi="Arial"/>
                <w:sz w:val="18"/>
                <w:szCs w:val="18"/>
                <w:color w:val="auto"/>
              </w:rPr>
              <w:t>31.2</w:t>
            </w:r>
          </w:p>
        </w:tc>
        <w:tc>
          <w:tcPr>
            <w:tcW w:w="698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Certification of Principal Financial Officer pursuant to Rule 13a-14(a) or</w:t>
              </w:r>
            </w:hyperlink>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196"/>
        </w:trPr>
        <w:tc>
          <w:tcPr>
            <w:tcW w:w="196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Rule 15d-14(a) of the Securities Exchange Act of 1934, as adopted</w:t>
              </w:r>
            </w:hyperlink>
          </w:p>
        </w:tc>
        <w:tc>
          <w:tcPr>
            <w:tcW w:w="420" w:type="dxa"/>
            <w:vAlign w:val="bottom"/>
            <w:tcBorders>
              <w:top w:val="single" w:sz="8" w:color="0000EE"/>
            </w:tcBorders>
            <w:gridSpan w:val="3"/>
          </w:tcPr>
          <w:p>
            <w:pPr>
              <w:spacing w:after="0"/>
              <w:rPr>
                <w:sz w:val="17"/>
                <w:szCs w:val="17"/>
                <w:color w:val="auto"/>
              </w:rPr>
            </w:pPr>
          </w:p>
        </w:tc>
        <w:tc>
          <w:tcPr>
            <w:tcW w:w="17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980" w:type="dxa"/>
            <w:vAlign w:val="bottom"/>
            <w:gridSpan w:val="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pursuant to Section 302 of the Sarbanes-Oxley Act of 2002.</w:t>
              </w:r>
            </w:hyperlink>
          </w:p>
        </w:tc>
        <w:tc>
          <w:tcPr>
            <w:tcW w:w="18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1960" w:type="dxa"/>
            <w:vAlign w:val="bottom"/>
          </w:tcPr>
          <w:p>
            <w:pPr>
              <w:ind w:left="80"/>
              <w:spacing w:after="0"/>
              <w:rPr>
                <w:sz w:val="20"/>
                <w:szCs w:val="20"/>
                <w:color w:val="auto"/>
              </w:rPr>
            </w:pPr>
            <w:r>
              <w:rPr>
                <w:rFonts w:ascii="Arial" w:cs="Arial" w:eastAsia="Arial" w:hAnsi="Arial"/>
                <w:sz w:val="18"/>
                <w:szCs w:val="18"/>
                <w:color w:val="auto"/>
              </w:rPr>
              <w:t>32.1**</w:t>
            </w:r>
          </w:p>
        </w:tc>
        <w:tc>
          <w:tcPr>
            <w:tcW w:w="698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Certifications of Principal Executive Officer and Principal Financial</w:t>
              </w:r>
            </w:hyperlink>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196"/>
        </w:trPr>
        <w:tc>
          <w:tcPr>
            <w:tcW w:w="1960" w:type="dxa"/>
            <w:vAlign w:val="bottom"/>
          </w:tcPr>
          <w:p>
            <w:pPr>
              <w:spacing w:after="0"/>
              <w:rPr>
                <w:sz w:val="17"/>
                <w:szCs w:val="17"/>
                <w:color w:val="auto"/>
              </w:rPr>
            </w:pPr>
          </w:p>
        </w:tc>
        <w:tc>
          <w:tcPr>
            <w:tcW w:w="490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Officer, pursuant to 18 U.S.C. Section 1350, as adopted pursuant to</w:t>
              </w:r>
            </w:hyperlink>
          </w:p>
        </w:tc>
        <w:tc>
          <w:tcPr>
            <w:tcW w:w="208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906 of the Sarbanes-Oxley Act of 2002.</w:t>
              </w:r>
            </w:hyperlink>
          </w:p>
        </w:tc>
        <w:tc>
          <w:tcPr>
            <w:tcW w:w="1380" w:type="dxa"/>
            <w:vAlign w:val="bottom"/>
            <w:tcBorders>
              <w:top w:val="single" w:sz="8" w:color="0000EE"/>
            </w:tcBorders>
            <w:gridSpan w:val="3"/>
          </w:tcPr>
          <w:p>
            <w:pPr>
              <w:spacing w:after="0"/>
              <w:rPr>
                <w:sz w:val="17"/>
                <w:szCs w:val="17"/>
                <w:color w:val="auto"/>
              </w:rPr>
            </w:pPr>
          </w:p>
        </w:tc>
        <w:tc>
          <w:tcPr>
            <w:tcW w:w="2140" w:type="dxa"/>
            <w:vAlign w:val="bottom"/>
            <w:gridSpan w:val="3"/>
          </w:tcPr>
          <w:p>
            <w:pPr>
              <w:spacing w:after="0"/>
              <w:rPr>
                <w:sz w:val="17"/>
                <w:szCs w:val="17"/>
                <w:color w:val="auto"/>
              </w:rPr>
            </w:pPr>
          </w:p>
        </w:tc>
        <w:tc>
          <w:tcPr>
            <w:tcW w:w="1800" w:type="dxa"/>
            <w:vAlign w:val="bottom"/>
          </w:tcPr>
          <w:p>
            <w:pPr>
              <w:spacing w:after="0"/>
              <w:rPr>
                <w:sz w:val="17"/>
                <w:szCs w:val="17"/>
                <w:color w:val="auto"/>
              </w:rPr>
            </w:pPr>
          </w:p>
        </w:tc>
      </w:tr>
      <w:tr>
        <w:trPr>
          <w:trHeight w:val="330"/>
        </w:trPr>
        <w:tc>
          <w:tcPr>
            <w:tcW w:w="1960" w:type="dxa"/>
            <w:vAlign w:val="bottom"/>
          </w:tcPr>
          <w:p>
            <w:pPr>
              <w:spacing w:after="0"/>
              <w:rPr>
                <w:sz w:val="20"/>
                <w:szCs w:val="20"/>
                <w:color w:val="auto"/>
              </w:rPr>
            </w:pPr>
            <w:r>
              <w:rPr>
                <w:rFonts w:ascii="Arial" w:cs="Arial" w:eastAsia="Arial" w:hAnsi="Arial"/>
                <w:sz w:val="18"/>
                <w:szCs w:val="18"/>
                <w:color w:val="auto"/>
              </w:rPr>
              <w:t>101.INS</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Instance Document - the instance document does not appear in the</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216"/>
        </w:trPr>
        <w:tc>
          <w:tcPr>
            <w:tcW w:w="1960" w:type="dxa"/>
            <w:vAlign w:val="bottom"/>
          </w:tcPr>
          <w:p>
            <w:pPr>
              <w:spacing w:after="0"/>
              <w:rPr>
                <w:sz w:val="18"/>
                <w:szCs w:val="18"/>
                <w:color w:val="auto"/>
              </w:rPr>
            </w:pPr>
          </w:p>
        </w:tc>
        <w:tc>
          <w:tcPr>
            <w:tcW w:w="6980" w:type="dxa"/>
            <w:vAlign w:val="bottom"/>
            <w:gridSpan w:val="7"/>
          </w:tcPr>
          <w:p>
            <w:pPr>
              <w:spacing w:after="0"/>
              <w:rPr>
                <w:sz w:val="20"/>
                <w:szCs w:val="20"/>
                <w:color w:val="auto"/>
              </w:rPr>
            </w:pPr>
            <w:r>
              <w:rPr>
                <w:rFonts w:ascii="Arial" w:cs="Arial" w:eastAsia="Arial" w:hAnsi="Arial"/>
                <w:sz w:val="18"/>
                <w:szCs w:val="18"/>
                <w:color w:val="auto"/>
              </w:rPr>
              <w:t>interactive data file because its XBRL tags are embedded within the</w:t>
            </w:r>
          </w:p>
        </w:tc>
        <w:tc>
          <w:tcPr>
            <w:tcW w:w="18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980" w:type="dxa"/>
            <w:vAlign w:val="bottom"/>
            <w:gridSpan w:val="7"/>
          </w:tcPr>
          <w:p>
            <w:pPr>
              <w:spacing w:after="0"/>
              <w:rPr>
                <w:sz w:val="20"/>
                <w:szCs w:val="20"/>
                <w:color w:val="auto"/>
              </w:rPr>
            </w:pPr>
            <w:r>
              <w:rPr>
                <w:rFonts w:ascii="Arial" w:cs="Arial" w:eastAsia="Arial" w:hAnsi="Arial"/>
                <w:sz w:val="18"/>
                <w:szCs w:val="18"/>
                <w:color w:val="auto"/>
              </w:rPr>
              <w:t>inline XBRL document.</w:t>
            </w:r>
          </w:p>
        </w:tc>
        <w:tc>
          <w:tcPr>
            <w:tcW w:w="1800" w:type="dxa"/>
            <w:vAlign w:val="bottom"/>
          </w:tcPr>
          <w:p>
            <w:pPr>
              <w:spacing w:after="0"/>
              <w:rPr>
                <w:sz w:val="20"/>
                <w:szCs w:val="20"/>
                <w:color w:val="auto"/>
              </w:rPr>
            </w:pP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101.SCH</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101.CAL</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101.LAB</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101.PRE</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101.DEF</w:t>
            </w:r>
          </w:p>
        </w:tc>
        <w:tc>
          <w:tcPr>
            <w:tcW w:w="69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800" w:type="dxa"/>
            <w:vAlign w:val="bottom"/>
          </w:tcPr>
          <w:p>
            <w:pPr>
              <w:ind w:left="1660"/>
              <w:spacing w:after="0"/>
              <w:rPr>
                <w:sz w:val="20"/>
                <w:szCs w:val="20"/>
                <w:color w:val="auto"/>
              </w:rPr>
            </w:pPr>
            <w:r>
              <w:rPr>
                <w:rFonts w:ascii="Arial" w:cs="Arial" w:eastAsia="Arial" w:hAnsi="Arial"/>
                <w:sz w:val="18"/>
                <w:szCs w:val="18"/>
                <w:color w:val="auto"/>
                <w:w w:val="99"/>
              </w:rPr>
              <w:t>X</w:t>
            </w:r>
          </w:p>
        </w:tc>
      </w:tr>
    </w:tbl>
    <w:p>
      <w:pPr>
        <w:spacing w:after="0" w:line="134" w:lineRule="exact"/>
        <w:rPr>
          <w:sz w:val="20"/>
          <w:szCs w:val="20"/>
          <w:color w:val="auto"/>
        </w:rPr>
      </w:pPr>
    </w:p>
    <w:p>
      <w:pPr>
        <w:ind w:left="5620" w:right="2820" w:hanging="5416"/>
        <w:spacing w:after="0" w:line="52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in accordance with Item 601(b)(10) of Regulation S-K.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-577215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220"/>
          </w:cols>
          <w:pgMar w:left="240" w:top="621"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740" w:right="40" w:hanging="536"/>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60" w:type="dxa"/>
            <w:vAlign w:val="bottom"/>
            <w:gridSpan w:val="2"/>
          </w:tcPr>
          <w:p>
            <w:pPr>
              <w:ind w:left="2200"/>
              <w:spacing w:after="0"/>
              <w:rPr>
                <w:sz w:val="20"/>
                <w:szCs w:val="20"/>
                <w:color w:val="auto"/>
              </w:rPr>
            </w:pPr>
            <w:r>
              <w:rPr>
                <w:rFonts w:ascii="Arial" w:cs="Arial" w:eastAsia="Arial" w:hAnsi="Arial"/>
                <w:sz w:val="18"/>
                <w:szCs w:val="18"/>
                <w:color w:val="auto"/>
              </w:rPr>
              <w:t>MADRIGAL PHARMACEUTICALS,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August 7, 2019</w:t>
            </w:r>
          </w:p>
        </w:tc>
        <w:tc>
          <w:tcPr>
            <w:tcW w:w="7560" w:type="dxa"/>
            <w:vAlign w:val="bottom"/>
            <w:gridSpan w:val="2"/>
          </w:tcPr>
          <w:p>
            <w:pPr>
              <w:ind w:left="2200"/>
              <w:spacing w:after="0"/>
              <w:rPr>
                <w:sz w:val="20"/>
                <w:szCs w:val="20"/>
                <w:color w:val="auto"/>
              </w:rPr>
            </w:pPr>
            <w:r>
              <w:rPr>
                <w:rFonts w:ascii="Arial" w:cs="Arial" w:eastAsia="Arial" w:hAnsi="Arial"/>
                <w:sz w:val="18"/>
                <w:szCs w:val="18"/>
                <w:color w:val="auto"/>
              </w:rPr>
              <w:t>By:  /s/ Paul A. Friedman, M.D.</w:t>
            </w:r>
          </w:p>
        </w:tc>
      </w:tr>
      <w:tr>
        <w:trPr>
          <w:trHeight w:val="209"/>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A. Friedman, M.D.</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August 7, 2019</w:t>
            </w:r>
          </w:p>
        </w:tc>
        <w:tc>
          <w:tcPr>
            <w:tcW w:w="7560" w:type="dxa"/>
            <w:vAlign w:val="bottom"/>
            <w:gridSpan w:val="2"/>
          </w:tcPr>
          <w:p>
            <w:pPr>
              <w:ind w:left="2200"/>
              <w:spacing w:after="0"/>
              <w:rPr>
                <w:sz w:val="20"/>
                <w:szCs w:val="20"/>
                <w:color w:val="auto"/>
              </w:rPr>
            </w:pPr>
            <w:r>
              <w:rPr>
                <w:rFonts w:ascii="Arial" w:cs="Arial" w:eastAsia="Arial" w:hAnsi="Arial"/>
                <w:sz w:val="18"/>
                <w:szCs w:val="18"/>
                <w:color w:val="auto"/>
              </w:rPr>
              <w:t>By:  /s/ Marc R. Schneebaum</w:t>
            </w:r>
          </w:p>
        </w:tc>
      </w:tr>
      <w:tr>
        <w:trPr>
          <w:trHeight w:val="209"/>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 R. Schneebaum</w:t>
            </w:r>
          </w:p>
        </w:tc>
      </w:tr>
      <w:tr>
        <w:trPr>
          <w:trHeight w:val="216"/>
        </w:trPr>
        <w:tc>
          <w:tcPr>
            <w:tcW w:w="3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480" w:type="dxa"/>
            <w:vAlign w:val="bottom"/>
          </w:tcPr>
          <w:p>
            <w:pPr>
              <w:spacing w:after="0"/>
              <w:rPr>
                <w:sz w:val="24"/>
                <w:szCs w:val="24"/>
                <w:color w:val="auto"/>
              </w:rPr>
            </w:pPr>
          </w:p>
        </w:tc>
        <w:tc>
          <w:tcPr>
            <w:tcW w:w="258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4980" w:type="dxa"/>
            <w:vAlign w:val="bottom"/>
          </w:tcPr>
          <w:p>
            <w:pPr>
              <w:spacing w:after="0"/>
              <w:rPr>
                <w:sz w:val="24"/>
                <w:szCs w:val="24"/>
                <w:color w:val="auto"/>
              </w:rPr>
            </w:pPr>
          </w:p>
        </w:tc>
      </w:tr>
    </w:tbl>
    <w:p>
      <w:pPr>
        <w:sectPr>
          <w:pgSz w:w="11900" w:h="16838" w:orient="portrait"/>
          <w:cols w:equalWidth="0" w:num="1">
            <w:col w:w="11240"/>
          </w:cols>
          <w:pgMar w:left="240" w:top="621" w:right="4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60" w:right="19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sz w:val="20"/>
          <w:szCs w:val="20"/>
          <w:color w:val="auto"/>
        </w:rPr>
      </w:pPr>
    </w:p>
    <w:p>
      <w:pPr>
        <w:ind w:left="440" w:right="38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40" w:right="6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440" w:right="860" w:hanging="436"/>
        <w:spacing w:after="0" w:line="34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440" w:right="80" w:hanging="436"/>
        <w:spacing w:after="0" w:line="264"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440" w:right="80" w:hanging="436"/>
        <w:spacing w:after="0" w:line="342"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440" w:right="280" w:hanging="436"/>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40" w:right="240" w:hanging="436"/>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ectPr>
          <w:pgSz w:w="11900" w:h="16838" w:orient="portrait"/>
          <w:cols w:equalWidth="0" w:num="1">
            <w:col w:w="11020"/>
          </w:cols>
          <w:pgMar w:left="440"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60" w:right="19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131" w:lineRule="exact"/>
        <w:rPr>
          <w:sz w:val="20"/>
          <w:szCs w:val="20"/>
          <w:color w:val="auto"/>
        </w:rPr>
      </w:pPr>
    </w:p>
    <w:p>
      <w:pPr>
        <w:ind w:left="440" w:hanging="43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91"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sz w:val="20"/>
          <w:szCs w:val="20"/>
          <w:color w:val="auto"/>
        </w:rPr>
      </w:pPr>
    </w:p>
    <w:p>
      <w:pPr>
        <w:ind w:left="440" w:right="380" w:hanging="436"/>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40" w:right="60" w:hanging="436"/>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440" w:right="860" w:hanging="436"/>
        <w:spacing w:after="0" w:line="34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440" w:right="80" w:hanging="436"/>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440" w:right="80" w:hanging="436"/>
        <w:spacing w:after="0" w:line="34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440" w:right="280" w:hanging="436"/>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40" w:right="240" w:hanging="436"/>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ectPr>
          <w:pgSz w:w="11900" w:h="16838" w:orient="portrait"/>
          <w:cols w:equalWidth="0" w:num="1">
            <w:col w:w="11020"/>
          </w:cols>
          <w:pgMar w:left="440"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Quarterly Report on Form 10-Q for the quarterly period ended June 30, 2019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3353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3353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2019-12-28T08:11:00Z</dcterms:created>
  <dcterms:modified xsi:type="dcterms:W3CDTF">2019-12-28T08:11:00Z</dcterms:modified>
</cp:coreProperties>
</file>