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2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(267)824-2827</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26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3720" w:type="dxa"/>
            <w:vAlign w:val="bottom"/>
            <w:gridSpan w:val="2"/>
          </w:tcPr>
          <w:p>
            <w:pPr>
              <w:jc w:val="center"/>
              <w:ind w:right="2550"/>
              <w:spacing w:after="0"/>
              <w:rPr>
                <w:sz w:val="20"/>
                <w:szCs w:val="20"/>
                <w:color w:val="auto"/>
              </w:rPr>
            </w:pPr>
            <w:r>
              <w:rPr>
                <w:rFonts w:ascii="Arial" w:cs="Arial" w:eastAsia="Arial" w:hAnsi="Arial"/>
                <w:sz w:val="14"/>
                <w:szCs w:val="14"/>
                <w:b w:val="1"/>
                <w:bCs w:val="1"/>
                <w:color w:val="auto"/>
                <w:w w:val="89"/>
              </w:rPr>
              <w:t>Title of each class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3"/>
          </w:tcPr>
          <w:p>
            <w:pPr>
              <w:ind w:left="17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1180" w:type="dxa"/>
            <w:vAlign w:val="bottom"/>
          </w:tcPr>
          <w:p>
            <w:pPr>
              <w:spacing w:after="0"/>
              <w:rPr>
                <w:sz w:val="20"/>
                <w:szCs w:val="20"/>
                <w:color w:val="auto"/>
              </w:rPr>
            </w:pPr>
            <w:r>
              <w:rPr>
                <w:rFonts w:ascii="Arial" w:cs="Arial" w:eastAsia="Arial" w:hAnsi="Arial"/>
                <w:sz w:val="18"/>
                <w:szCs w:val="18"/>
                <w:b w:val="1"/>
                <w:bCs w:val="1"/>
                <w:color w:val="auto"/>
                <w:w w:val="84"/>
              </w:rPr>
              <w:t>Common Stock,</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$0.0001 Par</w:t>
            </w:r>
          </w:p>
        </w:tc>
        <w:tc>
          <w:tcPr>
            <w:tcW w:w="262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720" w:type="dxa"/>
            <w:vAlign w:val="bottom"/>
          </w:tcPr>
          <w:p>
            <w:pPr>
              <w:spacing w:after="0"/>
              <w:rPr>
                <w:sz w:val="19"/>
                <w:szCs w:val="19"/>
                <w:color w:val="auto"/>
              </w:rPr>
            </w:pPr>
          </w:p>
        </w:tc>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6"/>
              </w:rPr>
              <w:t>The NASDAQ Stock Market LLC</w:t>
            </w:r>
          </w:p>
        </w:tc>
        <w:tc>
          <w:tcPr>
            <w:tcW w:w="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1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230" w:right="499" w:bottom="0" w:gutter="0" w:footer="0" w:header="0"/>
        </w:sectPr>
      </w:pPr>
    </w:p>
    <w:p>
      <w:pPr>
        <w:spacing w:after="0" w:line="21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660" w:space="720"/>
            <w:col w:w="1700" w:space="720"/>
            <w:col w:w="160"/>
          </w:cols>
          <w:pgMar w:left="320" w:top="230" w:right="499" w:bottom="0" w:gutter="0" w:footer="0" w:header="0"/>
          <w:type w:val="continuous"/>
        </w:sectPr>
      </w:pPr>
    </w:p>
    <w:p>
      <w:pPr>
        <w:spacing w:after="0" w:line="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660" w:space="720"/>
            <w:col w:w="1960" w:space="460"/>
            <w:col w:w="160"/>
          </w:cols>
          <w:pgMar w:left="320" w:top="230" w:right="49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30, 2020, the registrant had 15,466,451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60" w:type="dxa"/>
            <w:vAlign w:val="bottom"/>
          </w:tcPr>
          <w:p>
            <w:pPr>
              <w:spacing w:after="0"/>
              <w:rPr>
                <w:sz w:val="14"/>
                <w:szCs w:val="14"/>
                <w:color w:val="auto"/>
              </w:rPr>
            </w:pPr>
          </w:p>
        </w:tc>
        <w:tc>
          <w:tcPr>
            <w:tcW w:w="9320" w:type="dxa"/>
            <w:vAlign w:val="bottom"/>
            <w:gridSpan w:val="2"/>
          </w:tcPr>
          <w:p>
            <w:pPr>
              <w:ind w:left="41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5"/>
        </w:trPr>
        <w:tc>
          <w:tcPr>
            <w:tcW w:w="3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96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16"/>
                <w:szCs w:val="16"/>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8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at September 30, 2020 and December 31,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80" w:type="dxa"/>
            <w:vAlign w:val="bottom"/>
            <w:gridSpan w:val="3"/>
          </w:tcPr>
          <w:p>
            <w:pPr>
              <w:spacing w:after="0"/>
              <w:rPr>
                <w:rFonts w:ascii="Arial" w:cs="Arial" w:eastAsia="Arial" w:hAnsi="Arial"/>
                <w:sz w:val="18"/>
                <w:szCs w:val="18"/>
                <w:u w:val="single" w:color="auto"/>
                <w:color w:val="0000EE"/>
                <w:w w:val="93"/>
              </w:rPr>
            </w:pPr>
            <w:hyperlink w:anchor="page5">
              <w:r>
                <w:rPr>
                  <w:rFonts w:ascii="Arial" w:cs="Arial" w:eastAsia="Arial" w:hAnsi="Arial"/>
                  <w:sz w:val="18"/>
                  <w:szCs w:val="18"/>
                  <w:u w:val="single" w:color="auto"/>
                  <w:color w:val="0000EE"/>
                  <w:w w:val="93"/>
                </w:rPr>
                <w:t>Condensed Consolidated Statements of Operations for the Three Months and Nine Months Ended September 30, 2020 and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80" w:type="dxa"/>
            <w:vAlign w:val="bottom"/>
            <w:gridSpan w:val="3"/>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Comprehensive Loss for the Three Months and Nine Months Ended September 30, 2020 and</w:t>
              </w:r>
            </w:hyperlink>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9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80" w:type="dxa"/>
            <w:vAlign w:val="bottom"/>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Stockholders’ Equity for the Three Months and Nine Months Ended September 30, 2020 and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9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2"/>
        </w:trPr>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8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2"/>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0"/>
        </w:trPr>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19"/>
                <w:szCs w:val="19"/>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60" w:type="dxa"/>
            <w:vAlign w:val="bottom"/>
            <w:gridSpan w:val="2"/>
          </w:tcPr>
          <w:p>
            <w:pPr>
              <w:ind w:left="46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109,120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226,817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392,348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337,601</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339,617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442,056</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42,773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 term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Total long term liabilities</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25,491</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Preferred stock, par value $0.0001 per share authorized: 5,000,000 shares at September 30, 2020 and December 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1,969,797 shares issued and outstanding at September 30, 2020 and December 31, 2019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8660" w:type="dxa"/>
            <w:vAlign w:val="bottom"/>
          </w:tcPr>
          <w:p>
            <w:pPr>
              <w:spacing w:after="0"/>
              <w:rPr>
                <w:sz w:val="20"/>
                <w:szCs w:val="20"/>
                <w:color w:val="auto"/>
              </w:rPr>
            </w:pPr>
            <w:r>
              <w:rPr>
                <w:rFonts w:ascii="Arial" w:cs="Arial" w:eastAsia="Arial" w:hAnsi="Arial"/>
                <w:sz w:val="18"/>
                <w:szCs w:val="18"/>
                <w:color w:val="auto"/>
                <w:w w:val="91"/>
              </w:rPr>
              <w:t>Common stock, par value $0.0001 per share authorized: 200,000,000 at September 30, 2020 and December 31, 2019;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w w:val="98"/>
              </w:rPr>
              <w:t>15,466,451 and 15,429,154 shares issued and outstanding at September 30, 2020 and December 31, 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8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655,622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639,567</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(366,341)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(223,220)</w:t>
            </w: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289,704</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339,617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442,056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14"/>
                <w:szCs w:val="14"/>
                <w:color w:val="auto"/>
              </w:rPr>
            </w:pPr>
          </w:p>
        </w:tc>
        <w:tc>
          <w:tcPr>
            <w:tcW w:w="23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5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53,292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19,447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131,380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47,414</w:t>
            </w: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17,604</w:t>
            </w:r>
          </w:p>
        </w:tc>
      </w:tr>
      <w:tr>
        <w:trPr>
          <w:trHeight w:val="230"/>
        </w:trPr>
        <w:tc>
          <w:tcPr>
            <w:tcW w:w="56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24,195</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65,018</w:t>
            </w:r>
          </w:p>
        </w:tc>
        <w:tc>
          <w:tcPr>
            <w:tcW w:w="120" w:type="dxa"/>
            <w:vAlign w:val="bottom"/>
          </w:tcPr>
          <w:p>
            <w:pPr>
              <w:spacing w:after="0"/>
              <w:rPr>
                <w:sz w:val="20"/>
                <w:szCs w:val="20"/>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(24,195)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(65,018)</w:t>
            </w:r>
          </w:p>
        </w:tc>
      </w:tr>
      <w:tr>
        <w:trPr>
          <w:trHeight w:val="216"/>
        </w:trPr>
        <w:tc>
          <w:tcPr>
            <w:tcW w:w="560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8,810</w:t>
            </w: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0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(56,208)</w:t>
            </w:r>
          </w:p>
        </w:tc>
        <w:tc>
          <w:tcPr>
            <w:tcW w:w="12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weighted average number of common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15,448,425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15,415,096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15,437,018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15,383,034</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36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6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0"/>
              </w:rPr>
              <w:t>(143,121)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(56,208)</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611</w:t>
            </w:r>
          </w:p>
        </w:tc>
      </w:tr>
      <w:tr>
        <w:trPr>
          <w:trHeight w:val="223"/>
        </w:trPr>
        <w:tc>
          <w:tcPr>
            <w:tcW w:w="626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(58,623)</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7"/>
              </w:rPr>
              <w:t>(142,916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4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2"/>
                <w:szCs w:val="12"/>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0"/>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460" w:type="dxa"/>
            <w:vAlign w:val="bottom"/>
            <w:tcBorders>
              <w:bottom w:val="single" w:sz="8" w:color="auto"/>
            </w:tcBorders>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9"/>
              </w:rPr>
              <w:t>comprehensive</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9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104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15,429,154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$ 639,567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216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(223,220)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416,565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4,846</w:t>
            </w: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(36,135)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15,429,154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$ 644,413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(259,355)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385,475</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Exercise of common stock options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8,970</w:t>
            </w:r>
          </w:p>
        </w:tc>
        <w:tc>
          <w:tcPr>
            <w:tcW w:w="2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for services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5,689</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(49,023)</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2020</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15,438,124</w:t>
            </w:r>
          </w:p>
        </w:tc>
        <w:tc>
          <w:tcPr>
            <w:tcW w:w="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$ 650,211</w:t>
            </w:r>
          </w:p>
        </w:tc>
        <w:tc>
          <w:tcPr>
            <w:tcW w:w="1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(308,378</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342,916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5,061</w:t>
            </w: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(57,963)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15,466,451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$ 655,622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421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(366,341)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289,704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6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1,969,797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15,409,023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$ 616,573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(139,272)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476,984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8,041</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366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6,022</w:t>
            </w: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March 31, 2019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15,417,064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$ 622,678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178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(154,352)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468,506</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Exercise of common stock options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9,233</w:t>
            </w:r>
          </w:p>
        </w:tc>
        <w:tc>
          <w:tcPr>
            <w:tcW w:w="2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for services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7,755</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15,426,297</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$ 630,550</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6"/>
              </w:rPr>
              <w:t>485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(174,051)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456,986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2,857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66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4,950</w:t>
            </w: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(21,429)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15,429,154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$ 635,535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292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(195,480)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440,349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70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(143,121)</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(56,208)</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15,596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18,727</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70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(1,714)</w:t>
            </w:r>
          </w:p>
        </w:tc>
      </w:tr>
      <w:tr>
        <w:trPr>
          <w:trHeight w:val="216"/>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8,424</w:t>
            </w:r>
          </w:p>
        </w:tc>
      </w:tr>
      <w:tr>
        <w:trPr>
          <w:trHeight w:val="216"/>
        </w:trPr>
        <w:tc>
          <w:tcPr>
            <w:tcW w:w="7020" w:type="dxa"/>
            <w:vAlign w:val="bottom"/>
          </w:tcPr>
          <w:p>
            <w:pPr>
              <w:ind w:left="54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r>
      <w:tr>
        <w:trPr>
          <w:trHeight w:val="27"/>
        </w:trPr>
        <w:tc>
          <w:tcPr>
            <w:tcW w:w="7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(29,342)</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(213,186)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(407,073)</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378,088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468,325</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net of disposals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30"/>
        </w:trPr>
        <w:tc>
          <w:tcPr>
            <w:tcW w:w="7020" w:type="dxa"/>
            <w:vAlign w:val="bottom"/>
          </w:tcPr>
          <w:p>
            <w:pPr>
              <w:ind w:left="900"/>
              <w:spacing w:after="0"/>
              <w:rPr>
                <w:sz w:val="20"/>
                <w:szCs w:val="20"/>
                <w:color w:val="auto"/>
              </w:rPr>
            </w:pPr>
            <w:r>
              <w:rPr>
                <w:rFonts w:ascii="Arial" w:cs="Arial" w:eastAsia="Arial" w:hAnsi="Arial"/>
                <w:sz w:val="18"/>
                <w:szCs w:val="18"/>
                <w:color w:val="auto"/>
              </w:rPr>
              <w:t>Net cash provided by investing activities</w:t>
            </w:r>
          </w:p>
        </w:tc>
        <w:tc>
          <w:tcPr>
            <w:tcW w:w="1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61,214</w:t>
            </w:r>
          </w:p>
        </w:tc>
        <w:tc>
          <w:tcPr>
            <w:tcW w:w="1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7020" w:type="dxa"/>
            <w:vAlign w:val="bottom"/>
          </w:tcPr>
          <w:p>
            <w:pPr>
              <w:ind w:left="360"/>
              <w:spacing w:after="0"/>
              <w:rPr>
                <w:sz w:val="20"/>
                <w:szCs w:val="20"/>
                <w:color w:val="auto"/>
              </w:rPr>
            </w:pPr>
            <w:r>
              <w:rPr>
                <w:rFonts w:ascii="Arial" w:cs="Arial" w:eastAsia="Arial" w:hAnsi="Arial"/>
                <w:sz w:val="18"/>
                <w:szCs w:val="18"/>
                <w:color w:val="auto"/>
              </w:rPr>
              <w:t>Proceeds from the exercise of common stock options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r>
      <w:tr>
        <w:trPr>
          <w:trHeight w:val="27"/>
        </w:trPr>
        <w:tc>
          <w:tcPr>
            <w:tcW w:w="7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r>
      <w:tr>
        <w:trPr>
          <w:trHeight w:val="223"/>
        </w:trPr>
        <w:tc>
          <w:tcPr>
            <w:tcW w:w="7020" w:type="dxa"/>
            <w:vAlign w:val="bottom"/>
          </w:tcPr>
          <w:p>
            <w:pPr>
              <w:ind w:left="900"/>
              <w:spacing w:after="0"/>
              <w:rPr>
                <w:sz w:val="20"/>
                <w:szCs w:val="20"/>
                <w:color w:val="auto"/>
              </w:rPr>
            </w:pPr>
            <w:r>
              <w:rPr>
                <w:rFonts w:ascii="Arial" w:cs="Arial" w:eastAsia="Arial" w:hAnsi="Arial"/>
                <w:sz w:val="18"/>
                <w:szCs w:val="18"/>
                <w:color w:val="auto"/>
              </w:rPr>
              <w:t>Net increase in cash and cash equivalents</w:t>
            </w: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32,107</w:t>
            </w: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57,379</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89,486</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Obtaining a right-of-use asset in exchange for a lease liability</w:t>
            </w:r>
          </w:p>
        </w:tc>
        <w:tc>
          <w:tcPr>
            <w:tcW w:w="18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451</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120" w:right="7020" w:hanging="4"/>
        <w:spacing w:after="0" w:line="37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120" w:right="10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The Company previously completed Phase 2 studies of resmetirom in NASH in May of 2018 and Heterozygous Familial Hypercholesterolemia in February of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2020 or any subsequent period. These unaudited condensed financial statements should be read in conjunction with the audited consolidated financial statements and the notes to those statements for the year ended December 31, 2019.</w:t>
      </w:r>
    </w:p>
    <w:p>
      <w:pPr>
        <w:spacing w:after="0" w:line="282" w:lineRule="exact"/>
        <w:rPr>
          <w:sz w:val="20"/>
          <w:szCs w:val="20"/>
          <w:color w:val="auto"/>
        </w:rPr>
      </w:pPr>
    </w:p>
    <w:p>
      <w:pPr>
        <w:ind w:left="120" w:right="7440" w:hanging="4"/>
        <w:spacing w:after="0" w:line="3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w:t>
      </w:r>
    </w:p>
    <w:p>
      <w:pPr>
        <w:sectPr>
          <w:pgSz w:w="11900" w:h="16838" w:orient="portrait"/>
          <w:cols w:equalWidth="0" w:num="1">
            <w:col w:w="11120"/>
          </w:cols>
          <w:pgMar w:left="320" w:top="486" w:right="45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2020 and 2019, the Company determined it did not have any securities that were other-than-temporarily impaired.</w:t>
      </w:r>
    </w:p>
    <w:p>
      <w:pPr>
        <w:spacing w:after="0" w:line="17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2020 and 2019, the Company did not have any realized gains or losses on marketable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As of September 30, 2020,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2020 and 2019, the Company did not have any transfers of financial assets between Levels 1 and 2. As of September 30, 2020 and December 31, 2019, the Company did not have any financial liabilities that were recorded at fair value on a recurring basis on the balance sheet.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nine months ended September 30, 2020 and 2019,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24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61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1,810,753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1,461,237</w:t>
            </w:r>
          </w:p>
        </w:tc>
        <w:tc>
          <w:tcPr>
            <w:tcW w:w="40" w:type="dxa"/>
            <w:vAlign w:val="bottom"/>
            <w:shd w:val="clear" w:color="auto" w:fill="CCEEFF"/>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Preferred stock</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1,969,797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1,969,797</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requires all or a portion of the amortized cost basis of a financial asset to be written off when it is deemed uncollectible. For public business entities that do not qualify as a smaller reporting company, ASU 2016-13 is effective for annual and interim reporting periods beginning after December 15, 2019. The Company adopted ASU 2016-13 effective January 1, 2020. There was no significant impact from the adoption.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has incurred losses since inception, including approximately $143.1 million for the nine months ended September 30, 2020, resulting in an accumulated deficit of approximately $366.3 million as of September 30, 2020. Management expects to incur losses for the foreseeable future. To date, the Company has funded its operations primarily through proceeds from sales of the Company’s common and Series A Convertible Preferred Stock.</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86"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September 30, 2020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cash, cash equivalents and available-for-sale marketable securities held by the Company as of September 30, 2020 and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is as follows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(Level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107,058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107,058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Corporate debt securities due within 3 months of date of purchase (Level 2)</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109,120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211,513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211,911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w w:val="95"/>
              </w:rPr>
              <w:t>U.S. government and government sponsored entities due within 1 year of date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12,479</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9"/>
              </w:rPr>
              <w:t>Corporate debt securities due within 1 to 2 years of date of purchase (Level 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335,516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438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335,937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(Level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44,925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Corporate debt securities due within 3 months of date of purchase (Level 2)</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46,697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309,365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309,545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82,767</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438,829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439,045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jc w:val="right"/>
              <w:ind w:right="95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September 30, 2020 and December 31, 2019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clinical study related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3,285</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23,637</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16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right="100"/>
        <w:spacing w:after="0" w:line="277" w:lineRule="auto"/>
        <w:rPr>
          <w:sz w:val="20"/>
          <w:szCs w:val="20"/>
          <w:color w:val="auto"/>
        </w:rPr>
      </w:pPr>
      <w:r>
        <w:rPr>
          <w:rFonts w:ascii="Arial" w:cs="Arial" w:eastAsia="Arial" w:hAnsi="Arial"/>
          <w:sz w:val="18"/>
          <w:szCs w:val="18"/>
          <w:color w:val="auto"/>
        </w:rPr>
        <w:t>Each common stockholder is entitled to one vote for each share of common stock held. Each share of common stock is entitled to receive dividends, as and when declared by the Company’s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certain limitations and to adjustment provisions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generally equal to the dividend payable on each share of the Common Stock, on an as-converted basis.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September 30, 2020, the Company had options outstanding to purchase 1,810,753 shares of its common stock, which includes options outstanding under its 2006 Stock Plan. As of September 30, 2020, 965,282 shares were available for future issuance.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1,461,987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Options granted</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410,125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(37,297)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Options cancelled</w:t>
            </w:r>
          </w:p>
        </w:tc>
        <w:tc>
          <w:tcPr>
            <w:tcW w:w="26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(24,062)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2020</w:t>
            </w:r>
          </w:p>
        </w:tc>
        <w:tc>
          <w:tcPr>
            <w:tcW w:w="26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1,810,753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Exercisable at September 30, 2020</w:t>
            </w:r>
          </w:p>
        </w:tc>
        <w:tc>
          <w:tcPr>
            <w:tcW w:w="37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2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1,147,815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320" w:type="dxa"/>
            <w:vAlign w:val="bottom"/>
          </w:tcPr>
          <w:p>
            <w:pPr>
              <w:spacing w:after="0"/>
              <w:rPr>
                <w:sz w:val="24"/>
                <w:szCs w:val="24"/>
                <w:color w:val="auto"/>
              </w:rPr>
            </w:pPr>
          </w:p>
        </w:tc>
        <w:tc>
          <w:tcPr>
            <w:tcW w:w="2640" w:type="dxa"/>
            <w:vAlign w:val="bottom"/>
          </w:tcPr>
          <w:p>
            <w:pPr>
              <w:jc w:val="right"/>
              <w:ind w:right="159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total cash received by the Company as a result of stock option exercises was $0.5 million and $0.2 million, respectively, for the nine months ended September 30, 2020 and 2019. The weighted-average grant date fair values, based on the Black-Scholes option model, of options granted during the nine months ended September 30, 2020 and 2019 were $65.65 and $91.65,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during the nine months ended September 30, 2020 and 2019 was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5,061</w:t>
            </w:r>
          </w:p>
        </w:tc>
        <w:tc>
          <w:tcPr>
            <w:tcW w:w="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15,596</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2,266</w:t>
            </w:r>
          </w:p>
        </w:tc>
        <w:tc>
          <w:tcPr>
            <w:tcW w:w="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6,633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w w:val="98"/>
              </w:rPr>
              <w:t>Total stock-based compensation expense included in net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20"/>
        <w:spacing w:after="0" w:line="277" w:lineRule="auto"/>
        <w:rPr>
          <w:sz w:val="20"/>
          <w:szCs w:val="20"/>
          <w:color w:val="auto"/>
        </w:rPr>
      </w:pPr>
      <w:r>
        <w:rPr>
          <w:rFonts w:ascii="Arial" w:cs="Arial" w:eastAsia="Arial" w:hAnsi="Arial"/>
          <w:sz w:val="18"/>
          <w:szCs w:val="18"/>
          <w:color w:val="auto"/>
        </w:rPr>
        <w:t>Unrecognized stock-based compensation expense on stock options as of September 30, 2020 was $41.1 million with a weighted average remaining period of 2.7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Company has a Research, Development and Commercialization Agreement with Hoffmann-La Roche (“Roche”) which grants the Company a sole and exclusive license to develop, use, sell, offer for sale and import any Licensed Product as defined by the agreement. The agreement requires future milestone payments to Roche.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nine months ended September 30, 2020 and 2019.</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entered into customary contractual arrangements and letters of intent in support of its Phase 3 clinical trials.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In November 2020, the Company is entering into an at-the-market sales agreement (the “2020 Sales Agreement”), with Cowen and Company, LLC (“Cowen”), pursuant to which the Company may, from time to time, issue and sell shares of its common stock. The Company is not obligated to make any sales of its common stock under the 2020 Sales Agreement. Any shares sold will be sold pursuant to an effective shelf registration statement on Form S-3, (the “Registration Statement”), and a prospectus supplement that will be filed pursuant to the Registration Statement. The Sales Agreement will authorize an aggregate offering price of up to $200 million in shares of our common stock,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2020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2020 Sales Agreement may be terminated by the Company at any time upon 10 days’ notice.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Quarterly Report on Form 10-Q contains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include but are not limited to statements or references concerning: our clinical trials; research and development activities; the timing and results associated with the future development of our lead product candidate, MGL-3196 (resmetirom); our primary and secondary study endpoints for resmetirom and the potential for achieving such endpoints and projections; optimal dosing levels for resmetirom; projections regarding potential future NASH resolution, safety, fibrosis treatment, cardiovascular effects, lipid treatment or biomarker effects with resmetirom; the predictive power of liver fat reduction on NASH resolution with fibrosis reduction or improvement; the achievement of enrollment objectives concerning patient number, safety database and/or timing for our studies; potential NASH or NAFLD patient risk profile benefits with resmetirom; our possible or assumed future results of operations and expenses, business strategies and plans, capital needs and financing plans, trends, market sizing, competitive position, industry environment and potential growth opportunities, among other things. Forward-looking statements: reflect management’s current knowledge, assumptions, judgment and expectations regarding future performance or events; include all statements that are not historical facts; and can be identified by terms such as “allow,” “anticipates,” “be,” “believes,” “continue,” “could,” “demonstrates,” ”design,” “estimates,” “expects,” “forecasts,” “future,” “hopeful,” “goal,” “intends,” “may,” “might,” “plans,” “potential,” “predicts,” ”predictive,” “projects,” “seeks,” “should,” “will,” “will achieve,” “would” or similar expressions and the negatives of those terms.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Forward-looking statements are subject to a number of risks and uncertainties including, but not limited to: our clinical development of resmetirom; enrollment uncertainties, generally and in relation to COVID-19 quarantine, shelter-in-place and social distancing measures and individual precautionary measures that may be implemented or continued for an uncertain period of time; outcomes or trends from competitive studies; future topline data timing or results; the risks of achieving potential benefits in studies that includes substantially more patients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filings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“Risk Factors” sections appearing in Part I, Item 1A of our Annual Report on Form 10-K for the year ended December 31, 2019, filed with the SEC on February 26, 2020, and Part II, Item 1A of the Quarterly Report on Form 10-Q for the period ended June 30, 2020, filed with the SEC on August 6, 2020, as well as in our other filings with the SEC.</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2019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“Special Note Regarding Forward-Looking Statements” in this</w:t>
      </w:r>
    </w:p>
    <w:p>
      <w:pPr>
        <w:spacing w:after="0" w:line="1" w:lineRule="exact"/>
        <w:rPr>
          <w:sz w:val="20"/>
          <w:szCs w:val="20"/>
          <w:color w:val="auto"/>
        </w:rPr>
      </w:pPr>
    </w:p>
    <w:p>
      <w:pPr>
        <w:jc w:val="both"/>
        <w:ind w:left="120" w:right="60"/>
        <w:spacing w:after="0" w:line="302" w:lineRule="auto"/>
        <w:rPr>
          <w:sz w:val="20"/>
          <w:szCs w:val="20"/>
          <w:color w:val="auto"/>
        </w:rPr>
      </w:pPr>
      <w:r>
        <w:rPr>
          <w:rFonts w:ascii="Arial" w:cs="Arial" w:eastAsia="Arial" w:hAnsi="Arial"/>
          <w:sz w:val="16"/>
          <w:szCs w:val="16"/>
          <w:i w:val="1"/>
          <w:iCs w:val="1"/>
          <w:color w:val="auto"/>
        </w:rPr>
        <w:t>Form 10-Q and in the “Risk Factors” sections contained in Part I, Item 1A of our Annual Report on Form 10-K for the year ended December 31, 2019, filed with the SEC on February 26, 2020, and Part II, Item 1A of the Quarterly Report on Form 10-Q for the period ended June 30, 2020, filed with the SEC on August 6, 2020. Our operating results are not necessarily indicative of results that may occur for the full fiscal year or any other future period.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Our Patient Market Opportunity. </w:t>
      </w:r>
      <w:r>
        <w:rPr>
          <w:rFonts w:ascii="Arial" w:cs="Arial" w:eastAsia="Arial" w:hAnsi="Arial"/>
          <w:sz w:val="18"/>
          <w:szCs w:val="18"/>
          <w:color w:val="auto"/>
        </w:rPr>
        <w:t>NASH is a serious inflammatory form of nonalcoholic fatty liver disease, or NAFLD. NAFLD has become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alone, NAFLD is estimated to affect approximately 27% to 34% of the population, or an estimated 86 million to 108 million people, and approximately 10% to 20% of this population is projected to progress from NAFLD to NASH. Current estimates place NASH prevalence at approximately 9 million to 15 million people in the United States, or three percent to five percent of the population, with similar prevalence in Europe and Asia.</w:t>
      </w:r>
    </w:p>
    <w:p>
      <w:pPr>
        <w:spacing w:after="0" w:line="19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i w:val="1"/>
          <w:iCs w:val="1"/>
          <w:color w:val="auto"/>
        </w:rPr>
        <w:t xml:space="preserve">Our Completed Studies. </w:t>
      </w:r>
      <w:r>
        <w:rPr>
          <w:rFonts w:ascii="Arial" w:cs="Arial" w:eastAsia="Arial" w:hAnsi="Arial"/>
          <w:sz w:val="16"/>
          <w:szCs w:val="16"/>
          <w:color w:val="auto"/>
        </w:rPr>
        <w:t>For NASH, we enrolled 125 patients in a Phase 2 clinical trial with resmetirom. We achieved the 12-week primary endpoint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66"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i w:val="1"/>
          <w:iCs w:val="1"/>
          <w:color w:val="auto"/>
        </w:rPr>
        <w:t xml:space="preserve">Our Ongoing and Planned Studies. </w:t>
      </w:r>
      <w:r>
        <w:rPr>
          <w:rFonts w:ascii="Arial" w:cs="Arial" w:eastAsia="Arial" w:hAnsi="Arial"/>
          <w:sz w:val="17"/>
          <w:szCs w:val="17"/>
          <w:color w:val="auto"/>
        </w:rPr>
        <w:t>On March 28, 2019, the Company announced that it had initiated MAESTRO-NASH, a Phase 3 trial in NASH with</w:t>
      </w:r>
      <w:r>
        <w:rPr>
          <w:rFonts w:ascii="Arial" w:cs="Arial" w:eastAsia="Arial" w:hAnsi="Arial"/>
          <w:sz w:val="17"/>
          <w:szCs w:val="17"/>
          <w:i w:val="1"/>
          <w:iCs w:val="1"/>
          <w:color w:val="auto"/>
        </w:rPr>
        <w:t xml:space="preserve"> </w:t>
      </w:r>
      <w:r>
        <w:rPr>
          <w:rFonts w:ascii="Arial" w:cs="Arial" w:eastAsia="Arial" w:hAnsi="Arial"/>
          <w:sz w:val="17"/>
          <w:szCs w:val="17"/>
          <w:color w:val="auto"/>
        </w:rPr>
        <w:t>its once daily, oral thyroid hormone receptor beta selective agonist,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7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On December 18, 2019 the Company announced it had opened for enrollment MAESTRO-NAFLD-1, a 52-week, double-blind, placebo controlled Phase 3 clinical study originally targeting enrollment of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Enrollment objectives for this study have been exceeded, with approximately 1,200 patients enrolled overall. In October 2020 we completed enrollment of the double-blind, placebo controlled arms of the study. This may allow topline data from the 52 week double blind arms by the end of 2021. Open label enrollment is ongoing for patients with compensated NASH cirrhosis. The MAESTRO-NAFLD-1 study will help support the adequacy of the safety database at the time of NDA submission for subpart H approval for treatment of NASH in patients with F2 or F3 fibrosis (MAESTRO-NASH, NASH resolution surrogate endpoint).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Initiation of MAESTRO-NASH Phase 3 clinical trial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of 2019 we initiated a Phase 3 trial in NASH, described in detail above under “About Madrigal; Our Ongoing and Planned Studies.”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grants Fast Track designation for resmetirom in NASH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October 2019, FDA granted Fast Track designation to resmetirom for NASH.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Initiation of MAESTRO-NAFLD-1 Phase 3 clinical trial and completion of enrollment of the double-blind, placebo controlled arm</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In December 2019 we initiated a Phase 3 trial in presumed NASH, described in detail above under “About Madrigal; Our Ongoing and Planned Studies.”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October 2020 we completed enrollment of the double-blind, placebo controlled arms of the study.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Pandemic Effects on Madrigal</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 April 2020 we announced that in response to guidance from regulatory agencies, measures for COVID-19 at impacted sites have been put in place for its Phase 3 MAESTRO-NASH and MAESTRO-NAFLD-1 studies, allowing both studies to continue without changes to the protocol. At a recently conducted Data Monitoring Committee (DMC) meeting it was recommended that Phase 3 studies proceed without modification. The COVID-19 pandemic had no material adverse impact on our operating results, MAESTRO-NAFLD-1 study or liquidity for the period ended September 30, 2020, but it did introduce clinical trial and operational risks and uncertainties that are both general in nature and relate specifically to our MAESTRO-NASH study. These risks and uncertainties, which are beyond our control, are referenced as “Risk Factors” and summarized in Part II, Item 1A, “Risk Factors” on Form 10-Q for the period ending June 30, 2020 filed with the SEC on August 6, 2020.</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period over period in each of 2020 and 2019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liability insurance, and allocated overhead expenses.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expect that our general and administrative expenses may increase in the future as we advance our clinical and preclinical development programs for resmetirom and expand our operating activities, including maintaining and expanding our patent portfolio, incurring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2020, as compared to those disclosed in our Annual Report on Form 10-K for the fiscal year ended December 31, 2019 filed with the SEC on February 26,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September 30,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comparative unaudited results of operations for the three months ended September 30, 2020 and 2019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Increase / (Decrease)</w:t>
            </w:r>
          </w:p>
        </w:tc>
      </w:tr>
      <w:tr>
        <w:trPr>
          <w:trHeight w:val="142"/>
        </w:trPr>
        <w:tc>
          <w:tcPr>
            <w:tcW w:w="43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746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24"/>
        </w:trPr>
        <w:tc>
          <w:tcPr>
            <w:tcW w:w="4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21,429</w:t>
            </w:r>
          </w:p>
        </w:tc>
        <w:tc>
          <w:tcPr>
            <w:tcW w:w="3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36,534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three months ended September 30,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20"/>
        <w:spacing w:after="0" w:line="279" w:lineRule="auto"/>
        <w:rPr>
          <w:sz w:val="20"/>
          <w:szCs w:val="20"/>
          <w:color w:val="auto"/>
        </w:rPr>
      </w:pPr>
      <w:r>
        <w:rPr>
          <w:rFonts w:ascii="Arial" w:cs="Arial" w:eastAsia="Arial" w:hAnsi="Arial"/>
          <w:sz w:val="17"/>
          <w:szCs w:val="17"/>
          <w:color w:val="auto"/>
        </w:rPr>
        <w:t>Our research and development expenses were $53.3 million for the three months ended September 30, 2020, compared to $19.4 million in the corresponding period in 2019. Research and development expenses increased by $33.8 million in the 2020 period due primarily to the additional activities related to the Phase 3 clinical trials initiated in 2019, and an increase in head count. We expect our research and development expenses to increase over time as we advance our clinical and preclinical development programs for resmetirom.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general and administrative expenses were $5.5 million for the three months ended September 30, 2020, compared to $4.7 million in the corresponding period in 2019. General and administrative expenses increased by $0.7 million in the 2020 period due primarily to increases in head count and consulting costs.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net interest income was $0.8 million for the three months ended September 30, 2020, compared to $2.8 million in the corresponding period in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decrease in interest income was due primarily to a lower average principal balance in our investment account in 2020 and decreased interest rates.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comparative unaudited results of operations for the nine months ended September 30, 2020 and 2019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Increase / (Decrease)</w:t>
            </w:r>
          </w:p>
        </w:tc>
      </w:tr>
      <w:tr>
        <w:trPr>
          <w:trHeight w:val="142"/>
        </w:trPr>
        <w:tc>
          <w:tcPr>
            <w:tcW w:w="60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15,738</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17,604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(1,866)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(8,810)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6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56,208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86,913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nine months ended September 30,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Our research and development expenses were $131.4 million for the nine months ended September 30, 2020, compared to $47.4 million in the corresponding period in 2019. Research and development expenses increased by $84.0 million in the 2020 period due primarily to the additional activities related to the Phase 3 clinical trials initiated in 2019, and an increase in head count. We expect our research and development expenses to increase over time as we advance our clinical and preclinical development programs for resmetirom.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general and administrative expenses were $15.7 million for the nine months ended September 30, 2020, compared to $17.6 million in the corresponding period in 2019. General and administrative expenses decreased by $1.9 million in the 2020 period due primarily to a decrease in non-cash stock compensation from stock option awards, partially offset by increases in other general and administrative expenses.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net interest income was $3.9 million for the nine months ended September 30, 2020, compared to $8.8 million in the corresponding period in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decrease in interest income was due primarily to a lower average principal balance in our investment account in 2020 and decreased interest rates.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shares of our common stock and shares of our preferred stock.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7" w:lineRule="exact"/>
        <w:rPr>
          <w:sz w:val="20"/>
          <w:szCs w:val="20"/>
          <w:color w:val="auto"/>
        </w:rPr>
      </w:pPr>
    </w:p>
    <w:p>
      <w:pPr>
        <w:ind w:left="120" w:right="420"/>
        <w:spacing w:after="0" w:line="257" w:lineRule="auto"/>
        <w:rPr>
          <w:sz w:val="20"/>
          <w:szCs w:val="20"/>
          <w:color w:val="auto"/>
        </w:rPr>
      </w:pPr>
      <w:r>
        <w:rPr>
          <w:rFonts w:ascii="Arial" w:cs="Arial" w:eastAsia="Arial" w:hAnsi="Arial"/>
          <w:sz w:val="18"/>
          <w:szCs w:val="18"/>
          <w:color w:val="auto"/>
        </w:rPr>
        <w:t>As of September 30, 2020, we had cash, cash equivalents and marketable securities totaling $335.9 million compared to $439.0 million as of December 31, 2019, with the decrease attributable to the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8"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September 30, 2020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II, Item 1A, “Risk Factors” on Form 10-Q for the period ending June 30, 2020 filed with the SEC on August 6, 2020. Our future long-term liquidity requirements will be substantial and will depend on many factors. To meet future long-term liquidity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This includes, but is not limited to, the use of a $200 million at-the-market sales agreement entered into in November of 2020, with</w:t>
      </w:r>
    </w:p>
    <w:p>
      <w:pPr>
        <w:sectPr>
          <w:pgSz w:w="11900" w:h="16838" w:orient="portrait"/>
          <w:cols w:equalWidth="0" w:num="1">
            <w:col w:w="11100"/>
          </w:cols>
          <w:pgMar w:left="320" w:top="486" w:right="479" w:bottom="1440" w:gutter="0" w:footer="0" w:header="0"/>
        </w:sectPr>
      </w:pP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86"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Cowen and Company, LLC. See footnote 9 to our condensed consolidated financial statements in this Form 10-Q.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(102,614)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(29,342)</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164,578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61,214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62,423</w:t>
            </w:r>
          </w:p>
        </w:tc>
        <w:tc>
          <w:tcPr>
            <w:tcW w:w="3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32,107</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Net cash used in operating activities was $102.6 million for the nine months ended September 30, 2020, compared to $29.3 million for the corresponding period in 2019.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Net cash provided by investing activities was $164.6 million for the nine months ended September 30, 2020, compared to $61.2 million for the corresponding period in 2019. Net cash provided by investing activities for the nine months ended September 30, 2020 consisted of $378.1 million from sales and maturities of marketable securities, partially offset by $213.2 million of purchases of marketable securities for our investment portfolio and $0.3 million of purchases of property and equipment. Net cash provided by investing activities for the nine months ended September 30, 2019 consisted of $468.3 million from sales and maturities of marketable securities, partially offset by $407.1 million of purchases of marketable securities for our investment portfolio.</w:t>
      </w:r>
    </w:p>
    <w:p>
      <w:pPr>
        <w:spacing w:after="0" w:line="192"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Net cash provided by financing activities was $0.5 million for the nine months ended September 30, 2020, compared to $0.2 million for the corresponding period in 2019, both of which consisted of proceeds from exercise of stock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No significant changes to contractual obligations and commitments occurred during the nine months ended September 30, 2020, as compared to those disclosed in our Annual Report on Form 10-K for the fiscal year ended December 31, 2019 filed with the SEC on February 26, 2020.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320" w:top="486"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There have been no material changes to the risk factors included in detail in the “Risk Factors” sections appearing in Part I, Item 1A of our Annual Report on Form 10-K for the year ended December 31, 2019, filed with the SEC on February 26, 2020, and in Part II, Item 1A in our Quarterly Report on Form 10-Q for the period ended June 30, 2020 filed with the SEC on August 6,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320" w:top="486"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gridSpan w:val="2"/>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rPr>
              <w:t>Filed</w:t>
            </w:r>
          </w:p>
        </w:tc>
      </w:tr>
      <w:tr>
        <w:trPr>
          <w:trHeight w:val="185"/>
        </w:trPr>
        <w:tc>
          <w:tcPr>
            <w:tcW w:w="80" w:type="dxa"/>
            <w:vAlign w:val="bottom"/>
          </w:tcPr>
          <w:p>
            <w:pPr>
              <w:spacing w:after="0"/>
              <w:rPr>
                <w:sz w:val="16"/>
                <w:szCs w:val="16"/>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60" w:type="dxa"/>
            <w:vAlign w:val="bottom"/>
            <w:gridSpan w:val="7"/>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Form</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Filing Date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Herewith</w:t>
            </w:r>
          </w:p>
        </w:tc>
      </w:tr>
      <w:tr>
        <w:trPr>
          <w:trHeight w:val="263"/>
        </w:trPr>
        <w:tc>
          <w:tcPr>
            <w:tcW w:w="80" w:type="dxa"/>
            <w:vAlign w:val="bottom"/>
          </w:tcPr>
          <w:p>
            <w:pPr>
              <w:spacing w:after="0"/>
              <w:rPr>
                <w:sz w:val="22"/>
                <w:szCs w:val="22"/>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2"/>
                <w:szCs w:val="22"/>
                <w:color w:val="auto"/>
              </w:rPr>
            </w:pPr>
          </w:p>
        </w:tc>
        <w:tc>
          <w:tcPr>
            <w:tcW w:w="476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Principal Executive Officer pursuant to Rule</w:t>
              </w:r>
            </w:hyperlink>
          </w:p>
        </w:tc>
        <w:tc>
          <w:tcPr>
            <w:tcW w:w="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13a-14(a) or Rule 15d-14(a) of the Securities Exchange Act of</w:t>
              </w:r>
            </w:hyperlink>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1934, as adopted pursuant to Section 302 of the Sarbanes-</w:t>
              </w:r>
            </w:hyperlink>
          </w:p>
        </w:tc>
        <w:tc>
          <w:tcPr>
            <w:tcW w:w="320" w:type="dxa"/>
            <w:vAlign w:val="bottom"/>
            <w:tcBorders>
              <w:top w:val="single" w:sz="8" w:color="0000EE"/>
            </w:tcBorders>
            <w:gridSpan w:val="4"/>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Oxley Act of 2002.</w:t>
              </w:r>
            </w:hyperlink>
          </w:p>
        </w:tc>
        <w:tc>
          <w:tcPr>
            <w:tcW w:w="336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Principal Financial Officer pursuant to Rule</w:t>
              </w:r>
            </w:hyperlink>
          </w:p>
        </w:tc>
        <w:tc>
          <w:tcPr>
            <w:tcW w:w="40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13a-14(a) or Rule 15d-14(a) of the Securities Exchange Act of</w:t>
              </w:r>
            </w:hyperlink>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1934, as adopted pursuant to Section 302 of the Sarbanes-</w:t>
              </w:r>
            </w:hyperlink>
          </w:p>
        </w:tc>
        <w:tc>
          <w:tcPr>
            <w:tcW w:w="320" w:type="dxa"/>
            <w:vAlign w:val="bottom"/>
            <w:tcBorders>
              <w:top w:val="single" w:sz="8" w:color="0000EE"/>
            </w:tcBorders>
            <w:gridSpan w:val="4"/>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Oxley Act of 2002.</w:t>
              </w:r>
            </w:hyperlink>
          </w:p>
        </w:tc>
        <w:tc>
          <w:tcPr>
            <w:tcW w:w="336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w w:val="97"/>
              </w:rPr>
              <w:t>32.1**</w:t>
            </w:r>
          </w:p>
        </w:tc>
        <w:tc>
          <w:tcPr>
            <w:tcW w:w="480" w:type="dxa"/>
            <w:vAlign w:val="bottom"/>
          </w:tcPr>
          <w:p>
            <w:pPr>
              <w:spacing w:after="0"/>
              <w:rPr>
                <w:sz w:val="24"/>
                <w:szCs w:val="24"/>
                <w:color w:val="auto"/>
              </w:rPr>
            </w:pPr>
          </w:p>
        </w:tc>
        <w:tc>
          <w:tcPr>
            <w:tcW w:w="42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Certifications of Principal Executive Officer and Principal</w:t>
              </w:r>
            </w:hyperlink>
          </w:p>
        </w:tc>
        <w:tc>
          <w:tcPr>
            <w:tcW w:w="56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Financial Officer, pursuant to 18 U.S.C. Section 1350, as</w:t>
              </w:r>
            </w:hyperlink>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gridSpan w:val="9"/>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adopted pursuant to Section 906 of the Sarbanes-Oxley Act of</w:t>
              </w:r>
            </w:hyperlink>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2002.</w:t>
              </w:r>
            </w:hyperlink>
          </w:p>
        </w:tc>
        <w:tc>
          <w:tcPr>
            <w:tcW w:w="100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r>
      <w:tr>
        <w:trPr>
          <w:trHeight w:val="345"/>
        </w:trPr>
        <w:tc>
          <w:tcPr>
            <w:tcW w:w="10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106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101.SCH</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1060" w:type="dxa"/>
            <w:vAlign w:val="bottom"/>
            <w:gridSpan w:val="3"/>
          </w:tcPr>
          <w:p>
            <w:pPr>
              <w:jc w:val="center"/>
              <w:ind w:right="380"/>
              <w:spacing w:after="0"/>
              <w:rPr>
                <w:sz w:val="20"/>
                <w:szCs w:val="20"/>
                <w:color w:val="auto"/>
              </w:rPr>
            </w:pPr>
            <w:r>
              <w:rPr>
                <w:rFonts w:ascii="Arial" w:cs="Arial" w:eastAsia="Arial" w:hAnsi="Arial"/>
                <w:sz w:val="18"/>
                <w:szCs w:val="18"/>
                <w:color w:val="auto"/>
                <w:w w:val="97"/>
              </w:rPr>
              <w:t>101.CAL</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24"/>
        </w:trPr>
        <w:tc>
          <w:tcPr>
            <w:tcW w:w="10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101.LAB</w:t>
            </w:r>
          </w:p>
        </w:tc>
        <w:tc>
          <w:tcPr>
            <w:tcW w:w="4760" w:type="dxa"/>
            <w:vAlign w:val="bottom"/>
            <w:gridSpan w:val="9"/>
          </w:tcPr>
          <w:p>
            <w:pPr>
              <w:spacing w:after="0"/>
              <w:rPr>
                <w:sz w:val="20"/>
                <w:szCs w:val="20"/>
                <w:color w:val="auto"/>
              </w:rPr>
            </w:pPr>
            <w:r>
              <w:rPr>
                <w:rFonts w:ascii="Arial" w:cs="Arial" w:eastAsia="Arial" w:hAnsi="Arial"/>
                <w:sz w:val="18"/>
                <w:szCs w:val="18"/>
                <w:color w:val="auto"/>
                <w:w w:val="97"/>
              </w:rPr>
              <w:t>Inline XBRL Taxonomy Extension Label Linkbase Document.</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106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101.PRE</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310"/>
        </w:trPr>
        <w:tc>
          <w:tcPr>
            <w:tcW w:w="106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101.DEF</w:t>
            </w:r>
          </w:p>
        </w:tc>
        <w:tc>
          <w:tcPr>
            <w:tcW w:w="47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w:t>
            </w:r>
          </w:p>
        </w:tc>
      </w:tr>
    </w:tbl>
    <w:p>
      <w:pPr>
        <w:spacing w:after="0" w:line="94" w:lineRule="exact"/>
        <w:rPr>
          <w:sz w:val="20"/>
          <w:szCs w:val="20"/>
          <w:color w:val="auto"/>
        </w:rPr>
      </w:pPr>
    </w:p>
    <w:p>
      <w:pPr>
        <w:ind w:left="1180" w:right="5760" w:hanging="1064"/>
        <w:spacing w:after="0" w:line="263"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Inline XBRL for the cover page of this Annual Report on Form 10-K, included in the Exhibit 101 Inline XBRL Document Set.</w:t>
      </w:r>
    </w:p>
    <w:p>
      <w:pPr>
        <w:spacing w:after="0" w:line="211"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in accordance with Item 601(b)(10) of Regulation S-K.</w:t>
      </w:r>
    </w:p>
    <w:p>
      <w:pPr>
        <w:spacing w:after="0" w:line="23" w:lineRule="exact"/>
        <w:rPr>
          <w:sz w:val="20"/>
          <w:szCs w:val="20"/>
          <w:color w:val="auto"/>
        </w:rPr>
      </w:pPr>
    </w:p>
    <w:p>
      <w:pPr>
        <w:ind w:left="540" w:hanging="424"/>
        <w:spacing w:after="0" w:line="25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8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MADRIGAL PHARMACEUTICALS, INC.</w:t>
      </w:r>
    </w:p>
    <w:p>
      <w:pPr>
        <w:sectPr>
          <w:pgSz w:w="11900" w:h="16838" w:orient="portrait"/>
          <w:cols w:equalWidth="0" w:num="1">
            <w:col w:w="10380"/>
          </w:cols>
          <w:pgMar w:left="320" w:top="486" w:right="119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5,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M.D. Paul A. Friedman,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ectPr>
          <w:pgSz w:w="11900" w:h="16838" w:orient="portrait"/>
          <w:cols w:equalWidth="0" w:num="3">
            <w:col w:w="5020" w:space="720"/>
            <w:col w:w="260" w:space="180"/>
            <w:col w:w="4200"/>
          </w:cols>
          <w:pgMar w:left="320" w:top="486" w:right="1199" w:bottom="1440" w:gutter="0" w:footer="0" w:header="0"/>
          <w:type w:val="continuous"/>
        </w:sectPr>
      </w:pP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November 5, 2020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166" w:lineRule="exact"/>
        <w:rPr>
          <w:sz w:val="20"/>
          <w:szCs w:val="20"/>
          <w:color w:val="auto"/>
        </w:rPr>
      </w:pPr>
    </w:p>
    <w:p>
      <w:pPr>
        <w:sectPr>
          <w:pgSz w:w="11900" w:h="16838" w:orient="portrait"/>
          <w:cols w:equalWidth="0" w:num="3">
            <w:col w:w="5020" w:space="720"/>
            <w:col w:w="260" w:space="180"/>
            <w:col w:w="4200"/>
          </w:cols>
          <w:pgMar w:left="320" w:top="486" w:right="1199"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380"/>
          </w:cols>
          <w:pgMar w:left="320" w:top="486" w:right="1199" w:bottom="1440" w:gutter="0" w:footer="0" w:header="0"/>
          <w:type w:val="continuous"/>
        </w:sectPr>
      </w:pPr>
    </w:p>
    <w:bookmarkStart w:id="24" w:name="page25"/>
    <w:bookmarkEnd w:id="24"/>
    <w:p>
      <w:pPr>
        <w:ind w:left="100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ectPr>
          <w:pgSz w:w="11900" w:h="16838" w:orient="portrait"/>
          <w:cols w:equalWidth="0" w:num="1">
            <w:col w:w="11020"/>
          </w:cols>
          <w:pgMar w:left="440" w:top="121" w:right="439" w:bottom="1440" w:gutter="0" w:footer="0" w:header="0"/>
        </w:sectPr>
      </w:pPr>
    </w:p>
    <w:bookmarkStart w:id="25" w:name="page26"/>
    <w:bookmarkEnd w:id="25"/>
    <w:p>
      <w:pPr>
        <w:ind w:left="100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ectPr>
          <w:pgSz w:w="11900" w:h="16838" w:orient="portrait"/>
          <w:cols w:equalWidth="0" w:num="1">
            <w:col w:w="11020"/>
          </w:cols>
          <w:pgMar w:left="440" w:top="12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September 30,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0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2020-11-05T05:32:45Z</dcterms:created>
  <dcterms:modified xsi:type="dcterms:W3CDTF">2020-11-05T05:32:45Z</dcterms:modified>
</cp:coreProperties>
</file>