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96610.xml.htm"/>
      <w:bookmarkStart w:id="1" w:name="kswkform4_17845966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Sibold William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CONSHOHOCKEN STATE ROAD SUITE 2-350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211,829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542.7459</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211,689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543.7929</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211,579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544.714</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211,034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545.7092</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210,759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547.0788</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210,490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547.698</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209,810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548.8719</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209,763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550.0138</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209,610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555.05</w:t>
            </w:r>
            <w:r>
              <w:rPr>
                <w:rFonts w:ascii="Times;serif" w:hAnsi="Times;serif"/>
                <w:color w:val="008000"/>
                <w:position w:val="7"/>
                <w:sz w:val="16"/>
                <w:sz w:val="20"/>
                <w:shd w:fill="FFFFFF" w:val="clear"/>
              </w:rPr>
              <w:t>(11)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209,329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17, 2026, the Reporting Person earned 50,000 shares of common stock following the achievement of the performance and service conditions of the Performance Restricted Stock Units described in Footnote 12. Pursuant to the terms of the award, certain of these shares were sold to cover certain tax withholding obligations as described in Footnote 2 below. The Issuer is irrevocably obligated to issue the remaining shares to the Reporting Person on September 8, 2029, the sixth anniversary of the commencement of his employment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line represents the number of shares sold by the Issuer on behalf of the Reporting Person to cover certain tax withholding obligations in connection with the Reporting Person earning 50,000 shares of common stock as described in Footnote 1 above. This sale was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$542.22 to $543.16,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the footnotes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$543.26 to $544.25,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$544.31 to $545.28,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$545.31 to $546.29,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$546.37 to $547.35,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$547.40 to $548.29,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$548.42 to $549.39,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$549.70 to $550.24,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$555.00 to $555.10,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On September 11, 2023, the Reporting Person was granted a one-time sign-on award of Performance Restricted Stock Units with a target award of 50,000 shares of common stock that could be earned upon the achievement of significant sustained stock price appreciation hurdles over a five-year period. The Reporting Person was eligible to earn up to 300% of the target award. Following the achievement of the first hurdle in February 2025, the second hurdle in December 2025 and the third and final hurdle reported on this line, all performance hurdles have been achieved. See the Issuer's Schedule 14A filed with the Securities and Exchange Commission on April 29, 2024 for additional information about the Performance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8611"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1236</Words>
  <Characters>6588</Characters>
  <CharactersWithSpaces>7652</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