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12"/>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(267)824-2827</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35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00" w:type="dxa"/>
            <w:vAlign w:val="bottom"/>
          </w:tcPr>
          <w:p>
            <w:pPr>
              <w:ind w:left="32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4, 2020, the registrant had 15,429,154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900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2"/>
        </w:trPr>
        <w:tc>
          <w:tcPr>
            <w:tcW w:w="280" w:type="dxa"/>
            <w:vAlign w:val="bottom"/>
            <w:tcBorders>
              <w:top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9000" w:type="dxa"/>
            <w:vAlign w:val="bottom"/>
          </w:tcPr>
          <w:p>
            <w:pPr>
              <w:ind w:left="160"/>
              <w:spacing w:after="0" w:line="182" w:lineRule="exact"/>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1.</w:t>
            </w:r>
          </w:p>
        </w:tc>
        <w:tc>
          <w:tcPr>
            <w:tcW w:w="900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at March 31, 2020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Condensed Consolidated Statements of Comprehensive Loss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w w:val="95"/>
              </w:rPr>
            </w:pPr>
            <w:hyperlink w:anchor="page7">
              <w:r>
                <w:rPr>
                  <w:rFonts w:ascii="Arial" w:cs="Arial" w:eastAsia="Arial" w:hAnsi="Arial"/>
                  <w:sz w:val="18"/>
                  <w:szCs w:val="18"/>
                  <w:u w:val="single" w:color="auto"/>
                  <w:color w:val="0000EE"/>
                  <w:w w:val="95"/>
                </w:rPr>
                <w:t>Condensed Consolidated Statements of Stockholders’ Equity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2.</w:t>
            </w:r>
          </w:p>
        </w:tc>
        <w:tc>
          <w:tcPr>
            <w:tcW w:w="9000" w:type="dxa"/>
            <w:vAlign w:val="bottom"/>
          </w:tcPr>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3.</w:t>
            </w:r>
          </w:p>
        </w:tc>
        <w:tc>
          <w:tcPr>
            <w:tcW w:w="9000" w:type="dxa"/>
            <w:vAlign w:val="bottom"/>
          </w:tcPr>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4.</w:t>
            </w:r>
          </w:p>
        </w:tc>
        <w:tc>
          <w:tcPr>
            <w:tcW w:w="900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1.</w:t>
            </w:r>
          </w:p>
        </w:tc>
        <w:tc>
          <w:tcPr>
            <w:tcW w:w="900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1A.</w:t>
            </w:r>
          </w:p>
        </w:tc>
        <w:tc>
          <w:tcPr>
            <w:tcW w:w="900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2.</w:t>
            </w:r>
          </w:p>
        </w:tc>
        <w:tc>
          <w:tcPr>
            <w:tcW w:w="900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3.</w:t>
            </w:r>
          </w:p>
        </w:tc>
        <w:tc>
          <w:tcPr>
            <w:tcW w:w="900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4.</w:t>
            </w:r>
          </w:p>
        </w:tc>
        <w:tc>
          <w:tcPr>
            <w:tcW w:w="900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5.</w:t>
            </w:r>
          </w:p>
        </w:tc>
        <w:tc>
          <w:tcPr>
            <w:tcW w:w="900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Item 6.</w:t>
            </w:r>
          </w:p>
        </w:tc>
        <w:tc>
          <w:tcPr>
            <w:tcW w:w="900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0" w:type="dxa"/>
            <w:vAlign w:val="bottom"/>
          </w:tcPr>
          <w:p>
            <w:pPr>
              <w:ind w:left="1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341,859</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392,348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0"/>
        </w:trPr>
        <w:tc>
          <w:tcPr>
            <w:tcW w:w="89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409,486</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411,457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24,269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8940" w:type="dxa"/>
            <w:vAlign w:val="bottom"/>
          </w:tcPr>
          <w:p>
            <w:pPr>
              <w:ind w:left="540"/>
              <w:spacing w:after="0"/>
              <w:rPr>
                <w:sz w:val="20"/>
                <w:szCs w:val="20"/>
                <w:color w:val="auto"/>
              </w:rPr>
            </w:pPr>
            <w:r>
              <w:rPr>
                <w:rFonts w:ascii="Arial" w:cs="Arial" w:eastAsia="Arial" w:hAnsi="Arial"/>
                <w:sz w:val="18"/>
                <w:szCs w:val="18"/>
                <w:color w:val="auto"/>
              </w:rPr>
              <w:t>Total long term liabilities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25,491</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Preferred stock, par value $0.0001 per share authorized: 5,000,000 shares at March 31, 2020 and December 31, 2019;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1,969,797 shares issued and outstanding at March 31, 2020 and December 31, 2019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4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 authorized: 200,000,000 at March 31, 2020 and December 31, 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540"/>
              <w:spacing w:after="0"/>
              <w:rPr>
                <w:sz w:val="20"/>
                <w:szCs w:val="20"/>
                <w:color w:val="auto"/>
              </w:rPr>
            </w:pPr>
            <w:r>
              <w:rPr>
                <w:rFonts w:ascii="Arial" w:cs="Arial" w:eastAsia="Arial" w:hAnsi="Arial"/>
                <w:sz w:val="18"/>
                <w:szCs w:val="18"/>
                <w:color w:val="auto"/>
              </w:rPr>
              <w:t>15,429,154 shares issued and outstanding at March 31, 2020 and December 31,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644,413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639,567</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(259,355)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(223,220)</w:t>
            </w:r>
          </w:p>
        </w:tc>
        <w:tc>
          <w:tcPr>
            <w:tcW w:w="0" w:type="dxa"/>
            <w:vAlign w:val="bottom"/>
          </w:tcPr>
          <w:p>
            <w:pPr>
              <w:spacing w:after="0"/>
              <w:rPr>
                <w:sz w:val="1"/>
                <w:szCs w:val="1"/>
                <w:color w:val="auto"/>
              </w:rPr>
            </w:pPr>
          </w:p>
        </w:tc>
      </w:tr>
      <w:tr>
        <w:trPr>
          <w:trHeight w:val="210"/>
        </w:trPr>
        <w:tc>
          <w:tcPr>
            <w:tcW w:w="89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385,475</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411,457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09"/>
        </w:trPr>
        <w:tc>
          <w:tcPr>
            <w:tcW w:w="882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(18,119)</w:t>
            </w:r>
          </w:p>
        </w:tc>
        <w:tc>
          <w:tcPr>
            <w:tcW w:w="0" w:type="dxa"/>
            <w:vAlign w:val="bottom"/>
          </w:tcPr>
          <w:p>
            <w:pPr>
              <w:spacing w:after="0"/>
              <w:rPr>
                <w:sz w:val="1"/>
                <w:szCs w:val="1"/>
                <w:color w:val="auto"/>
              </w:rPr>
            </w:pPr>
          </w:p>
        </w:tc>
      </w:tr>
      <w:tr>
        <w:trPr>
          <w:trHeight w:val="216"/>
        </w:trPr>
        <w:tc>
          <w:tcPr>
            <w:tcW w:w="8820" w:type="dxa"/>
            <w:vAlign w:val="bottom"/>
          </w:tcPr>
          <w:p>
            <w:pPr>
              <w:ind w:left="10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15,429,154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15,364,465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36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7"/>
          </w:tcPr>
          <w:p>
            <w:pPr>
              <w:jc w:val="right"/>
              <w:ind w:right="41"/>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8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(36,135)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available-for-sale securities</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497</w:t>
            </w:r>
          </w:p>
        </w:tc>
      </w:tr>
      <w:tr>
        <w:trPr>
          <w:trHeight w:val="210"/>
        </w:trPr>
        <w:tc>
          <w:tcPr>
            <w:tcW w:w="890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68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ectPr>
          <w:pgSz w:w="11900" w:h="16838" w:orient="portrait"/>
          <w:cols w:equalWidth="0" w:num="1">
            <w:col w:w="11100"/>
          </w:cols>
          <w:pgMar w:left="320" w:top="486" w:right="479" w:bottom="1440" w:gutter="0" w:footer="0" w:header="0"/>
        </w:sectPr>
      </w:pP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3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91"/>
        </w:trPr>
        <w:tc>
          <w:tcPr>
            <w:tcW w:w="4040" w:type="dxa"/>
            <w:vAlign w:val="bottom"/>
            <w:vMerge w:val="restart"/>
          </w:tcPr>
          <w:p>
            <w:pPr>
              <w:spacing w:after="0"/>
              <w:rPr>
                <w:sz w:val="20"/>
                <w:szCs w:val="20"/>
                <w:color w:val="auto"/>
              </w:rPr>
            </w:pPr>
            <w:r>
              <w:rPr>
                <w:rFonts w:ascii="Arial" w:cs="Arial" w:eastAsia="Arial" w:hAnsi="Arial"/>
                <w:sz w:val="14"/>
                <w:szCs w:val="14"/>
                <w:color w:val="auto"/>
              </w:rPr>
              <w:t>Balance at December 31, 2019</w:t>
            </w: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37"/>
        </w:trPr>
        <w:tc>
          <w:tcPr>
            <w:tcW w:w="4040" w:type="dxa"/>
            <w:vAlign w:val="bottom"/>
            <w:vMerge w:val="continue"/>
          </w:tcPr>
          <w:p>
            <w:pPr>
              <w:spacing w:after="0"/>
              <w:rPr>
                <w:sz w:val="11"/>
                <w:szCs w:val="11"/>
                <w:color w:val="auto"/>
              </w:rPr>
            </w:pPr>
          </w:p>
        </w:tc>
        <w:tc>
          <w:tcPr>
            <w:tcW w:w="62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color w:val="auto"/>
                <w:w w:val="86"/>
              </w:rPr>
              <w:t>1,969,797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ind w:left="120"/>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rPr>
                <w:sz w:val="20"/>
                <w:szCs w:val="20"/>
                <w:color w:val="auto"/>
              </w:rPr>
            </w:pPr>
            <w:r>
              <w:rPr>
                <w:rFonts w:ascii="Arial" w:cs="Arial" w:eastAsia="Arial" w:hAnsi="Arial"/>
                <w:sz w:val="14"/>
                <w:szCs w:val="14"/>
                <w:color w:val="auto"/>
              </w:rPr>
              <w:t>Compensation expense related to stock options for services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rPr>
                <w:sz w:val="20"/>
                <w:szCs w:val="20"/>
                <w:color w:val="auto"/>
              </w:rPr>
            </w:pPr>
            <w:r>
              <w:rPr>
                <w:rFonts w:ascii="Arial" w:cs="Arial" w:eastAsia="Arial" w:hAnsi="Arial"/>
                <w:sz w:val="14"/>
                <w:szCs w:val="14"/>
                <w:color w:val="auto"/>
              </w:rPr>
              <w:t>Unrealized gain on marketable securities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040" w:type="dxa"/>
            <w:vAlign w:val="bottom"/>
          </w:tcPr>
          <w:p>
            <w:pPr>
              <w:spacing w:after="0" w:line="155" w:lineRule="exact"/>
              <w:rPr>
                <w:sz w:val="20"/>
                <w:szCs w:val="20"/>
                <w:color w:val="auto"/>
              </w:rPr>
            </w:pPr>
            <w:r>
              <w:rPr>
                <w:rFonts w:ascii="Arial" w:cs="Arial" w:eastAsia="Arial" w:hAnsi="Arial"/>
                <w:sz w:val="14"/>
                <w:szCs w:val="14"/>
                <w:color w:val="auto"/>
              </w:rPr>
              <w:t>Balance at March 31, 2020</w:t>
            </w:r>
          </w:p>
        </w:tc>
        <w:tc>
          <w:tcPr>
            <w:tcW w:w="6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6"/>
              </w:rPr>
              <w:t>1,969,797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40" w:type="dxa"/>
            <w:vAlign w:val="bottom"/>
            <w:vMerge w:val="continue"/>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4"/>
                <w:szCs w:val="14"/>
                <w:color w:val="auto"/>
                <w:w w:val="86"/>
              </w:rPr>
              <w:t>1,969,797</w:t>
            </w:r>
          </w:p>
        </w:tc>
        <w:tc>
          <w:tcPr>
            <w:tcW w:w="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line="124"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2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rPr>
                <w:sz w:val="20"/>
                <w:szCs w:val="20"/>
                <w:color w:val="auto"/>
              </w:rPr>
            </w:pPr>
            <w:r>
              <w:rPr>
                <w:rFonts w:ascii="Arial" w:cs="Arial" w:eastAsia="Arial" w:hAnsi="Arial"/>
                <w:sz w:val="14"/>
                <w:szCs w:val="14"/>
                <w:color w:val="auto"/>
              </w:rPr>
              <w:t>Exercise of common stock options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rPr>
                <w:sz w:val="20"/>
                <w:szCs w:val="20"/>
                <w:color w:val="auto"/>
              </w:rPr>
            </w:pPr>
            <w:r>
              <w:rPr>
                <w:rFonts w:ascii="Arial" w:cs="Arial" w:eastAsia="Arial" w:hAnsi="Arial"/>
                <w:sz w:val="14"/>
                <w:szCs w:val="14"/>
                <w:color w:val="auto"/>
              </w:rPr>
              <w:t>Compensation expense related to stock options for services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rPr>
                <w:sz w:val="20"/>
                <w:szCs w:val="20"/>
                <w:color w:val="auto"/>
              </w:rPr>
            </w:pPr>
            <w:r>
              <w:rPr>
                <w:rFonts w:ascii="Arial" w:cs="Arial" w:eastAsia="Arial" w:hAnsi="Arial"/>
                <w:sz w:val="14"/>
                <w:szCs w:val="14"/>
                <w:color w:val="auto"/>
              </w:rPr>
              <w:t>Unrealized gain on marketable securities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040" w:type="dxa"/>
            <w:vAlign w:val="bottom"/>
          </w:tcPr>
          <w:p>
            <w:pPr>
              <w:spacing w:after="0" w:line="155" w:lineRule="exact"/>
              <w:rPr>
                <w:sz w:val="20"/>
                <w:szCs w:val="20"/>
                <w:color w:val="auto"/>
              </w:rPr>
            </w:pPr>
            <w:r>
              <w:rPr>
                <w:rFonts w:ascii="Arial" w:cs="Arial" w:eastAsia="Arial" w:hAnsi="Arial"/>
                <w:sz w:val="14"/>
                <w:szCs w:val="14"/>
                <w:color w:val="auto"/>
              </w:rPr>
              <w:t>Balance at March 31, 2019</w:t>
            </w:r>
          </w:p>
        </w:tc>
        <w:tc>
          <w:tcPr>
            <w:tcW w:w="6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6"/>
              </w:rPr>
              <w:t>1,969,797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88"/>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160" w:type="dxa"/>
            <w:vAlign w:val="bottom"/>
            <w:tcBorders>
              <w:bottom w:val="single" w:sz="8" w:color="auto"/>
            </w:tcBorders>
            <w:gridSpan w:val="4"/>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8"/>
              <w:spacing w:after="0" w:line="158" w:lineRule="exact"/>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4"/>
                <w:szCs w:val="1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6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4"/>
              </w:rPr>
              <w:t>15,429,154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w w:val="71"/>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639,567</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ind w:left="520"/>
              <w:spacing w:after="0" w:line="137" w:lineRule="exact"/>
              <w:rPr>
                <w:sz w:val="20"/>
                <w:szCs w:val="20"/>
                <w:color w:val="auto"/>
              </w:rPr>
            </w:pPr>
            <w:r>
              <w:rPr>
                <w:rFonts w:ascii="Arial" w:cs="Arial" w:eastAsia="Arial" w:hAnsi="Arial"/>
                <w:sz w:val="14"/>
                <w:szCs w:val="14"/>
                <w:color w:val="auto"/>
                <w:w w:val="76"/>
              </w:rPr>
              <w:t>216</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(223,220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416,565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4,846</w:t>
            </w:r>
          </w:p>
        </w:tc>
        <w:tc>
          <w:tcPr>
            <w:tcW w:w="2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62"/>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199</w:t>
            </w: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81"/>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4"/>
                <w:szCs w:val="14"/>
                <w:color w:val="auto"/>
              </w:rPr>
              <w:t>(36,135)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(36,135)</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15,429,154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0"/>
                <w:szCs w:val="10"/>
                <w:color w:val="auto"/>
                <w:w w:val="71"/>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644,413</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w w:val="76"/>
              </w:rPr>
              <w:t>415</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(259,355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385,475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vMerge w:val="restart"/>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w w:val="94"/>
              </w:rPr>
              <w:t>15,409,023</w:t>
            </w:r>
          </w:p>
        </w:tc>
        <w:tc>
          <w:tcPr>
            <w:tcW w:w="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w w:val="71"/>
              </w:rPr>
              <w:t>2</w:t>
            </w: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616,573</w:t>
            </w:r>
          </w:p>
        </w:tc>
        <w:tc>
          <w:tcPr>
            <w:tcW w:w="180" w:type="dxa"/>
            <w:vAlign w:val="bottom"/>
            <w:vMerge w:val="continue"/>
          </w:tcPr>
          <w:p>
            <w:pPr>
              <w:spacing w:after="0"/>
              <w:rPr>
                <w:sz w:val="10"/>
                <w:szCs w:val="10"/>
                <w:color w:val="auto"/>
              </w:rPr>
            </w:pPr>
          </w:p>
        </w:tc>
        <w:tc>
          <w:tcPr>
            <w:tcW w:w="20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ind w:left="460"/>
              <w:spacing w:after="0" w:line="124" w:lineRule="exact"/>
              <w:rPr>
                <w:sz w:val="20"/>
                <w:szCs w:val="20"/>
                <w:color w:val="auto"/>
              </w:rPr>
            </w:pPr>
            <w:r>
              <w:rPr>
                <w:rFonts w:ascii="Arial" w:cs="Arial" w:eastAsia="Arial" w:hAnsi="Arial"/>
                <w:sz w:val="14"/>
                <w:szCs w:val="14"/>
                <w:color w:val="auto"/>
                <w:w w:val="85"/>
              </w:rPr>
              <w:t>(319</w:t>
            </w:r>
          </w:p>
        </w:tc>
        <w:tc>
          <w:tcPr>
            <w:tcW w:w="2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(139,272</w:t>
            </w:r>
          </w:p>
        </w:tc>
        <w:tc>
          <w:tcPr>
            <w:tcW w:w="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476,984</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8,041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6,022</w:t>
            </w:r>
          </w:p>
        </w:tc>
        <w:tc>
          <w:tcPr>
            <w:tcW w:w="2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62"/>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497</w:t>
            </w: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1"/>
        </w:trPr>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4"/>
                <w:szCs w:val="14"/>
                <w:color w:val="auto"/>
              </w:rPr>
              <w:t>(15,080)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(15,080)</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15,417,064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0"/>
                <w:szCs w:val="10"/>
                <w:color w:val="auto"/>
                <w:w w:val="71"/>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622,678</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w w:val="76"/>
              </w:rPr>
              <w:t>178</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(154,352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468,506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-1199515</wp:posOffset>
            </wp:positionV>
            <wp:extent cx="699516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-993775</wp:posOffset>
            </wp:positionV>
            <wp:extent cx="699516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-779145</wp:posOffset>
            </wp:positionV>
            <wp:extent cx="699516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-548005</wp:posOffset>
            </wp:positionV>
            <wp:extent cx="699516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-342265</wp:posOffset>
            </wp:positionV>
            <wp:extent cx="699516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-128270</wp:posOffset>
            </wp:positionV>
            <wp:extent cx="699516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200"/>
            <w:col w:w="5420"/>
          </w:cols>
          <w:pgMar w:left="320" w:top="486" w:right="479" w:bottom="1440" w:gutter="0" w:footer="0" w:header="0"/>
          <w:type w:val="continuous"/>
        </w:sectPr>
      </w:pP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86" w:right="4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-3175</wp:posOffset>
            </wp:positionV>
            <wp:extent cx="11315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(36,135)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(15,080)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6,022</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1,889</w:t>
            </w: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0"/>
        </w:trPr>
        <w:tc>
          <w:tcPr>
            <w:tcW w:w="9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1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(30,506)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(6,478)</w:t>
            </w:r>
          </w:p>
        </w:tc>
      </w:tr>
      <w:tr>
        <w:trPr>
          <w:trHeight w:val="209"/>
        </w:trPr>
        <w:tc>
          <w:tcPr>
            <w:tcW w:w="9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(58,647)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(173,837)</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Sales and maturities of marketable securities</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109,421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170,387</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net of disposals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09"/>
        </w:trPr>
        <w:tc>
          <w:tcPr>
            <w:tcW w:w="910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80" w:type="dxa"/>
            <w:vAlign w:val="bottom"/>
          </w:tcPr>
          <w:p>
            <w:pPr>
              <w:spacing w:after="0"/>
              <w:rPr>
                <w:sz w:val="18"/>
                <w:szCs w:val="18"/>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w w:val="96"/>
              </w:rPr>
              <w:t>Proceeds from the sale of related party stock and exercise of common stock options, net of transaction costs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r>
      <w:tr>
        <w:trPr>
          <w:trHeight w:val="209"/>
        </w:trPr>
        <w:tc>
          <w:tcPr>
            <w:tcW w:w="91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10"/>
        </w:trPr>
        <w:tc>
          <w:tcPr>
            <w:tcW w:w="9100" w:type="dxa"/>
            <w:vAlign w:val="bottom"/>
          </w:tcPr>
          <w:p>
            <w:pPr>
              <w:ind w:left="14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8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57,379</w:t>
            </w: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47,493</w:t>
            </w:r>
          </w:p>
        </w:tc>
        <w:tc>
          <w:tcPr>
            <w:tcW w:w="8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Obtaining a right-of-use asset in exchange for a lease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8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120" w:right="702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The Company previously completed Phase 2 studies of resmetirom in NASH in May of 2018 and Heterozygous Familial Hypercholesterolemia in February of 2018.</w:t>
      </w:r>
    </w:p>
    <w:p>
      <w:pPr>
        <w:spacing w:after="0" w:line="192"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Madrigal was originally incorporated as a private company (“Private Madrigal”) on August 19, 2011 and operations commenced in September 2011. On July 22, 2016, Private Madrigal completed a reverse merger (the “Merger”) into Synta Pharmaceuticals Corp. (“Synta”). Upon the consummation of the Merger, the historical financial statements of Private Madrigal became the Company’s historical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2020 or any subsequent period. These unaudited condensed financial statements should be read in conjunction with the audited consolidated financial statements and the notes to those statements for the year ended December 31, 2019.</w:t>
      </w:r>
    </w:p>
    <w:p>
      <w:pPr>
        <w:spacing w:after="0" w:line="282" w:lineRule="exact"/>
        <w:rPr>
          <w:sz w:val="20"/>
          <w:szCs w:val="20"/>
          <w:color w:val="auto"/>
        </w:rPr>
      </w:pPr>
    </w:p>
    <w:p>
      <w:pPr>
        <w:ind w:left="120" w:right="7440" w:hanging="4"/>
        <w:spacing w:after="0" w:line="378"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4"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2020 and 2019, the Company determined it did not have any securities that were other-than-temporarily impaired.</w:t>
      </w:r>
    </w:p>
    <w:p>
      <w:pPr>
        <w:spacing w:after="0" w:line="195"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2020 and 2019,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of March 31, 2020, the Company’s financial assets valued based on Level 1 inputs consisted of cash and cash equivalents in a money market fund and its financial assets valued based on Level 2 inputs consisted of high-grade corporate bonds and commercial paper. During the three months ended March 31, 2020 and 2019, the Company did not have any transfers of financial assets between Levels 1 and 2. As of March 31, 2020 and December 31, 2019, the Company did not have any financial liabilities that were recorded at fair value on a recurring basis on the balance sheet.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61"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months ended</w:t>
      </w:r>
    </w:p>
    <w:p>
      <w:pPr>
        <w:spacing w:after="0" w:line="2"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March 31, 2020 and 2019,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9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6400" w:type="dxa"/>
            <w:vAlign w:val="bottom"/>
          </w:tcPr>
          <w:p>
            <w:pPr>
              <w:spacing w:after="0"/>
              <w:rPr>
                <w:sz w:val="16"/>
                <w:szCs w:val="16"/>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1,728,112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1,367,077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52,063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1,969,797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1,969,797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requires all or a portion of the amortized cost basis of a financial asset to be written off when it is deemed uncollectible. For public business entities that do not qualify as a smaller reporting company, ASU 2016-13 is effective for annual and interim reporting periods beginning after December 15, 2019. The Company adopted ASU 2016-13 effective January 1, 2020. There was no significant impact from the adoption.</w:t>
      </w:r>
    </w:p>
    <w:p>
      <w:pPr>
        <w:sectPr>
          <w:pgSz w:w="11900" w:h="16838" w:orient="portrait"/>
          <w:cols w:equalWidth="0" w:num="1">
            <w:col w:w="11120"/>
          </w:cols>
          <w:pgMar w:left="320" w:top="486" w:right="459" w:bottom="1440" w:gutter="0" w:footer="0" w:header="0"/>
        </w:sectPr>
      </w:pP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has incurred losses since inception, including approximately $36.1 million for the three months ended March 31, 2020, resulting in an accumulated deficit of approximately $259.4 million as of March 31, 2020. Management expects to incur losses for the foreseeable future. To date, the Company has funded its operations primarily through the issuance of convertible debt, the proceeds from the Merger on July 22, 2016, and proceeds from sales of the Company’s common and Series A Convertible Preferred Stock.</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March 31, 2020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March 31, 2020 and December 31, 2019 is as follows (in thousands):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Cash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1,668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63,532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6"/>
              </w:rPr>
              <w:t>Corporate debt securities due within 3 months of date of purchase (Level 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66,651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320,478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320,897</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20,966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20,962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408,095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408,510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2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62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Cash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6"/>
              </w:rPr>
              <w:t>Corporate debt securities due within 3 months of date of purchase (Level 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46,697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309,365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309,545</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82,767</w:t>
            </w:r>
          </w:p>
        </w:tc>
        <w:tc>
          <w:tcPr>
            <w:tcW w:w="14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82,803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438,829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439,045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March 31, 2020 and December 31, 2019 consisted of the following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 research costs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18,105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13,775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2,779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5,906</w:t>
            </w:r>
          </w:p>
        </w:tc>
      </w:tr>
      <w:tr>
        <w:trPr>
          <w:trHeight w:val="20"/>
        </w:trPr>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23,637</w:t>
            </w:r>
          </w:p>
        </w:tc>
      </w:tr>
      <w:tr>
        <w:trPr>
          <w:trHeight w:val="20"/>
        </w:trPr>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right="912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60"/>
        <w:spacing w:after="0" w:line="277" w:lineRule="auto"/>
        <w:rPr>
          <w:sz w:val="20"/>
          <w:szCs w:val="20"/>
          <w:color w:val="auto"/>
        </w:rPr>
      </w:pPr>
      <w:r>
        <w:rPr>
          <w:rFonts w:ascii="Arial" w:cs="Arial" w:eastAsia="Arial" w:hAnsi="Arial"/>
          <w:sz w:val="18"/>
          <w:szCs w:val="18"/>
          <w:color w:val="auto"/>
        </w:rPr>
        <w:t>Each common stockholder is entitled to one vote for each share of common stock held. Each share of common stock is entitled to receive dividends, as and when declared by the Company’s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certain limitations and to adjustment provisions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generally equal to the dividend payable on each share of the Common Stock, on an as-converted basis.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86"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2020, the Company had options outstanding to purchase 1,728,112 shares of its common stock, which includes options outstanding under its 2006 Stock Plan. As of March 31, 2020, 1,085,220 shares were available for future issuance.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three months ended March 31, 2020:</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5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1,461,987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266,125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1,728,112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1,025,465</w:t>
            </w:r>
          </w:p>
        </w:tc>
        <w:tc>
          <w:tcPr>
            <w:tcW w:w="5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45.81</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 and $0.1 million, respectively, for the three months ended March 31, 2020 and 2019. The weighted-average grant date fair values, based on the Black-Scholes option model, of options granted during the three months ended March 31, 2020 and 2019 were $68.71 and $101.08,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three months ended March 31, 2020 and 2019 was as follows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4,846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5,901</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121</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4,846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4"/>
              </w:rPr>
              <w:t>6,022</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stock-based compensation expense by line item: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88"/>
              </w:rPr>
              <w:t>2,078</w:t>
            </w:r>
          </w:p>
        </w:tc>
        <w:tc>
          <w:tcPr>
            <w:tcW w:w="260" w:type="dxa"/>
            <w:vAlign w:val="bottom"/>
          </w:tcPr>
          <w:p>
            <w:pPr>
              <w:spacing w:after="0"/>
              <w:rPr>
                <w:sz w:val="18"/>
                <w:szCs w:val="18"/>
                <w:color w:val="auto"/>
              </w:rPr>
            </w:pP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1,877</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2,768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4,145</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4,846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4"/>
              </w:rPr>
              <w:t>6,022</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Unrecognized stock-based compensation expense on stock options as of March 31, 2020 was $44.2 million with a weighted average remaining period of 3.0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three months ended March 31, 2020 and 2019.</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include but are not limited to statements or references concerning: our clinical trials, research and development activities, and the timing and results associated with the future development of our lead product candidate, MGL-3196 (resmetirom); our primary and secondary study endpoints for resmetirom and the potential for achieving such endpoints and projections; optimal dosing levels for resmetirom; projections regarding potential future NASH resolution, safety, fibrosis treatment, cardiovascular effects, lipid treatment or biomarker effects with resmetirom; the predictive power of liver fat reduction on NASH resolution with fibrosis reduction; the achievement of enrollment objectives concerning patient number, safety database and/or timing for our studies; potential NASH or NAFLD patient risk profile benefits with resmetirom;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“anticipates,” “be,” “believes,” “continue,” “could,” “demonstrates,” ”design,” “estimates,” “expects,” “forecasts,” “future,” “goal,” “intends,” “may,” “might,” “plans,” “potential,” “predicts,” ”predictive,” “projects,” “seeks,” “should,” “will,”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Forward-looking statements are subject to a number of risks and uncertainties including, but not limited to: our clinical development of resmetirom; enrollment uncertainties, generally and in relation to COVID-19 mandatory lock-down measures and individual precautionary measures that may be implemented for an uncertain period of time; outcomes or trends from competitive studies; the risks of achieving potential benefits in studies that includes substantially more patients than our prior studies; the timing and outcomes of clinical studies of resmetirom; and the uncertainties inherent in clinical testing. Undue reliance should not be placed on forward- 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entitled “Risk Factors” in Part I, Item 1A of our Annual Report on Form 10-K for the year ended December 31, 2019, as well as in our other filings with the SEC.</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2019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sections entitled “Special Note Regarding Forward-Looking Statements” and “Risk Factors” included elsewhere in this report. Our operating results are not necessarily indicative of results that may occur for the full fiscal year or any other future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Our Patient Market Opportunity. </w:t>
      </w:r>
      <w:r>
        <w:rPr>
          <w:rFonts w:ascii="Arial" w:cs="Arial" w:eastAsia="Arial" w:hAnsi="Arial"/>
          <w:sz w:val="18"/>
          <w:szCs w:val="18"/>
          <w:color w:val="auto"/>
        </w:rPr>
        <w:t>NASH is a serious inflammatory form of nonalcoholic fatty liver disease, or NAFLD. NAFLD has become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188"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 xml:space="preserve">Our Completed Studies. </w:t>
      </w:r>
      <w:r>
        <w:rPr>
          <w:rFonts w:ascii="Arial" w:cs="Arial" w:eastAsia="Arial" w:hAnsi="Arial"/>
          <w:sz w:val="16"/>
          <w:szCs w:val="16"/>
          <w:color w:val="auto"/>
        </w:rPr>
        <w:t>For NASH, we enrolled 125 patients in a Phase 2 clinical trial with resmetirom. We achieved the 12-week primary endpoint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66"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i w:val="1"/>
          <w:iCs w:val="1"/>
          <w:color w:val="auto"/>
        </w:rPr>
        <w:t xml:space="preserve">Our Ongoing and Planned Studies. </w:t>
      </w:r>
      <w:r>
        <w:rPr>
          <w:rFonts w:ascii="Arial" w:cs="Arial" w:eastAsia="Arial" w:hAnsi="Arial"/>
          <w:sz w:val="17"/>
          <w:szCs w:val="17"/>
          <w:color w:val="auto"/>
        </w:rPr>
        <w:t>On March 28, 2019, the Company announced that it had initiated MAESTRO-NASH, a Phase 3 trial in NASH with</w:t>
      </w:r>
      <w:r>
        <w:rPr>
          <w:rFonts w:ascii="Arial" w:cs="Arial" w:eastAsia="Arial" w:hAnsi="Arial"/>
          <w:sz w:val="17"/>
          <w:szCs w:val="17"/>
          <w:i w:val="1"/>
          <w:iCs w:val="1"/>
          <w:color w:val="auto"/>
        </w:rPr>
        <w:t xml:space="preserve"> </w:t>
      </w:r>
      <w:r>
        <w:rPr>
          <w:rFonts w:ascii="Arial" w:cs="Arial" w:eastAsia="Arial" w:hAnsi="Arial"/>
          <w:sz w:val="17"/>
          <w:szCs w:val="17"/>
          <w:color w:val="auto"/>
        </w:rPr>
        <w:t>its once daily, oral thyroid hormone receptor beta selective agonist,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7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On December 10,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MAESTRO-NASH Phase 3 clinical trial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of 2019 we initiated a Phase 3 trial in NASH, described in detail above under “About Madrigal; Our Ongoing and Planned Studies.”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grants Fast Track designation for resmetirom in NASH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2019, FDA granted Fast Track designation to resmetirom for NASH.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MAESTRO-NAFLD-1 Phase 3 clinical trial</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In December 2019 we initiated a Phase 3 trial in presumed NASH, described in detail above under “About Madrigal; Our Ongoing and Planned Studies.”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 pandemic</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April 2020 we announced that in response to guidance from regulatory agencies, measures for COVID-19 at impacted sites have been put in place for its Phase 3 MAESTRO-NASH and MAESTRO-NAFLD-1 studies, allowing both studies to continue without changes to the protocol. At a recently conducted Data Monitoring Committee (DMC) meeting it was recommended that Phase 3 studies proceed without modification.</w:t>
      </w:r>
    </w:p>
    <w:p>
      <w:pPr>
        <w:sectPr>
          <w:pgSz w:w="11900" w:h="16838" w:orient="portrait"/>
          <w:cols w:equalWidth="0" w:num="1">
            <w:col w:w="11100"/>
          </w:cols>
          <w:pgMar w:left="320" w:top="486" w:right="479" w:bottom="1440" w:gutter="0" w:footer="0" w:header="0"/>
        </w:sectPr>
      </w:pP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86"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2019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liability insurance, and allocated overhead expenses.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w:t>
      </w:r>
    </w:p>
    <w:p>
      <w:pPr>
        <w:sectPr>
          <w:pgSz w:w="11900" w:h="16838" w:orient="portrait"/>
          <w:cols w:equalWidth="0" w:num="1">
            <w:col w:w="11120"/>
          </w:cols>
          <w:pgMar w:left="320" w:top="486" w:right="459" w:bottom="1440" w:gutter="0" w:footer="0" w:header="0"/>
        </w:sectPr>
      </w:pP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2020, as compared to those disclosed in our Annual Report on Form 10-K for the fiscal year ended December 31, 2019 filed with the SEC on February 26,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March 31, 2020 and 2019 (in thousands):</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 March 31,</w:t>
            </w: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Increase / (Decrease)</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21,027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4,605</w:t>
            </w: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5,746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36,135</w:t>
            </w:r>
          </w:p>
        </w:tc>
        <w:tc>
          <w:tcPr>
            <w:tcW w:w="3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15,080</w:t>
            </w:r>
          </w:p>
        </w:tc>
        <w:tc>
          <w:tcPr>
            <w:tcW w:w="3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21,055</w:t>
            </w:r>
          </w:p>
        </w:tc>
        <w:tc>
          <w:tcPr>
            <w:tcW w:w="34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March 31,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research and development expenses were $33.4 million for the three months ended March 31, 2020, compared to $12.4 million in the corresponding period in 2019. Research and development expenses increased by $21.0 million in the 2020 period due primarily to the additional activities related to the Phase 3 clinical trials initiated in 2019, an increase in head count, and an increase in non-cash stock compensation from stock option awards. We expect our research and development expenses to increase over time as we advance our clinical and preclinical development programs for resmetirom.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Our general and administrative expenses were $4.6 million for the three months ended March 31, 2020, compared to $5.7 million in the corresponding period in 2019. General and administrative expenses decreased by $1.1 million in the 2020 period due primarily to a decrease in non-cash stock compensation from stock option awards, partially offset by increases in other general and administrative expenses. We believe our general and administrative expenses may increase over time as we advance our clinical and preclinical development programs for resmetirom, which will likely result in an increase in our headcount, consulting services, and related overhead needed to support those efforts.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net interest income was $1.9 million for the three months ended March 31, 2020, compared to $3.0 million in the corresponding period in 2019. The decrease in interest income was due primarily to a lower average principal balance in our investment account in 2020 and decreased interest rates.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convertible debt,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As of March 31, 2020, we had cash, cash equivalents and marketable securities totaling $408.5 million compared to $439.0 million as of December 31, 2019, with the decrease attributable to the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March 31, 2020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w:t>
      </w:r>
    </w:p>
    <w:p>
      <w:pPr>
        <w:spacing w:after="0" w:line="1" w:lineRule="exact"/>
        <w:rPr>
          <w:sz w:val="20"/>
          <w:szCs w:val="20"/>
          <w:color w:val="auto"/>
        </w:rPr>
      </w:pPr>
    </w:p>
    <w:p>
      <w:pPr>
        <w:jc w:val="both"/>
        <w:ind w:left="120"/>
        <w:spacing w:after="0" w:line="295" w:lineRule="auto"/>
        <w:rPr>
          <w:sz w:val="20"/>
          <w:szCs w:val="20"/>
          <w:color w:val="auto"/>
        </w:rPr>
      </w:pPr>
      <w:r>
        <w:rPr>
          <w:rFonts w:ascii="Arial" w:cs="Arial" w:eastAsia="Arial" w:hAnsi="Arial"/>
          <w:sz w:val="16"/>
          <w:szCs w:val="16"/>
          <w:color w:val="auto"/>
        </w:rPr>
        <w:t>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42"/>
        </w:trPr>
        <w:tc>
          <w:tcPr>
            <w:tcW w:w="5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(30,506)</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50,460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(3,491)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80" w:type="dxa"/>
            <w:vAlign w:val="bottom"/>
          </w:tcPr>
          <w:p>
            <w:pPr>
              <w:spacing w:after="0"/>
              <w:rPr>
                <w:sz w:val="19"/>
                <w:szCs w:val="19"/>
                <w:color w:val="auto"/>
              </w:rPr>
            </w:pPr>
          </w:p>
        </w:tc>
      </w:tr>
    </w:tbl>
    <w:p>
      <w:pPr>
        <w:spacing w:after="0" w:line="187"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Net cash used in operating activities was $30.5 million for the three months ended March 31, 2020, compared to $6.5 million for the corresponding period in 2019.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Net cash provided by investing activities was $50.5 million for the three months ended March 31, 2020, compared to $3.5 million used in investing activities for the corresponding period in 2019. Net cash provided by investing activities for the three months ended March 31, 2020 consisted of $109.4 million from sales and maturities of marketable securities, partially offset by $58.6 million of purchases of marketable securities for our investment portfolio and $0.3 million of purchases of property and equipment. Net cash used by investing activities for the three months ended March 31, 2019 consisted of $173.8 million of purchases of marketable securities for our investment portfolio, partially offset by $170.4 million from sales and maturities of marketable securities.</w:t>
      </w:r>
    </w:p>
    <w:p>
      <w:pPr>
        <w:spacing w:after="0" w:line="1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Net cash provided by financing activities was $0 for the three months ended March 31, 2020, compared to $0.1 million for the corresponding period in 2019, which consisted of proceeds from exercise of stock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No significant changes to contractual obligations and commitments occurred during the three months ended March 31, 2020, as compared to those disclosed in our Annual Report on Form 10-K for the fiscal year ended December 31, 2019 filed with the SEC on February 26, 2020.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business is subject to substantial risks and uncertainties. You should carefully consider the risk factors set forth below as well as the other information contained in this Quarterly Report on Form 10-Q and in our other public filings in evaluating our business, including risk factors in our 2019 Annual Report on Form 10-K for the year ended December 31, 2019, which was filed with the SEC on February 26, 2020 (collectively, our “Risk Factors”). Any of our Risk Factors either alone or taken together, could materially and adversely affect our business, financial condition, results of operations or prospects and the value of our common stock. In addition, these risks and uncertainties could cause actual results to differ materially from those expressed or implied by forward-looking statements contained in this Form 10-Q. See “Special Note Regarding Forward-Looking Statements” in this Form 10-Q. There have been no material changes to the Risk Factors as previously disclosed in the Company’s 2019 Annual Report on Form 10-K, except as follows:</w:t>
      </w:r>
    </w:p>
    <w:p>
      <w:pPr>
        <w:spacing w:after="0" w:line="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continuation or worsening of the COVID-19 pandemic, which spread worldwide in the first quarter of 2020, may affect our ability to complete our ongoing clinical trials, disrupt regulatory activities and delay or disrupt commercialization of resmetirom, and may have other adverse effects on our stock price and business operations.</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COVID-19 pandemic is causing many governments to implement measures to slow the spread of the outbreak through quarantines, travel restrictions, heightened border security, and other measures. This outbreak and the resulting governmental measures have had a significant impact, both direct and indirect, on businesses and commerce, as supply chains have been disrupted; facilities and production have been suspended; unemployment has increased; and demand for certain goods and services, such as medical services and supplies, has spiked. The future progression of the pandemic and its effects on our business and operations are uncertain.</w:t>
      </w:r>
    </w:p>
    <w:p>
      <w:pPr>
        <w:sectPr>
          <w:pgSz w:w="11900" w:h="16838" w:orient="portrait"/>
          <w:cols w:equalWidth="0" w:num="1">
            <w:col w:w="11120"/>
          </w:cols>
          <w:pgMar w:left="320" w:top="486" w:right="459" w:bottom="1440" w:gutter="0" w:footer="0" w:header="0"/>
        </w:sectPr>
      </w:pP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86"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and our contract research organizations (“CROs”) and contract manufacturing organizations (“CMO”) may face disruptions that may affect our ability to conduct and timely complete ongoing clinical trials including disruptions in procuring items that are essential for our development activities, such as materials and intermediates used in the manufacturing of resmetirom. We and our CROs and CMOs, as well as clinical trial sites, may face disruptions related to our ongoing clinical trials arising from staffing disruptions and limitations on our activities and the activities of our CROs and CMOs, and delays in the ability to obtain necessary institutional review board or other necessary site approvals or delays in site initiations or site monitoring visits, as well as other delays at clinical trial sites. We may also face limitations on enrollment and patients withdrawing from our clinical trials or not complying with the protocol procedures, which could delay completion of our clinical trials or adversely affect the data generated by our clinical trials. The response to the COVID-19 pandemic also could redirect resources with respect to regulatory and intellectual property matters in a way that could adversely impact our ability to progress regulatory approvals and protect our intellectual property. In addition, we may face impediments to regulatory meetings and approvals due to measures that are intended to limit in-person interactions. The pandemic has significantly impacted economies worldwide, which could result in adverse effects on our business and operations. Moreover, the pandemic has also caused significant disruptions in the financial markets, and may continue to cause such disruptions, which has led to increased trading volatility and significant stock price declines within the first quarter of 2020 and may adversely impact the future volatility and value of our stock and future trading in our stock.</w:t>
      </w:r>
    </w:p>
    <w:p>
      <w:pPr>
        <w:spacing w:after="0" w:line="17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accordance with governmental pronouncements, we have instituted policies to facilitate working remotely. The continuation of personnel working from home (not only at Madrigal, but also at CROs, CMOs, clinical sites and governmental and supervisory bodies) may negatively impact our productivity, or disrupt, delay, or otherwise adversely impact our business. This could adversely impact our business operations or delay necessary interactions with regulators, ethics committees, manufacturing sites, research or clinical trial sites and other important agencies and contractors, including our CROs and CMOs. We cannot be certain what the overall impact of the COVID-19 pandemic will be on our business. However, it has the potential to adversely affect our business, financial condition, results of operations, and prospects.</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may not be able to continue clinical trials for resmetirom as planned if we are unable to locate and enroll a sufficient number of eligible patients to participate in these trials as required by the FDA or similar regulatory authorities outside of the United States. In particular, because resmetirom is focused on specific patient populations, our ability to enroll eligible patients may be limited or may result in slower enrollment than we anticipate. If the COVID-19 pandemic continues, patient recruitment and enrollment in our clinical trials may be adversely affected, delayed or interrupted. Patients may choose to withdraw from our studies or we may choose to or be required to pause enrollment and or patient dosing in our ongoing clinical trials in order to preserve health resources and protect trial participants. It is unknown whether or how long pauses or disruptions could occur or continue.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b w:val="1"/>
                <w:bCs w:val="1"/>
                <w:color w:val="auto"/>
              </w:rPr>
              <w:t>Filed</w:t>
            </w:r>
          </w:p>
        </w:tc>
      </w:tr>
      <w:tr>
        <w:trPr>
          <w:trHeight w:val="171"/>
        </w:trPr>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40" w:type="dxa"/>
            <w:vAlign w:val="bottom"/>
            <w:gridSpan w:val="9"/>
          </w:tcPr>
          <w:p>
            <w:pPr>
              <w:ind w:left="96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r>
      <w:tr>
        <w:trPr>
          <w:trHeight w:val="277"/>
        </w:trPr>
        <w:tc>
          <w:tcPr>
            <w:tcW w:w="720" w:type="dxa"/>
            <w:vAlign w:val="bottom"/>
          </w:tcPr>
          <w:p>
            <w:pPr>
              <w:ind w:left="14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3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Principal Executive Officer pursuant to</w:t>
              </w:r>
            </w:hyperlink>
          </w:p>
        </w:tc>
        <w:tc>
          <w:tcPr>
            <w:tcW w:w="56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Rule 13a-14(a) or Rule 15d-14(a) of the Securities</w:t>
              </w:r>
            </w:hyperlink>
          </w:p>
        </w:tc>
        <w:tc>
          <w:tcPr>
            <w:tcW w:w="90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Exchange Act of 1934, as adopted pursuant to Section 302</w:t>
              </w:r>
            </w:hyperlink>
          </w:p>
        </w:tc>
        <w:tc>
          <w:tcPr>
            <w:tcW w:w="3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of the Sarbanes-Oxley Act of 2002.</w:t>
              </w:r>
            </w:hyperlink>
          </w:p>
        </w:tc>
        <w:tc>
          <w:tcPr>
            <w:tcW w:w="19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720" w:type="dxa"/>
            <w:vAlign w:val="bottom"/>
          </w:tcPr>
          <w:p>
            <w:pPr>
              <w:ind w:left="14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454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Financial Officer pursuant to</w:t>
              </w:r>
            </w:hyperlink>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Rule 13a-14(a) or Rule 15d-14(a) of the Securities</w:t>
              </w:r>
            </w:hyperlink>
          </w:p>
        </w:tc>
        <w:tc>
          <w:tcPr>
            <w:tcW w:w="280" w:type="dxa"/>
            <w:vAlign w:val="bottom"/>
            <w:tcBorders>
              <w:top w:val="single" w:sz="8" w:color="0000EE"/>
            </w:tcBorders>
          </w:tcPr>
          <w:p>
            <w:pPr>
              <w:spacing w:after="0"/>
              <w:rPr>
                <w:sz w:val="17"/>
                <w:szCs w:val="17"/>
                <w:color w:val="auto"/>
              </w:rPr>
            </w:pPr>
          </w:p>
        </w:tc>
        <w:tc>
          <w:tcPr>
            <w:tcW w:w="6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Exchange Act of 1934, as adopted pursuant to Section 302</w:t>
              </w:r>
            </w:hyperlink>
          </w:p>
        </w:tc>
        <w:tc>
          <w:tcPr>
            <w:tcW w:w="3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of the Sarbanes-Oxley Act of 2002.</w:t>
              </w:r>
            </w:hyperlink>
          </w:p>
        </w:tc>
        <w:tc>
          <w:tcPr>
            <w:tcW w:w="19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720" w:type="dxa"/>
            <w:vAlign w:val="bottom"/>
          </w:tcPr>
          <w:p>
            <w:pPr>
              <w:ind w:left="14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42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Certifications of Principal Executive Officer and Principal</w:t>
              </w:r>
            </w:hyperlink>
          </w:p>
        </w:tc>
        <w:tc>
          <w:tcPr>
            <w:tcW w:w="3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gridSpan w:val="10"/>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Financial Officer, pursuant to 18 U.S.C. Section 1350, as</w:t>
              </w:r>
            </w:hyperlink>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adopted pursuant to Section 906 of the Sarbanes-Oxley Act</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of 2002.</w:t>
              </w:r>
            </w:hyperlink>
          </w:p>
        </w:tc>
        <w:tc>
          <w:tcPr>
            <w:tcW w:w="39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44"/>
        </w:trPr>
        <w:tc>
          <w:tcPr>
            <w:tcW w:w="720" w:type="dxa"/>
            <w:vAlign w:val="bottom"/>
          </w:tcPr>
          <w:p>
            <w:pPr>
              <w:ind w:left="60"/>
              <w:spacing w:after="0"/>
              <w:rPr>
                <w:sz w:val="20"/>
                <w:szCs w:val="20"/>
                <w:color w:val="auto"/>
              </w:rPr>
            </w:pPr>
            <w:r>
              <w:rPr>
                <w:rFonts w:ascii="Arial" w:cs="Arial" w:eastAsia="Arial" w:hAnsi="Arial"/>
                <w:sz w:val="18"/>
                <w:szCs w:val="18"/>
                <w:color w:val="auto"/>
                <w:w w:val="98"/>
              </w:rPr>
              <w:t>101.INS</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720" w:type="dxa"/>
            <w:vAlign w:val="bottom"/>
          </w:tcPr>
          <w:p>
            <w:pPr>
              <w:ind w:left="60"/>
              <w:spacing w:after="0"/>
              <w:rPr>
                <w:sz w:val="20"/>
                <w:szCs w:val="20"/>
                <w:color w:val="auto"/>
              </w:rPr>
            </w:pPr>
            <w:r>
              <w:rPr>
                <w:rFonts w:ascii="Arial" w:cs="Arial" w:eastAsia="Arial" w:hAnsi="Arial"/>
                <w:sz w:val="18"/>
                <w:szCs w:val="18"/>
                <w:color w:val="auto"/>
                <w:w w:val="87"/>
              </w:rPr>
              <w:t>101.SCH</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720" w:type="dxa"/>
            <w:vAlign w:val="bottom"/>
          </w:tcPr>
          <w:p>
            <w:pPr>
              <w:ind w:left="60"/>
              <w:spacing w:after="0"/>
              <w:rPr>
                <w:sz w:val="20"/>
                <w:szCs w:val="20"/>
                <w:color w:val="auto"/>
              </w:rPr>
            </w:pPr>
            <w:r>
              <w:rPr>
                <w:rFonts w:ascii="Arial" w:cs="Arial" w:eastAsia="Arial" w:hAnsi="Arial"/>
                <w:sz w:val="18"/>
                <w:szCs w:val="18"/>
                <w:color w:val="auto"/>
                <w:w w:val="91"/>
              </w:rPr>
              <w:t>101.CAL</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720" w:type="dxa"/>
            <w:vAlign w:val="bottom"/>
          </w:tcPr>
          <w:p>
            <w:pPr>
              <w:ind w:left="60"/>
              <w:spacing w:after="0"/>
              <w:rPr>
                <w:sz w:val="20"/>
                <w:szCs w:val="20"/>
                <w:color w:val="auto"/>
              </w:rPr>
            </w:pPr>
            <w:r>
              <w:rPr>
                <w:rFonts w:ascii="Arial" w:cs="Arial" w:eastAsia="Arial" w:hAnsi="Arial"/>
                <w:sz w:val="18"/>
                <w:szCs w:val="18"/>
                <w:color w:val="auto"/>
                <w:w w:val="92"/>
              </w:rPr>
              <w:t>101.LAB</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720" w:type="dxa"/>
            <w:vAlign w:val="bottom"/>
          </w:tcPr>
          <w:p>
            <w:pPr>
              <w:ind w:left="60"/>
              <w:spacing w:after="0"/>
              <w:rPr>
                <w:sz w:val="20"/>
                <w:szCs w:val="20"/>
                <w:color w:val="auto"/>
              </w:rPr>
            </w:pPr>
            <w:r>
              <w:rPr>
                <w:rFonts w:ascii="Arial" w:cs="Arial" w:eastAsia="Arial" w:hAnsi="Arial"/>
                <w:sz w:val="18"/>
                <w:szCs w:val="18"/>
                <w:color w:val="auto"/>
                <w:w w:val="88"/>
              </w:rPr>
              <w:t>101.PRE</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720" w:type="dxa"/>
            <w:vAlign w:val="bottom"/>
          </w:tcPr>
          <w:p>
            <w:pPr>
              <w:ind w:left="60"/>
              <w:spacing w:after="0"/>
              <w:rPr>
                <w:sz w:val="20"/>
                <w:szCs w:val="20"/>
                <w:color w:val="auto"/>
              </w:rPr>
            </w:pPr>
            <w:r>
              <w:rPr>
                <w:rFonts w:ascii="Arial" w:cs="Arial" w:eastAsia="Arial" w:hAnsi="Arial"/>
                <w:sz w:val="18"/>
                <w:szCs w:val="18"/>
                <w:color w:val="auto"/>
                <w:w w:val="90"/>
              </w:rPr>
              <w:t>101.DEF</w:t>
            </w:r>
          </w:p>
        </w:tc>
        <w:tc>
          <w:tcPr>
            <w:tcW w:w="560" w:type="dxa"/>
            <w:vAlign w:val="bottom"/>
          </w:tcPr>
          <w:p>
            <w:pPr>
              <w:spacing w:after="0"/>
              <w:rPr>
                <w:sz w:val="24"/>
                <w:szCs w:val="24"/>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X</w:t>
            </w:r>
          </w:p>
        </w:tc>
      </w:tr>
    </w:tbl>
    <w:p>
      <w:pPr>
        <w:spacing w:after="0" w:line="94" w:lineRule="exact"/>
        <w:rPr>
          <w:sz w:val="20"/>
          <w:szCs w:val="20"/>
          <w:color w:val="auto"/>
        </w:rPr>
      </w:pPr>
    </w:p>
    <w:p>
      <w:pPr>
        <w:ind w:left="1400" w:right="5560" w:hanging="1230"/>
        <w:spacing w:after="0" w:line="263" w:lineRule="auto"/>
        <w:tabs>
          <w:tab w:leader="none" w:pos="1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included in the Exhibit 101 Inline XBRL Document Set.</w:t>
      </w:r>
    </w:p>
    <w:p>
      <w:pPr>
        <w:spacing w:after="0" w:line="7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Certain portions of this exhibit have been redacted in accordance with Item 601(b)(10) of Regulation S-K.</w:t>
      </w:r>
    </w:p>
    <w:p>
      <w:pPr>
        <w:spacing w:after="0" w:line="23"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MADRIGAL PHARMACEUTICALS, INC.</w:t>
      </w:r>
    </w:p>
    <w:p>
      <w:pPr>
        <w:sectPr>
          <w:pgSz w:w="11900" w:h="16838" w:orient="portrait"/>
          <w:cols w:equalWidth="0" w:num="1">
            <w:col w:w="10380"/>
          </w:cols>
          <w:pgMar w:left="320" w:top="486" w:right="119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7,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Paul A. Friedman, M.D.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ectPr>
          <w:pgSz w:w="11900" w:h="16838" w:orient="portrait"/>
          <w:cols w:equalWidth="0" w:num="3">
            <w:col w:w="5080" w:space="720"/>
            <w:col w:w="260" w:space="120"/>
            <w:col w:w="4200"/>
          </w:cols>
          <w:pgMar w:left="320" w:top="486" w:right="119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7, 2020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3">
            <w:col w:w="5080" w:space="720"/>
            <w:col w:w="260" w:space="120"/>
            <w:col w:w="4200"/>
          </w:cols>
          <w:pgMar w:left="320" w:top="486" w:right="1199" w:bottom="1440" w:gutter="0" w:footer="0" w:header="0"/>
          <w:type w:val="continuous"/>
        </w:sectPr>
      </w:pPr>
    </w:p>
    <w:p>
      <w:pPr>
        <w:spacing w:after="0" w:line="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380"/>
          </w:cols>
          <w:pgMar w:left="320" w:top="486" w:right="119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Paul A. Friedman, M.D., certify that:</w:t>
      </w:r>
    </w:p>
    <w:p>
      <w:pPr>
        <w:spacing w:after="0" w:line="117" w:lineRule="exact"/>
        <w:rPr>
          <w:sz w:val="20"/>
          <w:szCs w:val="20"/>
          <w:color w:val="auto"/>
        </w:rPr>
      </w:pPr>
    </w:p>
    <w:p>
      <w:pPr>
        <w:ind w:left="444" w:hanging="444"/>
        <w:spacing w:after="0"/>
        <w:tabs>
          <w:tab w:leader="none" w:pos="44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17" w:lineRule="exact"/>
        <w:rPr>
          <w:rFonts w:ascii="Arial" w:cs="Arial" w:eastAsia="Arial" w:hAnsi="Arial"/>
          <w:sz w:val="18"/>
          <w:szCs w:val="18"/>
          <w:color w:val="auto"/>
        </w:rPr>
      </w:pPr>
    </w:p>
    <w:p>
      <w:pPr>
        <w:jc w:val="both"/>
        <w:ind w:left="444" w:right="120" w:hanging="444"/>
        <w:spacing w:after="0" w:line="263" w:lineRule="auto"/>
        <w:tabs>
          <w:tab w:leader="none" w:pos="44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4" w:right="80" w:hanging="444"/>
        <w:spacing w:after="0" w:line="308" w:lineRule="auto"/>
        <w:tabs>
          <w:tab w:leader="none" w:pos="44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44" w:right="120" w:hanging="444"/>
        <w:spacing w:after="0" w:line="291" w:lineRule="auto"/>
        <w:tabs>
          <w:tab w:leader="none" w:pos="4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3" w:lineRule="exact"/>
        <w:rPr>
          <w:sz w:val="20"/>
          <w:szCs w:val="20"/>
          <w:color w:val="auto"/>
        </w:rPr>
      </w:pPr>
    </w:p>
    <w:p>
      <w:pPr>
        <w:ind w:left="444" w:right="380" w:hanging="444"/>
        <w:spacing w:after="0" w:line="263"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4" w:right="60" w:hanging="444"/>
        <w:spacing w:after="0" w:line="263"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444" w:right="860" w:hanging="444"/>
        <w:spacing w:after="0" w:line="342" w:lineRule="auto"/>
        <w:tabs>
          <w:tab w:leader="none" w:pos="4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4" w:right="80" w:hanging="444"/>
        <w:spacing w:after="0" w:line="263"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444" w:right="80" w:hanging="444"/>
        <w:spacing w:after="0" w:line="342" w:lineRule="auto"/>
        <w:tabs>
          <w:tab w:leader="none" w:pos="4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4" w:right="280" w:hanging="444"/>
        <w:spacing w:after="0" w:line="277" w:lineRule="auto"/>
        <w:tabs>
          <w:tab w:leader="none" w:pos="4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4" w:right="240" w:hanging="444"/>
        <w:spacing w:after="0" w:line="277" w:lineRule="auto"/>
        <w:tabs>
          <w:tab w:leader="none" w:pos="4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024"/>
          </w:cols>
          <w:pgMar w:left="436"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 R. Schneebaum, certify that:</w:t>
      </w:r>
    </w:p>
    <w:p>
      <w:pPr>
        <w:spacing w:after="0" w:line="117" w:lineRule="exact"/>
        <w:rPr>
          <w:sz w:val="20"/>
          <w:szCs w:val="20"/>
          <w:color w:val="auto"/>
        </w:rPr>
      </w:pPr>
    </w:p>
    <w:p>
      <w:pPr>
        <w:ind w:left="444" w:hanging="444"/>
        <w:spacing w:after="0"/>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17" w:lineRule="exact"/>
        <w:rPr>
          <w:rFonts w:ascii="Arial" w:cs="Arial" w:eastAsia="Arial" w:hAnsi="Arial"/>
          <w:sz w:val="18"/>
          <w:szCs w:val="18"/>
          <w:color w:val="auto"/>
        </w:rPr>
      </w:pPr>
    </w:p>
    <w:p>
      <w:pPr>
        <w:jc w:val="both"/>
        <w:ind w:left="444" w:right="120" w:hanging="444"/>
        <w:spacing w:after="0" w:line="263" w:lineRule="auto"/>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4" w:right="80" w:hanging="444"/>
        <w:spacing w:after="0" w:line="308" w:lineRule="auto"/>
        <w:tabs>
          <w:tab w:leader="none" w:pos="4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44" w:right="120" w:hanging="444"/>
        <w:spacing w:after="0" w:line="291" w:lineRule="auto"/>
        <w:tabs>
          <w:tab w:leader="none" w:pos="4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3" w:lineRule="exact"/>
        <w:rPr>
          <w:sz w:val="20"/>
          <w:szCs w:val="20"/>
          <w:color w:val="auto"/>
        </w:rPr>
      </w:pPr>
    </w:p>
    <w:p>
      <w:pPr>
        <w:ind w:left="444" w:right="380" w:hanging="444"/>
        <w:spacing w:after="0" w:line="263" w:lineRule="auto"/>
        <w:tabs>
          <w:tab w:leader="none" w:pos="4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4" w:right="60" w:hanging="444"/>
        <w:spacing w:after="0" w:line="263" w:lineRule="auto"/>
        <w:tabs>
          <w:tab w:leader="none" w:pos="4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444" w:right="860" w:hanging="444"/>
        <w:spacing w:after="0" w:line="342" w:lineRule="auto"/>
        <w:tabs>
          <w:tab w:leader="none" w:pos="4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4" w:right="80" w:hanging="444"/>
        <w:spacing w:after="0" w:line="263" w:lineRule="auto"/>
        <w:tabs>
          <w:tab w:leader="none" w:pos="4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444" w:right="80" w:hanging="444"/>
        <w:spacing w:after="0" w:line="342" w:lineRule="auto"/>
        <w:tabs>
          <w:tab w:leader="none" w:pos="4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4" w:right="280" w:hanging="444"/>
        <w:spacing w:after="0" w:line="277" w:lineRule="auto"/>
        <w:tabs>
          <w:tab w:leader="none" w:pos="4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4" w:right="240" w:hanging="444"/>
        <w:spacing w:after="0" w:line="277" w:lineRule="auto"/>
        <w:tabs>
          <w:tab w:leader="none" w:pos="4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024"/>
          </w:cols>
          <w:pgMar w:left="436"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March 31,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Dated: May 7,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A. Friedman, M.D.</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Dated: May 7,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Schneebaum</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2"/>
      <w:numFmt w:val="decimal"/>
      <w:start w:val="104"/>
    </w:lvl>
  </w:abstractNum>
  <w:abstractNum w:abstractNumId="7">
    <w:nsid w:val="66EF438D"/>
    <w:multiLevelType w:val="hybridMultilevel"/>
    <w:lvl w:ilvl="0">
      <w:lvlJc w:val="left"/>
      <w:lvlText w:val="**"/>
      <w:numFmt w:val="bullet"/>
      <w:start w:val="1"/>
    </w:lvl>
    <w:lvl w:ilvl="1">
      <w:lvlJc w:val="left"/>
      <w:lvlText w:val="%2"/>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2020-05-07T05:17:32Z</dcterms:created>
  <dcterms:modified xsi:type="dcterms:W3CDTF">2020-05-07T05:17:32Z</dcterms:modified>
</cp:coreProperties>
</file>