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80" w:right="180" w:hanging="454"/>
        <w:spacing w:after="0" w:line="262" w:lineRule="auto"/>
        <w:tabs>
          <w:tab w:leader="none" w:pos="4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6" w:lineRule="exact"/>
        <w:rPr>
          <w:sz w:val="24"/>
          <w:szCs w:val="24"/>
          <w:color w:val="auto"/>
        </w:rPr>
      </w:pPr>
    </w:p>
    <w:p>
      <w:pPr>
        <w:ind w:left="460" w:right="200" w:hanging="434"/>
        <w:spacing w:after="0" w:line="275" w:lineRule="auto"/>
        <w:tabs>
          <w:tab w:leader="none" w:pos="46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53" w:lineRule="exact"/>
        <w:rPr>
          <w:sz w:val="24"/>
          <w:szCs w:val="24"/>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001-33277</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8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79" w:lineRule="exact"/>
        <w:rPr>
          <w:sz w:val="24"/>
          <w:szCs w:val="24"/>
          <w:color w:val="auto"/>
        </w:rPr>
      </w:pPr>
    </w:p>
    <w:p>
      <w:pPr>
        <w:ind w:left="2440"/>
        <w:spacing w:after="0"/>
        <w:tabs>
          <w:tab w:leader="none" w:pos="80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04-3508648</w:t>
      </w:r>
    </w:p>
    <w:p>
      <w:pPr>
        <w:sectPr>
          <w:pgSz w:w="11900" w:h="16887" w:orient="portrait"/>
          <w:cols w:equalWidth="0" w:num="1">
            <w:col w:w="11160"/>
          </w:cols>
          <w:pgMar w:left="320" w:top="225" w:right="419" w:bottom="0" w:gutter="0" w:footer="0" w:header="0"/>
        </w:sectPr>
      </w:pPr>
    </w:p>
    <w:p>
      <w:pPr>
        <w:spacing w:after="0" w:line="4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336"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Four Tower Bridge</w:t>
      </w:r>
    </w:p>
    <w:p>
      <w:pPr>
        <w:spacing w:after="0" w:line="15"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200 Barr Harbor Drive, Suite 200</w:t>
      </w:r>
    </w:p>
    <w:p>
      <w:pPr>
        <w:jc w:val="center"/>
        <w:ind w:right="1540"/>
        <w:spacing w:after="0"/>
        <w:rPr>
          <w:sz w:val="20"/>
          <w:szCs w:val="20"/>
          <w:color w:val="auto"/>
        </w:rPr>
      </w:pPr>
      <w:r>
        <w:rPr>
          <w:rFonts w:ascii="Times New Roman" w:cs="Times New Roman" w:eastAsia="Times New Roman" w:hAnsi="Times New Roman"/>
          <w:sz w:val="17"/>
          <w:szCs w:val="17"/>
          <w:b w:val="1"/>
          <w:bCs w:val="1"/>
          <w:color w:val="auto"/>
        </w:rPr>
        <w:t>West Conshohocken, Pennsylvania</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19428</w:t>
      </w:r>
    </w:p>
    <w:p>
      <w:pPr>
        <w:spacing w:after="0" w:line="47" w:lineRule="exact"/>
        <w:rPr>
          <w:sz w:val="24"/>
          <w:szCs w:val="24"/>
          <w:color w:val="auto"/>
        </w:rPr>
      </w:pPr>
    </w:p>
    <w:p>
      <w:pPr>
        <w:sectPr>
          <w:pgSz w:w="11900" w:h="16887" w:orient="portrait"/>
          <w:cols w:equalWidth="0" w:num="2">
            <w:col w:w="7160" w:space="720"/>
            <w:col w:w="3280"/>
          </w:cols>
          <w:pgMar w:left="320" w:top="225" w:right="419" w:bottom="0" w:gutter="0" w:footer="0" w:header="0"/>
          <w:type w:val="continuous"/>
        </w:sectPr>
      </w:pPr>
    </w:p>
    <w:p>
      <w:pPr>
        <w:ind w:left="1620"/>
        <w:spacing w:after="0"/>
        <w:tabs>
          <w:tab w:leader="none" w:pos="810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(267) 824-2827</w:t>
      </w:r>
    </w:p>
    <w:p>
      <w:pPr>
        <w:spacing w:after="0" w:line="200" w:lineRule="exact"/>
        <w:rPr>
          <w:sz w:val="24"/>
          <w:szCs w:val="24"/>
          <w:color w:val="auto"/>
        </w:rPr>
      </w:pP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MDGL</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891"/>
        </w:trPr>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8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84"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69"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6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87" w:orient="portrait"/>
          <w:cols w:equalWidth="0" w:num="1">
            <w:col w:w="11160"/>
          </w:cols>
          <w:pgMar w:left="320" w:top="225" w:right="4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c>
        <w:tc>
          <w:tcPr>
            <w:tcW w:w="19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688"/>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00"/>
              <w:spacing w:after="0"/>
              <w:rPr>
                <w:sz w:val="20"/>
                <w:szCs w:val="20"/>
                <w:color w:val="auto"/>
              </w:rPr>
            </w:pPr>
            <w:r>
              <w:rPr>
                <w:rFonts w:ascii="Wingdings" w:cs="Wingdings" w:eastAsia="Wingdings" w:hAnsi="Wingdings"/>
                <w:sz w:val="18"/>
                <w:szCs w:val="18"/>
                <w:b w:val="1"/>
                <w:bCs w:val="1"/>
                <w:color w:val="auto"/>
              </w:rPr>
              <w:t>x</w:t>
            </w: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r>
        <w:trPr>
          <w:trHeight w:val="418"/>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0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r>
        <w:trPr>
          <w:trHeight w:val="418"/>
        </w:trPr>
        <w:tc>
          <w:tcPr>
            <w:tcW w:w="3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 2024, the registrant had 21,311,526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Item</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98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2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00" w:type="dxa"/>
            <w:vAlign w:val="bottom"/>
            <w:gridSpan w:val="9"/>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2024 and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380" w:type="dxa"/>
            <w:vAlign w:val="bottom"/>
            <w:tcBorders>
              <w:bottom w:val="single" w:sz="8" w:color="3051F2"/>
            </w:tcBorders>
            <w:gridSpan w:val="19"/>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Loss for the Three Months Ended March 31, 2024 and 2023</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2024 and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3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700" w:type="dxa"/>
            <w:vAlign w:val="bottom"/>
            <w:tcBorders>
              <w:top w:val="single" w:sz="8" w:color="0000FF"/>
            </w:tcBorders>
            <w:gridSpan w:val="6"/>
          </w:tcPr>
          <w:p>
            <w:pPr>
              <w:spacing w:after="0"/>
              <w:rPr>
                <w:sz w:val="18"/>
                <w:szCs w:val="18"/>
                <w:color w:val="auto"/>
              </w:rPr>
            </w:pPr>
          </w:p>
        </w:tc>
        <w:tc>
          <w:tcPr>
            <w:tcW w:w="128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2520" w:type="dxa"/>
            <w:vAlign w:val="bottom"/>
            <w:gridSpan w:val="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180" w:type="dxa"/>
            <w:vAlign w:val="bottom"/>
            <w:gridSpan w:val="13"/>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120" w:type="dxa"/>
            <w:vAlign w:val="bottom"/>
            <w:gridSpan w:val="1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8"/>
                <w:szCs w:val="18"/>
                <w:color w:val="auto"/>
              </w:rPr>
            </w:pPr>
          </w:p>
        </w:tc>
        <w:tc>
          <w:tcPr>
            <w:tcW w:w="7640" w:type="dxa"/>
            <w:vAlign w:val="bottom"/>
            <w:gridSpan w:val="1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620" w:type="dxa"/>
            <w:vAlign w:val="bottom"/>
            <w:gridSpan w:val="7"/>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8"/>
                <w:szCs w:val="18"/>
                <w:color w:val="auto"/>
              </w:rPr>
            </w:pPr>
          </w:p>
        </w:tc>
        <w:tc>
          <w:tcPr>
            <w:tcW w:w="6660" w:type="dxa"/>
            <w:vAlign w:val="bottom"/>
            <w:gridSpan w:val="10"/>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660" w:type="dxa"/>
            <w:vAlign w:val="bottom"/>
            <w:gridSpan w:val="16"/>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gridSpan w:val="1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938"/>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5300" w:type="dxa"/>
            <w:vAlign w:val="bottom"/>
            <w:gridSpan w:val="13"/>
          </w:tcPr>
          <w:p>
            <w:pPr>
              <w:jc w:val="right"/>
              <w:ind w:right="154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622,517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534,216</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637,281</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Right-of-use asset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75"/>
        </w:trPr>
        <w:tc>
          <w:tcPr>
            <w:tcW w:w="81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640,547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89,980</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118,548</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payable, net of discount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115,480</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116,666</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231,521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235,214</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par value $0.0001 per share authorized: 5,000,000 shares at March 31, 2024 and</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December 31, 2023; 2,369,797 and 2,369,797 shares issued and outstanding at March 31, 2024 and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8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par value $0.0001 per share authorized: 200,000,000 at March 31, 2024 and December 31,</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2023; 20,684,663 and 19,875,427 shares issued and outstanding at March 31, 2024 and December 31,</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2023, respectively</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2,334,760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1,741,153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(1,483,831)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(1,336,290)</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850,759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405,333</w:t>
            </w:r>
          </w:p>
        </w:tc>
        <w:tc>
          <w:tcPr>
            <w:tcW w:w="0" w:type="dxa"/>
            <w:vAlign w:val="bottom"/>
          </w:tcPr>
          <w:p>
            <w:pPr>
              <w:spacing w:after="0"/>
              <w:rPr>
                <w:sz w:val="1"/>
                <w:szCs w:val="1"/>
                <w:color w:val="auto"/>
              </w:rPr>
            </w:pPr>
          </w:p>
        </w:tc>
      </w:tr>
      <w:tr>
        <w:trPr>
          <w:trHeight w:val="244"/>
        </w:trPr>
        <w:tc>
          <w:tcPr>
            <w:tcW w:w="8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1,082,280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640,547</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27" w:lineRule="exact"/>
        <w:rPr>
          <w:sz w:val="20"/>
          <w:szCs w:val="20"/>
          <w:color w:val="auto"/>
        </w:rPr>
      </w:pPr>
    </w:p>
    <w:tbl>
      <w:tblPr>
        <w:tblLayout w:type="fixed"/>
        <w:tblInd w:w="156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50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62,154</w:t>
            </w:r>
          </w:p>
        </w:tc>
      </w:tr>
      <w:tr>
        <w:trPr>
          <w:trHeight w:val="263"/>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w:t>
            </w:r>
          </w:p>
        </w:tc>
      </w:tr>
      <w:tr>
        <w:trPr>
          <w:trHeight w:val="243"/>
        </w:trPr>
        <w:tc>
          <w:tcPr>
            <w:tcW w:w="5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152,037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78,336</w:t>
            </w:r>
          </w:p>
        </w:tc>
      </w:tr>
      <w:tr>
        <w:trPr>
          <w:trHeight w:val="256"/>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(78,336)</w:t>
            </w:r>
          </w:p>
        </w:tc>
      </w:tr>
      <w:tr>
        <w:trPr>
          <w:trHeight w:val="25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57"/>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5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(76,896)</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number of common shares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20,001,569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18,187,924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-153670</wp:posOffset>
            </wp:positionV>
            <wp:extent cx="516064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0645" cy="291465"/>
                    </a:xfrm>
                    <a:prstGeom prst="rect">
                      <a:avLst/>
                    </a:prstGeom>
                    <a:noFill/>
                  </pic:spPr>
                </pic:pic>
              </a:graphicData>
            </a:graphic>
          </wp:anchor>
        </w:drawing>
      </w:r>
    </w:p>
    <w:p>
      <w:pPr>
        <w:ind w:left="1760"/>
        <w:spacing w:after="0" w:line="234" w:lineRule="auto"/>
        <w:rPr>
          <w:sz w:val="20"/>
          <w:szCs w:val="20"/>
          <w:color w:val="auto"/>
        </w:rPr>
      </w:pPr>
      <w:r>
        <w:rPr>
          <w:rFonts w:ascii="Times New Roman" w:cs="Times New Roman" w:eastAsia="Times New Roman" w:hAnsi="Times New Roman"/>
          <w:sz w:val="18"/>
          <w:szCs w:val="18"/>
          <w:color w:val="auto"/>
        </w:rPr>
        <w:t>outstanding</w:t>
      </w:r>
    </w:p>
    <w:p>
      <w:pPr>
        <w:spacing w:after="0" w:line="3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(76,896)</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5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(148,181)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(76,950)</w:t>
            </w: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9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6"/>
        </w:trPr>
        <w:tc>
          <w:tcPr>
            <w:tcW w:w="3360" w:type="dxa"/>
            <w:vAlign w:val="bottom"/>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1000" w:type="dxa"/>
            <w:vAlign w:val="bottom"/>
            <w:gridSpan w:val="2"/>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7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19,875,427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$1,741,153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(1,336,290)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405,333</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shares and sale of</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warrants in equity offerings, excluding</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 related parties, net of transaction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costs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311,560</w:t>
            </w: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 of warrants to related parties in</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equity offerings, exercise of common</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vesting, net of transaction costs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262,145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262,145</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20,684,663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$2,334,760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(1,483,831)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850,759</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18,102,523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$1,160,079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(962,660)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197,389</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 of common shares to related parties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and exercise of common stock options,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of transaction costs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180,551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0" w:type="dxa"/>
            <w:vAlign w:val="bottom"/>
          </w:tcPr>
          <w:p>
            <w:pPr>
              <w:spacing w:after="0"/>
              <w:rPr>
                <w:sz w:val="1"/>
                <w:szCs w:val="1"/>
                <w:color w:val="auto"/>
              </w:rPr>
            </w:pPr>
          </w:p>
        </w:tc>
      </w:tr>
      <w:tr>
        <w:trPr>
          <w:trHeight w:val="250"/>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Hercules warrant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(76,896)</w:t>
            </w: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18,283,074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$1,189,776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(1,039,556)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30480</wp:posOffset>
            </wp:positionV>
            <wp:extent cx="1843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(76,896)</w:t>
            </w:r>
          </w:p>
        </w:tc>
        <w:tc>
          <w:tcPr>
            <w:tcW w:w="0" w:type="dxa"/>
            <w:vAlign w:val="bottom"/>
          </w:tcPr>
          <w:p>
            <w:pPr>
              <w:spacing w:after="0"/>
              <w:rPr>
                <w:sz w:val="1"/>
                <w:szCs w:val="1"/>
                <w:color w:val="auto"/>
              </w:rPr>
            </w:pPr>
          </w:p>
        </w:tc>
      </w:tr>
      <w:tr>
        <w:trPr>
          <w:trHeight w:val="263"/>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0" w:type="dxa"/>
            <w:vAlign w:val="bottom"/>
          </w:tcPr>
          <w:p>
            <w:pPr>
              <w:spacing w:after="0"/>
              <w:rPr>
                <w:sz w:val="1"/>
                <w:szCs w:val="1"/>
                <w:color w:val="auto"/>
              </w:rPr>
            </w:pP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63"/>
        </w:trPr>
        <w:tc>
          <w:tcPr>
            <w:tcW w:w="8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0" w:type="dxa"/>
            <w:vAlign w:val="bottom"/>
          </w:tcPr>
          <w:p>
            <w:pPr>
              <w:spacing w:after="0"/>
              <w:rPr>
                <w:sz w:val="1"/>
                <w:szCs w:val="1"/>
                <w:color w:val="auto"/>
              </w:rPr>
            </w:pPr>
          </w:p>
        </w:tc>
      </w:tr>
      <w:tr>
        <w:trPr>
          <w:trHeight w:val="263"/>
        </w:trPr>
        <w:tc>
          <w:tcPr>
            <w:tcW w:w="8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Accrued expense</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(84,067)</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(198,822)</w:t>
            </w:r>
          </w:p>
        </w:tc>
        <w:tc>
          <w:tcPr>
            <w:tcW w:w="0" w:type="dxa"/>
            <w:vAlign w:val="bottom"/>
          </w:tcPr>
          <w:p>
            <w:pPr>
              <w:spacing w:after="0"/>
              <w:rPr>
                <w:sz w:val="1"/>
                <w:szCs w:val="1"/>
                <w:color w:val="auto"/>
              </w:rPr>
            </w:pP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0" w:type="dxa"/>
            <w:vAlign w:val="bottom"/>
          </w:tcPr>
          <w:p>
            <w:pPr>
              <w:spacing w:after="0"/>
              <w:rPr>
                <w:sz w:val="1"/>
                <w:szCs w:val="1"/>
                <w:color w:val="auto"/>
              </w:rPr>
            </w:pP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tcPr>
          <w:p>
            <w:pPr>
              <w:ind w:left="14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(186,864)</w:t>
            </w:r>
          </w:p>
        </w:tc>
        <w:tc>
          <w:tcPr>
            <w:tcW w:w="0" w:type="dxa"/>
            <w:vAlign w:val="bottom"/>
          </w:tcPr>
          <w:p>
            <w:pPr>
              <w:spacing w:after="0"/>
              <w:rPr>
                <w:sz w:val="1"/>
                <w:szCs w:val="1"/>
                <w:color w:val="auto"/>
              </w:rPr>
            </w:pPr>
          </w:p>
        </w:tc>
      </w:tr>
      <w:tr>
        <w:trPr>
          <w:trHeight w:val="24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Proceeds from issuances of stock, excluding related parties, net of transaction costs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from related parties - warrants, exercise of common stock options, net of transaction costs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0" w:type="dxa"/>
            <w:vAlign w:val="bottom"/>
          </w:tcPr>
          <w:p>
            <w:pPr>
              <w:spacing w:after="0"/>
              <w:rPr>
                <w:sz w:val="1"/>
                <w:szCs w:val="1"/>
                <w:color w:val="auto"/>
              </w:rPr>
            </w:pP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Proceeds from issuance of loan payable</w:t>
            </w: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CCEEFF"/>
            </w:tcBorders>
          </w:tcPr>
          <w:p>
            <w:pPr>
              <w:ind w:left="1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573,706</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52,690</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(218,241)</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331,549</w:t>
            </w:r>
          </w:p>
        </w:tc>
        <w:tc>
          <w:tcPr>
            <w:tcW w:w="0" w:type="dxa"/>
            <w:vAlign w:val="bottom"/>
          </w:tcPr>
          <w:p>
            <w:pPr>
              <w:spacing w:after="0"/>
              <w:rPr>
                <w:sz w:val="1"/>
                <w:szCs w:val="1"/>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Intangible assets in accounts payable at the end of the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p>
      <w:pPr>
        <w:ind w:right="7220" w:firstLine="8"/>
        <w:spacing w:after="0" w:line="370"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Madrigal Pharmaceuticals, Inc. (the “Company” or “Madrigal”) is a biopharmaceutical company dedicated to transforming care for patients with nonalcoholic steatohepatitis (“NASH”), a serious liver disease that can lead to cirrhosis, liver failure and premature mortality. The Company's medication, Rezdiffra (resmetirom), is a once-daily, oral, liver-directed THR-β agonist designed to target key underlying causes of NASH. In March 2024, Rezdiffra became the first and only FDA-approved therapy for patients with NASH. Rezdiffra is indicated in conjunction with diet and exercise for the treatment of adults with noncirrhotic NASH with moderate to advanced liver fibrosis (consistent with stages F2 to F3 fibrosis).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the Company believes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the Company will have for the full year ending December 31, 2024 or any subsequent period. These unaudited condensed consolidated financial statements should be read in conjunction with the audited consolidated financial statements and the notes to those statements for the year ended December 31, 2023.</w:t>
      </w:r>
    </w:p>
    <w:p>
      <w:pPr>
        <w:spacing w:after="0" w:line="290" w:lineRule="exact"/>
        <w:rPr>
          <w:sz w:val="20"/>
          <w:szCs w:val="20"/>
          <w:color w:val="auto"/>
        </w:rPr>
      </w:pPr>
    </w:p>
    <w:p>
      <w:pPr>
        <w:ind w:right="7640" w:firstLine="8"/>
        <w:spacing w:after="0" w:line="37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 of Consolidation</w:t>
      </w:r>
    </w:p>
    <w:p>
      <w:pPr>
        <w:ind w:right="70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 owned subsidiaries. All significant intercompany balances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90" w:lineRule="exact"/>
        <w:rPr>
          <w:sz w:val="20"/>
          <w:szCs w:val="20"/>
          <w:color w:val="auto"/>
        </w:rPr>
      </w:pPr>
    </w:p>
    <w:p>
      <w:pPr>
        <w:jc w:val="both"/>
        <w:ind w:right="240" w:firstLine="648"/>
        <w:spacing w:after="0" w:line="245" w:lineRule="auto"/>
        <w:rPr>
          <w:sz w:val="20"/>
          <w:szCs w:val="20"/>
          <w:color w:val="auto"/>
        </w:rPr>
      </w:pPr>
      <w:r>
        <w:rPr>
          <w:rFonts w:ascii="Times New Roman" w:cs="Times New Roman" w:eastAsia="Times New Roman" w:hAnsi="Times New Roman"/>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08" w:lineRule="exact"/>
        <w:rPr>
          <w:sz w:val="20"/>
          <w:szCs w:val="20"/>
          <w:color w:val="auto"/>
        </w:rPr>
      </w:pPr>
    </w:p>
    <w:p>
      <w:pPr>
        <w:jc w:val="both"/>
        <w:ind w:right="380" w:firstLine="648"/>
        <w:spacing w:after="0" w:line="258" w:lineRule="auto"/>
        <w:rPr>
          <w:sz w:val="20"/>
          <w:szCs w:val="20"/>
          <w:color w:val="auto"/>
        </w:rPr>
      </w:pPr>
      <w:r>
        <w:rPr>
          <w:rFonts w:ascii="Times New Roman" w:cs="Times New Roman" w:eastAsia="Times New Roman" w:hAnsi="Times New Roman"/>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months ended March 31, 2024 and 2023, the Company determined it did not have any securities that were other-than-temporarily impaired.</w:t>
      </w:r>
    </w:p>
    <w:p>
      <w:pPr>
        <w:spacing w:after="0" w:line="18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months ended March 31, 2024 and 2023, the Company did not have any realized gains or losses on marketable securities.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04"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40"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76"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8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As of March 31, 2024,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three months ended March 31, 2024 and 2023, the Company did not have any transfers of financial assets between Levels 1 and 2. As of March 31, 2024 and December 31, 2023, the Company did not have any financial liabilities that were recorded at fair value on a recurring basis on the balance sheet.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0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using actual cost, based on a first-in, first-out (“FIFO”) method. The Company analyzes its inventory levels quarterly and writes down inventory subject to expiry or in excess of expected requirements, or that has a cost basis in excess of its expected net realizable value. These write downs are charged to cost of goods sold in the accompanying Consolidated Statements of Income.</w:t>
      </w:r>
    </w:p>
    <w:p>
      <w:pPr>
        <w:spacing w:after="0" w:line="17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but were expensed as incurred as research and development expenses.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stock-based compensation),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costs for consultants, milestone payments under licensing agreements, and other costs associated with the Company’s preclinical and clinical programs. In particular, the Company has conducted safety studies in animals, optimized and implemented the manufacturing of its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0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selling, general and administrative expense in the Company’s consolidated statements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0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to cost of goods sold over their estimated useful lives using the straight-line method. Intangible assets are tested for recoverability whenever events or changes in circumstances indicate that the carrying amounts may not be recoverable.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w:t>
      </w:r>
    </w:p>
    <w:p>
      <w:pPr>
        <w:spacing w:after="0" w:line="16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95"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17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16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in which the differences are expected to reverse. The Company currently maintains a 100% valuation allowance on its deferred tax assets.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right="700" w:firstLine="648"/>
        <w:spacing w:after="0" w:line="250"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108"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three months ended March 31, 2024 and 2023,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 anti-dilutive. The following table summarizes outstanding securities not included in the computation of diluted net loss per common share, as their inclusion would be anti-dilutive:</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80" w:type="dxa"/>
            <w:vAlign w:val="bottom"/>
            <w:gridSpan w:val="3"/>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Outstanding at March 31,</w:t>
            </w:r>
          </w:p>
        </w:tc>
      </w:tr>
      <w:tr>
        <w:trPr>
          <w:trHeight w:val="23"/>
        </w:trPr>
        <w:tc>
          <w:tcPr>
            <w:tcW w:w="56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562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6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2,458,227</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2,676,598</w:t>
            </w:r>
          </w:p>
        </w:tc>
      </w:tr>
      <w:tr>
        <w:trPr>
          <w:trHeight w:val="25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530,671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199,125</w:t>
            </w:r>
          </w:p>
        </w:tc>
      </w:tr>
      <w:tr>
        <w:trPr>
          <w:trHeight w:val="2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252,404</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r>
      <w:tr>
        <w:trPr>
          <w:trHeight w:val="2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3,625,244</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17,352</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which enhances the disclosures required for operating segments in the Company's annual and interim consolidated financial statements. The amendments are effective for fiscal years beginning after December 15, 2023, and interim periods beginning after December 15, 2024. Early adoption is permitted. The Company is currently evaluating the impact of ASU 2023-07 on its financial statements.</w:t>
      </w:r>
    </w:p>
    <w:p>
      <w:pPr>
        <w:spacing w:after="0" w:line="177"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enhances the disclosures required for income taxes in the Company's annual consolidated financial statements. The amendments are effective for annual periods beginning after December 15, 2024. Early adoption is permitted. The Company is currently evaluating the impact of ASU 2023-09 on its financial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08"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(“FDA”) and other government regulations.</w:t>
      </w:r>
    </w:p>
    <w:p>
      <w:pPr>
        <w:spacing w:after="0" w:line="181"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18"/>
          <w:szCs w:val="18"/>
          <w:color w:val="auto"/>
        </w:rPr>
        <w:t>The Company has incurred losses since inception, including approximately $147.5 million for the three months ended March 31, 2024, resulting in an accumulated deficit of approximately $1,483.8 million as of March 31, 2024. To date, the Company has funded its operations primarily through proceeds from sales of the Company’s capital stock and debt financings. In March 2024, the FDA approved Rezdiffra in the U.S. for the treatment of adults with noncirrhotic NASH with moderate to advanced liver fibrosis (consistent with stages F2 to F3 fibrosis). Rezdiffra became available in the U.S. in April 2024. In March 2024, the Company completed a public offering and received approximately $574.0 million net cash proceeds. In April 2024, underwriters exercised in full their option to purchase additional shares as part of the public offering, resulting in additional net cash proceeds of approximately</w:t>
      </w:r>
    </w:p>
    <w:p>
      <w:pPr>
        <w:spacing w:after="0" w:line="3"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$85.9 million. Please see “Note 11 – Subsequent Events” to the condensed consolidated financial statements included in this Quarterly Report on Form 10-Q for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more information. The Company believes that its cash, cash equivalents and marketable securities will be sufficient to fund operations past one year from the issuance of these financial statements. The Company’s future long-term liquidity requirements will be substantial and will depend on many factors, including the Company’s ability to effectively commercialize Rezdiffra.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Cash Equivalents and Marketable Securities</w:t>
      </w:r>
    </w:p>
    <w:p>
      <w:pPr>
        <w:spacing w:after="0" w:line="10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held restricted cash of $1.2 million as of March 31, 2024 as collateral to its corporate credit card program. The Company had no restricted cash as of December 31, 2023. Restricted cash is included within the cash and cash equivalents balance on the Consolidated Balance Sheet.</w:t>
      </w:r>
    </w:p>
    <w:p>
      <w:pPr>
        <w:spacing w:after="0" w:line="14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 summary of cash, cash equivalents and available-for-sale marketable securities held by the Company as of March 31, 2024 and December 31, 2023 is as follows (in thousands):</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8"/>
        </w:trPr>
        <w:tc>
          <w:tcPr>
            <w:tcW w:w="5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980" w:type="dxa"/>
            <w:vAlign w:val="bottom"/>
          </w:tcPr>
          <w:p>
            <w:pPr>
              <w:jc w:val="center"/>
              <w:ind w:right="234"/>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204"/>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7"/>
                <w:szCs w:val="17"/>
                <w:color w:val="auto"/>
              </w:rPr>
            </w:pPr>
          </w:p>
        </w:tc>
        <w:tc>
          <w:tcPr>
            <w:tcW w:w="98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604,553</w:t>
            </w:r>
          </w:p>
        </w:tc>
      </w:tr>
      <w:tr>
        <w:trPr>
          <w:trHeight w:val="25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14,870</w:t>
            </w:r>
          </w:p>
        </w:tc>
      </w:tr>
      <w:tr>
        <w:trPr>
          <w:trHeight w:val="25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622,517</w:t>
            </w: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260,703</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1 year of</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date of purchase (Level 2)</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175,907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175,843</w:t>
            </w:r>
          </w:p>
        </w:tc>
      </w:tr>
      <w:tr>
        <w:trPr>
          <w:trHeight w:val="27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1,059,063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97"/>
        </w:trPr>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8"/>
        </w:trPr>
        <w:tc>
          <w:tcPr>
            <w:tcW w:w="5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980" w:type="dxa"/>
            <w:vAlign w:val="bottom"/>
          </w:tcPr>
          <w:p>
            <w:pPr>
              <w:jc w:val="center"/>
              <w:ind w:right="234"/>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204"/>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7"/>
                <w:szCs w:val="17"/>
                <w:color w:val="auto"/>
              </w:rPr>
            </w:pPr>
          </w:p>
        </w:tc>
        <w:tc>
          <w:tcPr>
            <w:tcW w:w="98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78,555</w:t>
            </w: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(Level 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w:t>
            </w: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382,216</w:t>
            </w: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1 year of</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date of purchase (Level 2)</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151,022</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to 2 years of date of purchase (Level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75"/>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633,663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634,131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inventory balances as of March 31, 2024 and December 31, 2023 (in thousands):</w:t>
      </w:r>
    </w:p>
    <w:p>
      <w:pPr>
        <w:spacing w:after="0" w:line="286" w:lineRule="exact"/>
        <w:rPr>
          <w:sz w:val="20"/>
          <w:szCs w:val="20"/>
          <w:color w:val="auto"/>
        </w:rPr>
      </w:pPr>
    </w:p>
    <w:tbl>
      <w:tblPr>
        <w:tblLayout w:type="fixed"/>
        <w:tblInd w:w="222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7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22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760" w:type="dxa"/>
            <w:vAlign w:val="bottom"/>
            <w:shd w:val="clear" w:color="auto" w:fill="CCEEFF"/>
          </w:tcPr>
          <w:p>
            <w:pPr>
              <w:jc w:val="right"/>
              <w:ind w:right="15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ind w:right="15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as of March 31, 2024 and December 31, 2023 consisted of the following (in thousands):</w:t>
      </w:r>
    </w:p>
    <w:p>
      <w:pPr>
        <w:spacing w:after="0" w:line="233"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research organization costs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50,737</w:t>
            </w:r>
          </w:p>
        </w:tc>
      </w:tr>
      <w:tr>
        <w:trPr>
          <w:trHeight w:val="25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clinical study related costs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r>
      <w:tr>
        <w:trPr>
          <w:trHeight w:val="26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drug supply</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r>
      <w:tr>
        <w:trPr>
          <w:trHeight w:val="25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w:t>
            </w:r>
          </w:p>
        </w:tc>
      </w:tr>
      <w:tr>
        <w:trPr>
          <w:trHeight w:val="26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5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75"/>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 Term Debt</w:t>
      </w:r>
    </w:p>
    <w:p>
      <w:pPr>
        <w:spacing w:after="0" w:line="10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May 2022 the Company and its wholly-owned subsidiary, Canticle Pharmaceuticals, Inc., entered into the $250.0 million Loan Facility with the several banks and other financial institutions or entities party thereto (each, a “Lender” and collectively referred to as the “Lenders”), and Hercules Capital, Inc. (“Hercules”), in its capacity as administrative agent and collateral agent for itself and the Lenders. Under the terms of the Loan Facility, the first $50.0 million tranche was drawn at closing. The Company also could draw up to an additional $125.0 million in two separate tranches upon achievement of certain resmetirom clinical and regulatory milestones. A fourth tranche of $75.0 million could have been drawn by the Company, subject to the approval of Hercules. The Loan Facility had a minimum interest rate of 7.45% and adjusted with changes in the prime rate. The Company was originally scheduled to pay interest-only monthly payments of accrued interest under the Loan Facility through May 1, 2025, for a period of 36 months. In March 2024, the interest-only period was extended to May 1, 2026 when the Company achieved a milestone when Rezdiffra received FDA approval. The interest only period can further be extended to May 3, 2027, upon the achievement of future revenue milestones, subject to compliance with applicable covenants. The Loan Facility originally matured in May 2026, but the maturity date was extended to May 2027 when the Company achieved a milestone upon receipt of FDA approval in March 2024.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w:t>
      </w:r>
    </w:p>
    <w:p>
      <w:pPr>
        <w:spacing w:after="0" w:line="19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On February 3, 2023, the Company entered into the First Amendment (the “Amendment”) to the Loan Facility (as amended, the “Amended Loan Facility”). Under the Amended Loan Facility, an additional $35.0 million was drawn under a second, expanded, $65.0 million tranche (“Tranche 2”) in February of 2023 following the Company’s achievement of the Phase 3 clinical development milestone. An additional $15.0 million was drawn under Tranche 2 in June of 2023. The remaining $15.0 million available under Tranche 2 was drawn in September of 2023 in accordance with the Amended Loan Facility. The third tranche (“Tranche 3”) of $75.0 million remains unchanged by the Amendment, and such borrowings became available when the Company achieved a milestone with FDA approval for Rezdiffra in March 2024. As of March 31, 2024, the Company has not drawn down on Tranche 3, and the $75.0 million remains available until June 12, 2024. Coincident with the expansion of Tranche 2 borrowing capacity by $15.0 million, the Amendment reduced the fourth tranche under the Loan Facility (“Tranche 4”) by $15.0 million to $60.0 million, which is available subject to Hercules’ sole discretion. In connection with the $35.0 million drawn under Tranche 2 at the closing of the Amendment, $15.0 million drawn in June of 2023, and $15.0 million drawn in September of 2023, the Company issued to Hercules and</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affiliates Tranche 2 Warrants to purchase an aggregate of 4,555 shares of common stock, which had a Black-Scholes value of $0.9 million. The Amendment reduced the interest rate under the Amended Loan Facility to the greater of (i) the prime rate as reported in The Wall Street Journal plus 2.45% and (ii) 8.25%. The Amendment and the Amended Loan Facility summary terms were disclosed in the Company’s Current Report on Form 8-K filed with the Securities and Exchange Commission on February 9, 2023.</w:t>
      </w:r>
    </w:p>
    <w:p>
      <w:pPr>
        <w:spacing w:after="0" w:line="177"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The Loan Facility includes affirmative and restrictive financial covenants commencing on January 1, 2023, including maintenance of a minimum cash, cash equivalents and liquid funds covenant of $35.0 million, which may decrease in certain circumstances if the Company achieves certain clinical milestones and a revenue milestone, and a revenue-based covenant that could apply commencing at or after the time that financial reporting is due for the quarter ending September 30, 2024.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adverse effect on the Company, provided that, any failure to achieve a clinical milestone or approval milestone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the outstanding principal under the Loan Facility was $115.0 million. The interest rate as of March 31, 2024 was 10.95%.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was in compliance with all loan covenants and provisions.</w:t>
      </w:r>
    </w:p>
    <w:p>
      <w:pPr>
        <w:spacing w:after="0" w:line="205"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Future minimum payments, including interest and principal, under the loans payable outstanding as of March 31, 2024 are as follows (in thousands):</w:t>
      </w:r>
    </w:p>
    <w:p>
      <w:pPr>
        <w:spacing w:after="0" w:line="209"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 Ending March 31, 2024:</w:t>
            </w:r>
          </w:p>
        </w:tc>
        <w:tc>
          <w:tcPr>
            <w:tcW w:w="300" w:type="dxa"/>
            <w:vAlign w:val="bottom"/>
          </w:tcPr>
          <w:p>
            <w:pPr>
              <w:spacing w:after="0"/>
              <w:rPr>
                <w:sz w:val="13"/>
                <w:szCs w:val="13"/>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1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36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w:t>
            </w:r>
          </w:p>
        </w:tc>
      </w:tr>
      <w:tr>
        <w:trPr>
          <w:trHeight w:val="250"/>
        </w:trPr>
        <w:tc>
          <w:tcPr>
            <w:tcW w:w="1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2025</w:t>
            </w: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w:t>
            </w:r>
          </w:p>
        </w:tc>
      </w:tr>
      <w:tr>
        <w:trPr>
          <w:trHeight w:val="263"/>
        </w:trPr>
        <w:tc>
          <w:tcPr>
            <w:tcW w:w="1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2026</w:t>
            </w:r>
          </w:p>
        </w:tc>
        <w:tc>
          <w:tcPr>
            <w:tcW w:w="36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79,604</w:t>
            </w:r>
          </w:p>
        </w:tc>
      </w:tr>
      <w:tr>
        <w:trPr>
          <w:trHeight w:val="250"/>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53,387</w:t>
            </w:r>
          </w:p>
        </w:tc>
      </w:tr>
      <w:tr>
        <w:trPr>
          <w:trHeight w:val="257"/>
        </w:trPr>
        <w:tc>
          <w:tcPr>
            <w:tcW w:w="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36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155,378</w:t>
            </w:r>
          </w:p>
        </w:tc>
      </w:tr>
      <w:tr>
        <w:trPr>
          <w:trHeight w:val="250"/>
        </w:trPr>
        <w:tc>
          <w:tcPr>
            <w:tcW w:w="20" w:type="dxa"/>
            <w:vAlign w:val="bottom"/>
          </w:tcPr>
          <w:p>
            <w:pPr>
              <w:spacing w:after="0"/>
              <w:rPr>
                <w:sz w:val="21"/>
                <w:szCs w:val="21"/>
                <w:color w:val="auto"/>
              </w:rPr>
            </w:pPr>
          </w:p>
        </w:tc>
        <w:tc>
          <w:tcPr>
            <w:tcW w:w="5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w:t>
            </w: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payable, net of discount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116,135</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96" w:lineRule="exact"/>
        <w:rPr>
          <w:sz w:val="20"/>
          <w:szCs w:val="20"/>
          <w:color w:val="auto"/>
        </w:rPr>
      </w:pPr>
    </w:p>
    <w:p>
      <w:pPr>
        <w:ind w:right="9400" w:firstLine="8"/>
        <w:spacing w:after="0" w:line="370"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08"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The Series A and B Preferred Stock have a par value of $0.0001 per share and are convertible into shares of the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Public Offering</w:t>
      </w:r>
    </w:p>
    <w:p>
      <w:pPr>
        <w:spacing w:after="0" w:line="108"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On March 18, 2024, the Company entered into an Underwriting Agreement with Goldman Sachs &amp; Co. LLC, Jefferies LLC, Cowen and Company, LLC, Evercore Group L.L.C. and Piper Sandler &amp; Co, as representatives of the several underwriters named therein (the “2024 Underwriters”), pursuant to which the Company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 The gross proceeds of the 2024 Offering was $600.0 million, and the Company received net proceeds, after deducting the underwriting discount and commissions and other estimated offering expenses payable by the Company, of approximately $574.0 million.</w:t>
      </w:r>
    </w:p>
    <w:p>
      <w:pPr>
        <w:spacing w:after="0" w:line="185"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18"/>
          <w:szCs w:val="18"/>
          <w:color w:val="auto"/>
        </w:rPr>
        <w:t>The Underwriters’ Option was later exercised in full, and closed on April 2, 2024. The net proceeds to the Company for the exercise of the Underwriters’ Option, after deducting the underwriting discounts and commissions and estimated offering expenses payable by the Company, was approximately $85.9 million. See Note 11- Subsequent Events for more information.</w:t>
      </w:r>
    </w:p>
    <w:p>
      <w:pPr>
        <w:spacing w:after="0" w:line="169"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The Company intends to use the net proceeds from the 2024 Offering for its commercial activities in connection with the launch of Rezdiffra in the U.S.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17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the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Public Offering</w:t>
      </w:r>
    </w:p>
    <w:p>
      <w:pPr>
        <w:spacing w:after="0" w:line="10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On September 28, 2023, the Company entered into an Underwriting Agreement with Goldman Sachs &amp; Co. LLC, as representative of the several underwriters named therein (the “2023 Underwriters”), pursuant to which the Company sold to the 2023 Underwriters in an underwritten public offering (the “2023 Offering”): (i) 1,248,098 shares of common stock at a public offering price of $151.69 per share, and (ii) pre-funded warrants (the “2023 Pre-Funded Warrants”) to purchase 2,048,098 shares of common stock at a public offering price of $151.6899 per 2023 Pre-Funded Warrant, which represents the per share public offering price for the common stock less a $0.0001 per share exercise price for each such 2023 Pre-Funded Warrant. The 2023 Offering closed on October 3, 2023.</w:t>
      </w:r>
    </w:p>
    <w:p>
      <w:pPr>
        <w:spacing w:after="0" w:line="180"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The gross proceeds of the 2023 Offering was $500.0 million, and the Company received net proceeds, after deducting the underwriting discount and commissions and other estimated offering expenses payable by the Company, of approximately $472.0 million. The Company intends to use the net proceeds from the Offering for its clinical and commercial activities in preparation for the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spacing w:after="0" w:line="18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2023 Pre-Funded Warrants are exercisable at any time after the date of issuance. A holder of 2023 Pre-Funded Warrants may not exercise the warrant if the holder, together with its affiliates, would beneficially own more than 9.99% of the number of shares of common stock outstanding immediately after giving effect to such exercise. A holder of</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2023 Pre-Funded Warrants may increase or decrease this percentage, but not in excess of 19.99%, by providing at least 61 days prior notice to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Issuance Sales Agreement</w:t>
      </w:r>
    </w:p>
    <w:p>
      <w:pPr>
        <w:spacing w:after="0" w:line="108"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In June 2021, the Company entered into an at-the-market sales agreement (the “2021 Sales Agreement”) with Cowen and Company, LLC (“Cowen”), pursuant to which the Company could, from time to time, issue and sell shares of its common stock. The 2021 Sales Agreement initially authorized an aggregate offering of up to $200.0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 In total, under the 2021 Sales Agreement the Company sold 1,235,943 shares for an aggregate of $199.9 million in gross proceeds, with net proceeds to the Company of approximately $195.8 million after deducting commissions and other transaction costs through December 31, 2022. All shares were sold pursuant to the Company’s effective shelf registration statement on Form S-3 (the “Registration Statement”) and the prospectus supplement relating thereto. As of March 31, 2024, no amounts remained reserved and available for sale under the 2021 Sales Agreement and the related prospectus supplement.</w:t>
      </w:r>
    </w:p>
    <w:p>
      <w:pPr>
        <w:spacing w:after="0" w:line="185"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May 2023, the Company amended the 2021 Agreement (the “Sales Agreement Amendment”), with Cowen, pursuant to which the Company may, from time to time, issue and sell an additional $200.0 million in shares of its common stock. The Company is not obligated to make any sales of its common stock under this arrangement. Any shares sold will be sold pursuant to the Registration Statement and prospectus supplement filed pursuant to the Registration Statement. The Sales Agreement Amendment authorizes sales of shares of the Company’s common stock, from time to time, at the Company’s option, through Cowen as its sales agent. Sales of common stock through Cowen may be made by any method that is deemed an “at-the-market” offering as defined in Rule 415 promulgated under the Securities Act of 1933, as amended, and as described in the prospectus supplement.</w:t>
      </w:r>
    </w:p>
    <w:p>
      <w:pPr>
        <w:spacing w:after="0" w:line="180" w:lineRule="exact"/>
        <w:rPr>
          <w:sz w:val="20"/>
          <w:szCs w:val="20"/>
          <w:color w:val="auto"/>
        </w:rPr>
      </w:pPr>
    </w:p>
    <w:p>
      <w:pPr>
        <w:ind w:right="320" w:firstLine="648"/>
        <w:spacing w:after="0" w:line="246" w:lineRule="auto"/>
        <w:rPr>
          <w:sz w:val="20"/>
          <w:szCs w:val="20"/>
          <w:color w:val="auto"/>
        </w:rPr>
      </w:pPr>
      <w:r>
        <w:rPr>
          <w:rFonts w:ascii="Times New Roman" w:cs="Times New Roman" w:eastAsia="Times New Roman" w:hAnsi="Times New Roman"/>
          <w:sz w:val="18"/>
          <w:szCs w:val="18"/>
          <w:color w:val="auto"/>
        </w:rPr>
        <w:t>During the three months ended March 31, 2024, under the Sales Agreement Amendment, the Company sold no shares. In total under the Sales Agreement Amendment, the Company sold 98,101 shares for an aggregate of $25.2 million in gross proceeds, with net proceeds to the Company of approximately $24.5 million after deducting commissions and other transaction costs. All shares were sold pursuant to the Company’s effective Registration Statement and the prospectus supplement relating thereto. As of March 31, 2024, $174.8 million remained reserved and available for sale under the 2023 Sales Agreement Amendment and the Company’s related prospectus supplement.</w:t>
      </w:r>
    </w:p>
    <w:p>
      <w:pPr>
        <w:spacing w:after="0" w:line="299" w:lineRule="exact"/>
        <w:rPr>
          <w:sz w:val="20"/>
          <w:szCs w:val="20"/>
          <w:color w:val="auto"/>
        </w:rPr>
      </w:pPr>
    </w:p>
    <w:p>
      <w:pPr>
        <w:ind w:right="8940" w:firstLine="8"/>
        <w:spacing w:after="0" w:line="362"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2015 Stock Plan</w:t>
      </w:r>
    </w:p>
    <w:p>
      <w:pPr>
        <w:spacing w:after="0" w:line="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Company’s 2015 Stock Plan, as amended (the “2015 Stock Plan”), is one of the Company’s equity incentive compensation plans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March 31, 2024, 456,241 shares were available for future issuance under the 2015 Stock Plan.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12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September 2023, the Company adopted the 2023 Inducement Plan (the “Inducement Plan”), pursuant to which the Company may from time to time make equity grants to new employees as a material inducement to their employment. The Inducement Plan was adopted without stockholder approval, pursuant to Nasdaq Listing Rule 5635(c)(4), and is administered by the Compensation Committee of the Board. The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Inducement Plan, in general, are determined by the Compensation Committee, provided the exercise price per share generally shall not be set at less than the fair market value of a share of the common stock on the date of grant and the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term shall not be greater than ten years from the date the option or award is granted. A total of 500,000 shares of the Company’s common stock were reserved for issuance under the Inducement Plan. As of March 31, 2024, 23,366 shares were available for future issuance under the 2023 Inducement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2024:</w:t>
      </w:r>
    </w:p>
    <w:p>
      <w:pPr>
        <w:spacing w:after="0" w:line="259"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3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0" w:type="dxa"/>
            <w:vAlign w:val="bottom"/>
          </w:tcPr>
          <w:p>
            <w:pPr>
              <w:spacing w:after="0"/>
              <w:rPr>
                <w:sz w:val="1"/>
                <w:szCs w:val="1"/>
                <w:color w:val="auto"/>
              </w:rPr>
            </w:pPr>
          </w:p>
        </w:tc>
      </w:tr>
      <w:tr>
        <w:trPr>
          <w:trHeight w:val="25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229.77</w:t>
            </w: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0" w:type="dxa"/>
            <w:vAlign w:val="bottom"/>
          </w:tcPr>
          <w:p>
            <w:pPr>
              <w:spacing w:after="0"/>
              <w:rPr>
                <w:sz w:val="1"/>
                <w:szCs w:val="1"/>
                <w:color w:val="auto"/>
              </w:rPr>
            </w:pPr>
          </w:p>
        </w:tc>
      </w:tr>
      <w:tr>
        <w:trPr>
          <w:trHeight w:val="275"/>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$1.4 million and $17.9 million, respectively, for the three months ended March 31, 2024 and 2023. The total intrinsic value of options exercised was $3.8 million and $32.5 million, respectively, for the three months ended March 31, 2024 and 2023. The weighted-average grant date fair values, based on the Black-Scholes option model, of options granted during the three months ended March 31, 2024 and 2023 were $152.05 and $219.02,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The Company’s 2015 Stock Plan provides for awards of restricted stock units (“RSUs”) to employees, officers, directors and consultants to the Company. The Company’s Inducement Plan provides for awards of RSUs to new employees. RSUs vest over a period of months or years, or upon the occurrence of certain performance criteria or the attainment of stated goals or events, and are subject to forfeiture if employment or service terminates before vesting. As of March 31, 2024, the Company had 530,671 restricted stock units outstanding, with a weighted average grant date fair value of $231.44 per unit.</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excluding performance-based RSUs, during the three months ended March 31, 2024:</w:t>
      </w:r>
    </w:p>
    <w:p>
      <w:pPr>
        <w:spacing w:after="0" w:line="200" w:lineRule="exact"/>
        <w:rPr>
          <w:sz w:val="20"/>
          <w:szCs w:val="20"/>
          <w:color w:val="auto"/>
        </w:rPr>
      </w:pPr>
    </w:p>
    <w:p>
      <w:pPr>
        <w:spacing w:after="0" w:line="28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4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297.22</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1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31, 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530,671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 has granted various performance-based restricted stock units (“PSUs”) to certain members of senior leadership. Depending on the terms of the PSUs and the outcome of the pre-established performance criteria, which may include a market and/or performance condition, a recipient may ultimately earn the target number of PSUs granted or a specified multiple thereof at the end of the vesting period.</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 Company granted 101,202 PSUs. The maximum number of outstanding PSUs eligible to be earned as of March 31, 2024 are 252,404 PSUs, with a weighted average grant date fair value of $268.63 per unit.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Awards</w:t>
      </w:r>
    </w:p>
    <w:p>
      <w:pPr>
        <w:spacing w:after="0" w:line="10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restricted stock units, performance stock units, and options outstanding pursuant to which an aggregate of 3,241,302 shares of its common stock may be issued pursuant to the terms of all awards granted under the 2015 Stock Plan and Inducement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during the three months ended March 31, 2024 and 2023 was as follows (in thousands):</w:t>
      </w: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tcPr>
          <w:p>
            <w:pPr>
              <w:spacing w:after="0"/>
              <w:rPr>
                <w:sz w:val="21"/>
                <w:szCs w:val="21"/>
                <w:color w:val="auto"/>
              </w:rPr>
            </w:pP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0" w:type="dxa"/>
            <w:vAlign w:val="bottom"/>
          </w:tcPr>
          <w:p>
            <w:pPr>
              <w:spacing w:after="0"/>
              <w:rPr>
                <w:sz w:val="1"/>
                <w:szCs w:val="1"/>
                <w:color w:val="auto"/>
              </w:rPr>
            </w:pPr>
          </w:p>
        </w:tc>
      </w:tr>
      <w:tr>
        <w:trPr>
          <w:trHeight w:val="263"/>
        </w:trPr>
        <w:tc>
          <w:tcPr>
            <w:tcW w:w="5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19,902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11,250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13,995</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0" w:type="dxa"/>
            <w:vAlign w:val="bottom"/>
          </w:tcPr>
          <w:p>
            <w:pPr>
              <w:spacing w:after="0"/>
              <w:rPr>
                <w:sz w:val="1"/>
                <w:szCs w:val="1"/>
                <w:color w:val="auto"/>
              </w:rPr>
            </w:pPr>
          </w:p>
        </w:tc>
      </w:tr>
      <w:tr>
        <w:trPr>
          <w:trHeight w:val="27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included in net loss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19,902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11,250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Unrecognized stock-based compensation expense as of March 31, 2024 was $177.3 million with a weighted average remaining period of 3.00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agreement requires future milestone payments to Roche. In March 2024, upon receiving FDA approval of Rezdiffra, a milestone was achieved and $5.0 million became due to Roche. Remaining milestones under the agreement total $3.0 million and are payable upon the Company achieving specified objectives related to future regulatory approval in Europe of resmetirom or a product developed from resmetirom. Furthermore, a tiered single-digit royalty is payable on net sales of resmetirom or a product developed from resmetirom, subject to certain reductions. The Company achieved the U.S. regulatory approval milestone but had no Licensed Product sales for the three months ended March 31, 2024. The company did not achieve any product development or regulatory milestones for the three months ended March 31, 2023.</w:t>
      </w:r>
    </w:p>
    <w:p>
      <w:pPr>
        <w:spacing w:after="0" w:line="19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clinical trials and commercialization.</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August 2023, the Company entered into the Fifth Amendment to the Office Lease (the “Lease Amendment”). The Lease Amendment extended the term of the lease through November 2026. As a result of the Lease Amendment, an incremental $1.6 million ROU asset and lease liabilities were recorded during the year ended December 31, 2023.</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21"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As part of the 2024 Offering, on April 2, 2024, the Underwriters’ Option exercise closed. The 2024 Underwriters exercised in-full their option to purchase 346,153 additional shares of Common Stock at the public offering price for the Shares of $260.00 per share, less underwriting discounts and commissions, pursuant to the Underwriting Agreement. Gross proceeds were $90.0 million. The net proceeds to the Company for the exercise of the Underwriters’ Option, after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deducting the underwriting discounts and commissions and estimated offering expenses payable by the Company, was approximately $85.9 million.</w:t>
      </w:r>
    </w:p>
    <w:p>
      <w:pPr>
        <w:spacing w:after="0" w:line="200" w:lineRule="exact"/>
        <w:rPr>
          <w:sz w:val="20"/>
          <w:szCs w:val="20"/>
          <w:color w:val="auto"/>
        </w:rPr>
      </w:pPr>
    </w:p>
    <w:p>
      <w:pPr>
        <w:spacing w:after="0" w:line="37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 END OF FINANCIAL STATEMENTS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17" w:right="9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0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“allow,” “anticipates,” “appear,” “be,” “believes,” “can,” “continue,” “could,” “demonstrates,” “design,” “estimates,” “expectation,” “expects,” “forecasts,” “future,” “goal,” “help,” “hopeful,” “inform,” “informed,” “intends,” “may,” “might,” “on track,” “planned,” “planning,” “plans,” “positions,” “potential,” “powers,” “predicts,” ”predictive,” “projects,” “seeks,” “should,” “will,” “will achieve,” “will be,” “would” or similar expressions and the negatives of those terms. In particular, forward-looking statements contained in or incorporated by reference to this Quarterly Report relate to, among other things:</w:t>
      </w:r>
    </w:p>
    <w:p>
      <w:pPr>
        <w:spacing w:after="0" w:line="71" w:lineRule="exact"/>
        <w:rPr>
          <w:sz w:val="20"/>
          <w:szCs w:val="20"/>
          <w:color w:val="auto"/>
        </w:rPr>
      </w:pPr>
    </w:p>
    <w:p>
      <w:pPr>
        <w:ind w:left="1300" w:right="58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including the risks and uncertainties associated with our future operating performance and financial position;</w:t>
      </w:r>
    </w:p>
    <w:p>
      <w:pPr>
        <w:spacing w:after="0" w:line="67"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or assumed future results of operations and expenses, business strategies and plans (including potential ex-U.S. commercial or partnering opportunities), capital needs and financing plans, including incurrence of indebtedness and compliance with debt covenants under the Loan and Security Agreement with Hercules Capital, Inc., as agent and lender, market trends, market sizing, competitive position, industry environment and potential growth opportunities, among other things;</w:t>
      </w:r>
    </w:p>
    <w:p>
      <w:pPr>
        <w:spacing w:after="0" w:line="6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requirements and commitments, including verification of a clinical benefit in confirmatory trials;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delay certain research activities and related clinical expenses as necessary;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the anticipated timing of disclosure, presentations of data from, or outcomes from our trials;</w:t>
      </w:r>
    </w:p>
    <w:p>
      <w:pPr>
        <w:spacing w:after="0" w:line="103" w:lineRule="exact"/>
        <w:rPr>
          <w:rFonts w:ascii="Times New Roman" w:cs="Times New Roman" w:eastAsia="Times New Roman" w:hAnsi="Times New Roman"/>
          <w:sz w:val="18"/>
          <w:szCs w:val="18"/>
          <w:color w:val="auto"/>
        </w:rPr>
      </w:pPr>
    </w:p>
    <w:p>
      <w:pPr>
        <w:ind w:left="1300" w:right="360" w:hanging="320"/>
        <w:spacing w:after="0" w:line="25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and the timing and results associated with the future development of our Rezdiffra/resmetirom, including projected market size, sector leadership, and patient treatment estimates for NASH and nonalcoholic fatty liver disease (“NAFLD”) patients;</w:t>
      </w:r>
    </w:p>
    <w:p>
      <w:pPr>
        <w:spacing w:after="0" w:line="6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projected future clinical milestone events, including enrollment, additional studies, top-line data and open label projections;</w:t>
      </w:r>
    </w:p>
    <w:p>
      <w:pPr>
        <w:spacing w:after="0" w:line="67" w:lineRule="exact"/>
        <w:rPr>
          <w:rFonts w:ascii="Times New Roman" w:cs="Times New Roman" w:eastAsia="Times New Roman" w:hAnsi="Times New Roman"/>
          <w:sz w:val="18"/>
          <w:szCs w:val="18"/>
          <w:color w:val="auto"/>
        </w:rPr>
      </w:pPr>
    </w:p>
    <w:p>
      <w:pPr>
        <w:ind w:left="1300" w:right="34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Rezdiffra’s potential to be a cost-effective specialty therapy for NASH patients with significant liver fibrosis (consistent with fibrosis stages 2 and 3);</w:t>
      </w:r>
    </w:p>
    <w:p>
      <w:pPr>
        <w:spacing w:after="0" w:line="54" w:lineRule="exact"/>
        <w:rPr>
          <w:rFonts w:ascii="Times New Roman" w:cs="Times New Roman" w:eastAsia="Times New Roman" w:hAnsi="Times New Roman"/>
          <w:sz w:val="18"/>
          <w:szCs w:val="18"/>
          <w:color w:val="auto"/>
        </w:rPr>
      </w:pPr>
    </w:p>
    <w:p>
      <w:pPr>
        <w:ind w:left="1300" w:right="160" w:hanging="320"/>
        <w:spacing w:after="0" w:line="25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or objectives for obtaining full approval for resmetirom for NASH patients with significant fibrosis (or non-cirrhotic NASH patients) and NASH patients with compensated cirrhosis, including all statements concerning potential clinical benefit to support approval and/or potential approval;</w:t>
      </w:r>
    </w:p>
    <w:p>
      <w:pPr>
        <w:spacing w:after="0" w:line="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patients diagnosed with NASH;</w:t>
      </w:r>
    </w:p>
    <w:p>
      <w:pPr>
        <w:spacing w:after="0" w:line="117"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and key secondary study endpoints for resmetirom, and the potential for achieving such endpoints and projections, including NASH resolution, safety, fibrosis treatment, cardiovascular effects and lipid treatment with resmetirom;</w:t>
      </w:r>
    </w:p>
    <w:p>
      <w:pPr>
        <w:spacing w:after="0" w:line="54" w:lineRule="exact"/>
        <w:rPr>
          <w:rFonts w:ascii="Times New Roman" w:cs="Times New Roman" w:eastAsia="Times New Roman" w:hAnsi="Times New Roman"/>
          <w:sz w:val="18"/>
          <w:szCs w:val="18"/>
          <w:color w:val="auto"/>
        </w:rPr>
      </w:pPr>
    </w:p>
    <w:p>
      <w:pPr>
        <w:ind w:left="1300" w:right="80" w:hanging="320"/>
        <w:spacing w:after="0" w:line="25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Optimal dosing levels for resmetirom and projections regarding potential NASH or NAFLD and potential patient benefits with resmetirom, including future NASH resolution, safety, fibrosis treatment, cardiovascular effects, lipid treatment and/or biomarker effects with resmetirom;</w:t>
      </w:r>
    </w:p>
    <w:p>
      <w:pPr>
        <w:spacing w:after="0" w:line="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NASH progression and adverse patient outcomes;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clinical burden of uncontrolled NASH;</w:t>
      </w:r>
    </w:p>
    <w:p>
      <w:pPr>
        <w:spacing w:after="0" w:line="117"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Analyses for patients with NASH with significant fibrosis concerning potential progression to cirrhosis, decompensated cirrhosis, liver transplant or death, and cardiovascular risks, comorbidities and outcomes;</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unmet needs of patients suffering from NASH with significant fibrosis,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safety of resmetirom for non-cirrhotic NASH patients and cirrhotic NASH patients,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resmetirom to become the best-in-class treatment option for patients with NASH and significant fibrosis;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right="360" w:hanging="320"/>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clinical evidence demonstrating the utility of non-invasive tools and techniques to screen and diagnose NASH and/or NAFLD patients;</w:t>
      </w:r>
    </w:p>
    <w:p>
      <w:pPr>
        <w:spacing w:after="0" w:line="67" w:lineRule="exact"/>
        <w:rPr>
          <w:rFonts w:ascii="Times New Roman" w:cs="Times New Roman" w:eastAsia="Times New Roman" w:hAnsi="Times New Roman"/>
          <w:sz w:val="18"/>
          <w:szCs w:val="18"/>
          <w:color w:val="auto"/>
        </w:rPr>
      </w:pPr>
    </w:p>
    <w:p>
      <w:pPr>
        <w:ind w:left="1300" w:right="420" w:hanging="320"/>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reduction with resmetirom, as measured by non-invasive tests, on NASH resolution and/or fibrosis reduction or improvement, and potential NASH or NAFLD patient risk profile benefits with resmetirom;</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liver volume changes or MAST scores for NASH and/or NAFLD patients;</w:t>
      </w:r>
    </w:p>
    <w:p>
      <w:pPr>
        <w:spacing w:after="0" w:line="117"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NASH resolution and/or fibrosis reduction with resmetirom or improvement using non-invasive tests, including the use of ELF, FibroScan, MRE and/or MRI-PDFF;</w:t>
      </w:r>
    </w:p>
    <w:p>
      <w:pPr>
        <w:spacing w:after="0" w:line="54"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non-invasive tests generally, including for purposes of diagnosing NASH, monitoring patient response to resmetirom, or recruiting and conducting a NASH clinical trial;</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and acceptance of our products;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commercialization of new products;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resmetirom to be an effective treatment for other disease indications;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approvals, including, but not limited to, potential regulatory delays or rejections;</w:t>
      </w:r>
    </w:p>
    <w:p>
      <w:pPr>
        <w:spacing w:after="0" w:line="103" w:lineRule="exact"/>
        <w:rPr>
          <w:rFonts w:ascii="Times New Roman" w:cs="Times New Roman" w:eastAsia="Times New Roman" w:hAnsi="Times New Roman"/>
          <w:sz w:val="18"/>
          <w:szCs w:val="18"/>
          <w:color w:val="auto"/>
        </w:rPr>
      </w:pPr>
    </w:p>
    <w:p>
      <w:pPr>
        <w:ind w:left="1300" w:right="180" w:hanging="320"/>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w:t>
      </w:r>
    </w:p>
    <w:p>
      <w:pPr>
        <w:spacing w:after="0" w:line="8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cyber attacks and other security incidents on our operations or business;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third-party contract manufacturers for the manufacture of our product candidates, including resmetirom;</w:t>
      </w:r>
    </w:p>
    <w:p>
      <w:pPr>
        <w:spacing w:after="0" w:line="103"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effects of resmetirom’s mechanism of action and our ability to accomplish our business and business development objectives and realize the anticipated benefit of any such transactions; and</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any of the foregoing.</w:t>
      </w:r>
    </w:p>
    <w:p>
      <w:pPr>
        <w:spacing w:after="0" w:line="212"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7"/>
          <w:szCs w:val="17"/>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3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including, but not limited to: our clinical and commercial development of resmetirom; the challenges with the commercial launch of a new product, particularly for a company that does not have commercial experience; enrollment and trial outlook uncertainties, generally, based on blinded, locked or limited trial data; our potential inability to raise sufficient capital to fund our ongoing operations as currently planned or to obtain financings on terms similar to those we have arranged in the past; our ability to meet post-approval commitments and requirements, including completion of enrollment of—and ability to obtain positive data from—any confirmatory studies required by the FDA;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our ability to prevent and/or mitigate cybersecurity attacks, unauthorized exfiltration of data or other security incidents; limitations associated with early stage or non-placebo controlled study data; the timing and outcomes of clinical studies of resmetirom; and the uncertainties inherent in clinical testing; and uncertainties concerning analyses or assessments outside of a controlled clinical trial.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II, Item 1A of this Quarterly Report on Form 10-Q and Part I, Item 1A of our Annual Report on Form 10-K for the year ended December 31, 2023, filed with the SEC on February 28, 2024 (the “2023 Form</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10-K”), as well as in our other filings with the SEC. You should read the 2023 Form 10-K, this Quarterly Report, and the other documents that we file or have filed with the SEC, with the understanding that our actual future results may be materially different from the results expressed or implied by these forward-looking statements.</w:t>
      </w:r>
    </w:p>
    <w:p>
      <w:pPr>
        <w:spacing w:after="0" w:line="190" w:lineRule="exact"/>
        <w:rPr>
          <w:sz w:val="20"/>
          <w:szCs w:val="20"/>
          <w:color w:val="auto"/>
        </w:rPr>
      </w:pPr>
    </w:p>
    <w:p>
      <w:pPr>
        <w:ind w:right="380" w:firstLine="648"/>
        <w:spacing w:after="0" w:line="272" w:lineRule="auto"/>
        <w:rPr>
          <w:sz w:val="20"/>
          <w:szCs w:val="20"/>
          <w:color w:val="auto"/>
        </w:rPr>
      </w:pPr>
      <w:r>
        <w:rPr>
          <w:rFonts w:ascii="Times New Roman" w:cs="Times New Roman" w:eastAsia="Times New Roman" w:hAnsi="Times New Roman"/>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7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Except as required by applicable law,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2023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under “Cautionary Note Regarding Forward-Looking Statements,” our actual results could differ materially from those discussed in these forward-looking statements. Factors that could cause or contribute to such differences include, but are not limited to, those discussed in the “Cautionary Note Regarding Forward-Looking Statements” and “Risk Factors” sections contained in our Annual Report on Form 10-K for the year ended December 31, 2023,. Our operating results are not necessarily indicative of results that may occur for the full fiscal year or any other future period. As</w:t>
      </w:r>
    </w:p>
    <w:p>
      <w:pPr>
        <w:spacing w:after="0" w:line="5"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i w:val="1"/>
          <w:iCs w:val="1"/>
          <w:color w:val="auto"/>
        </w:rPr>
        <w:t>used herein, “Rezdiffra” refers to resmetirom approved by the FDA for the treatment of adults with NASH with moderate to advanced liver fibrosis, and “resmetirom” refers to, where applicable, Rezdiffra as well as resmetirom for the treatment of indications beyond NASH with moderate to advanced liver fibrosis.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94"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We are a biopharmaceutical company dedicated to transforming care for patients with NASH, a serious liver disease that can lead to cirrhosis, liver failure and premature mortality. Our medication, Rezdiffra (resmetirom), is a once-daily, oral, liver-directed THR-β agonist designed to target key underlying causes of NASH. In March 2024, Rezdiffra became the first and only FDA-approved therapy for patients with NASH. Rezdiffra is indicated in conjunction with diet and exercise for the treatment of adults with noncirrhotic NASH with moderate to advanced liver fibrosis (consistent with stages F2 to F3 fibrosis).</w:t>
      </w:r>
    </w:p>
    <w:p>
      <w:pPr>
        <w:spacing w:after="0" w:line="19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NASH Disease State Overview. </w:t>
      </w:r>
      <w:r>
        <w:rPr>
          <w:rFonts w:ascii="Times New Roman" w:cs="Times New Roman" w:eastAsia="Times New Roman" w:hAnsi="Times New Roman"/>
          <w:sz w:val="18"/>
          <w:szCs w:val="18"/>
          <w:color w:val="auto"/>
        </w:rPr>
        <w:t>NASH is a more advanced form of nonalcoholic fatty liver disease (NAFLD). NAFLD has become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NASH is the leading cause of liver transplants in the U.S. for women, and is expected to soon be the leading cause of liver transplants overall. Additionally, patients with NASH, especially those with more advanced metabolic risk factors (hypertension, concomitant type 2 diabetes), are at increased risk for adverse cardiovascular events and increased morbidity and mortality. Once patients progress to NASH with moderate to advanced fibrosis (consistent with fibrosis stages F2 and F3), the risk of adverse liver outcomes increases substantially.</w:t>
      </w:r>
    </w:p>
    <w:p>
      <w:pPr>
        <w:spacing w:after="0" w:line="18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NASH is also known as metabolic dysfunction-associated steatohepatitis (“MASH”) following a change in disease nomenclature introduced by hepatology medical societies in 2023.</w:t>
      </w:r>
    </w:p>
    <w:p>
      <w:pPr>
        <w:spacing w:after="0" w:line="174" w:lineRule="exact"/>
        <w:rPr>
          <w:sz w:val="20"/>
          <w:szCs w:val="20"/>
          <w:color w:val="auto"/>
        </w:rPr>
      </w:pPr>
    </w:p>
    <w:p>
      <w:pPr>
        <w:ind w:right="30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Our Patient Focus. </w:t>
      </w:r>
      <w:r>
        <w:rPr>
          <w:rFonts w:ascii="Times New Roman" w:cs="Times New Roman" w:eastAsia="Times New Roman" w:hAnsi="Times New Roman"/>
          <w:sz w:val="18"/>
          <w:szCs w:val="18"/>
          <w:color w:val="auto"/>
        </w:rPr>
        <w:t>Madrigal estimates that approximately 1.5 million patients have been diagnosed with NASH in the U.S.,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525,000 have NASH with moderate to advanced fibrosis. Madrigal estimates that approximately 315,000 diagnosed patients with NASH with moderate to advanced fibrosis are under the care of specialist physicians Madrigal will be targeting during the launch of Rezdiffra.</w:t>
      </w:r>
    </w:p>
    <w:p>
      <w:pPr>
        <w:spacing w:after="0" w:line="188" w:lineRule="exact"/>
        <w:rPr>
          <w:sz w:val="20"/>
          <w:szCs w:val="20"/>
          <w:color w:val="auto"/>
        </w:rPr>
      </w:pPr>
    </w:p>
    <w:p>
      <w:pPr>
        <w:ind w:right="28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Our Clinical Development Program. </w:t>
      </w:r>
      <w:r>
        <w:rPr>
          <w:rFonts w:ascii="Times New Roman" w:cs="Times New Roman" w:eastAsia="Times New Roman" w:hAnsi="Times New Roman"/>
          <w:sz w:val="18"/>
          <w:szCs w:val="18"/>
          <w:color w:val="auto"/>
        </w:rPr>
        <w:t>Madrigal is currently conducting multiple Phase 3 clinical trials to evaluate the safety and efficacy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Rezdiffra for the treatment of NASH, including the pivotal MAESTRO-NASH biopsy study in patients with significant fibrosis, the MAESTRO-NASH Outcomes study in patients with NASH with compensated cirrhosis and the MAESTRO-NAFLD-1 OLE safety study. Positive results from the pivotal MAESTRO-NASH biopsy study were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in February 2024.</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Data from the 52-week first 1,000 patient portion of MAESTRO-NASH, together with data from MAESTRO-NAFLD-1, the open-label extension of the MAESTRO-NAFLD-1 study, Phase 2 and Phase 1 data, including safety parameters, formed the basis for Madrigal’s successful subpart H submission to the FDA for accelerated approval of Rezdiffra for treatment of NASH with liver fibrosis.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0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March 18, 2024, we announced we had commenced an underwritten public offering of $500.0 million in shares of our common stock and pre-funded warrants to purchase shares of our common stock. The size of the offering was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color w:val="auto"/>
        </w:rPr>
        <w:t>increased by $100.0 million subsequent to the initial announcement, for a total of approximately $600.0 million gross proceeds before underwriting discounts, commissions, and other expenses. The $600.0 million offering closed on March 21, 2024, and we received net proceeds totaling approximately$574.0 million in the three months ended March, 31, 2024. The underwriters exercised in full their 30-day option to purchase additional shares of common stock, resulting in an additional $90.0 million gross proceeds. The exercise of the underwriters' option closed on April 2, 2024 and we received net proceeds totaling approximately $85.9 million. We collectively sold an aggregate of 1,096,153 shares of our common stock and pre-funded warrants to purchase 1,557,692 shares of our common stock in the underwritten offering.</w:t>
      </w:r>
    </w:p>
    <w:p>
      <w:pPr>
        <w:spacing w:after="0" w:line="180"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On March 14, 2024, we announced that the U.S. Food and Drug Administration (“FDA”) granted accelerated approval of Rezdiffra (resmetirom) in conjunction with diet and exercise for the treatment of adults with noncirrhotic nonalcoholic steatohepatitis (“NASH”) with moderate to advanced liver fibrosis (consistent with stages F2 to F3 fibrosis).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28, 2024, we announced the appointment of Mardi C. Dier as Chief Financial Officer, effective as of March 11, 2024.</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February 2024, primary results from the MAESTRO-NASH study were published in the </w:t>
      </w:r>
      <w:r>
        <w:rPr>
          <w:rFonts w:ascii="Times New Roman" w:cs="Times New Roman" w:eastAsia="Times New Roman" w:hAnsi="Times New Roman"/>
          <w:sz w:val="18"/>
          <w:szCs w:val="18"/>
          <w:i w:val="1"/>
          <w:iCs w:val="1"/>
          <w:color w:val="auto"/>
        </w:rPr>
        <w:t>New England Journal of Medicine.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04"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w:t>
      </w:r>
    </w:p>
    <w:p>
      <w:pPr>
        <w:spacing w:after="0" w:line="103"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and consultants that conduct clinical trials;</w:t>
      </w:r>
    </w:p>
    <w:p>
      <w:pPr>
        <w:spacing w:after="0" w:line="40" w:lineRule="exact"/>
        <w:rPr>
          <w:rFonts w:ascii="Times New Roman" w:cs="Times New Roman" w:eastAsia="Times New Roman" w:hAnsi="Times New Roman"/>
          <w:sz w:val="18"/>
          <w:szCs w:val="18"/>
          <w:color w:val="auto"/>
        </w:rPr>
      </w:pPr>
    </w:p>
    <w:p>
      <w:pPr>
        <w:ind w:left="1300" w:right="1040" w:hanging="320"/>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nonclinical and clinical trial supplies, including fees paid to contract manufacturers;</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preclinical studies;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 and</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w:t>
      </w:r>
    </w:p>
    <w:p>
      <w:pPr>
        <w:spacing w:after="0" w:line="182"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product candidates, as well as ongoing assessments as to each current or future product candidate’s commercial potential.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90"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increase in the future as we expand our operating activities, prepare for commercialization,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three months ended March 31, 2024, as compared to those disclosed in our Annual Report on Form 10-K for the fiscal year ended December 31, 2023 filed with the SEC on February 28,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and 2023</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three months ended March 31, 2024 and 2023 (in thousands):</w:t>
      </w:r>
    </w:p>
    <w:p>
      <w:pPr>
        <w:spacing w:after="0" w:line="273"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560" w:type="dxa"/>
            <w:vAlign w:val="bottom"/>
          </w:tcPr>
          <w:p>
            <w:pPr>
              <w:spacing w:after="0"/>
              <w:rPr>
                <w:sz w:val="16"/>
                <w:szCs w:val="16"/>
                <w:color w:val="auto"/>
              </w:rPr>
            </w:pPr>
          </w:p>
        </w:tc>
      </w:tr>
      <w:tr>
        <w:trPr>
          <w:trHeight w:val="23"/>
        </w:trPr>
        <w:tc>
          <w:tcPr>
            <w:tcW w:w="4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r>
      <w:tr>
        <w:trPr>
          <w:trHeight w:val="23"/>
        </w:trPr>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62,154</w:t>
            </w:r>
          </w:p>
        </w:tc>
        <w:tc>
          <w:tcPr>
            <w:tcW w:w="7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57"/>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64,618</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r>
      <w:tr>
        <w:trPr>
          <w:trHeight w:val="256"/>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57"/>
        </w:trPr>
        <w:tc>
          <w:tcPr>
            <w:tcW w:w="4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75"/>
        </w:trPr>
        <w:tc>
          <w:tcPr>
            <w:tcW w:w="4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76,896</w:t>
            </w:r>
          </w:p>
        </w:tc>
        <w:tc>
          <w:tcPr>
            <w:tcW w:w="74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70,645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We had no revenue for the three months ended March 31, 2024 and 2023. Rezdiffra became available in the United States in April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our research and development expenses for the three months ended March 31, 2024 and 2023 (in thousands):</w:t>
      </w:r>
    </w:p>
    <w:p>
      <w:pPr>
        <w:spacing w:after="0" w:line="367"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1020" w:type="dxa"/>
            <w:vAlign w:val="bottom"/>
          </w:tcPr>
          <w:p>
            <w:pPr>
              <w:spacing w:after="0"/>
              <w:rPr>
                <w:sz w:val="16"/>
                <w:szCs w:val="16"/>
                <w:color w:val="auto"/>
              </w:rPr>
            </w:pPr>
          </w:p>
        </w:tc>
      </w:tr>
      <w:tr>
        <w:trPr>
          <w:trHeight w:val="23"/>
        </w:trPr>
        <w:tc>
          <w:tcPr>
            <w:tcW w:w="3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34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Personnel and Internal Expense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57"/>
        </w:trPr>
        <w:tc>
          <w:tcPr>
            <w:tcW w:w="3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External Expense</w:t>
            </w: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54,521</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49,895</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8"/>
        </w:trPr>
        <w:tc>
          <w:tcPr>
            <w:tcW w:w="3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were $71.2 million for the three months ended March 31, 2024, compared to $62.2 million in the corresponding period in 2023. Research and development expenses increased by $9.1 million in the 2024 period due primarily to an increase related to timing of manufacturing, an increase in headcount, and a corresponding increase in stock compensation expense.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selling, general and administrative expenses were $80.8 million for the three months ended March 31, 2024, compared to $16.2 million in the corresponding period in 2023. Selling, general and administrative expenses increased by $64.6 million in the 2024 period due primarily to increases in commercial preparation activities, including a corresponding increase in headcount, and an increase in stock compensation expense. We believe our selling, general and administrative expenses may increase over time as we continue with commercialization activities and expand our operating activities.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0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net interest income was $8.3 million for the three months ended March 31, 2024, compared to $3.8 million in the corresponding period in 2023. The increase in interest income was due primarily to higher principal balances and interest rates in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interest expense was $3.8 million for the three months ended March 31, 2024, compared to $2.3 million in the corresponding period in 2023.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expense was primarily the result of a higher outstanding principal balance during the period under the Loan Facility with Hercules.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the issuance of shares of our common stock, shares of our Preferred Stock, issuances of pre-funded warrants, borrowings under the Loan Facility with Hercules, the issuance of convertible debt and the proceeds from the merger with Synta Pharmaceuticals Corp.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8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As of March 31, 2024, we had cash, cash equivalents and marketable securities totaling $1,059.1 million compared to $634.1 million as of December 31, 2023, with this increase attributable to our 2024 public offering, where we received net proceeds of approximately $574.0 million in the three months ended March 31, 2024. Additionally, in April 2024 we received net proceeds of approximately $85.9 million as a result of the underwriters’ exercise in full of their option to purchase additional shares as part of the March 2024 Offering.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8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While our rate of cash usage will likely increase in the future, in particular to support our product development and clinical trial efforts, as well as commercialization activities, we believe our available cash resources are sufficient to fund our operations past one year from the issuance of the financial statements contained herein. Our future long-term liquidity requirements will be substantial and will depend on many factors, including our ability to effectively</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commercialize Rezdiffra. To meet future long-term liquidity requirements, as well as maintain compliance with certain of our Loan Facility covenants, we may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Additional capital, if needed, may not be available on terms acceptable to us, or at all. We also have the ability to delay certain research activities and related clinical expenses, as well as commercial investments, if necessary due to liquidity concerns until a date when those concerns are relieved.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Sales Agreement</w:t>
      </w:r>
    </w:p>
    <w:p>
      <w:pPr>
        <w:spacing w:after="0" w:line="1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On May 9, 2023, the Company entered into Amendment No. 1 (the “Sales Agreement Amendment”) to the June 2021 Sales Agreement (the “2021 Sales Agreement”) with Cowen, which the Sales Agreement Amendment increased by up to an additional $200.0 million the amount of common stock that can be issued and sold by the Company from time to time through or to Cowen under the 2021 Sales Agreement, acting as agent or principal.</w:t>
      </w:r>
    </w:p>
    <w:p>
      <w:pPr>
        <w:spacing w:after="0" w:line="16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the Sales Agreement will be made by any method that is deemed to be an “at the market” offering as defined in Rule 415(a)(4) of the Securities Act of 1933, as amended. We have no obligation to sell any common stock and may at any time suspend offers under the Sales Agreement or terminate the Sales Agreement pursuant to its terms.</w:t>
      </w:r>
    </w:p>
    <w:p>
      <w:pPr>
        <w:spacing w:after="0" w:line="16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under the Sales Agreement Amendment, we sold no shares. As of March 31, 2024, $174.8 million remained reserved and available for sale under the 2023 Sales Agreement Amendment and our related prospectus supplement.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Facility</w:t>
      </w:r>
    </w:p>
    <w:p>
      <w:pPr>
        <w:spacing w:after="0" w:line="106"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In May 2022 we entered into the $250.0 million Loan Facility (the “Loan Facility”) with Hercules Capital, Inc. (“Hercules”). On February 3, 2023, we entered into the First Amendment (the “Amendment”) to the Loan Facility (as amended, the “Amended Loan Facility”). Under the terms of the Loan Facility, the first $50.0 million tranche (“Tranche 1”) was drawn at closing. Under the Amended Loan Facility, $65.0 million was drawn in 2023 under the second tranche (“Tranche 2”). The third tranche (“Tranche 3”) of $75.0 million became available to us when we obtained FDA approval for Rezdiffra in March 2024. We have until June 12, 2024 to draw on Tranche 3. As of March 31, 2024, we have not drawn down on Tranche 3. The fourth tranche (“Tranche 4”) of $60.0 million is available subject to Hercules’ sole discretion. In connection with Tranche 1, in 2022 we issued Hercules warrants to purchase 14,899 shares of our common stock, which had a Black-Scholes value of $0.6 million. In connection with Tranche 2, in 2023 we issued to Hercules warrants to purchase an aggregate of 4,555 shares of common stock, which had a Black-Scholes value of $0.9 million.</w:t>
      </w:r>
    </w:p>
    <w:p>
      <w:pPr>
        <w:spacing w:after="0" w:line="20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Loan Facility had a minimum interest rate of 7.45% and adjusted with changes in the prime rate. The Amendment reduced the interest rate under the Amended Loan Facility to the greater of (i) the prime rate as reported in The Wall Street Journal plus 2.45% and (ii) 8.25%. We were to originally pay interest-only monthly payments of accrued interest under the Loan Facility through May 1, 2025, for a period of 36 months. That period was extended in March 2024 to May 1, 2026 upon achievement of a milestone related to FDA approval. The period can further be extended to May 3, 2027, upon the achievement of a future revenue milestone, subject to compliance with applicable covenants. The Loan Facility originally matured in May 2026, but was extended to May 2027 upon the achievement a milestone related to FDA approval. The Loan Facility is secured by a security interest in substantially all of our assets, other than intellectual property. It includes an end of term charge of 5.35% of the aggregate principal amount, which is accounted for in the loan discount.</w:t>
      </w:r>
    </w:p>
    <w:p>
      <w:pPr>
        <w:spacing w:after="0" w:line="186"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The Loan Facility includes affirmative and restrictive financial covenants which commenced on January 1, 2023, including maintenance of a minimum cash, cash equivalents and liquid funds covenant of $35.0 million, which may decrease in certain circumstances if we achieve certain clinical milestones and a revenue milestone, and a revenue-based covenant that could apply commencing at or after the time that financial reporting is due for the quarter ending September 30, 2024. The Loan Facility contains event of default provisions for: our failure to make required payments or maintain compliance with covenants under the Loan Facility; our breach of certain representations or default under certain obligations outside the Loan Facility; insolvency, attachment or judgment events affecting us; and any circumstance which has occurred or could reasonably be expected to have a material adverse effect on us, provided that, any failure to achieve approval or certain other milestones under the Loan Facility shall not in and of itself constitute a material adverse effect.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the outstanding principal under the Loan Facility was $115.0 million. The interest rate as of March 31, 2024 was 10.95%.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were in compliance with all loan covenants and provisions.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Public Offering</w:t>
      </w:r>
    </w:p>
    <w:p>
      <w:pPr>
        <w:spacing w:after="0" w:line="10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On March 18, 2024, we entered into an Underwriting Agreement with Goldman Sachs &amp; Co. LLC, Jefferies LLC, Cowen and Company, LLC, Evercore Group L.L.C. and Piper Sandler &amp; Co, as representatives of the several underwriters named therein (the “2024 Underwriters”), pursuant to which we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w:t>
      </w:r>
    </w:p>
    <w:p>
      <w:pPr>
        <w:spacing w:after="0" w:line="1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gross proceeds of the 2024 Offering was $600.0 million, and we received net proceeds, after deducting the underwriting discount and commissions and other estimated offering expenses payable by us, of approximately $574.0 million.</w:t>
      </w:r>
    </w:p>
    <w:p>
      <w:pPr>
        <w:spacing w:after="0" w:line="148" w:lineRule="exact"/>
        <w:rPr>
          <w:sz w:val="20"/>
          <w:szCs w:val="20"/>
          <w:color w:val="auto"/>
        </w:rPr>
      </w:pPr>
    </w:p>
    <w:p>
      <w:pPr>
        <w:ind w:right="80" w:firstLine="648"/>
        <w:spacing w:after="0" w:line="296" w:lineRule="auto"/>
        <w:rPr>
          <w:sz w:val="20"/>
          <w:szCs w:val="20"/>
          <w:color w:val="auto"/>
        </w:rPr>
      </w:pPr>
      <w:r>
        <w:rPr>
          <w:rFonts w:ascii="Times New Roman" w:cs="Times New Roman" w:eastAsia="Times New Roman" w:hAnsi="Times New Roman"/>
          <w:sz w:val="17"/>
          <w:szCs w:val="17"/>
          <w:color w:val="auto"/>
        </w:rPr>
        <w:t>The Underwriters’ Option was later exercised in full, and closed on April 2, 2024. We received net proceeds for the exercise of the Underwriters’ Option, after deducting the underwriting discounts and commissions and estimated offering expenses payable by us, of approximately $85.9 million.</w:t>
      </w:r>
    </w:p>
    <w:p>
      <w:pPr>
        <w:spacing w:after="0" w:line="15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intend to use the net proceeds from the 2024 Offering for our commercial activities in connection with the launch of Rezdiffra in the U.S.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177"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Public Offering</w:t>
      </w:r>
    </w:p>
    <w:p>
      <w:pPr>
        <w:spacing w:after="0" w:line="11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On September 28, 2023, we entered into an Underwriting Agreement with Goldman Sachs &amp; Co. LLC, as representative of the several underwriters named therein, pursuant to which we sold to the underwriters in an underwritten public offering (the “2023 Offering”): (i) 1,248,098 shares of common stock at a public offering price of $151.69 per share, and (ii) pre-funded warrants (the “2023 Pre-Funded Warrants”) to purchase 2,048,098 shares of common stock at a public offering price of $151.6899 per 2023 Pre-Funded Warrant, which represents the per share public offering price for the common stock less a $0.0001 per share exercise price for each such 2023 Pre-Funded Warrant. The 2023 Offering closed on October 3, 2023.</w:t>
      </w:r>
    </w:p>
    <w:p>
      <w:pPr>
        <w:spacing w:after="0" w:line="181" w:lineRule="exact"/>
        <w:rPr>
          <w:sz w:val="20"/>
          <w:szCs w:val="20"/>
          <w:color w:val="auto"/>
        </w:rPr>
      </w:pPr>
    </w:p>
    <w:p>
      <w:pPr>
        <w:ind w:right="440" w:firstLine="648"/>
        <w:spacing w:after="0" w:line="246" w:lineRule="auto"/>
        <w:rPr>
          <w:sz w:val="20"/>
          <w:szCs w:val="20"/>
          <w:color w:val="auto"/>
        </w:rPr>
      </w:pPr>
      <w:r>
        <w:rPr>
          <w:rFonts w:ascii="Times New Roman" w:cs="Times New Roman" w:eastAsia="Times New Roman" w:hAnsi="Times New Roman"/>
          <w:sz w:val="18"/>
          <w:szCs w:val="18"/>
          <w:color w:val="auto"/>
        </w:rPr>
        <w:t>The gross proceeds of the 2023 Offering was $500.0 million, and we received net proceeds, after deducting the underwriting discount and commissions and other estimated offering expenses payable by us, of approximately $472.0 million. We intend to use the net proceeds from the 2023 Offering for our clinical and commercial activities for the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spacing w:after="0" w:line="19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2023 Pre-Funded Warrants are exercisable at any time after the date of issuance. A holder of 2023 Pre-Funded Warrants may not exercise the warrant if the holder, together with its affiliates, would beneficially own more than 9.99% of the number of shares of common stock outstanding immediately after giving effect to such exercise. A holder of</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Pre-Funded Warrants may increase or decrease this percentage, but not in excess of 19.99%, by providing at least 61 days prior notice to us.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(in thousands):</w:t>
      </w:r>
    </w:p>
    <w:p>
      <w:pPr>
        <w:spacing w:after="0" w:line="259"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5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1"/>
        </w:trPr>
        <w:tc>
          <w:tcPr>
            <w:tcW w:w="6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(84,067)</w:t>
            </w:r>
          </w:p>
        </w:tc>
      </w:tr>
      <w:tr>
        <w:trPr>
          <w:trHeight w:val="250"/>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(186,864)</w:t>
            </w:r>
          </w:p>
        </w:tc>
      </w:tr>
      <w:tr>
        <w:trPr>
          <w:trHeight w:val="263"/>
        </w:trPr>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573,706</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52,690</w:t>
            </w:r>
          </w:p>
        </w:tc>
      </w:tr>
      <w:tr>
        <w:trPr>
          <w:trHeight w:val="243"/>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522,602</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(218,241)</w:t>
            </w:r>
          </w:p>
        </w:tc>
      </w:tr>
      <w:tr>
        <w:trPr>
          <w:trHeight w:val="27"/>
        </w:trPr>
        <w:tc>
          <w:tcPr>
            <w:tcW w:w="65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was $149.2 million for the three months ended March 31, 2024, compared to $84.1 million for the corresponding period in 2023. The use of cash in these periods resulted primarily from our losses from operations, as adjusted for non-cash charges for stock-based compensation, and changes in our working capital accounts.</w:t>
      </w:r>
    </w:p>
    <w:p>
      <w:pPr>
        <w:spacing w:after="0" w:line="190"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Net cash provided by investing activities was $98.1 million for the three months ended March 31, 2024, compared to $186.9 million used in for the corresponding period in 2023. Net cash provided by investing activities for the three months ended March 31, 2024 primarily consisted of $182.6 million from sales and maturities of marketable securities, partially offset by $84.2 million of purchases of marketable securities for our investment portfolio. Net cash used in investing activities for the corresponding period in 2023 primarily consisted of $198.8 million of purchases of marketable securities for our investment portfolio, partially offset by $12.0 million from sales and maturities of marketable securities.</w:t>
      </w:r>
    </w:p>
    <w:p>
      <w:pPr>
        <w:spacing w:after="0" w:line="18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$573.7 million for the three months ended March 31, 2024, compared to $52.7 million for the corresponding period in 2023. Financing activities for the three months ended March 31, 2024 consisted of $574.0 million of proceeds from our March 2024 public offering. Net cash provided by financing activities for the corresponding period in 2023 consisted primarily of $35.0 million from issuance of the Loan Facility and $17.9 million from proceeds from the exercise of common stock options.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0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August 2023, we entered into the Fifth Amendment to our Office Lease (the “Lease Amendment”). The Lease Amendment extends the term of the lease through November 2026. As a result of the Lease Amendment, an incremental $1.6 million million ROU asset and lease liabilities were recorded during the year ended December 31, 2023.</w:t>
      </w:r>
    </w:p>
    <w:p>
      <w:pPr>
        <w:spacing w:after="0" w:line="16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May 2022 we entered into the $250.0 million Loan Facility. As of March 31, 2024, we had drawn $115.0 million under the facility. We are scheduled to pay interest-only monthly payments of accrued interest under the Loan Facility through May 1, 2026, which period may be extended to May 3, 2027 upon the achievement of future revenue milestones, and subject to compliance with applicable covenants.</w:t>
      </w:r>
    </w:p>
    <w:p>
      <w:pPr>
        <w:spacing w:after="0" w:line="16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a Research, Development and Commercialization Agreement with Hoffmann-La Roche (“Roche”) which grants the Company a sole and exclusive license to develop, use, sell, offer for sale and import any Licensed Product as defined by the agreement. We received FDA approval for Rezdiffra in March 2024. A tiered single-digit royalty is payable to Roche on net sales of Rezdiffra, subject to certain reductions.</w:t>
      </w:r>
    </w:p>
    <w:p>
      <w:pPr>
        <w:spacing w:after="0" w:line="16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Except as noted above and the future minimum payments due on the Loan Facility with Hercules set forth in “Note 7 – Long Term Debt” to the condensed consolidated financial statements included in this Quarterly Report on Form 10-Q, no significant changes to contractual obligations and commitments occurred during the three months ended March 31, 2024, as compared to those disclosed in our Annual Report on Form 10-K for the fiscal year ended December 31, 2023 filed with the SEC on February 28, 2024.</w:t>
      </w: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Our exposure to market risk is confined to our cash, cash equivalents and marketable securities and Loan Facility. We regularly review our investments and monitor the financial markets. We invest in high-quality financial instruments, primarily money market funds, U.S. government and agency securities, government- 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8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In May 2022 we entered into the Loan Facility, which has an interest rate that is linked to the prime rate. We do not believe that we have any material exposure to interest rate risk given the current principal amount of the loan.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 Risk</w:t>
      </w:r>
    </w:p>
    <w:p>
      <w:pPr>
        <w:spacing w:after="0" w:line="1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we have no product revenue and have historically depended on funds raised through other sources. One source of funding is through future debt or equity offerings. Our ability to raise funds in this manner depends upon, among other things, capital market forces affecting our stock price.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do not believe inflation has had a material effect on our business, financial condition or results of operations during three months ended March 31, 2024 and March 31, 2023, respectively.</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360" w:firstLine="648"/>
        <w:spacing w:after="0" w:line="24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of our principal executive officer and principal financial officer, we evaluated the effectiveness of our disclosure controls and procedures as of the end of the period covered by this Report. Based on that</w:t>
      </w:r>
    </w:p>
    <w:p>
      <w:pPr>
        <w:ind w:right="180"/>
        <w:spacing w:after="0" w:line="243" w:lineRule="auto"/>
        <w:rPr>
          <w:sz w:val="20"/>
          <w:szCs w:val="20"/>
          <w:color w:val="auto"/>
        </w:rPr>
      </w:pPr>
      <w:r>
        <w:rPr>
          <w:rFonts w:ascii="Times New Roman" w:cs="Times New Roman" w:eastAsia="Times New Roman" w:hAnsi="Times New Roman"/>
          <w:sz w:val="18"/>
          <w:szCs w:val="18"/>
          <w:color w:val="auto"/>
        </w:rPr>
        <w:t>evaluation, our principal executive officer and principal financial officer have concluded that our disclosure controls and procedures were effective at the reasonable assurance level as of March 31, 2024.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0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party to any material legal proceedings.</w:t>
      </w:r>
    </w:p>
    <w:p>
      <w:pPr>
        <w:spacing w:after="0" w:line="3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Except as set forth below, there have been no material changes to the risk factors included in detail in the “Risk Factors” sections appearing in Part I, Item 1A of our Annual Report on Form 10-K for the year ended December 31, 2023, filed with the SEC on February 28, 2024 (the “Annual Report”)</w:t>
      </w:r>
    </w:p>
    <w:p>
      <w:pPr>
        <w:spacing w:after="0" w:line="10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In order to execute our business plan and achieve profitability, we need to effectively commercialize Rezdiffra, which received FDA approval in March 2024 for the treatment of adults with NASH with moderate to advanced liver fibrosis. We may not be able to meet expectations with respect to sales of Rezdiffra or attain profitability and positive cash-flow from operations.</w:t>
      </w:r>
    </w:p>
    <w:p>
      <w:pPr>
        <w:spacing w:after="0" w:line="171"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7"/>
          <w:szCs w:val="17"/>
          <w:color w:val="auto"/>
        </w:rPr>
        <w:t>Rezdiffra is our only drug that has been approved for sale and it has been approved only for the treatment of adults with noncirrhotic NASH with moderate to advanced liver fibrosis in the United States. We are focusing a significant portion of our activities and resources on Rezdiffra, and we believe</w:t>
      </w:r>
    </w:p>
    <w:p>
      <w:pPr>
        <w:ind w:right="100"/>
        <w:spacing w:after="0" w:line="233" w:lineRule="auto"/>
        <w:rPr>
          <w:sz w:val="20"/>
          <w:szCs w:val="20"/>
          <w:color w:val="auto"/>
        </w:rPr>
      </w:pPr>
      <w:r>
        <w:rPr>
          <w:rFonts w:ascii="Times New Roman" w:cs="Times New Roman" w:eastAsia="Times New Roman" w:hAnsi="Times New Roman"/>
          <w:sz w:val="18"/>
          <w:szCs w:val="18"/>
          <w:color w:val="auto"/>
        </w:rPr>
        <w:t>our prospects are highly dependent on, and a significant portion of the value of our company relates to, our ability to successfully commercialize Rezdiffra for the treatment of adults with NASH with moderate to advanced liver fibrosis in the United States.</w:t>
      </w:r>
    </w:p>
    <w:p>
      <w:pPr>
        <w:spacing w:after="0" w:line="18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Successful commercialization of Rezdiffra is subject to many risks. We have never, as an organization, launched or commercialized any product, and there is no guarantee that we will be able to successfully commercialize Rezdiffra for its approved indication. There are numerous examples of failures to meet high expectations of market potential, including by pharmaceutical companies with more experience and resources than us. We are in the process of building our commercial organization and hiring our U.S. sales force and will need to refine and further develop our commercial organization in order to successfully commercialize Rezdiffra. We expect that the initial commercial success of Rezdiffra for the treatment of NASH will depend on many factors, including the following:</w:t>
      </w:r>
    </w:p>
    <w:p>
      <w:pPr>
        <w:spacing w:after="0" w:line="301" w:lineRule="exact"/>
        <w:rPr>
          <w:sz w:val="20"/>
          <w:szCs w:val="20"/>
          <w:color w:val="auto"/>
        </w:rPr>
      </w:pPr>
    </w:p>
    <w:p>
      <w:pPr>
        <w:ind w:left="1300" w:right="60" w:hanging="320"/>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cost, approved use, and side-effect profile of Rezdiffra regimens relative to competitive treatment regimens for the treatment of NASH;</w:t>
      </w:r>
    </w:p>
    <w:p>
      <w:pPr>
        <w:spacing w:after="0" w:line="54" w:lineRule="exact"/>
        <w:rPr>
          <w:rFonts w:ascii="Times New Roman" w:cs="Times New Roman" w:eastAsia="Times New Roman" w:hAnsi="Times New Roman"/>
          <w:sz w:val="18"/>
          <w:szCs w:val="18"/>
          <w:color w:val="auto"/>
        </w:rPr>
      </w:pPr>
    </w:p>
    <w:p>
      <w:pPr>
        <w:ind w:left="1300" w:right="240" w:hanging="320"/>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Rezdiffra may compete with the off-label use of currently marketed products and other therapies in development that may in the future obtain approval for NASH;</w:t>
      </w:r>
    </w:p>
    <w:p>
      <w:pPr>
        <w:spacing w:after="0" w:line="41" w:lineRule="exact"/>
        <w:rPr>
          <w:rFonts w:ascii="Times New Roman" w:cs="Times New Roman" w:eastAsia="Times New Roman" w:hAnsi="Times New Roman"/>
          <w:sz w:val="18"/>
          <w:szCs w:val="18"/>
          <w:color w:val="auto"/>
        </w:rPr>
      </w:pPr>
    </w:p>
    <w:p>
      <w:pPr>
        <w:ind w:left="1300" w:right="280" w:hanging="320"/>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commercial strategy for the marketing of Rezdiffra, including our pricing strategy and the effectiveness of our efforts to obtain adequate third-party reimbursements;</w:t>
      </w:r>
    </w:p>
    <w:p>
      <w:pPr>
        <w:spacing w:after="0" w:line="54" w:lineRule="exact"/>
        <w:rPr>
          <w:rFonts w:ascii="Times New Roman" w:cs="Times New Roman" w:eastAsia="Times New Roman" w:hAnsi="Times New Roman"/>
          <w:sz w:val="18"/>
          <w:szCs w:val="18"/>
          <w:color w:val="auto"/>
        </w:rPr>
      </w:pPr>
    </w:p>
    <w:p>
      <w:pPr>
        <w:ind w:left="1300" w:right="180" w:hanging="320"/>
        <w:spacing w:after="0" w:line="236"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maintaining and successfully monitoring commercial manufacturing arrangements for Rezdiffra with third-party manufacturers to ensure they meet our standards and those of regulatory authorities, including the FDA, which extensively regulate and monitor pharmaceutical manufacturing facilities;</w:t>
      </w:r>
    </w:p>
    <w:p>
      <w:pPr>
        <w:spacing w:after="0" w:line="64" w:lineRule="exact"/>
        <w:rPr>
          <w:rFonts w:ascii="Times New Roman" w:cs="Times New Roman" w:eastAsia="Times New Roman" w:hAnsi="Times New Roman"/>
          <w:sz w:val="18"/>
          <w:szCs w:val="18"/>
          <w:color w:val="auto"/>
        </w:rPr>
      </w:pPr>
    </w:p>
    <w:p>
      <w:pPr>
        <w:ind w:left="1300" w:right="160" w:hanging="320"/>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enter into any additional commercial, supply and distribution contracts to support commercialization efforts, and to hire and manage additional qualified personnel;</w:t>
      </w:r>
    </w:p>
    <w:p>
      <w:pPr>
        <w:spacing w:after="0" w:line="4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Rezdiffra at acceptable costs;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Rezdiffra by physicians, patients and third-party payors;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compliant with laws and regulations that apply to us and our commercial activities;</w:t>
      </w:r>
    </w:p>
    <w:p>
      <w:pPr>
        <w:spacing w:after="0" w:line="90" w:lineRule="exact"/>
        <w:rPr>
          <w:rFonts w:ascii="Times New Roman" w:cs="Times New Roman" w:eastAsia="Times New Roman" w:hAnsi="Times New Roman"/>
          <w:sz w:val="18"/>
          <w:szCs w:val="18"/>
          <w:color w:val="auto"/>
        </w:rPr>
      </w:pPr>
    </w:p>
    <w:p>
      <w:pPr>
        <w:ind w:left="1300" w:right="60" w:hanging="320"/>
        <w:spacing w:after="0" w:line="266"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market-size, ability to identify targeted patients and the demographics of patients eligible for Rezdiffra, which may be different than what we currently expect;</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side effects, adverse reactions or misuse, or any unfavorable publicity in these areas;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or enforce our patents and other intellectual property rights; and</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or potential health care legislation in the United States.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we believe that Rezdiffra for the treatment of NASH should have a commercially competitive profile, we cannot accurately predict the</w:t>
      </w:r>
    </w:p>
    <w:p>
      <w:pPr>
        <w:spacing w:after="0" w:line="2" w:lineRule="exact"/>
        <w:rPr>
          <w:sz w:val="20"/>
          <w:szCs w:val="20"/>
          <w:color w:val="auto"/>
        </w:rPr>
      </w:pPr>
    </w:p>
    <w:p>
      <w:pPr>
        <w:ind w:right="260"/>
        <w:spacing w:after="0" w:line="211" w:lineRule="auto"/>
        <w:rPr>
          <w:sz w:val="20"/>
          <w:szCs w:val="20"/>
          <w:color w:val="auto"/>
        </w:rPr>
      </w:pPr>
      <w:r>
        <w:rPr>
          <w:rFonts w:ascii="Times New Roman" w:cs="Times New Roman" w:eastAsia="Times New Roman" w:hAnsi="Times New Roman"/>
          <w:sz w:val="18"/>
          <w:szCs w:val="18"/>
          <w:color w:val="auto"/>
        </w:rPr>
        <w:t>amount of time needed to attain a commercially successful profile or the amount of revenue that would be generated from the sale of Rezdiffra. If we do not effectively commercialize Rezdiffra, we will not be able to execute our business plan and may not be able to achieve profitability. If our revenues,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share and/or other indicators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of market acceptance of Rezdiffra do not meet the expectations of investors or public market analysts, the market price of our common stock would likely decline.</w:t>
      </w:r>
    </w:p>
    <w:p>
      <w:pPr>
        <w:spacing w:after="0" w:line="18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Rezdiffra has received accelerated approval from the FDA, and therefore faces future post-approval development and regulatory requirements, which present additional challenges for us to successfully navigate.</w:t>
      </w:r>
    </w:p>
    <w:p>
      <w:pPr>
        <w:spacing w:after="0" w:line="172" w:lineRule="exact"/>
        <w:rPr>
          <w:sz w:val="20"/>
          <w:szCs w:val="20"/>
          <w:color w:val="auto"/>
        </w:rPr>
      </w:pPr>
    </w:p>
    <w:p>
      <w:pPr>
        <w:ind w:firstLine="648"/>
        <w:spacing w:after="0" w:line="223" w:lineRule="auto"/>
        <w:rPr>
          <w:sz w:val="20"/>
          <w:szCs w:val="20"/>
          <w:color w:val="auto"/>
        </w:rPr>
      </w:pPr>
      <w:r>
        <w:rPr>
          <w:rFonts w:ascii="Times New Roman" w:cs="Times New Roman" w:eastAsia="Times New Roman" w:hAnsi="Times New Roman"/>
          <w:sz w:val="18"/>
          <w:szCs w:val="18"/>
          <w:color w:val="auto"/>
        </w:rPr>
        <w:t>The FDA granted accelerated approval of Rezdiffra for the treatment of adults with noncirrhotic NASH with moderate to advanced liver fibrosis in the United States in March 2024. Under the accelerated approval pathway, continued approval may be contingent upon verification of a clinical benefit in confirmatory trials. These post- approval requirements and commitments may not be feasible and/or could impose significant burdens and costs on us; could negatively impact our development, manufacturing and supply of our products; and could negatively impact our financial results. Drugs granted accelerated approval must meet the same statutory standards for safety and effectiveness as those granted traditional approval. Failure to meet post-approval commitments and requirements, including completion of enrollment of—and in particular, any failure to obtain positive data from—any</w:t>
      </w:r>
    </w:p>
    <w:p>
      <w:pPr>
        <w:ind w:right="220"/>
        <w:spacing w:after="0" w:line="223" w:lineRule="auto"/>
        <w:rPr>
          <w:sz w:val="20"/>
          <w:szCs w:val="20"/>
          <w:color w:val="auto"/>
        </w:rPr>
      </w:pPr>
      <w:r>
        <w:rPr>
          <w:rFonts w:ascii="Times New Roman" w:cs="Times New Roman" w:eastAsia="Times New Roman" w:hAnsi="Times New Roman"/>
          <w:sz w:val="17"/>
          <w:szCs w:val="17"/>
          <w:color w:val="auto"/>
        </w:rPr>
        <w:t>confirmatory studies required by the FDA, could result in negative regulatory action from the FDA and/or withdrawal of such accelerated approval. The recently enacted Food and Drug Omnibus Reform Act has expanded FDA’s expedited withdrawal procedures for drugs approved through the accelerated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pathway if a sponsor fails to conduct any required post-approval study with due diligence.</w:t>
      </w:r>
    </w:p>
    <w:p>
      <w:pPr>
        <w:spacing w:after="0" w:line="205"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Unless otherwise informed by the FDA, an applicant must submit to the FDA for consideration during the preapproval review period copies of all promotional materials, including promotional labeling as well as advertisements, intended for dissemination or publication within 120 days following marketing approval. After 120 days following marketing approval, unless otherwise informed by the FDA, the applicant must submit promotional materials at least 30 days prior to the intended time of initial dissemination of the labeling or initial publication of the advertisement. If we or the manufacturing facilities for our products fail to comply with applicable regulatory requirements, the FDA may, among other actions: issue warning letters or untitled letters; seek an injunction or impose civil or criminal penalties or monetary fines; suspend or withdraw or alter the conditions of our marketing approval; suspend any ongoing clinical trials; refuse to approve pending applications or supplements to applications submitted by us; suspend or impose restrictions on operations, including costly new manufacturing requirements; and seize or detain products, refuse to permit the import or export of products or require us to initiate a product recall.</w:t>
      </w:r>
    </w:p>
    <w:p>
      <w:pPr>
        <w:spacing w:after="0" w:line="29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no director or officer of the Company adopted or terminated a “Rule 10b5-1 trading arrangement” or “non-Rule 10b5-1 trading arrangement,” as each term is defined in Item 408(a)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Executive Officer 10b5-1 Plans</w:t>
      </w:r>
    </w:p>
    <w:p>
      <w:pPr>
        <w:spacing w:after="0" w:line="24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Section 16 officers and directors may enter into plans or arrangements for the purchase or sale of our securities that are intended to satisfy the affirmative defense conditions of Rule 10b5-1(c) of the Exchange Act. Such plans and arrangements must comply in all respects with our insider trading policies, including our policy governing entry into and operation of 10b5-1 plans and arrangements.</w:t>
      </w:r>
    </w:p>
    <w:p>
      <w:pPr>
        <w:spacing w:after="0" w:line="204"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As disclosed in our Annual Report on Form 10-K for the fiscal year ended December 31, 2023, certain of our Section 16 officers and directors adopted Rule 10b5-1 trading arrangements (as defined in Item 408 of Regulation S-K of the Exchange Act) during the quarter ended December 31, 2023. In addition to the plans disclosed in our Form 10-K, our director Fred B. Craves, Ph.D. also adopted a Rule 10b5-1 trading arrangement on December 15, 2023 for the sale of up to 52,489 shares of our common stock through August 31, 2024, which arrangement was inadvertently not disclosed in the Form 10-K.</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subject to the current Rule 10b5-1 trading arrangements of our Section 16 officers and directors in place as of May 3, 2024:</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 of Adoption,</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 Shares of</w:t>
            </w:r>
          </w:p>
        </w:tc>
      </w:tr>
      <w:tr>
        <w:trPr>
          <w:trHeight w:val="175"/>
        </w:trPr>
        <w:tc>
          <w:tcPr>
            <w:tcW w:w="22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Name of Director or Section</w:t>
            </w:r>
          </w:p>
        </w:tc>
        <w:tc>
          <w:tcPr>
            <w:tcW w:w="166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Title of Director or</w:t>
            </w:r>
          </w:p>
        </w:tc>
        <w:tc>
          <w:tcPr>
            <w:tcW w:w="16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Modification, or</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Common Stock that may be</w:t>
            </w:r>
          </w:p>
        </w:tc>
      </w:tr>
      <w:tr>
        <w:trPr>
          <w:trHeight w:val="239"/>
        </w:trPr>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16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 16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Termination</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Duration of the Plan</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Sold under the Plan</w:t>
            </w:r>
          </w:p>
        </w:tc>
      </w:tr>
      <w:tr>
        <w:trPr>
          <w:trHeight w:val="236"/>
        </w:trPr>
        <w:tc>
          <w:tcPr>
            <w:tcW w:w="2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Levy, MD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11/30/2023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16, 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r>
      <w:tr>
        <w:trPr>
          <w:trHeight w:val="257"/>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Fred B. Craves, Ph.D.</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12/15/2023</w:t>
            </w:r>
          </w:p>
        </w:tc>
        <w:tc>
          <w:tcPr>
            <w:tcW w:w="80" w:type="dxa"/>
            <w:vAlign w:val="bottom"/>
          </w:tcPr>
          <w:p>
            <w:pPr>
              <w:spacing w:after="0"/>
              <w:rPr>
                <w:sz w:val="22"/>
                <w:szCs w:val="22"/>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31, 2024</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52,489</w:t>
            </w:r>
          </w:p>
        </w:tc>
      </w:tr>
    </w:tbl>
    <w:p>
      <w:pPr>
        <w:spacing w:after="0" w:line="3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08" w:lineRule="exact"/>
        <w:rPr>
          <w:sz w:val="20"/>
          <w:szCs w:val="20"/>
          <w:color w:val="auto"/>
        </w:rPr>
      </w:pPr>
    </w:p>
    <w:p>
      <w:pPr>
        <w:ind w:right="700" w:firstLine="648"/>
        <w:spacing w:after="0" w:line="266"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100" w:type="dxa"/>
            <w:vAlign w:val="bottom"/>
            <w:gridSpan w:val="7"/>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0" w:type="dxa"/>
            <w:vAlign w:val="bottom"/>
          </w:tcPr>
          <w:p>
            <w:pPr>
              <w:spacing w:after="0"/>
              <w:rPr>
                <w:sz w:val="13"/>
                <w:szCs w:val="13"/>
                <w:color w:val="auto"/>
              </w:rPr>
            </w:pPr>
          </w:p>
        </w:tc>
        <w:tc>
          <w:tcPr>
            <w:tcW w:w="27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3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9"/>
        </w:trPr>
        <w:tc>
          <w:tcPr>
            <w:tcW w:w="8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100" w:type="dxa"/>
            <w:vAlign w:val="bottom"/>
            <w:gridSpan w:val="7"/>
            <w:vMerge w:val="continue"/>
          </w:tcPr>
          <w:p>
            <w:pPr>
              <w:spacing w:after="0"/>
              <w:rPr>
                <w:sz w:val="16"/>
                <w:szCs w:val="16"/>
                <w:color w:val="auto"/>
              </w:rPr>
            </w:pPr>
          </w:p>
        </w:tc>
        <w:tc>
          <w:tcPr>
            <w:tcW w:w="80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0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320" w:type="dxa"/>
            <w:vAlign w:val="bottom"/>
          </w:tcPr>
          <w:p>
            <w:pPr>
              <w:jc w:val="right"/>
              <w:ind w:right="142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66"/>
        </w:trPr>
        <w:tc>
          <w:tcPr>
            <w:tcW w:w="860" w:type="dxa"/>
            <w:vAlign w:val="bottom"/>
          </w:tcPr>
          <w:p>
            <w:pPr>
              <w:jc w:val="center"/>
              <w:ind w:right="299"/>
              <w:spacing w:after="0"/>
              <w:rPr>
                <w:sz w:val="20"/>
                <w:szCs w:val="20"/>
                <w:color w:val="auto"/>
              </w:rPr>
            </w:pPr>
            <w:r>
              <w:rPr>
                <w:rFonts w:ascii="Times New Roman" w:cs="Times New Roman" w:eastAsia="Times New Roman" w:hAnsi="Times New Roman"/>
                <w:sz w:val="18"/>
                <w:szCs w:val="18"/>
                <w:color w:val="auto"/>
                <w:w w:val="88"/>
              </w:rPr>
              <w:t>    1.1</w:t>
            </w:r>
          </w:p>
        </w:tc>
        <w:tc>
          <w:tcPr>
            <w:tcW w:w="4100" w:type="dxa"/>
            <w:vAlign w:val="bottom"/>
            <w:gridSpan w:val="7"/>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Underwriting Agreement, dated March 18, 2024, by and</w:t>
              </w:r>
            </w:hyperlink>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08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among Madrigal Pharmaceuticals, Inc. and Goldman</w:t>
              </w:r>
            </w:hyperlink>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60" w:type="dxa"/>
            <w:vAlign w:val="bottom"/>
          </w:tcPr>
          <w:p>
            <w:pPr>
              <w:spacing w:after="0"/>
              <w:rPr>
                <w:sz w:val="13"/>
                <w:szCs w:val="13"/>
                <w:color w:val="auto"/>
              </w:rPr>
            </w:pPr>
          </w:p>
        </w:tc>
        <w:tc>
          <w:tcPr>
            <w:tcW w:w="406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Sachs &amp; Co. LLC, Jefferies LLC, Cowen and Company,</w:t>
              </w:r>
            </w:hyperlink>
          </w:p>
        </w:tc>
        <w:tc>
          <w:tcPr>
            <w:tcW w:w="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410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LLC, Evercore Group L.L.C. and Piper Sandler &amp; Co, as</w:t>
              </w:r>
            </w:hyperlink>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001-33277</w:t>
            </w:r>
          </w:p>
        </w:tc>
        <w:tc>
          <w:tcPr>
            <w:tcW w:w="1500" w:type="dxa"/>
            <w:vAlign w:val="bottom"/>
            <w:vMerge w:val="restart"/>
          </w:tcPr>
          <w:p>
            <w:pPr>
              <w:jc w:val="right"/>
              <w:ind w:right="556"/>
              <w:spacing w:after="0"/>
              <w:rPr>
                <w:sz w:val="20"/>
                <w:szCs w:val="20"/>
                <w:color w:val="auto"/>
              </w:rPr>
            </w:pPr>
            <w:r>
              <w:rPr>
                <w:rFonts w:ascii="Times New Roman" w:cs="Times New Roman" w:eastAsia="Times New Roman" w:hAnsi="Times New Roman"/>
                <w:sz w:val="18"/>
                <w:szCs w:val="18"/>
                <w:color w:val="auto"/>
              </w:rPr>
              <w:t>1.1</w:t>
            </w:r>
          </w:p>
        </w:tc>
        <w:tc>
          <w:tcPr>
            <w:tcW w:w="2320" w:type="dxa"/>
            <w:vAlign w:val="bottom"/>
            <w:vMerge w:val="restart"/>
          </w:tcPr>
          <w:p>
            <w:pPr>
              <w:jc w:val="right"/>
              <w:ind w:right="781"/>
              <w:spacing w:after="0"/>
              <w:rPr>
                <w:sz w:val="20"/>
                <w:szCs w:val="20"/>
                <w:color w:val="auto"/>
              </w:rPr>
            </w:pPr>
            <w:r>
              <w:rPr>
                <w:rFonts w:ascii="Times New Roman" w:cs="Times New Roman" w:eastAsia="Times New Roman" w:hAnsi="Times New Roman"/>
                <w:sz w:val="18"/>
                <w:szCs w:val="18"/>
                <w:color w:val="auto"/>
              </w:rPr>
              <w:t>March 20, 2024</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100" w:type="dxa"/>
            <w:vAlign w:val="bottom"/>
            <w:gridSpan w:val="7"/>
          </w:tcPr>
          <w:p>
            <w:pPr>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representative of the several underwriters.</w:t>
              </w:r>
            </w:hyperlink>
          </w:p>
        </w:tc>
        <w:tc>
          <w:tcPr>
            <w:tcW w:w="8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60" w:type="dxa"/>
            <w:vAlign w:val="bottom"/>
          </w:tcPr>
          <w:p>
            <w:pPr>
              <w:jc w:val="center"/>
              <w:ind w:right="299"/>
              <w:spacing w:after="0"/>
              <w:rPr>
                <w:sz w:val="20"/>
                <w:szCs w:val="20"/>
                <w:color w:val="auto"/>
              </w:rPr>
            </w:pPr>
            <w:r>
              <w:rPr>
                <w:rFonts w:ascii="Times New Roman" w:cs="Times New Roman" w:eastAsia="Times New Roman" w:hAnsi="Times New Roman"/>
                <w:sz w:val="18"/>
                <w:szCs w:val="18"/>
                <w:color w:val="auto"/>
                <w:w w:val="88"/>
              </w:rPr>
              <w:t>    4.1</w:t>
            </w:r>
          </w:p>
        </w:tc>
        <w:tc>
          <w:tcPr>
            <w:tcW w:w="3020" w:type="dxa"/>
            <w:vAlign w:val="bottom"/>
            <w:tcBorders>
              <w:top w:val="single" w:sz="8" w:color="0000FF"/>
            </w:tcBorders>
            <w:gridSpan w:val="3"/>
          </w:tcPr>
          <w:p>
            <w:pPr>
              <w:spacing w:after="0"/>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Form of Pre-Funded Warrant of Madrigal</w:t>
              </w:r>
            </w:hyperlink>
          </w:p>
        </w:tc>
        <w:tc>
          <w:tcPr>
            <w:tcW w:w="1080" w:type="dxa"/>
            <w:vAlign w:val="bottom"/>
            <w:gridSpan w:val="4"/>
          </w:tcPr>
          <w:p>
            <w:pPr>
              <w:spacing w:after="0"/>
              <w:rPr>
                <w:sz w:val="22"/>
                <w:szCs w:val="2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001-33277</w:t>
            </w:r>
          </w:p>
        </w:tc>
        <w:tc>
          <w:tcPr>
            <w:tcW w:w="1500" w:type="dxa"/>
            <w:vAlign w:val="bottom"/>
            <w:vMerge w:val="restart"/>
          </w:tcPr>
          <w:p>
            <w:pPr>
              <w:jc w:val="right"/>
              <w:ind w:right="556"/>
              <w:spacing w:after="0"/>
              <w:rPr>
                <w:sz w:val="20"/>
                <w:szCs w:val="20"/>
                <w:color w:val="auto"/>
              </w:rPr>
            </w:pPr>
            <w:r>
              <w:rPr>
                <w:rFonts w:ascii="Times New Roman" w:cs="Times New Roman" w:eastAsia="Times New Roman" w:hAnsi="Times New Roman"/>
                <w:sz w:val="18"/>
                <w:szCs w:val="18"/>
                <w:color w:val="auto"/>
              </w:rPr>
              <w:t>4.1</w:t>
            </w:r>
          </w:p>
        </w:tc>
        <w:tc>
          <w:tcPr>
            <w:tcW w:w="2320" w:type="dxa"/>
            <w:vAlign w:val="bottom"/>
            <w:vMerge w:val="restart"/>
          </w:tcPr>
          <w:p>
            <w:pPr>
              <w:jc w:val="right"/>
              <w:ind w:right="781"/>
              <w:spacing w:after="0"/>
              <w:rPr>
                <w:sz w:val="20"/>
                <w:szCs w:val="20"/>
                <w:color w:val="auto"/>
              </w:rPr>
            </w:pPr>
            <w:r>
              <w:rPr>
                <w:rFonts w:ascii="Times New Roman" w:cs="Times New Roman" w:eastAsia="Times New Roman" w:hAnsi="Times New Roman"/>
                <w:sz w:val="18"/>
                <w:szCs w:val="18"/>
                <w:color w:val="auto"/>
              </w:rPr>
              <w:t>October 2, 2023</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98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Pharmaceuticals, Inc.</w:t>
              </w:r>
            </w:hyperlink>
          </w:p>
        </w:tc>
        <w:tc>
          <w:tcPr>
            <w:tcW w:w="1120" w:type="dxa"/>
            <w:vAlign w:val="bottom"/>
            <w:gridSpan w:val="5"/>
          </w:tcPr>
          <w:p>
            <w:pPr>
              <w:spacing w:after="0"/>
              <w:rPr>
                <w:sz w:val="14"/>
                <w:szCs w:val="14"/>
                <w:color w:val="auto"/>
              </w:rPr>
            </w:pPr>
          </w:p>
        </w:tc>
        <w:tc>
          <w:tcPr>
            <w:tcW w:w="8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400" w:hanging="95"/>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7"/>
          <w:szCs w:val="17"/>
          <w:u w:val="single" w:color="auto"/>
          <w:color w:val="0000FF"/>
        </w:rPr>
        <w:t>Letter Agreement (including agreements attached as</w:t>
      </w:r>
    </w:p>
    <w:tbl>
      <w:tblPr>
        <w:tblLayout w:type="fixed"/>
        <w:tblInd w:w="1120" w:type="dxa"/>
        <w:tblCellMar>
          <w:top w:w="0" w:type="dxa"/>
          <w:left w:w="0" w:type="dxa"/>
          <w:bottom w:w="0" w:type="dxa"/>
          <w:right w:w="0" w:type="dxa"/>
        </w:tblCellMar>
      </w:tblPr>
      <w:tr>
        <w:trPr>
          <w:trHeight w:val="162"/>
        </w:trPr>
        <w:tc>
          <w:tcPr>
            <w:tcW w:w="6660" w:type="dxa"/>
            <w:vAlign w:val="bottom"/>
          </w:tcPr>
          <w:p>
            <w:pPr>
              <w:spacing w:after="0" w:line="163" w:lineRule="exact"/>
              <w:rPr>
                <w:sz w:val="20"/>
                <w:szCs w:val="20"/>
                <w:color w:val="auto"/>
              </w:rPr>
            </w:pPr>
            <w:r>
              <w:rPr>
                <w:rFonts w:ascii="Times New Roman" w:cs="Times New Roman" w:eastAsia="Times New Roman" w:hAnsi="Times New Roman"/>
                <w:sz w:val="18"/>
                <w:szCs w:val="18"/>
                <w:u w:val="single" w:color="auto"/>
                <w:color w:val="0000FF"/>
              </w:rPr>
              <w:t>exhibits thereto), dated November 5, 2023, by and</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tcPr>
          <w:p>
            <w:pPr>
              <w:spacing w:after="0" w:line="176" w:lineRule="exact"/>
              <w:rPr>
                <w:sz w:val="20"/>
                <w:szCs w:val="20"/>
                <w:color w:val="auto"/>
              </w:rPr>
            </w:pPr>
            <w:r>
              <w:rPr>
                <w:rFonts w:ascii="Times New Roman" w:cs="Times New Roman" w:eastAsia="Times New Roman" w:hAnsi="Times New Roman"/>
                <w:sz w:val="18"/>
                <w:szCs w:val="18"/>
                <w:u w:val="single" w:color="auto"/>
                <w:color w:val="0000FF"/>
              </w:rPr>
              <w:t>between Madrigal Pharmaceuticals, Inc. and Carole</w:t>
            </w:r>
          </w:p>
        </w:tc>
        <w:tc>
          <w:tcPr>
            <w:tcW w:w="3080" w:type="dxa"/>
            <w:vAlign w:val="bottom"/>
            <w:vMerge w:val="restart"/>
          </w:tcPr>
          <w:p>
            <w:pPr>
              <w:ind w:left="29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Huntsman*†</w:t>
            </w:r>
          </w:p>
        </w:tc>
        <w:tc>
          <w:tcPr>
            <w:tcW w:w="3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0" w:hanging="95"/>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7"/>
          <w:szCs w:val="17"/>
          <w:color w:val="0000FF"/>
        </w:rPr>
        <w:t>Letter Agreement (including agreements attached as</w:t>
      </w:r>
    </w:p>
    <w:tbl>
      <w:tblPr>
        <w:tblLayout w:type="fixed"/>
        <w:tblInd w:w="360" w:type="dxa"/>
        <w:tblCellMar>
          <w:top w:w="0" w:type="dxa"/>
          <w:left w:w="0" w:type="dxa"/>
          <w:bottom w:w="0" w:type="dxa"/>
          <w:right w:w="0" w:type="dxa"/>
        </w:tblCellMar>
      </w:tblPr>
      <w:tr>
        <w:trPr>
          <w:trHeight w:val="169"/>
        </w:trPr>
        <w:tc>
          <w:tcPr>
            <w:tcW w:w="760" w:type="dxa"/>
            <w:vAlign w:val="bottom"/>
          </w:tcPr>
          <w:p>
            <w:pPr>
              <w:spacing w:after="0"/>
              <w:rPr>
                <w:sz w:val="14"/>
                <w:szCs w:val="14"/>
                <w:color w:val="auto"/>
              </w:rPr>
            </w:pPr>
          </w:p>
        </w:tc>
        <w:tc>
          <w:tcPr>
            <w:tcW w:w="37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exhibits thereto), dated February 25, 2024, by and</w:t>
            </w:r>
          </w:p>
        </w:tc>
        <w:tc>
          <w:tcPr>
            <w:tcW w:w="5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7"/>
              </w:rPr>
              <w:t>between Madrigal Pharmaceuticals, Inc. and Mardi</w:t>
            </w:r>
          </w:p>
        </w:tc>
        <w:tc>
          <w:tcPr>
            <w:tcW w:w="8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980" w:type="dxa"/>
            <w:vAlign w:val="bottom"/>
            <w:vMerge w:val="restart"/>
          </w:tcPr>
          <w:p>
            <w:pPr>
              <w:ind w:left="5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5"/>
              </w:rPr>
              <w:t>Dier*†</w:t>
            </w:r>
          </w:p>
        </w:tc>
        <w:tc>
          <w:tcPr>
            <w:tcW w:w="31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10.3</w:t>
            </w:r>
          </w:p>
        </w:tc>
        <w:tc>
          <w:tcPr>
            <w:tcW w:w="3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Supplemental Compensation Recovery Policy.</w:t>
            </w:r>
          </w:p>
        </w:tc>
        <w:tc>
          <w:tcPr>
            <w:tcW w:w="5980" w:type="dxa"/>
            <w:vAlign w:val="bottom"/>
          </w:tcPr>
          <w:p>
            <w:pPr>
              <w:ind w:left="5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400" w:hanging="9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8"/>
          <w:szCs w:val="18"/>
          <w:u w:val="single" w:color="auto"/>
          <w:color w:val="0000FF"/>
        </w:rPr>
        <w:t>Certification of Principal Executive Officer pursuant to</w:t>
      </w:r>
    </w:p>
    <w:tbl>
      <w:tblPr>
        <w:tblLayout w:type="fixed"/>
        <w:tblInd w:w="1120" w:type="dxa"/>
        <w:tblCellMar>
          <w:top w:w="0" w:type="dxa"/>
          <w:left w:w="0" w:type="dxa"/>
          <w:bottom w:w="0" w:type="dxa"/>
          <w:right w:w="0" w:type="dxa"/>
        </w:tblCellMar>
      </w:tblPr>
      <w:tr>
        <w:trPr>
          <w:trHeight w:val="162"/>
        </w:trPr>
        <w:tc>
          <w:tcPr>
            <w:tcW w:w="6760" w:type="dxa"/>
            <w:vAlign w:val="bottom"/>
          </w:tcPr>
          <w:p>
            <w:pPr>
              <w:spacing w:after="0" w:line="163" w:lineRule="exact"/>
              <w:rPr>
                <w:sz w:val="20"/>
                <w:szCs w:val="20"/>
                <w:color w:val="auto"/>
              </w:rPr>
            </w:pPr>
            <w:r>
              <w:rPr>
                <w:rFonts w:ascii="Times New Roman" w:cs="Times New Roman" w:eastAsia="Times New Roman" w:hAnsi="Times New Roman"/>
                <w:sz w:val="18"/>
                <w:szCs w:val="18"/>
                <w:u w:val="single" w:color="auto"/>
                <w:color w:val="0000FF"/>
              </w:rPr>
              <w:t>Rule 13a-14(a) or Rule 15d-14(a) of the Securities</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line="176" w:lineRule="exact"/>
              <w:rPr>
                <w:sz w:val="20"/>
                <w:szCs w:val="20"/>
                <w:color w:val="auto"/>
              </w:rPr>
            </w:pPr>
            <w:r>
              <w:rPr>
                <w:rFonts w:ascii="Times New Roman" w:cs="Times New Roman" w:eastAsia="Times New Roman" w:hAnsi="Times New Roman"/>
                <w:sz w:val="18"/>
                <w:szCs w:val="18"/>
                <w:u w:val="single" w:color="auto"/>
                <w:color w:val="0000FF"/>
              </w:rPr>
              <w:t>Exchange Act of 1934, as adopted pursuant to Section</w:t>
            </w:r>
          </w:p>
        </w:tc>
        <w:tc>
          <w:tcPr>
            <w:tcW w:w="2980" w:type="dxa"/>
            <w:vAlign w:val="bottom"/>
            <w:vMerge w:val="restart"/>
          </w:tcPr>
          <w:p>
            <w:pPr>
              <w:ind w:left="2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302 of the Sarbanes-Oxley Act of 2002.</w:t>
            </w:r>
          </w:p>
        </w:tc>
        <w:tc>
          <w:tcPr>
            <w:tcW w:w="2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00" w:hanging="95"/>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7"/>
          <w:szCs w:val="17"/>
          <w:u w:val="single" w:color="auto"/>
          <w:color w:val="0000FF"/>
        </w:rPr>
        <w:t>Certification of Principal Financial Officer pursuant to</w:t>
      </w:r>
    </w:p>
    <w:tbl>
      <w:tblPr>
        <w:tblLayout w:type="fixed"/>
        <w:tblInd w:w="1120" w:type="dxa"/>
        <w:tblCellMar>
          <w:top w:w="0" w:type="dxa"/>
          <w:left w:w="0" w:type="dxa"/>
          <w:bottom w:w="0" w:type="dxa"/>
          <w:right w:w="0" w:type="dxa"/>
        </w:tblCellMar>
      </w:tblPr>
      <w:tr>
        <w:trPr>
          <w:trHeight w:val="162"/>
        </w:trPr>
        <w:tc>
          <w:tcPr>
            <w:tcW w:w="6760" w:type="dxa"/>
            <w:vAlign w:val="bottom"/>
          </w:tcPr>
          <w:p>
            <w:pPr>
              <w:spacing w:after="0" w:line="163" w:lineRule="exact"/>
              <w:rPr>
                <w:sz w:val="20"/>
                <w:szCs w:val="20"/>
                <w:color w:val="auto"/>
              </w:rPr>
            </w:pPr>
            <w:r>
              <w:rPr>
                <w:rFonts w:ascii="Times New Roman" w:cs="Times New Roman" w:eastAsia="Times New Roman" w:hAnsi="Times New Roman"/>
                <w:sz w:val="18"/>
                <w:szCs w:val="18"/>
                <w:u w:val="single" w:color="auto"/>
                <w:color w:val="0000FF"/>
              </w:rPr>
              <w:t>Rule 13a-14(a) or Rule 15d-14(a) of the Securities</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line="176" w:lineRule="exact"/>
              <w:rPr>
                <w:sz w:val="20"/>
                <w:szCs w:val="20"/>
                <w:color w:val="auto"/>
              </w:rPr>
            </w:pPr>
            <w:r>
              <w:rPr>
                <w:rFonts w:ascii="Times New Roman" w:cs="Times New Roman" w:eastAsia="Times New Roman" w:hAnsi="Times New Roman"/>
                <w:sz w:val="18"/>
                <w:szCs w:val="18"/>
                <w:u w:val="single" w:color="auto"/>
                <w:color w:val="0000FF"/>
              </w:rPr>
              <w:t>Exchange Act of 1934, as adopted pursuant to Section</w:t>
            </w:r>
          </w:p>
        </w:tc>
        <w:tc>
          <w:tcPr>
            <w:tcW w:w="2980" w:type="dxa"/>
            <w:vAlign w:val="bottom"/>
            <w:vMerge w:val="restart"/>
          </w:tcPr>
          <w:p>
            <w:pPr>
              <w:ind w:left="2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302 of the Sarbanes-Oxley Act of 2002.</w:t>
            </w:r>
          </w:p>
        </w:tc>
        <w:tc>
          <w:tcPr>
            <w:tcW w:w="2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00" w:hanging="85"/>
        <w:spacing w:after="0"/>
        <w:tabs>
          <w:tab w:leader="none" w:pos="3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color w:val="0000FF"/>
        </w:rPr>
        <w:t>Certifications of Principal Executive Officer and</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20"/>
        </w:trPr>
        <w:tc>
          <w:tcPr>
            <w:tcW w:w="9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40" w:type="dxa"/>
            <w:vAlign w:val="bottom"/>
          </w:tcPr>
          <w:p>
            <w:pPr>
              <w:spacing w:after="0"/>
              <w:rPr>
                <w:sz w:val="12"/>
                <w:szCs w:val="12"/>
                <w:color w:val="auto"/>
              </w:rPr>
            </w:pPr>
          </w:p>
        </w:tc>
        <w:tc>
          <w:tcPr>
            <w:tcW w:w="6860" w:type="dxa"/>
            <w:vAlign w:val="bottom"/>
            <w:gridSpan w:val="5"/>
          </w:tcPr>
          <w:p>
            <w:pPr>
              <w:spacing w:after="0" w:line="149" w:lineRule="exact"/>
              <w:rPr>
                <w:sz w:val="20"/>
                <w:szCs w:val="20"/>
                <w:color w:val="auto"/>
              </w:rPr>
            </w:pPr>
            <w:r>
              <w:rPr>
                <w:rFonts w:ascii="Times New Roman" w:cs="Times New Roman" w:eastAsia="Times New Roman" w:hAnsi="Times New Roman"/>
                <w:sz w:val="17"/>
                <w:szCs w:val="17"/>
                <w:color w:val="0000FF"/>
              </w:rPr>
              <w:t>Principal Financial Officer, pursuant to 18 U.S.C.</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56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w:t>
            </w:r>
          </w:p>
        </w:tc>
        <w:tc>
          <w:tcPr>
            <w:tcW w:w="330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8"/>
                <w:szCs w:val="18"/>
                <w:color w:val="0000FF"/>
              </w:rPr>
              <w:t>of the</w:t>
            </w:r>
          </w:p>
        </w:tc>
        <w:tc>
          <w:tcPr>
            <w:tcW w:w="2880" w:type="dxa"/>
            <w:vAlign w:val="bottom"/>
            <w:vMerge w:val="restart"/>
          </w:tcPr>
          <w:p>
            <w:pPr>
              <w:ind w:left="27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900" w:type="dxa"/>
            <w:vAlign w:val="bottom"/>
            <w:tcBorders>
              <w:top w:val="single" w:sz="8" w:color="0000FF"/>
            </w:tcBorders>
            <w:gridSpan w:val="3"/>
          </w:tcPr>
          <w:p>
            <w:pPr>
              <w:spacing w:after="0"/>
              <w:rPr>
                <w:sz w:val="13"/>
                <w:szCs w:val="13"/>
                <w:color w:val="auto"/>
              </w:rPr>
            </w:pPr>
          </w:p>
        </w:tc>
        <w:tc>
          <w:tcPr>
            <w:tcW w:w="286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880" w:type="dxa"/>
            <w:vAlign w:val="bottom"/>
          </w:tcPr>
          <w:p>
            <w:pPr>
              <w:ind w:left="27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880" w:type="dxa"/>
            <w:vAlign w:val="bottom"/>
          </w:tcPr>
          <w:p>
            <w:pPr>
              <w:ind w:left="27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2880" w:type="dxa"/>
            <w:vAlign w:val="bottom"/>
          </w:tcPr>
          <w:p>
            <w:pPr>
              <w:ind w:left="27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2880" w:type="dxa"/>
            <w:vAlign w:val="bottom"/>
          </w:tcPr>
          <w:p>
            <w:pPr>
              <w:ind w:left="27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880" w:type="dxa"/>
            <w:vAlign w:val="bottom"/>
          </w:tcPr>
          <w:p>
            <w:pPr>
              <w:ind w:left="27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2880" w:type="dxa"/>
            <w:vAlign w:val="bottom"/>
          </w:tcPr>
          <w:p>
            <w:pPr>
              <w:ind w:left="27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120" w:right="5900" w:hanging="748"/>
        <w:spacing w:after="0" w:line="231" w:lineRule="auto"/>
        <w:tabs>
          <w:tab w:leader="none" w:pos="11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exhibit have been omitted pursuant to Item 601(b)(10)(iv) of Regulation 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hanging="332"/>
        <w:spacing w:after="0" w:line="268" w:lineRule="auto"/>
        <w:tabs>
          <w:tab w:leader="none" w:pos="33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w:t>
      </w:r>
    </w:p>
    <w:p>
      <w:pPr>
        <w:ind w:left="340" w:right="200"/>
        <w:spacing w:after="0" w:line="235" w:lineRule="auto"/>
        <w:rPr>
          <w:sz w:val="20"/>
          <w:szCs w:val="20"/>
          <w:color w:val="auto"/>
        </w:rPr>
      </w:pPr>
      <w:r>
        <w:rPr>
          <w:rFonts w:ascii="Times New Roman" w:cs="Times New Roman" w:eastAsia="Times New Roman" w:hAnsi="Times New Roman"/>
          <w:sz w:val="18"/>
          <w:szCs w:val="18"/>
          <w:color w:val="auto"/>
        </w:rPr>
        <w:t>incorporated by reference into any of the registrant’s filings under the Securities Act or the Exchange Act, irrespective of any general incorporation language contained in any such filing.</w:t>
      </w:r>
    </w:p>
    <w:p>
      <w:pPr>
        <w:spacing w:after="0" w:line="1"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compensatory plan or arrangement.</w:t>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7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MADRIGAL PHARMACEUTICALS, INC.</w:t>
            </w:r>
          </w:p>
        </w:tc>
      </w:tr>
      <w:tr>
        <w:trPr>
          <w:trHeight w:val="53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Sibold</w:t>
            </w:r>
          </w:p>
        </w:tc>
      </w:tr>
      <w:tr>
        <w:trPr>
          <w:trHeight w:val="243"/>
        </w:trPr>
        <w:tc>
          <w:tcPr>
            <w:tcW w:w="34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Sibold</w:t>
            </w:r>
          </w:p>
        </w:tc>
      </w:tr>
      <w:tr>
        <w:trPr>
          <w:trHeight w:val="256"/>
        </w:trPr>
        <w:tc>
          <w:tcPr>
            <w:tcW w:w="34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34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Mardi C. Dier</w:t>
            </w:r>
          </w:p>
        </w:tc>
      </w:tr>
      <w:tr>
        <w:trPr>
          <w:trHeight w:val="243"/>
        </w:trPr>
        <w:tc>
          <w:tcPr>
            <w:tcW w:w="34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Mardi C. Dier</w:t>
            </w:r>
          </w:p>
        </w:tc>
      </w:tr>
      <w:tr>
        <w:trPr>
          <w:trHeight w:val="257"/>
        </w:trPr>
        <w:tc>
          <w:tcPr>
            <w:tcW w:w="34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56"/>
        </w:trPr>
        <w:tc>
          <w:tcPr>
            <w:tcW w:w="34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18"/>
        </w:trPr>
        <w:tc>
          <w:tcPr>
            <w:tcW w:w="3440" w:type="dxa"/>
            <w:vAlign w:val="bottom"/>
          </w:tcPr>
          <w:p>
            <w:pPr>
              <w:spacing w:after="0"/>
              <w:rPr>
                <w:sz w:val="24"/>
                <w:szCs w:val="24"/>
                <w:color w:val="auto"/>
              </w:rPr>
            </w:pPr>
          </w:p>
        </w:tc>
        <w:tc>
          <w:tcPr>
            <w:tcW w:w="2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36</w:t>
            </w:r>
          </w:p>
        </w:tc>
        <w:tc>
          <w:tcPr>
            <w:tcW w:w="502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IN THIS EXHIBIT HAS BEEN OMITTED AND REPLACED WITH “[***]” BECAUSE IT IS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623185" cy="677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62318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496B0"/>
        </w:rPr>
        <w:t>Four Tower Bridge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496B0"/>
        </w:rPr>
        <w:t>200 Barr Harbor Drive, Suite 200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496B0"/>
        </w:rPr>
        <w:t>West Conshohocken, PA 19428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November 6,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Carole Huntsman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personally identifiable information</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Carole:</w:t>
      </w:r>
    </w:p>
    <w:p>
      <w:pPr>
        <w:spacing w:after="0" w:line="2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 xml:space="preserve">I am pleased to offer you the position of </w:t>
      </w:r>
      <w:r>
        <w:rPr>
          <w:rFonts w:ascii="Times New Roman" w:cs="Times New Roman" w:eastAsia="Times New Roman" w:hAnsi="Times New Roman"/>
          <w:sz w:val="21"/>
          <w:szCs w:val="21"/>
          <w:b w:val="1"/>
          <w:bCs w:val="1"/>
          <w:color w:val="auto"/>
        </w:rPr>
        <w:t>Chief Commercial Officer, SVP</w:t>
      </w:r>
      <w:r>
        <w:rPr>
          <w:rFonts w:ascii="Times New Roman" w:cs="Times New Roman" w:eastAsia="Times New Roman" w:hAnsi="Times New Roman"/>
          <w:sz w:val="21"/>
          <w:szCs w:val="21"/>
          <w:color w:val="auto"/>
        </w:rPr>
        <w:t xml:space="preserve"> for Madrigal Pharmaceuticals, Inc. (hereinafter “</w:t>
      </w:r>
      <w:r>
        <w:rPr>
          <w:rFonts w:ascii="Times New Roman" w:cs="Times New Roman" w:eastAsia="Times New Roman" w:hAnsi="Times New Roman"/>
          <w:sz w:val="21"/>
          <w:szCs w:val="21"/>
          <w:b w:val="1"/>
          <w:bCs w:val="1"/>
          <w:color w:val="auto"/>
        </w:rPr>
        <w:t>Madrigal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Pharmaceuticals</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reporting to Bill Sibold.</w:t>
      </w:r>
    </w:p>
    <w:p>
      <w:pPr>
        <w:spacing w:after="0" w:line="184"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effective date of your employment will be November 20, 2023.</w:t>
      </w:r>
    </w:p>
    <w:p>
      <w:pPr>
        <w:spacing w:after="0" w:line="258"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p>
    <w:p>
      <w:pPr>
        <w:spacing w:after="0" w:line="244" w:lineRule="exact"/>
        <w:rPr>
          <w:rFonts w:ascii="Times New Roman" w:cs="Times New Roman" w:eastAsia="Times New Roman" w:hAnsi="Times New Roman"/>
          <w:sz w:val="21"/>
          <w:szCs w:val="21"/>
          <w:color w:val="auto"/>
        </w:rPr>
      </w:pPr>
    </w:p>
    <w:p>
      <w:pPr>
        <w:ind w:left="660" w:hanging="328"/>
        <w:spacing w:after="0" w:line="283" w:lineRule="auto"/>
        <w:tabs>
          <w:tab w:leader="none" w:pos="655"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Your initial base salary will be payable at a semi-monthly rate of $21,875 ($525,000 annualized), from which all applicable taxes and other customary employment-related deductions will be taken.</w:t>
      </w:r>
    </w:p>
    <w:p>
      <w:pPr>
        <w:spacing w:after="0" w:line="173" w:lineRule="exact"/>
        <w:rPr>
          <w:rFonts w:ascii="Times New Roman" w:cs="Times New Roman" w:eastAsia="Times New Roman" w:hAnsi="Times New Roman"/>
          <w:sz w:val="21"/>
          <w:szCs w:val="21"/>
          <w:color w:val="auto"/>
        </w:rPr>
      </w:pPr>
    </w:p>
    <w:p>
      <w:pPr>
        <w:jc w:val="both"/>
        <w:ind w:left="660" w:hanging="328"/>
        <w:spacing w:after="0" w:line="252" w:lineRule="auto"/>
        <w:tabs>
          <w:tab w:leader="none" w:pos="653"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xml:space="preserve">: You will be eligible to receive an annual performance-based bonus for the 2023-year contingent upon the Company fully meeting or exceeding expectations, as determined at the discretion of the Company’s Compensation Committee, and your satisfaction of individual performance standards and expectations, as determined by your business unit leadership. Subject to these considerations, your 2023 bonus opportunity will be up to 40% bonus target of your annualized salary with the Company for the 2023 year, as described above in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of this offer letter and prorated from your date of hire. Your future annual bonus opportunity, as applicable for 2024, will be communicated during the first quarter of 2024.</w:t>
      </w:r>
    </w:p>
    <w:p>
      <w:pPr>
        <w:spacing w:after="0" w:line="206" w:lineRule="exact"/>
        <w:rPr>
          <w:rFonts w:ascii="Times New Roman" w:cs="Times New Roman" w:eastAsia="Times New Roman" w:hAnsi="Times New Roman"/>
          <w:sz w:val="21"/>
          <w:szCs w:val="21"/>
          <w:color w:val="auto"/>
        </w:rPr>
      </w:pPr>
    </w:p>
    <w:p>
      <w:pPr>
        <w:jc w:val="both"/>
        <w:ind w:left="340" w:hanging="332"/>
        <w:spacing w:after="0" w:line="255" w:lineRule="auto"/>
        <w:tabs>
          <w:tab w:leader="none" w:pos="33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Options and RSUs:</w:t>
      </w:r>
      <w:r>
        <w:rPr>
          <w:rFonts w:ascii="Times New Roman" w:cs="Times New Roman" w:eastAsia="Times New Roman" w:hAnsi="Times New Roman"/>
          <w:sz w:val="21"/>
          <w:szCs w:val="21"/>
          <w:color w:val="auto"/>
        </w:rPr>
        <w:t xml:space="preserve"> Subject to the approval of the Company’s Compensation Committee (the “Committee”), you will be granted as soon as practicable by the Committee after your start date equity awards with an aggregate value of $2,500,000 (your “Hire Award”). Your Hire Award will be composed of 40% RSUs and 60% non-qualified stock options, subject to the terms and conditions of the Madrigal Pharmaceuticals, Inc. 2023 Inducement Plan (the “Plan”),</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21"/>
          <w:szCs w:val="21"/>
          <w:color w:val="auto"/>
        </w:rPr>
        <w:t>Company Plan grant policies and practices, and related award agreements, which will be provided after your start date. Your Hire Award will be valued and the number of shares subject to your Hire Award will be set based on Plan grant practices based on an average closing price of Company common stock used for awards around the date you commence employment. Your Hire Award will be subject to the following vesting schedule conditions being met over four years (subject to your continued employment with the Company on such vesting dates): 25% will vest on each of the first, second, third, and fourth year anniversaries of your Hire Award grant date; these RSU awards will contain a “sell-to-cover” automatic market sale of shares to cover Federal and State tax withholding requirements arising on each vesting date. Future annual equity awards will be made in the discretion of the Company’s Compensation Committee, subject to the Company’s grant policies and the terms and conditions of the applicable Company equity plan and related award agreements.</w:t>
      </w:r>
    </w:p>
    <w:p>
      <w:pPr>
        <w:spacing w:after="0" w:line="220" w:lineRule="exact"/>
        <w:rPr>
          <w:sz w:val="20"/>
          <w:szCs w:val="20"/>
          <w:color w:val="auto"/>
        </w:rPr>
      </w:pPr>
    </w:p>
    <w:p>
      <w:pPr>
        <w:jc w:val="both"/>
        <w:ind w:left="340" w:hanging="332"/>
        <w:spacing w:after="0" w:line="272" w:lineRule="auto"/>
        <w:tabs>
          <w:tab w:leader="none" w:pos="33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As a full-time employee, you will be eligible to participate in certain Company-sponsored health and welfare and 401(k) benefit plans to the same extent as, and subject to the same terms, conditions, and limitations applicable to other employees of the Company of similar rank and tenure. All such benefits may be changed or modified from time to time at the Company’s sole discretion. You will be covered from the first day of employment and enrollment take place within your first 30-days of hire.</w:t>
      </w:r>
    </w:p>
    <w:p>
      <w:pPr>
        <w:spacing w:after="0" w:line="185" w:lineRule="exact"/>
        <w:rPr>
          <w:rFonts w:ascii="Times New Roman" w:cs="Times New Roman" w:eastAsia="Times New Roman" w:hAnsi="Times New Roman"/>
          <w:sz w:val="20"/>
          <w:szCs w:val="20"/>
          <w:color w:val="auto"/>
        </w:rPr>
      </w:pPr>
    </w:p>
    <w:p>
      <w:pPr>
        <w:jc w:val="both"/>
        <w:ind w:left="340" w:hanging="332"/>
        <w:spacing w:after="0" w:line="262" w:lineRule="auto"/>
        <w:tabs>
          <w:tab w:leader="none" w:pos="33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Paid Time-Off</w:t>
      </w:r>
      <w:r>
        <w:rPr>
          <w:rFonts w:ascii="Times New Roman" w:cs="Times New Roman" w:eastAsia="Times New Roman" w:hAnsi="Times New Roman"/>
          <w:sz w:val="21"/>
          <w:szCs w:val="21"/>
          <w:color w:val="auto"/>
        </w:rPr>
        <w:t>: You will be eligible for Madrigal paid holidays and 152 hours (19 days) of paid time off, prorated in the first partial year of employment, in accordance with the applicable policy guidelines. You will be eligible for 40 hours (5 days) of sick time which is not prorated.</w:t>
      </w:r>
    </w:p>
    <w:p>
      <w:pPr>
        <w:spacing w:after="0" w:line="194" w:lineRule="exact"/>
        <w:rPr>
          <w:rFonts w:ascii="Times New Roman" w:cs="Times New Roman" w:eastAsia="Times New Roman" w:hAnsi="Times New Roman"/>
          <w:sz w:val="21"/>
          <w:szCs w:val="21"/>
          <w:color w:val="auto"/>
        </w:rPr>
      </w:pPr>
    </w:p>
    <w:p>
      <w:pPr>
        <w:jc w:val="both"/>
        <w:ind w:left="340" w:hanging="332"/>
        <w:spacing w:after="0" w:line="262" w:lineRule="auto"/>
        <w:tabs>
          <w:tab w:leader="none" w:pos="33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Period</w:t>
      </w:r>
      <w:r>
        <w:rPr>
          <w:rFonts w:ascii="Times New Roman" w:cs="Times New Roman" w:eastAsia="Times New Roman" w:hAnsi="Times New Roman"/>
          <w:sz w:val="21"/>
          <w:szCs w:val="21"/>
          <w:color w:val="auto"/>
        </w:rPr>
        <w:t>: Your employment with the Company will be at will, meaning that you will not be obligated to remain employed by the Company for any specified period of time. The Company will not be obligated to continue your employment for any specific period and may terminate your employment at any time, with or without cause.</w:t>
      </w:r>
    </w:p>
    <w:p>
      <w:pPr>
        <w:spacing w:after="0" w:line="194" w:lineRule="exact"/>
        <w:rPr>
          <w:rFonts w:ascii="Times New Roman" w:cs="Times New Roman" w:eastAsia="Times New Roman" w:hAnsi="Times New Roman"/>
          <w:sz w:val="21"/>
          <w:szCs w:val="21"/>
          <w:color w:val="auto"/>
        </w:rPr>
      </w:pPr>
    </w:p>
    <w:p>
      <w:pPr>
        <w:ind w:left="340" w:hanging="332"/>
        <w:spacing w:after="0" w:line="283" w:lineRule="auto"/>
        <w:tabs>
          <w:tab w:leader="none" w:pos="33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Training</w:t>
      </w:r>
      <w:r>
        <w:rPr>
          <w:rFonts w:ascii="Times New Roman" w:cs="Times New Roman" w:eastAsia="Times New Roman" w:hAnsi="Times New Roman"/>
          <w:sz w:val="21"/>
          <w:szCs w:val="21"/>
          <w:color w:val="auto"/>
        </w:rPr>
        <w:t>: Employment is subject to successful completion of periodic training and testing (at least annually) regarding product knowledge, disease awareness, and other core job competencies is a continuing requirement for this role.</w:t>
      </w:r>
    </w:p>
    <w:p>
      <w:pPr>
        <w:spacing w:after="0" w:line="173" w:lineRule="exact"/>
        <w:rPr>
          <w:rFonts w:ascii="Times New Roman" w:cs="Times New Roman" w:eastAsia="Times New Roman" w:hAnsi="Times New Roman"/>
          <w:sz w:val="21"/>
          <w:szCs w:val="21"/>
          <w:color w:val="auto"/>
        </w:rPr>
      </w:pPr>
    </w:p>
    <w:p>
      <w:pPr>
        <w:jc w:val="both"/>
        <w:ind w:left="340" w:hanging="332"/>
        <w:spacing w:after="0" w:line="262" w:lineRule="auto"/>
        <w:tabs>
          <w:tab w:leader="none" w:pos="33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As a condition to the Company’s willingness to extend you this offer of employment subject to its terms and conditions, you represented orally to (and by signing below you hereby represent to and agree in writing with) the Company, as follows: (a) you are not subject to any agreement, arrangement or obligation that would prohibit, restrict or limit your ability to fully perform services as a </w:t>
      </w:r>
      <w:r>
        <w:rPr>
          <w:rFonts w:ascii="Times New Roman" w:cs="Times New Roman" w:eastAsia="Times New Roman" w:hAnsi="Times New Roman"/>
          <w:sz w:val="20"/>
          <w:szCs w:val="20"/>
          <w:b w:val="1"/>
          <w:bCs w:val="1"/>
          <w:color w:val="auto"/>
        </w:rPr>
        <w:t>Chief Commercial Officer, SVP</w:t>
      </w:r>
      <w:r>
        <w:rPr>
          <w:rFonts w:ascii="Times New Roman" w:cs="Times New Roman" w:eastAsia="Times New Roman" w:hAnsi="Times New Roman"/>
          <w:sz w:val="20"/>
          <w:szCs w:val="20"/>
          <w:color w:val="auto"/>
        </w:rPr>
        <w:t xml:space="preserve"> or employee of the Company; (b) you will abide by all covenants, policies and restrictions (including but not limited to those related to confidentiality and non-solicitation) of your prior employers or entities for which you served as an employee and/or independent contractor; (c) you will not disclose to the Company any confidential or proprietary information of any other entity or prior employer nor will you use any such information at any time while employed by the Company; and (d) you agree that in the event of any challenge or litigation concerning clauses (a) (b) and/or</w:t>
      </w:r>
    </w:p>
    <w:p>
      <w:pPr>
        <w:jc w:val="both"/>
        <w:ind w:left="34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 immediately above, the Company has no obligation to assist you in the defense of such challenge or litigation and the Company has no compensation or payment obligation to you, unless and until such matters have been resolved to the satisfaction of the Company.</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340" w:hanging="332"/>
        <w:spacing w:after="0" w:line="271" w:lineRule="auto"/>
        <w:tabs>
          <w:tab w:leader="none" w:pos="33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Contingencies</w:t>
      </w:r>
      <w:r>
        <w:rPr>
          <w:rFonts w:ascii="Times New Roman" w:cs="Times New Roman" w:eastAsia="Times New Roman" w:hAnsi="Times New Roman"/>
          <w:sz w:val="20"/>
          <w:szCs w:val="20"/>
          <w:color w:val="auto"/>
        </w:rPr>
        <w:t xml:space="preserve">: Our employment offer to you is contingent upon (1) your execution of the standard form of Non-Competition, Confidentiality, and Inventions Agreement (a copy of which is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(2) your ability, as required under federal law, to establish your employment eligibility as a U.S. citizen, a lawful permanent resident of the U.S. or an individual specifically authorized for employment by the Immigration and Naturalization Service; and (3) completion of a satisfactory background check and drug screening. If any of the foregoing conditions are not met, this employment offer shall be null and void.</w:t>
      </w:r>
    </w:p>
    <w:p>
      <w:pPr>
        <w:spacing w:after="0" w:line="192" w:lineRule="exact"/>
        <w:rPr>
          <w:rFonts w:ascii="Times New Roman" w:cs="Times New Roman" w:eastAsia="Times New Roman" w:hAnsi="Times New Roman"/>
          <w:sz w:val="20"/>
          <w:szCs w:val="20"/>
          <w:color w:val="auto"/>
        </w:rPr>
      </w:pPr>
    </w:p>
    <w:p>
      <w:pPr>
        <w:ind w:left="340" w:right="20" w:hanging="332"/>
        <w:spacing w:after="0" w:line="257" w:lineRule="auto"/>
        <w:tabs>
          <w:tab w:leader="none" w:pos="3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Potential Severance Payment Rights</w:t>
      </w:r>
      <w:r>
        <w:rPr>
          <w:rFonts w:ascii="Times New Roman" w:cs="Times New Roman" w:eastAsia="Times New Roman" w:hAnsi="Times New Roman"/>
          <w:sz w:val="22"/>
          <w:szCs w:val="22"/>
          <w:color w:val="auto"/>
        </w:rPr>
        <w:t>: Without limiting the at-will nature of your employment relationship, you will be eligible for cash severance payments in certain circumstances, pursuant to the terms of the agreement attached as Exhibit B, which must be fully signed by both parties before becoming effective.</w:t>
      </w:r>
    </w:p>
    <w:p>
      <w:pPr>
        <w:spacing w:after="0" w:line="207" w:lineRule="exact"/>
        <w:rPr>
          <w:rFonts w:ascii="Times New Roman" w:cs="Times New Roman" w:eastAsia="Times New Roman" w:hAnsi="Times New Roman"/>
          <w:sz w:val="22"/>
          <w:szCs w:val="22"/>
          <w:color w:val="auto"/>
        </w:rPr>
      </w:pPr>
    </w:p>
    <w:p>
      <w:pPr>
        <w:jc w:val="both"/>
        <w:ind w:left="340" w:hanging="332"/>
        <w:spacing w:after="0" w:line="252" w:lineRule="auto"/>
        <w:tabs>
          <w:tab w:leader="none" w:pos="32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Jurisdiction and Waiver</w:t>
      </w:r>
      <w:r>
        <w:rPr>
          <w:rFonts w:ascii="Times New Roman" w:cs="Times New Roman" w:eastAsia="Times New Roman" w:hAnsi="Times New Roman"/>
          <w:sz w:val="21"/>
          <w:szCs w:val="21"/>
          <w:color w:val="auto"/>
        </w:rPr>
        <w:t>: In the case of any dispute, this offer of employment shall be interpreted under the laws of the Commonwealth of Pennsylvania. By accepting this offer of employment, you agree that any action, demand, claim or counterclaim in connection with any aspect of your employment with the Company, or any separation of employment (whether voluntary or involuntary) from the Company, shall be resolved in a court of competent jurisdiction in Pennsylvania by a judge alone, and you knowingly waive and forever renounce your right to a trial before a civil jury.</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We are very enthusiastic about the prospect of your joining us as a Madrigal Pharmaceuticals employee. Please indicate your acceptance of the foregoing by signing one enclosed copy of this letter and returning it within five (5) days of the date of this letter. After that date, this offer will lapse. If you need additional time to respond to this offer, please let us know immediately.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MADRIGAL PHARMACEUTICALS, INC.</w:t>
      </w:r>
    </w:p>
    <w:p>
      <w:pPr>
        <w:spacing w:after="0" w:line="200" w:lineRule="exact"/>
        <w:rPr>
          <w:sz w:val="20"/>
          <w:szCs w:val="20"/>
          <w:color w:val="auto"/>
        </w:rPr>
      </w:pPr>
    </w:p>
    <w:p>
      <w:pPr>
        <w:spacing w:after="0" w:line="355" w:lineRule="exact"/>
        <w:rPr>
          <w:sz w:val="20"/>
          <w:szCs w:val="20"/>
          <w:color w:val="auto"/>
        </w:rPr>
      </w:pPr>
    </w:p>
    <w:p>
      <w:pPr>
        <w:ind w:left="80"/>
        <w:spacing w:after="0"/>
        <w:tabs>
          <w:tab w:leader="none" w:pos="6460" w:val="left"/>
        </w:tabs>
        <w:rPr>
          <w:sz w:val="20"/>
          <w:szCs w:val="20"/>
          <w:color w:val="auto"/>
        </w:rPr>
      </w:pPr>
      <w:r>
        <w:rPr>
          <w:rFonts w:ascii="Times New Roman" w:cs="Times New Roman" w:eastAsia="Times New Roman" w:hAnsi="Times New Roman"/>
          <w:sz w:val="21"/>
          <w:szCs w:val="21"/>
          <w:color w:val="auto"/>
        </w:rPr>
        <w:t>/s/ Bill Sibold</w:t>
      </w:r>
      <w:r>
        <w:rPr>
          <w:sz w:val="20"/>
          <w:szCs w:val="20"/>
          <w:color w:val="auto"/>
        </w:rPr>
        <w:tab/>
      </w:r>
      <w:r>
        <w:rPr>
          <w:rFonts w:ascii="Times New Roman" w:cs="Times New Roman" w:eastAsia="Times New Roman" w:hAnsi="Times New Roman"/>
          <w:sz w:val="20"/>
          <w:szCs w:val="20"/>
          <w:color w:val="auto"/>
        </w:rPr>
        <w:t>November 6, 2023</w:t>
      </w:r>
    </w:p>
    <w:p>
      <w:pPr>
        <w:spacing w:after="0" w:line="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7175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Bill Sibold</w:t>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tabs>
          <w:tab w:leader="none" w:pos="5440" w:val="left"/>
          <w:tab w:leader="none" w:pos="6460" w:val="left"/>
        </w:tabs>
        <w:rPr>
          <w:sz w:val="20"/>
          <w:szCs w:val="20"/>
          <w:color w:val="auto"/>
        </w:rPr>
      </w:pPr>
      <w:r>
        <w:rPr>
          <w:rFonts w:ascii="Times New Roman" w:cs="Times New Roman" w:eastAsia="Times New Roman" w:hAnsi="Times New Roman"/>
          <w:sz w:val="21"/>
          <w:szCs w:val="21"/>
          <w:color w:val="auto"/>
        </w:rPr>
        <w:t>/s/ Carole Huntsman</w:t>
      </w:r>
      <w:r>
        <w:rPr>
          <w:sz w:val="20"/>
          <w:szCs w:val="20"/>
          <w:color w:val="auto"/>
        </w:rPr>
        <w:tab/>
      </w: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0"/>
          <w:szCs w:val="20"/>
          <w:color w:val="auto"/>
        </w:rPr>
        <w:t>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57175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Name: Carole Huntsman</w:t>
      </w:r>
    </w:p>
    <w:p>
      <w:pPr>
        <w:sectPr>
          <w:pgSz w:w="11900" w:h="16838" w:orient="portrait"/>
          <w:cols w:equalWidth="0" w:num="1">
            <w:col w:w="11240"/>
          </w:cols>
          <w:pgMar w:left="320" w:top="117" w:right="339" w:bottom="1440" w:gutter="0" w:footer="0" w:header="0"/>
        </w:sectPr>
      </w:pPr>
    </w:p>
    <w:bookmarkStart w:id="40" w:name="page41"/>
    <w:bookmarkEnd w:id="40"/>
    <w:p>
      <w:pPr>
        <w:ind w:left="9200"/>
        <w:spacing w:after="0"/>
        <w:rPr>
          <w:sz w:val="20"/>
          <w:szCs w:val="20"/>
          <w:color w:val="auto"/>
        </w:rPr>
      </w:pPr>
      <w:r>
        <w:rPr>
          <w:rFonts w:ascii="Times New Roman" w:cs="Times New Roman" w:eastAsia="Times New Roman" w:hAnsi="Times New Roman"/>
          <w:sz w:val="17"/>
          <w:szCs w:val="17"/>
          <w:b w:val="1"/>
          <w:bCs w:val="1"/>
          <w:color w:val="auto"/>
        </w:rPr>
        <w:t>Exhibit 10.1</w:t>
      </w:r>
    </w:p>
    <w:p>
      <w:pPr>
        <w:sectPr>
          <w:pgSz w:w="11900" w:h="16838" w:orient="portrait"/>
          <w:cols w:equalWidth="0" w:num="1">
            <w:col w:w="10120"/>
          </w:cols>
          <w:pgMar w:left="144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November 6, 2023</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Carole Huntsman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personally identifiable information</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Carole:</w:t>
      </w: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letter is to confirm our understanding with respect to (i) your agreement not to compete</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with Madrigal Pharmaceuticals, Inc. or its current or future subsidiaries or Affiliates (collectively,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(ii) your agreement to protect and preserve information and property which is confidential and proprietary to the Company and your agreement concerning Company Inventions specified herein (with the terms and conditions agreed to in this letter being referred to as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For these purposes, an “Affiliate” is a person or entity that controls, is controlled by or is under common control with the Company, with “control” meaning the possession, direct or indirect, of the power to direct or cause the direction of the management and policies of a person or entity, whether through the ownership of voting securities, by contract, or otherwise</w:t>
      </w:r>
      <w:r>
        <w:rPr>
          <w:rFonts w:ascii="Verdana" w:cs="Verdana" w:eastAsia="Verdana" w:hAnsi="Verdana"/>
          <w:sz w:val="21"/>
          <w:szCs w:val="21"/>
          <w:color w:val="333333"/>
        </w:rPr>
        <w:t>.</w:t>
      </w:r>
      <w:r>
        <w:rPr>
          <w:rFonts w:ascii="Times New Roman" w:cs="Times New Roman" w:eastAsia="Times New Roman" w:hAnsi="Times New Roman"/>
          <w:sz w:val="21"/>
          <w:szCs w:val="21"/>
          <w:color w:val="auto"/>
        </w:rPr>
        <w:t xml:space="preserve"> You hereby acknowledge and agree that you are an “at-will” employee and that no provision of this Agreement shall be construed to create an express or implied employment contract, or a promise of employment for a specific period of time, and the Company expressly reserves the right to end your employment at any time, with or without notice or cause.</w:t>
      </w:r>
    </w:p>
    <w:p>
      <w:pPr>
        <w:spacing w:after="0" w:line="2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In consideration of your employment by the Company, the mutual promises and covenants contained in this Agreement, and for other good and valuable consideration, the receipt and sufficiency of which are hereby mutually acknowledged, we have agreed as follows:</w:t>
      </w:r>
    </w:p>
    <w:p>
      <w:pPr>
        <w:spacing w:after="0" w:line="216"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Prohibited Competition and Solicitation</w:t>
      </w:r>
      <w:r>
        <w:rPr>
          <w:rFonts w:ascii="Times New Roman" w:cs="Times New Roman" w:eastAsia="Times New Roman" w:hAnsi="Times New Roman"/>
          <w:sz w:val="21"/>
          <w:szCs w:val="21"/>
          <w:color w:val="auto"/>
        </w:rPr>
        <w:t>.</w:t>
      </w:r>
    </w:p>
    <w:p>
      <w:pPr>
        <w:spacing w:after="0" w:line="244" w:lineRule="exact"/>
        <w:rPr>
          <w:rFonts w:ascii="Times New Roman" w:cs="Times New Roman" w:eastAsia="Times New Roman" w:hAnsi="Times New Roman"/>
          <w:sz w:val="21"/>
          <w:szCs w:val="21"/>
          <w:color w:val="auto"/>
        </w:rPr>
      </w:pPr>
    </w:p>
    <w:p>
      <w:pPr>
        <w:ind w:left="1140" w:hanging="484"/>
        <w:spacing w:after="0"/>
        <w:tabs>
          <w:tab w:leader="none" w:pos="114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Acknowledgments and Agreements</w:t>
      </w:r>
      <w:r>
        <w:rPr>
          <w:rFonts w:ascii="Times New Roman" w:cs="Times New Roman" w:eastAsia="Times New Roman" w:hAnsi="Times New Roman"/>
          <w:sz w:val="21"/>
          <w:szCs w:val="21"/>
          <w:color w:val="auto"/>
        </w:rPr>
        <w:t>.</w:t>
      </w:r>
    </w:p>
    <w:p>
      <w:pPr>
        <w:spacing w:after="0" w:line="258" w:lineRule="exact"/>
        <w:rPr>
          <w:rFonts w:ascii="Times New Roman" w:cs="Times New Roman" w:eastAsia="Times New Roman" w:hAnsi="Times New Roman"/>
          <w:sz w:val="21"/>
          <w:szCs w:val="21"/>
          <w:color w:val="auto"/>
        </w:rPr>
      </w:pPr>
    </w:p>
    <w:p>
      <w:pPr>
        <w:ind w:left="1560" w:hanging="256"/>
        <w:spacing w:after="0"/>
        <w:tabs>
          <w:tab w:leader="none" w:pos="1560"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have discussed, and you recognize and acknowledge the competitive and proprietary aspects of the business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w:t>
      </w:r>
    </w:p>
    <w:p>
      <w:pPr>
        <w:spacing w:after="0" w:line="220" w:lineRule="exact"/>
        <w:rPr>
          <w:rFonts w:ascii="Times New Roman" w:cs="Times New Roman" w:eastAsia="Times New Roman" w:hAnsi="Times New Roman"/>
          <w:sz w:val="21"/>
          <w:szCs w:val="21"/>
          <w:color w:val="auto"/>
        </w:rPr>
      </w:pPr>
    </w:p>
    <w:p>
      <w:pPr>
        <w:jc w:val="both"/>
        <w:ind w:firstLine="1304"/>
        <w:spacing w:after="0" w:line="250" w:lineRule="auto"/>
        <w:tabs>
          <w:tab w:leader="none" w:pos="1650"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devote your full time and efforts to the business of the Company and, during the period of your employment with the Company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and for a period of six (6) months following termination of your employment (unless such termination was without cause or the result of a layoff or the Company fails to pay you 50% of base salary for six (6) months following your termination, in which event this restriction in sub-section (ii) shall end at separation from employment), shall not participate, directly or indirectly, in the same or substantially similar capacity as you provided services to the Company during the last two years of your employment, in any business which is competitive with the Company’s Field of Interest (as described below) unless you have received the prior written consent of the Company. You acknowledge and agree that a business will be deemed competitive with the Company if it (1) conducts research, (2) is developing or intends to develop any product candidate, (3) performs any of the services or manufactures or sells any of the products provided or offered by the Company or (4) performs any other services and/or engages in</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production, manufacture, distribution or sale of any product that may be purchased in lieu of purchasing services performed or products produced, manufactured, distributed or sold by the Company, in each case within the Field of Interest at any time during the period of your employment with the Company (a “</w:t>
      </w:r>
      <w:r>
        <w:rPr>
          <w:rFonts w:ascii="Times New Roman" w:cs="Times New Roman" w:eastAsia="Times New Roman" w:hAnsi="Times New Roman"/>
          <w:sz w:val="21"/>
          <w:szCs w:val="21"/>
          <w:b w:val="1"/>
          <w:bCs w:val="1"/>
          <w:color w:val="auto"/>
        </w:rPr>
        <w:t>Competitor</w:t>
      </w:r>
      <w:r>
        <w:rPr>
          <w:rFonts w:ascii="Times New Roman" w:cs="Times New Roman" w:eastAsia="Times New Roman" w:hAnsi="Times New Roman"/>
          <w:sz w:val="21"/>
          <w:szCs w:val="21"/>
          <w:color w:val="auto"/>
        </w:rPr>
        <w:t>”). As used herein, the term “</w:t>
      </w:r>
      <w:r>
        <w:rPr>
          <w:rFonts w:ascii="Times New Roman" w:cs="Times New Roman" w:eastAsia="Times New Roman" w:hAnsi="Times New Roman"/>
          <w:sz w:val="21"/>
          <w:szCs w:val="21"/>
          <w:b w:val="1"/>
          <w:bCs w:val="1"/>
          <w:color w:val="auto"/>
        </w:rPr>
        <w:t>Field of Interest</w:t>
      </w:r>
      <w:r>
        <w:rPr>
          <w:rFonts w:ascii="Times New Roman" w:cs="Times New Roman" w:eastAsia="Times New Roman" w:hAnsi="Times New Roman"/>
          <w:sz w:val="21"/>
          <w:szCs w:val="21"/>
          <w:color w:val="auto"/>
        </w:rPr>
        <w:t>” means [***]. You hereby acknowledge and agree that the Field of Interest shall be assessed for purposes of this Agreement as of the date on which your employment with the Company terminates.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(iii) You further acknowledge and agree that, during the course of your employment</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with the Company, the Company will furnish, disclose or make available to you confidential and proprietary information related to the Company’s business and that the Company may provide you with unique and specialized training. You also acknowledge that such confidential information and such training have been developed and will be developed by the Company through the expenditure by the Company of substantial time, effort and money and that all such confidential information and training could be used by you to compete with the Company.</w:t>
      </w:r>
    </w:p>
    <w:p>
      <w:pPr>
        <w:spacing w:after="0" w:line="222" w:lineRule="exact"/>
        <w:rPr>
          <w:sz w:val="20"/>
          <w:szCs w:val="20"/>
          <w:color w:val="auto"/>
        </w:rPr>
      </w:pPr>
    </w:p>
    <w:p>
      <w:pPr>
        <w:jc w:val="both"/>
        <w:ind w:firstLine="1304"/>
        <w:spacing w:after="0" w:line="255" w:lineRule="auto"/>
        <w:tabs>
          <w:tab w:leader="none" w:pos="1646"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have been advised to consult with an attorney of your choice in connection with this Agreement and have been provided the time necessary for such consultation as is reasonable under the circumstances and, if applicable to your work location, in compliance with any state-specific review periods (10 business days for Massachusetts).</w:t>
      </w:r>
    </w:p>
    <w:p>
      <w:pPr>
        <w:spacing w:after="0" w:line="215" w:lineRule="exact"/>
        <w:rPr>
          <w:rFonts w:ascii="Times New Roman" w:cs="Times New Roman" w:eastAsia="Times New Roman" w:hAnsi="Times New Roman"/>
          <w:sz w:val="21"/>
          <w:szCs w:val="21"/>
          <w:color w:val="auto"/>
        </w:rPr>
      </w:pPr>
    </w:p>
    <w:p>
      <w:pPr>
        <w:ind w:left="1160" w:hanging="504"/>
        <w:spacing w:after="0"/>
        <w:tabs>
          <w:tab w:leader="none" w:pos="11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Term and for a period of twelve (12) months following</w:t>
      </w:r>
    </w:p>
    <w:p>
      <w:pPr>
        <w:spacing w:after="0" w:line="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termination of your employment, whether such termination is voluntary or involuntary, you shall not, without the prior written consent of the Company:</w:t>
      </w:r>
    </w:p>
    <w:p>
      <w:pPr>
        <w:spacing w:after="0" w:line="197" w:lineRule="exact"/>
        <w:rPr>
          <w:sz w:val="20"/>
          <w:szCs w:val="20"/>
          <w:color w:val="auto"/>
        </w:rPr>
      </w:pPr>
    </w:p>
    <w:p>
      <w:pPr>
        <w:jc w:val="both"/>
        <w:ind w:firstLine="1304"/>
        <w:spacing w:after="0" w:line="255" w:lineRule="auto"/>
        <w:tabs>
          <w:tab w:leader="none" w:pos="1543"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individually or on behalf of or through any third party, solicit, divert or appropriate or attempt to solicit, divert or appropriate, any vendor, business relationship or customer of the Company during the Term, with whom you had business-related communications on behalf of the Company or on whose project you provided services during the Term, with the effect or intention of reducing or limiting the amount of business that such vendor, business counterparty or customer does with the Company and for the benefit of a Competitor; or</w:t>
      </w:r>
    </w:p>
    <w:p>
      <w:pPr>
        <w:spacing w:after="0" w:line="202" w:lineRule="exact"/>
        <w:rPr>
          <w:rFonts w:ascii="Times New Roman" w:cs="Times New Roman" w:eastAsia="Times New Roman" w:hAnsi="Times New Roman"/>
          <w:sz w:val="21"/>
          <w:szCs w:val="21"/>
          <w:color w:val="auto"/>
        </w:rPr>
      </w:pPr>
    </w:p>
    <w:p>
      <w:pPr>
        <w:jc w:val="both"/>
        <w:ind w:firstLine="1304"/>
        <w:spacing w:after="0" w:line="255" w:lineRule="auto"/>
        <w:tabs>
          <w:tab w:leader="none" w:pos="1614"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individually or on behalf of or through any third party, directly or indirectly, solicit, entice or persuade or attempt to solicit, entice or persuade any employees of or consultants to the Company (other than your spouse), who have been employees or consultants of the Company at any time during the Term, or who are employees or consultants of the Company at the time of the solicitation, with whom you had business-related communications on behalf of the Company or with whom you worked during the Term, to leave the services of the Company to provide services to any Competitor.</w:t>
      </w:r>
    </w:p>
    <w:p>
      <w:pPr>
        <w:spacing w:after="0" w:line="202" w:lineRule="exact"/>
        <w:rPr>
          <w:rFonts w:ascii="Times New Roman" w:cs="Times New Roman" w:eastAsia="Times New Roman" w:hAnsi="Times New Roman"/>
          <w:sz w:val="21"/>
          <w:szCs w:val="21"/>
          <w:color w:val="auto"/>
        </w:rPr>
      </w:pPr>
    </w:p>
    <w:p>
      <w:pPr>
        <w:jc w:val="both"/>
        <w:ind w:firstLine="656"/>
        <w:spacing w:after="0" w:line="271" w:lineRule="auto"/>
        <w:tabs>
          <w:tab w:leader="none" w:pos="121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Reasonableness of Restrictions</w:t>
      </w:r>
      <w:r>
        <w:rPr>
          <w:rFonts w:ascii="Times New Roman" w:cs="Times New Roman" w:eastAsia="Times New Roman" w:hAnsi="Times New Roman"/>
          <w:sz w:val="20"/>
          <w:szCs w:val="20"/>
          <w:color w:val="auto"/>
        </w:rPr>
        <w:t xml:space="preserve">. You further acknowledge and agree that (i) the activities which are prohibited by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are narrow and reasonable in relation to the skills which represent your principal salable asset both to the Company and to your other prospective employers, and (ii) given the global nature of the Company’s business, including its need to market its services and sell its products in a large geographic area in order to have a sufficient customer base to make the Company’s business profitable, the geographic, length of time and substantive scope of the provisions of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are reasonable, legitimate and fair to you.</w:t>
      </w:r>
    </w:p>
    <w:p>
      <w:pPr>
        <w:sectPr>
          <w:pgSz w:w="11900" w:h="16838" w:orient="portrait"/>
          <w:cols w:equalWidth="0" w:num="1">
            <w:col w:w="11240"/>
          </w:cols>
          <w:pgMar w:left="320" w:top="117" w:right="339" w:bottom="1440" w:gutter="0" w:footer="0" w:header="0"/>
        </w:sectPr>
      </w:pPr>
    </w:p>
    <w:bookmarkStart w:id="43" w:name="page44"/>
    <w:bookmarkEnd w:id="43"/>
    <w:p>
      <w:pPr>
        <w:ind w:left="10312"/>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8" w:firstLine="656"/>
        <w:spacing w:after="0" w:line="262" w:lineRule="auto"/>
        <w:tabs>
          <w:tab w:leader="none" w:pos="1248"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of Acknowledgments and Agreements</w:t>
      </w:r>
      <w:r>
        <w:rPr>
          <w:rFonts w:ascii="Times New Roman" w:cs="Times New Roman" w:eastAsia="Times New Roman" w:hAnsi="Times New Roman"/>
          <w:sz w:val="21"/>
          <w:szCs w:val="21"/>
          <w:color w:val="auto"/>
        </w:rPr>
        <w:t xml:space="preserve">. Except as expressly set forth hereunder, your acknowledgments and agreements set forth in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shall survive the termination of your employment with the Company for the periods set forth above.</w:t>
      </w:r>
    </w:p>
    <w:p>
      <w:pPr>
        <w:spacing w:after="0" w:line="208" w:lineRule="exact"/>
        <w:rPr>
          <w:rFonts w:ascii="Times New Roman" w:cs="Times New Roman" w:eastAsia="Times New Roman" w:hAnsi="Times New Roman"/>
          <w:sz w:val="21"/>
          <w:szCs w:val="21"/>
          <w:color w:val="auto"/>
        </w:rPr>
      </w:pPr>
    </w:p>
    <w:p>
      <w:pPr>
        <w:ind w:left="412" w:hanging="412"/>
        <w:spacing w:after="0"/>
        <w:tabs>
          <w:tab w:leader="none" w:pos="41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Information</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jc w:val="both"/>
        <w:ind w:left="-8" w:firstLine="656"/>
        <w:spacing w:after="0" w:line="249" w:lineRule="auto"/>
        <w:tabs>
          <w:tab w:leader="none" w:pos="1288"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 Obligations</w:t>
      </w:r>
      <w:r>
        <w:rPr>
          <w:rFonts w:ascii="Times New Roman" w:cs="Times New Roman" w:eastAsia="Times New Roman" w:hAnsi="Times New Roman"/>
          <w:sz w:val="21"/>
          <w:szCs w:val="21"/>
          <w:color w:val="auto"/>
        </w:rPr>
        <w:t>. You shall at all times, both during the Term and thereafter, maintain in confidence and shall not, without the prior written consent of the Company, use, except in the course of performance of your duties for the Company, disclose or give to others any Confidential Information of the Company. As used herein, the term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xml:space="preserve">” shall mean any information which is disclosed to or developed by you during the course of performing services for, or receiving training from, the Company, and is not generally available to the public, including but not limited to confidential information concerning business plans, customers, future customers, suppliers, licensors, licensees, partners, investors, affiliates or others, training methods and materials, financial information, sales prospects, client lists, Company Inventions (as defined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or any other scientific, technical, trade or business secret or confidential or proprietary information of the Company or of any third party provided to you during the Term. In the event anyone not employed or otherwise engaged by the Company seeks information from you in regard to any such Confidential Information or any other secret or confidential work of the Company, or concerning any fact or circumstance relating thereto, you will promptly notify the chief executive officer of the Company.</w:t>
      </w:r>
    </w:p>
    <w:p>
      <w:pPr>
        <w:spacing w:after="0" w:line="214" w:lineRule="exact"/>
        <w:rPr>
          <w:rFonts w:ascii="Times New Roman" w:cs="Times New Roman" w:eastAsia="Times New Roman" w:hAnsi="Times New Roman"/>
          <w:sz w:val="21"/>
          <w:szCs w:val="21"/>
          <w:color w:val="auto"/>
        </w:rPr>
      </w:pPr>
    </w:p>
    <w:p>
      <w:pPr>
        <w:jc w:val="both"/>
        <w:ind w:left="-8" w:firstLine="656"/>
        <w:spacing w:after="0" w:line="250" w:lineRule="auto"/>
        <w:tabs>
          <w:tab w:leader="none" w:pos="1286"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Limited Exceptions</w:t>
      </w:r>
      <w:r>
        <w:rPr>
          <w:rFonts w:ascii="Times New Roman" w:cs="Times New Roman" w:eastAsia="Times New Roman" w:hAnsi="Times New Roman"/>
          <w:sz w:val="21"/>
          <w:szCs w:val="21"/>
          <w:color w:val="auto"/>
        </w:rPr>
        <w:t xml:space="preserve">. The restrictions in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hereof shall not apply to information that, as can be established by competent written records: (i) was publicly known at the time of the Company’s communication thereof to you; (ii) becomes publicly known through no fault of yours subsequent to the time of the Company’s communication thereof to you; (iii) was in your possession free of any obligation of confidence at the time of the Company’s communication thereof to you; or (iv) is developed by you independently of and without reference to or use of any of the Company’s Confidential Information. In the event that you are required by law, regulation or court order to disclose any of the Company’s Confidential Information, you shall (i) first notify the Company of such disclosure requirement, unless such advance notice requirement is prohibited by law and (ii) furnish only that portion of the Confidential Information that is legally required and will exercise all reasonable efforts to obtain reliable assurances that confidential treatment will be accorded the Confidential Information.</w:t>
      </w:r>
    </w:p>
    <w:p>
      <w:pPr>
        <w:spacing w:after="0" w:line="220" w:lineRule="exact"/>
        <w:rPr>
          <w:rFonts w:ascii="Times New Roman" w:cs="Times New Roman" w:eastAsia="Times New Roman" w:hAnsi="Times New Roman"/>
          <w:sz w:val="21"/>
          <w:szCs w:val="21"/>
          <w:color w:val="auto"/>
        </w:rPr>
      </w:pPr>
    </w:p>
    <w:p>
      <w:pPr>
        <w:jc w:val="both"/>
        <w:ind w:left="-8" w:firstLine="656"/>
        <w:spacing w:after="0" w:line="252" w:lineRule="auto"/>
        <w:tabs>
          <w:tab w:leader="none" w:pos="1288"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Rights</w:t>
      </w:r>
      <w:r>
        <w:rPr>
          <w:rFonts w:ascii="Times New Roman" w:cs="Times New Roman" w:eastAsia="Times New Roman" w:hAnsi="Times New Roman"/>
          <w:sz w:val="21"/>
          <w:szCs w:val="21"/>
          <w:color w:val="auto"/>
        </w:rPr>
        <w:t>. Nothing in this Agreement prohibits or restricts you or your attorney from initiating communications directly with, responding to an inquiry from, or providing testimony before the Securities and Exchange Commission, any regulatory or self-regulatory organization, or any other governmental authority. Nothing in this Agreement in any way prohibits or is intended to restrict or impede you from discussing the terms and conditions of your employment with coworkers or union representatives or exercising any other protected rights under Section 7 of the National Labor Relations Act.</w:t>
      </w:r>
    </w:p>
    <w:p>
      <w:pPr>
        <w:spacing w:after="0" w:line="217" w:lineRule="exact"/>
        <w:rPr>
          <w:rFonts w:ascii="Times New Roman" w:cs="Times New Roman" w:eastAsia="Times New Roman" w:hAnsi="Times New Roman"/>
          <w:sz w:val="21"/>
          <w:szCs w:val="21"/>
          <w:color w:val="auto"/>
        </w:rPr>
      </w:pPr>
    </w:p>
    <w:p>
      <w:pPr>
        <w:ind w:left="-8" w:firstLine="656"/>
        <w:spacing w:after="0" w:line="270" w:lineRule="auto"/>
        <w:tabs>
          <w:tab w:leader="none" w:pos="1286"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of Acknowledgments and Agreements</w:t>
      </w:r>
      <w:r>
        <w:rPr>
          <w:rFonts w:ascii="Times New Roman" w:cs="Times New Roman" w:eastAsia="Times New Roman" w:hAnsi="Times New Roman"/>
          <w:sz w:val="21"/>
          <w:szCs w:val="21"/>
          <w:color w:val="auto"/>
        </w:rPr>
        <w:t xml:space="preserve">. Except as expressly set forth hereunder, your acknowledgments and agreements set forth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shall survive the termination of your employment with the Company.</w:t>
      </w:r>
    </w:p>
    <w:p>
      <w:pPr>
        <w:sectPr>
          <w:pgSz w:w="11900" w:h="16838" w:orient="portrait"/>
          <w:cols w:equalWidth="0" w:num="1">
            <w:col w:w="11232"/>
          </w:cols>
          <w:pgMar w:left="328"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Ownership of Intellectual Property Ideas</w:t>
      </w:r>
      <w:r>
        <w:rPr>
          <w:rFonts w:ascii="Times New Roman" w:cs="Times New Roman" w:eastAsia="Times New Roman" w:hAnsi="Times New Roman"/>
          <w:sz w:val="21"/>
          <w:szCs w:val="21"/>
          <w:color w:val="auto"/>
        </w:rPr>
        <w:t>.</w:t>
      </w:r>
    </w:p>
    <w:p>
      <w:pPr>
        <w:spacing w:after="0" w:line="242" w:lineRule="exact"/>
        <w:rPr>
          <w:rFonts w:ascii="Times New Roman" w:cs="Times New Roman" w:eastAsia="Times New Roman" w:hAnsi="Times New Roman"/>
          <w:sz w:val="21"/>
          <w:szCs w:val="21"/>
          <w:color w:val="auto"/>
        </w:rPr>
      </w:pPr>
    </w:p>
    <w:p>
      <w:pPr>
        <w:jc w:val="both"/>
        <w:ind w:firstLine="656"/>
        <w:spacing w:after="0" w:line="266" w:lineRule="auto"/>
        <w:tabs>
          <w:tab w:leader="none" w:pos="129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Property of the Company</w:t>
      </w:r>
      <w:r>
        <w:rPr>
          <w:rFonts w:ascii="Times New Roman" w:cs="Times New Roman" w:eastAsia="Times New Roman" w:hAnsi="Times New Roman"/>
          <w:sz w:val="20"/>
          <w:szCs w:val="20"/>
          <w:color w:val="auto"/>
        </w:rPr>
        <w:t>. As used in this Agreement, the term “</w:t>
      </w:r>
      <w:r>
        <w:rPr>
          <w:rFonts w:ascii="Times New Roman" w:cs="Times New Roman" w:eastAsia="Times New Roman" w:hAnsi="Times New Roman"/>
          <w:sz w:val="20"/>
          <w:szCs w:val="20"/>
          <w:b w:val="1"/>
          <w:bCs w:val="1"/>
          <w:color w:val="auto"/>
        </w:rPr>
        <w:t>Inventions</w:t>
      </w:r>
      <w:r>
        <w:rPr>
          <w:rFonts w:ascii="Times New Roman" w:cs="Times New Roman" w:eastAsia="Times New Roman" w:hAnsi="Times New Roman"/>
          <w:sz w:val="20"/>
          <w:szCs w:val="20"/>
          <w:color w:val="auto"/>
        </w:rPr>
        <w:t>” shall mean all ideas, discoveries, creations, manuscripts and properties, innovations, improvements, know-how, inventions, designs, developments, apparatus, techniques, methods, biological processes, cell lines, laboratory notebooks and formulae, whether patentable, copyrightable or not, including all rights to obtain, register, perfect and enforce any of the foregoing. You hereby agree that any Inventions which you may conceive, reduce to practice or develop during the Term, whether in connection with the business activities of the Company or otherwise, alone or in conjunction with any other party, whether during or out of regular business hours, and whether at the request or upon the suggestion of the Company, or otherwise (collectively, the “</w:t>
      </w:r>
      <w:r>
        <w:rPr>
          <w:rFonts w:ascii="Times New Roman" w:cs="Times New Roman" w:eastAsia="Times New Roman" w:hAnsi="Times New Roman"/>
          <w:sz w:val="20"/>
          <w:szCs w:val="20"/>
          <w:b w:val="1"/>
          <w:bCs w:val="1"/>
          <w:color w:val="auto"/>
        </w:rPr>
        <w:t>Company Inventions</w:t>
      </w:r>
      <w:r>
        <w:rPr>
          <w:rFonts w:ascii="Times New Roman" w:cs="Times New Roman" w:eastAsia="Times New Roman" w:hAnsi="Times New Roman"/>
          <w:sz w:val="20"/>
          <w:szCs w:val="20"/>
          <w:color w:val="auto"/>
        </w:rPr>
        <w:t>”), shall be the sole and exclusive property of the Company. You hereby assign to the Company all of your right, title and interest in and to all such Company Inventions and hereby agree that you shall not publish any of the Company Inventions without the prior written consent of the Company.</w:t>
      </w:r>
    </w:p>
    <w:p>
      <w:pPr>
        <w:spacing w:after="0" w:line="191" w:lineRule="exact"/>
        <w:rPr>
          <w:rFonts w:ascii="Times New Roman" w:cs="Times New Roman" w:eastAsia="Times New Roman" w:hAnsi="Times New Roman"/>
          <w:sz w:val="20"/>
          <w:szCs w:val="20"/>
          <w:color w:val="auto"/>
        </w:rPr>
      </w:pPr>
    </w:p>
    <w:p>
      <w:pPr>
        <w:jc w:val="both"/>
        <w:ind w:firstLine="656"/>
        <w:spacing w:after="0" w:line="260" w:lineRule="auto"/>
        <w:tabs>
          <w:tab w:leader="none" w:pos="129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During the Term, you agree that, without further compensation, you will disclose promptly to the Company in writing, all Company Inventions you conceive, reduce to practice or develop during the Term (or, if based on or related to any Confidential Information of the Company obtained by you during the Term, within one (1) year after the termination of your employment). You further agree that you will fully cooperate with the Company, its attorneys and agents in the preparation and filing of all papers and other documents as may be reasonably required to perfect the Company’s rights in and to any of such Company Inventions, including, but not limited to, joining in any proceeding to obtain patents, copyrights, trademarks or other legal rights of the United States and of any and all other countries on such Company Inventions; provided, that, the Company will bear the expense of such proceedings (including all of your reasonable expenses). You further agree that any patent or other legal right covering any Company Invention so issued to you, personally, shall be assigned by you to the Company without charge by you. You further acknowledge that all original works of authorship made by you, whether alone or jointly with others within the scope of your employment and which are protectable by copyright are “works made for hire” within the meaning of the United States Copyright Act,</w:t>
      </w:r>
    </w:p>
    <w:p>
      <w:pPr>
        <w:spacing w:after="0" w:line="10" w:lineRule="exact"/>
        <w:rPr>
          <w:rFonts w:ascii="Times New Roman" w:cs="Times New Roman" w:eastAsia="Times New Roman" w:hAnsi="Times New Roman"/>
          <w:sz w:val="20"/>
          <w:szCs w:val="20"/>
          <w:color w:val="auto"/>
        </w:rPr>
      </w:pPr>
    </w:p>
    <w:p>
      <w:pPr>
        <w:jc w:val="both"/>
        <w:ind w:firstLine="8"/>
        <w:spacing w:after="0" w:line="248" w:lineRule="auto"/>
        <w:tabs>
          <w:tab w:leader="none" w:pos="29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U.S.C. § 101, as amended, the copyright of which shall be owned solely, completely and exclusively by the Company. If any Company Invention is considered to be work not included in the categories of work covered by the United States Copyright Act, 17 U.S.C. § 101, as amended, such work shall be owned solely by, or hereby assigned or transferred completely and exclusively to, the Company. If the Company is unable because of your mental or physical incapacity or for any other reason, after reasonable effort, to secure your signature on any document or documents needed to obtain or enforce any patent, copyright, trademarks or any other rights covering Inventions or original works of authorship assigned by you to the Company as required above, you hereby irrevocably designate and appoint the Company and its duly authorized officers and agents as your agent and attorney-in-fact, to act for and in your behalf and stead to execute and file any application or assignment and to do all other lawfully permitted acts to further the prosecution and issuance to the Company of patents, copyright registrations, trademark registrations or similar protections covering the Inventions with the same legal force and effect as if executed by you.</w:t>
      </w:r>
    </w:p>
    <w:p>
      <w:pPr>
        <w:spacing w:after="0" w:line="207" w:lineRule="exact"/>
        <w:rPr>
          <w:rFonts w:ascii="Times New Roman" w:cs="Times New Roman" w:eastAsia="Times New Roman" w:hAnsi="Times New Roman"/>
          <w:sz w:val="21"/>
          <w:szCs w:val="21"/>
          <w:color w:val="auto"/>
        </w:rPr>
      </w:pPr>
    </w:p>
    <w:p>
      <w:pPr>
        <w:jc w:val="both"/>
        <w:ind w:firstLine="656"/>
        <w:spacing w:after="0" w:line="262" w:lineRule="auto"/>
        <w:tabs>
          <w:tab w:leader="none" w:pos="1296"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the Economic Espionage Act of 1996, as amended by the Defend Trade Secrets Act of 2016, notwithstanding any other provision of this Agreement: (i) you will not be held criminally or civilly liable under any federal or state trade secret law for any disclosure of a trade</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 or (ii) if you file a lawsuit for retaliation for reporting a suspected violation of law, you may disclose trade secrets to your attorney and use the trade secret information in the court proceeding if you (1) file any document containing the trade secret under seal; and (2) do not disclose the trade secret, except pursuant to court order.</w:t>
      </w:r>
    </w:p>
    <w:p>
      <w:pPr>
        <w:spacing w:after="0" w:line="202" w:lineRule="exact"/>
        <w:rPr>
          <w:sz w:val="20"/>
          <w:szCs w:val="20"/>
          <w:color w:val="auto"/>
        </w:rPr>
      </w:pPr>
    </w:p>
    <w:p>
      <w:pPr>
        <w:jc w:val="both"/>
        <w:ind w:firstLine="8"/>
        <w:spacing w:after="0" w:line="249" w:lineRule="auto"/>
        <w:tabs>
          <w:tab w:leader="none" w:pos="50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Provisions Necessary and Reasonable/Breach/Attorneys’ Fees</w:t>
      </w:r>
      <w:r>
        <w:rPr>
          <w:rFonts w:ascii="Times New Roman" w:cs="Times New Roman" w:eastAsia="Times New Roman" w:hAnsi="Times New Roman"/>
          <w:sz w:val="21"/>
          <w:szCs w:val="21"/>
          <w:color w:val="auto"/>
        </w:rPr>
        <w:t xml:space="preserve">. You agree that (i) the provisions of </w:t>
      </w:r>
      <w:r>
        <w:rPr>
          <w:rFonts w:ascii="Times New Roman" w:cs="Times New Roman" w:eastAsia="Times New Roman" w:hAnsi="Times New Roman"/>
          <w:sz w:val="21"/>
          <w:szCs w:val="21"/>
          <w:u w:val="single" w:color="auto"/>
          <w:color w:val="auto"/>
        </w:rPr>
        <w:t>Sections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of this Agreement are necessary and reasonable to protect the Company’s Confidential Information, Company Inventions, and goodwill and (ii) in the event of any breach of any of the covenants set forth herein, the Company would suffer substantial irreparable harm and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and/or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In the event the Company takes any court action with respect to your breach or threatened breach of this Agreement, and prevails in such action, you shall be obligated to reimburse the Company for its reasonable attorneys’ fees and costs incurred in such action.</w:t>
      </w:r>
    </w:p>
    <w:p>
      <w:pPr>
        <w:spacing w:after="0" w:line="214" w:lineRule="exact"/>
        <w:rPr>
          <w:rFonts w:ascii="Times New Roman" w:cs="Times New Roman" w:eastAsia="Times New Roman" w:hAnsi="Times New Roman"/>
          <w:sz w:val="21"/>
          <w:szCs w:val="21"/>
          <w:color w:val="auto"/>
        </w:rPr>
      </w:pPr>
    </w:p>
    <w:p>
      <w:pPr>
        <w:jc w:val="both"/>
        <w:ind w:firstLine="8"/>
        <w:spacing w:after="0" w:line="255" w:lineRule="auto"/>
        <w:tabs>
          <w:tab w:leader="none" w:pos="42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 to Future Employers</w:t>
      </w:r>
      <w:r>
        <w:rPr>
          <w:rFonts w:ascii="Times New Roman" w:cs="Times New Roman" w:eastAsia="Times New Roman" w:hAnsi="Times New Roman"/>
          <w:sz w:val="21"/>
          <w:szCs w:val="21"/>
          <w:color w:val="auto"/>
        </w:rPr>
        <w:t xml:space="preserve">. You agree that you will provide, and that the Company may similarly provide in its discretion, a copy of the covenants contained in </w:t>
      </w:r>
      <w:r>
        <w:rPr>
          <w:rFonts w:ascii="Times New Roman" w:cs="Times New Roman" w:eastAsia="Times New Roman" w:hAnsi="Times New Roman"/>
          <w:sz w:val="21"/>
          <w:szCs w:val="21"/>
          <w:u w:val="single" w:color="auto"/>
          <w:color w:val="auto"/>
        </w:rPr>
        <w:t>Sections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of this Agreement to any business or enterprise which you may directly, or indirectly, own, manage, operate, finance, join, control or in which you participate in the ownership, management, operation, financing, or control, or with which you may be connected as an officer, director, employee, partner, principal, agent, representative, consultant or otherwise.</w:t>
      </w:r>
    </w:p>
    <w:p>
      <w:pPr>
        <w:spacing w:after="0" w:line="94"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Regarding Prior Work and Legal Obligations</w:t>
      </w:r>
      <w:r>
        <w:rPr>
          <w:rFonts w:ascii="Times New Roman" w:cs="Times New Roman" w:eastAsia="Times New Roman" w:hAnsi="Times New Roman"/>
          <w:sz w:val="21"/>
          <w:szCs w:val="21"/>
          <w:color w:val="auto"/>
        </w:rPr>
        <w:t>.</w:t>
      </w:r>
    </w:p>
    <w:p>
      <w:pPr>
        <w:spacing w:after="0" w:line="298" w:lineRule="exact"/>
        <w:rPr>
          <w:rFonts w:ascii="Times New Roman" w:cs="Times New Roman" w:eastAsia="Times New Roman" w:hAnsi="Times New Roman"/>
          <w:sz w:val="21"/>
          <w:szCs w:val="21"/>
          <w:color w:val="auto"/>
        </w:rPr>
      </w:pPr>
    </w:p>
    <w:p>
      <w:pPr>
        <w:jc w:val="both"/>
        <w:ind w:right="100" w:firstLine="656"/>
        <w:spacing w:after="0" w:line="256" w:lineRule="auto"/>
        <w:tabs>
          <w:tab w:leader="none" w:pos="129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You represent that you have no agreement or other legal obligation with any prior employer or any other person or entity that restricts your ability to engage in employment discussions with, employment with, or to perform any function for, the Company.</w:t>
      </w:r>
    </w:p>
    <w:p>
      <w:pPr>
        <w:spacing w:after="0" w:line="213" w:lineRule="exact"/>
        <w:rPr>
          <w:rFonts w:ascii="Times New Roman" w:cs="Times New Roman" w:eastAsia="Times New Roman" w:hAnsi="Times New Roman"/>
          <w:sz w:val="22"/>
          <w:szCs w:val="22"/>
          <w:color w:val="auto"/>
        </w:rPr>
      </w:pPr>
    </w:p>
    <w:p>
      <w:pPr>
        <w:jc w:val="both"/>
        <w:ind w:right="100" w:firstLine="656"/>
        <w:spacing w:after="0" w:line="256" w:lineRule="auto"/>
        <w:tabs>
          <w:tab w:leader="none" w:pos="129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You represent that you have been advised by the Company that at no time should you divulge to or use for the benefit of the Company, any trade secret or confidential or proprietary information of any previous employer. You acknowledge that you have not divulged or used any such information for the benefit of the Company.</w:t>
      </w:r>
    </w:p>
    <w:p>
      <w:pPr>
        <w:spacing w:after="0" w:line="213" w:lineRule="exact"/>
        <w:rPr>
          <w:rFonts w:ascii="Times New Roman" w:cs="Times New Roman" w:eastAsia="Times New Roman" w:hAnsi="Times New Roman"/>
          <w:sz w:val="22"/>
          <w:szCs w:val="22"/>
          <w:color w:val="auto"/>
        </w:rPr>
      </w:pPr>
    </w:p>
    <w:p>
      <w:pPr>
        <w:ind w:right="100" w:firstLine="656"/>
        <w:spacing w:after="0" w:line="272" w:lineRule="auto"/>
        <w:tabs>
          <w:tab w:leader="none" w:pos="129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You acknowledge that the Company is basing important business decisions on these representations, and affirm that all of the statements included herein are true.</w:t>
      </w:r>
    </w:p>
    <w:p>
      <w:pPr>
        <w:spacing w:after="0" w:line="195" w:lineRule="exact"/>
        <w:rPr>
          <w:rFonts w:ascii="Times New Roman" w:cs="Times New Roman" w:eastAsia="Times New Roman" w:hAnsi="Times New Roman"/>
          <w:sz w:val="22"/>
          <w:szCs w:val="22"/>
          <w:color w:val="auto"/>
        </w:rPr>
      </w:pPr>
    </w:p>
    <w:p>
      <w:pPr>
        <w:ind w:right="100" w:firstLine="8"/>
        <w:spacing w:after="0" w:line="258" w:lineRule="auto"/>
        <w:tabs>
          <w:tab w:leader="none" w:pos="6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xml:space="preserve"> Upon termination of your employment relationship with the Company, you shall deliver to the Company any property of the Company which may be in your possession including</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products, materials, memoranda, notes, records, reports, or other documents or photocopies of the same.</w:t>
      </w:r>
    </w:p>
    <w:p>
      <w:pPr>
        <w:spacing w:after="0" w:line="258" w:lineRule="exact"/>
        <w:rPr>
          <w:sz w:val="20"/>
          <w:szCs w:val="20"/>
          <w:color w:val="auto"/>
        </w:rPr>
      </w:pPr>
    </w:p>
    <w:p>
      <w:pPr>
        <w:jc w:val="both"/>
        <w:ind w:right="100" w:firstLine="8"/>
        <w:spacing w:after="0" w:line="256" w:lineRule="auto"/>
        <w:tabs>
          <w:tab w:leader="none" w:pos="6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No Conflicting Agreements</w:t>
      </w:r>
      <w:r>
        <w:rPr>
          <w:rFonts w:ascii="Times New Roman" w:cs="Times New Roman" w:eastAsia="Times New Roman" w:hAnsi="Times New Roman"/>
          <w:sz w:val="21"/>
          <w:szCs w:val="21"/>
          <w:color w:val="auto"/>
        </w:rPr>
        <w:t>. You hereby represent and warrant that you have no commitments or obligations inconsistent with this Agreement and you hereby agree to indemnify and hold the Company harmless against loss, damage, liability or expense arising from any claim based upon circumstances alleged to be inconsistent with such representation and warranty.</w:t>
      </w:r>
    </w:p>
    <w:p>
      <w:pPr>
        <w:spacing w:after="0" w:line="200" w:lineRule="exact"/>
        <w:rPr>
          <w:rFonts w:ascii="Times New Roman" w:cs="Times New Roman" w:eastAsia="Times New Roman" w:hAnsi="Times New Roman"/>
          <w:sz w:val="22"/>
          <w:szCs w:val="22"/>
          <w:color w:val="auto"/>
        </w:rPr>
      </w:pPr>
    </w:p>
    <w:p>
      <w:pPr>
        <w:spacing w:after="0" w:line="27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jc w:val="both"/>
        <w:ind w:right="100" w:firstLine="656"/>
        <w:spacing w:after="0" w:line="273" w:lineRule="auto"/>
        <w:tabs>
          <w:tab w:leader="none" w:pos="119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consents and other communications hereunder shall be in writing, shall be addressed to the receiving party’s address set forth below or to such other address as a party may designate by notice hereunder, and shall be either</w:t>
      </w:r>
    </w:p>
    <w:p>
      <w:pPr>
        <w:jc w:val="both"/>
        <w:ind w:right="1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 delivered by hand, (ii) made by telex, telecopy or facsimile transmission with confirmed receipt thereof (and with a copy of such telex, telecopy or facsimile, together with a copy of the confirmation sent to the recipient by regular U.S. mail on the next business day), (iii) sent by overnight courier, or (iv) sent by registered mail, return receipt requested, postage prepaid.</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If to the Company: Madrigal Pharmaceuticals</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Four Tower Bridge</w:t>
      </w:r>
    </w:p>
    <w:p>
      <w:pPr>
        <w:spacing w:after="0" w:line="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200 Barr Harbor Drive, Suite 200</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West Conshohocken, PA 19428</w:t>
      </w:r>
    </w:p>
    <w:p>
      <w:pPr>
        <w:spacing w:after="0" w:line="2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If to you: To the address set forth on the signature page of this Agreement.</w:t>
      </w:r>
    </w:p>
    <w:p>
      <w:pPr>
        <w:spacing w:after="0" w:line="258" w:lineRule="exact"/>
        <w:rPr>
          <w:sz w:val="20"/>
          <w:szCs w:val="20"/>
          <w:color w:val="auto"/>
        </w:rPr>
      </w:pPr>
    </w:p>
    <w:p>
      <w:pPr>
        <w:jc w:val="both"/>
        <w:ind w:left="100" w:right="100"/>
        <w:spacing w:after="0" w:line="252" w:lineRule="auto"/>
        <w:rPr>
          <w:sz w:val="20"/>
          <w:szCs w:val="20"/>
          <w:color w:val="auto"/>
        </w:rPr>
      </w:pPr>
      <w:r>
        <w:rPr>
          <w:rFonts w:ascii="Times New Roman" w:cs="Times New Roman" w:eastAsia="Times New Roman" w:hAnsi="Times New Roman"/>
          <w:sz w:val="21"/>
          <w:szCs w:val="21"/>
          <w:color w:val="auto"/>
        </w:rPr>
        <w:t>All notices, requests, consents and other communications hereunder shall be deemed to have been given either (i) if by hand, at the time of the delivery thereof to the receiving party at the address of such party set forth above, (ii) if made by telex, telecopy or facsimile transmission, at the time that receipt thereof has been acknowledged by electronic confirmation or otherwise, (iii) if sent by overnight courier, on the next business day following the day such notice is delivered to the courier service, or (iv) if sent by registered mail, on the fifth business day following the day such mailing is made.</w:t>
      </w:r>
    </w:p>
    <w:p>
      <w:pPr>
        <w:spacing w:after="0" w:line="231" w:lineRule="exact"/>
        <w:rPr>
          <w:sz w:val="20"/>
          <w:szCs w:val="20"/>
          <w:color w:val="auto"/>
        </w:rPr>
      </w:pPr>
    </w:p>
    <w:p>
      <w:pPr>
        <w:jc w:val="both"/>
        <w:ind w:right="100" w:firstLine="656"/>
        <w:spacing w:after="0" w:line="251"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219" w:lineRule="exact"/>
        <w:rPr>
          <w:rFonts w:ascii="Times New Roman" w:cs="Times New Roman" w:eastAsia="Times New Roman" w:hAnsi="Times New Roman"/>
          <w:sz w:val="22"/>
          <w:szCs w:val="22"/>
          <w:color w:val="auto"/>
        </w:rPr>
      </w:pPr>
    </w:p>
    <w:p>
      <w:pPr>
        <w:ind w:right="100" w:firstLine="656"/>
        <w:spacing w:after="0" w:line="258" w:lineRule="auto"/>
        <w:tabs>
          <w:tab w:leader="none" w:pos="12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Modifications and Amendments</w:t>
      </w:r>
      <w:r>
        <w:rPr>
          <w:rFonts w:ascii="Times New Roman" w:cs="Times New Roman" w:eastAsia="Times New Roman" w:hAnsi="Times New Roman"/>
          <w:sz w:val="21"/>
          <w:szCs w:val="21"/>
          <w:color w:val="auto"/>
        </w:rPr>
        <w:t>. The terms and provisions of this Agreement may be modified or amended only by written agreement executed by the parties hereto.</w:t>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656"/>
        <w:spacing w:after="0" w:line="252"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Waivers and Consents</w:t>
      </w:r>
      <w:r>
        <w:rPr>
          <w:rFonts w:ascii="Times New Roman" w:cs="Times New Roman" w:eastAsia="Times New Roman" w:hAnsi="Times New Roman"/>
          <w:sz w:val="21"/>
          <w:szCs w:val="21"/>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218" w:lineRule="exact"/>
        <w:rPr>
          <w:rFonts w:ascii="Times New Roman" w:cs="Times New Roman" w:eastAsia="Times New Roman" w:hAnsi="Times New Roman"/>
          <w:sz w:val="22"/>
          <w:szCs w:val="22"/>
          <w:color w:val="auto"/>
        </w:rPr>
      </w:pPr>
    </w:p>
    <w:p>
      <w:pPr>
        <w:jc w:val="both"/>
        <w:ind w:right="100" w:firstLine="656"/>
        <w:spacing w:after="0" w:line="251" w:lineRule="auto"/>
        <w:tabs>
          <w:tab w:leader="none" w:pos="129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The Company may assign its rights and obligations hereunder to any person or entity that succeeds to all or substantially all of the Company’s business or that aspect of the Company’s business in which you are principally involved. Your rights and obligations under this Agreement may not be assigned by you without the prior written consent of the Company.</w:t>
      </w:r>
    </w:p>
    <w:p>
      <w:pPr>
        <w:jc w:val="both"/>
        <w:ind w:right="100" w:firstLine="656"/>
        <w:spacing w:after="0" w:line="247"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Benefit</w:t>
      </w:r>
      <w:r>
        <w:rPr>
          <w:rFonts w:ascii="Times New Roman" w:cs="Times New Roman" w:eastAsia="Times New Roman" w:hAnsi="Times New Roman"/>
          <w:sz w:val="21"/>
          <w:szCs w:val="21"/>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235" w:lineRule="exact"/>
        <w:rPr>
          <w:rFonts w:ascii="Times New Roman" w:cs="Times New Roman" w:eastAsia="Times New Roman" w:hAnsi="Times New Roman"/>
          <w:sz w:val="22"/>
          <w:szCs w:val="22"/>
          <w:color w:val="auto"/>
        </w:rPr>
      </w:pPr>
    </w:p>
    <w:p>
      <w:pPr>
        <w:jc w:val="both"/>
        <w:ind w:right="100" w:firstLine="656"/>
        <w:spacing w:after="0" w:line="249"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the rights and obligations of the parties hereunder shall be construed in accordance with and governed by the laws of the Commonwealth of Pennsylvania, without giving effect to the conflict of laws principles thereof.</w:t>
      </w:r>
    </w:p>
    <w:p>
      <w:pPr>
        <w:spacing w:after="0" w:line="235" w:lineRule="exact"/>
        <w:rPr>
          <w:rFonts w:ascii="Times New Roman" w:cs="Times New Roman" w:eastAsia="Times New Roman" w:hAnsi="Times New Roman"/>
          <w:sz w:val="22"/>
          <w:szCs w:val="22"/>
          <w:color w:val="auto"/>
        </w:rPr>
      </w:pPr>
    </w:p>
    <w:p>
      <w:pPr>
        <w:jc w:val="both"/>
        <w:ind w:right="100" w:firstLine="656"/>
        <w:spacing w:after="0" w:line="256"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Jurisdiction</w:t>
      </w:r>
      <w:r>
        <w:rPr>
          <w:rFonts w:ascii="Times New Roman" w:cs="Times New Roman" w:eastAsia="Times New Roman" w:hAnsi="Times New Roman"/>
          <w:sz w:val="21"/>
          <w:szCs w:val="21"/>
          <w:color w:val="auto"/>
        </w:rPr>
        <w:t>. Any legal action or proceeding with respect to this Agreement may be brought in the courts of the Commonwealth of Pennsylvania or of the United States of America. By execution and delivery of this Agreement, each of the parties hereto accepts for itself and in respect of its property, generally and unconditionally, the jurisdiction of the aforesaid courts.</w:t>
      </w:r>
    </w:p>
    <w:p>
      <w:pPr>
        <w:spacing w:after="0" w:line="240" w:lineRule="exact"/>
        <w:rPr>
          <w:rFonts w:ascii="Times New Roman" w:cs="Times New Roman" w:eastAsia="Times New Roman" w:hAnsi="Times New Roman"/>
          <w:sz w:val="22"/>
          <w:szCs w:val="22"/>
          <w:color w:val="auto"/>
        </w:rPr>
      </w:pPr>
    </w:p>
    <w:p>
      <w:pPr>
        <w:jc w:val="both"/>
        <w:ind w:right="100" w:firstLine="656"/>
        <w:spacing w:after="0" w:line="248" w:lineRule="auto"/>
        <w:tabs>
          <w:tab w:leader="none" w:pos="12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parties intend this Agreement to be enforced as written. However, (i) if any portion or provision of this Agreement shall to any extent be declared illegal or unenforceable by a duly authorized court having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and (ii) if any provision, or part thereof, is held to be unenforceable because of the duration of such provision or the geographic area covered thereby, the Company and you agree that the court making such determination shall have the power to reduce the duration and/or geographic area of such provision, and/or to delete specific words and phrases (“blue-penciling”), and in its reduced or blue-penciled form such provision shall then be enforceable and shall be enforced.</w:t>
      </w:r>
    </w:p>
    <w:p>
      <w:pPr>
        <w:spacing w:after="0" w:line="226" w:lineRule="exact"/>
        <w:rPr>
          <w:rFonts w:ascii="Times New Roman" w:cs="Times New Roman" w:eastAsia="Times New Roman" w:hAnsi="Times New Roman"/>
          <w:sz w:val="22"/>
          <w:szCs w:val="22"/>
          <w:color w:val="auto"/>
        </w:rPr>
      </w:pPr>
    </w:p>
    <w:p>
      <w:pPr>
        <w:ind w:right="120" w:firstLine="656"/>
        <w:spacing w:after="0" w:line="297" w:lineRule="auto"/>
        <w:tabs>
          <w:tab w:leader="none" w:pos="128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Headings and Captions</w:t>
      </w:r>
      <w:r>
        <w:rPr>
          <w:rFonts w:ascii="Times New Roman" w:cs="Times New Roman" w:eastAsia="Times New Roman" w:hAnsi="Times New Roman"/>
          <w:sz w:val="20"/>
          <w:szCs w:val="20"/>
          <w:color w:val="auto"/>
        </w:rPr>
        <w:t>. The headings and captions of the various subdivisions of this Agreement are for convenience of reference only and shall in no way modify, or affect the meaning or construction of any of the terms or provisions hereof.</w:t>
      </w:r>
    </w:p>
    <w:p>
      <w:pPr>
        <w:spacing w:after="0" w:line="172" w:lineRule="exact"/>
        <w:rPr>
          <w:rFonts w:ascii="Times New Roman" w:cs="Times New Roman" w:eastAsia="Times New Roman" w:hAnsi="Times New Roman"/>
          <w:sz w:val="21"/>
          <w:szCs w:val="21"/>
          <w:color w:val="auto"/>
        </w:rPr>
      </w:pPr>
    </w:p>
    <w:p>
      <w:pPr>
        <w:ind w:right="100" w:firstLine="656"/>
        <w:spacing w:after="0" w:line="272"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No Waiver of Rights, Powers and Remedies</w:t>
      </w:r>
      <w:r>
        <w:rPr>
          <w:rFonts w:ascii="Times New Roman" w:cs="Times New Roman" w:eastAsia="Times New Roman" w:hAnsi="Times New Roman"/>
          <w:sz w:val="21"/>
          <w:szCs w:val="21"/>
          <w:color w:val="auto"/>
        </w:rPr>
        <w:t>. No failure or delay by a party hereto in exercising any right, power or remedy under this Agreement, and no course of dealing between the</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20"/>
          <w:szCs w:val="20"/>
          <w:color w:val="auto"/>
        </w:rPr>
        <w:t>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220" w:lineRule="exact"/>
        <w:rPr>
          <w:sz w:val="20"/>
          <w:szCs w:val="20"/>
          <w:color w:val="auto"/>
        </w:rPr>
      </w:pPr>
    </w:p>
    <w:p>
      <w:pPr>
        <w:jc w:val="both"/>
        <w:ind w:right="100" w:firstLine="656"/>
        <w:spacing w:after="0" w:line="256" w:lineRule="auto"/>
        <w:tabs>
          <w:tab w:leader="none" w:pos="128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and by different parties hereto on separate counterparts, each of which shall be deemed an original, but all of which together shall constitute one and the same instrument.</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21"/>
          <w:szCs w:val="21"/>
          <w:color w:val="auto"/>
        </w:rPr>
        <w:t>If the foregoing accurately sets forth our agreement, please so indicate by signing and returning to us the enclosed copy of this letter.</w:t>
      </w:r>
    </w:p>
    <w:p>
      <w:pPr>
        <w:spacing w:after="0" w:line="19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4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color w:val="auto"/>
        </w:rPr>
        <w:t>MADRIGAL PHARMACEUTICALS, INC.</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____/s/ Bill Sibold_____________________</w:t>
      </w:r>
      <w:r>
        <w:rPr>
          <w:rFonts w:ascii="Times New Roman" w:cs="Times New Roman" w:eastAsia="Times New Roman" w:hAnsi="Times New Roman"/>
          <w:sz w:val="21"/>
          <w:szCs w:val="21"/>
          <w:color w:val="auto"/>
        </w:rPr>
        <w:t xml:space="preserve"> Bill Sibold</w:t>
      </w:r>
    </w:p>
    <w:p>
      <w:pPr>
        <w:spacing w:after="0" w:line="2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i w:val="1"/>
          <w:iCs w:val="1"/>
          <w:color w:val="auto"/>
        </w:rPr>
        <w:t>Chief Executive Officer</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u w:val="single" w:color="auto"/>
          <w:color w:val="auto"/>
        </w:rPr>
        <w:t>/s/ Carole Huntsman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Carole Huntsman</w:t>
      </w:r>
    </w:p>
    <w:p>
      <w:pPr>
        <w:sectPr>
          <w:pgSz w:w="11900" w:h="16838" w:orient="portrait"/>
          <w:cols w:equalWidth="0" w:num="1">
            <w:col w:w="11240"/>
          </w:cols>
          <w:pgMar w:left="320" w:top="117" w:right="339" w:bottom="1440" w:gutter="0" w:footer="0" w:header="0"/>
        </w:sectPr>
      </w:pPr>
    </w:p>
    <w:bookmarkStart w:id="50" w:name="page51"/>
    <w:bookmarkEnd w:id="50"/>
    <w:p>
      <w:pPr>
        <w:ind w:left="4404"/>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71"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22"/>
          <w:szCs w:val="22"/>
          <w:b w:val="1"/>
          <w:bCs w:val="1"/>
          <w:color w:val="auto"/>
        </w:rPr>
        <w:t>SEVERANCE AND CHANGE OF CONTROL AGREEMENT</w:t>
      </w:r>
    </w:p>
    <w:p>
      <w:pPr>
        <w:spacing w:after="0" w:line="247" w:lineRule="exact"/>
        <w:rPr>
          <w:sz w:val="20"/>
          <w:szCs w:val="20"/>
          <w:color w:val="auto"/>
        </w:rPr>
      </w:pPr>
    </w:p>
    <w:p>
      <w:pPr>
        <w:jc w:val="both"/>
        <w:ind w:left="344" w:right="60" w:firstLine="414"/>
        <w:spacing w:after="0" w:line="259" w:lineRule="auto"/>
        <w:rPr>
          <w:sz w:val="20"/>
          <w:szCs w:val="20"/>
          <w:color w:val="auto"/>
        </w:rPr>
      </w:pPr>
      <w:r>
        <w:rPr>
          <w:rFonts w:ascii="Times New Roman" w:cs="Times New Roman" w:eastAsia="Times New Roman" w:hAnsi="Times New Roman"/>
          <w:sz w:val="22"/>
          <w:szCs w:val="22"/>
          <w:color w:val="auto"/>
        </w:rPr>
        <w:t>This Severance and Change of Control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November 6, 2023 by and between Madrigal Pharmaceuticals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Carole Huntsman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4"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is employed by the Company, and because of such employment, possesses detailed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of the Company and its business and operations;</w:t>
      </w:r>
    </w:p>
    <w:p>
      <w:pPr>
        <w:spacing w:after="0" w:line="190" w:lineRule="exact"/>
        <w:rPr>
          <w:sz w:val="20"/>
          <w:szCs w:val="20"/>
          <w:color w:val="auto"/>
        </w:rPr>
      </w:pPr>
    </w:p>
    <w:p>
      <w:pPr>
        <w:ind w:left="4"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Executive’s continued service to the Company is very important to the future success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w:t>
      </w:r>
    </w:p>
    <w:p>
      <w:pPr>
        <w:spacing w:after="0" w:line="190" w:lineRule="exact"/>
        <w:rPr>
          <w:sz w:val="20"/>
          <w:szCs w:val="20"/>
          <w:color w:val="auto"/>
        </w:rPr>
      </w:pPr>
    </w:p>
    <w:p>
      <w:pPr>
        <w:jc w:val="both"/>
        <w:ind w:left="4" w:right="500" w:firstLine="73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enter into this Agreement to provide Executive with certain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protection in the event that Executive’s employment terminates under certain circumstances, and thereby to provide Executive with incentives to remain with the Company; and</w:t>
      </w:r>
    </w:p>
    <w:p>
      <w:pPr>
        <w:spacing w:after="0" w:line="188" w:lineRule="exact"/>
        <w:rPr>
          <w:sz w:val="20"/>
          <w:szCs w:val="20"/>
          <w:color w:val="auto"/>
        </w:rPr>
      </w:pPr>
    </w:p>
    <w:p>
      <w:pPr>
        <w:ind w:left="4"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acting through the Compensation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determined that it is in the best interests of the Company to enter into this Agreement.</w:t>
      </w:r>
    </w:p>
    <w:p>
      <w:pPr>
        <w:spacing w:after="0" w:line="164" w:lineRule="exact"/>
        <w:rPr>
          <w:sz w:val="20"/>
          <w:szCs w:val="20"/>
          <w:color w:val="auto"/>
        </w:rPr>
      </w:pPr>
    </w:p>
    <w:p>
      <w:pPr>
        <w:ind w:left="4"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Company and Executive agree as follows:</w:t>
      </w:r>
    </w:p>
    <w:p>
      <w:pPr>
        <w:spacing w:after="0" w:line="178" w:lineRule="exact"/>
        <w:rPr>
          <w:sz w:val="20"/>
          <w:szCs w:val="20"/>
          <w:color w:val="auto"/>
        </w:rPr>
      </w:pPr>
    </w:p>
    <w:p>
      <w:pPr>
        <w:ind w:left="644" w:hanging="644"/>
        <w:spacing w:after="0"/>
        <w:tabs>
          <w:tab w:leader="none" w:pos="644"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314" w:lineRule="exact"/>
        <w:rPr>
          <w:rFonts w:ascii="Times New Roman" w:cs="Times New Roman" w:eastAsia="Times New Roman" w:hAnsi="Times New Roman"/>
          <w:sz w:val="22"/>
          <w:szCs w:val="22"/>
          <w:b w:val="1"/>
          <w:bCs w:val="1"/>
          <w:color w:val="auto"/>
        </w:rPr>
      </w:pPr>
    </w:p>
    <w:p>
      <w:pPr>
        <w:jc w:val="both"/>
        <w:ind w:left="424" w:firstLine="656"/>
        <w:spacing w:after="0" w:line="260" w:lineRule="auto"/>
        <w:tabs>
          <w:tab w:leader="none" w:pos="1933"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As used herein,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include (and is not limited to): (i) dishonesty 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or any affiliate, parent or subsidiary of the Company; (ii) insubordination; (iii) substantial malfeasance or nonfeasance of duty; (iv) unauthorized disclosure of confidential information; (v) Executive’s breach of any material provision of any employment, consulting, advisory, non-disclosure, invention, assignment, non-competition, or similar agreement between Executive and the Company; or (vi) conduct substantially prejudicial to the business of the Company or any affiliate, parent or subsidiary of the Company. The Board shall have sole discretion to determine the existence of “Cause’’ and its determination will be conclusive on Executive and the Company; provided that the Board may delegate its power to act under this paragraph (a) to a committee of the Board in which case the determination of such committee shall be conclusive. “Cause” is not limited to events which have occurred prior to the termination of Executive’s service, nor is it necessary that the Board’s finding of “Cause” occur prior to such termination. If the Board determines, subsequent to Executive’s termination of service, that either prior or subsequent to Executive’s termination Executive engaged in conduct which would constitute “Cause,” then Executive shall have no right to any benefit or compensation under this Agreement.</w:t>
      </w:r>
    </w:p>
    <w:p>
      <w:pPr>
        <w:spacing w:after="0" w:line="217" w:lineRule="exact"/>
        <w:rPr>
          <w:rFonts w:ascii="Times New Roman" w:cs="Times New Roman" w:eastAsia="Times New Roman" w:hAnsi="Times New Roman"/>
          <w:sz w:val="21"/>
          <w:szCs w:val="21"/>
          <w:color w:val="auto"/>
        </w:rPr>
      </w:pPr>
    </w:p>
    <w:p>
      <w:pPr>
        <w:ind w:left="424" w:firstLine="656"/>
        <w:spacing w:after="0" w:line="275" w:lineRule="auto"/>
        <w:tabs>
          <w:tab w:leader="none" w:pos="1931"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As used herein, a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mean the occurrence of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events:</w:t>
      </w:r>
    </w:p>
    <w:p>
      <w:pPr>
        <w:spacing w:after="0" w:line="190" w:lineRule="exact"/>
        <w:rPr>
          <w:sz w:val="20"/>
          <w:szCs w:val="20"/>
          <w:color w:val="auto"/>
        </w:rPr>
      </w:pPr>
    </w:p>
    <w:p>
      <w:pPr>
        <w:jc w:val="both"/>
        <w:ind w:left="424" w:firstLine="1296"/>
        <w:spacing w:after="0" w:line="259"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b w:val="1"/>
          <w:bCs w:val="1"/>
          <w:u w:val="single" w:color="auto"/>
          <w:color w:val="auto"/>
        </w:rPr>
        <w:t>Ownership</w:t>
      </w:r>
      <w:r>
        <w:rPr>
          <w:rFonts w:ascii="Times New Roman" w:cs="Times New Roman" w:eastAsia="Times New Roman" w:hAnsi="Times New Roman"/>
          <w:sz w:val="22"/>
          <w:szCs w:val="22"/>
          <w:color w:val="auto"/>
        </w:rPr>
        <w:t>. Any “Person” (as such term is used in Sections 13(d) and 14(d) of the Securities Exchange Act of 1934, as amended) becomes the “Beneficial Owner” (as defined in Rule 13d-3 under said Act), directly or indirectly, of securities of the Company</w:t>
      </w:r>
    </w:p>
    <w:p>
      <w:pPr>
        <w:sectPr>
          <w:pgSz w:w="11900" w:h="16838" w:orient="portrait"/>
          <w:cols w:equalWidth="0" w:num="1">
            <w:col w:w="10484"/>
          </w:cols>
          <w:pgMar w:left="976" w:top="999" w:right="439" w:bottom="1440" w:gutter="0" w:footer="0" w:header="0"/>
        </w:sectPr>
      </w:pPr>
    </w:p>
    <w:bookmarkStart w:id="51" w:name="page52"/>
    <w:bookmarkEnd w:id="51"/>
    <w:p>
      <w:pPr>
        <w:jc w:val="both"/>
        <w:ind w:left="35"/>
        <w:spacing w:after="0" w:line="252" w:lineRule="auto"/>
        <w:rPr>
          <w:sz w:val="20"/>
          <w:szCs w:val="20"/>
          <w:color w:val="auto"/>
        </w:rPr>
      </w:pPr>
      <w:r>
        <w:rPr>
          <w:rFonts w:ascii="Times New Roman" w:cs="Times New Roman" w:eastAsia="Times New Roman" w:hAnsi="Times New Roman"/>
          <w:sz w:val="22"/>
          <w:szCs w:val="22"/>
          <w:color w:val="auto"/>
        </w:rPr>
        <w:t>representing fifty percent (50%) or more of the total voting power represented by the Company’s then outstanding voting securities (excluding for this purpose any such voting securities held by the Company, or any affiliate, parent or subsidiary of the Company, or by any employee benefit plan of the Company) pursuant to a transaction or a series of related transactions which the Board does not approve; or</w:t>
      </w:r>
    </w:p>
    <w:p>
      <w:pPr>
        <w:spacing w:after="0" w:line="216" w:lineRule="exact"/>
        <w:rPr>
          <w:sz w:val="20"/>
          <w:szCs w:val="20"/>
          <w:color w:val="auto"/>
        </w:rPr>
      </w:pPr>
    </w:p>
    <w:p>
      <w:pPr>
        <w:jc w:val="both"/>
        <w:ind w:left="-25" w:firstLine="1304"/>
        <w:spacing w:after="0" w:line="249" w:lineRule="auto"/>
        <w:tabs>
          <w:tab w:leader="none" w:pos="2129"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Merger/Sale of Assets</w:t>
      </w:r>
      <w:r>
        <w:rPr>
          <w:rFonts w:ascii="Times New Roman" w:cs="Times New Roman" w:eastAsia="Times New Roman" w:hAnsi="Times New Roman"/>
          <w:sz w:val="22"/>
          <w:szCs w:val="22"/>
          <w:color w:val="auto"/>
        </w:rPr>
        <w:t>. (A) A merger or consolidation of the Company, whether or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fifty percent (50%) of the total voting power represented by the voting securities of the Company or such surviving entity or parent of such corporation, as the case may be outstanding immediately after such merger or consolidation; or (B) the stockholders of the Company approve an agreement for the sale or disposition by the Company of all or substantially all of the Company’s assets; or</w:t>
      </w:r>
    </w:p>
    <w:p>
      <w:pPr>
        <w:spacing w:after="0" w:line="222" w:lineRule="exact"/>
        <w:rPr>
          <w:rFonts w:ascii="Times New Roman" w:cs="Times New Roman" w:eastAsia="Times New Roman" w:hAnsi="Times New Roman"/>
          <w:sz w:val="22"/>
          <w:szCs w:val="22"/>
          <w:color w:val="auto"/>
        </w:rPr>
      </w:pPr>
    </w:p>
    <w:p>
      <w:pPr>
        <w:jc w:val="both"/>
        <w:ind w:left="-25" w:firstLine="1304"/>
        <w:spacing w:after="0" w:line="250" w:lineRule="auto"/>
        <w:tabs>
          <w:tab w:leader="none" w:pos="2135"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Board Composition</w:t>
      </w:r>
      <w:r>
        <w:rPr>
          <w:rFonts w:ascii="Times New Roman" w:cs="Times New Roman" w:eastAsia="Times New Roman" w:hAnsi="Times New Roman"/>
          <w:sz w:val="22"/>
          <w:szCs w:val="22"/>
          <w:color w:val="auto"/>
        </w:rPr>
        <w:t>. A change in the composition of the Board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fewer than a majority of the directors are Incumbent Directors. “Incumbent Directors” shall mean directors who either (A) are directors of the Company as of the date of this Agreement, or (B) are elected, or nominated for election to the Board with the affirmative votes of at least a majority of the Incumbent Directors, or by a committee of the Board made up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220" w:lineRule="exact"/>
        <w:rPr>
          <w:rFonts w:ascii="Times New Roman" w:cs="Times New Roman" w:eastAsia="Times New Roman" w:hAnsi="Times New Roman"/>
          <w:sz w:val="22"/>
          <w:szCs w:val="22"/>
          <w:color w:val="auto"/>
        </w:rPr>
      </w:pPr>
    </w:p>
    <w:p>
      <w:pPr>
        <w:jc w:val="both"/>
        <w:ind w:left="-25" w:firstLine="656"/>
        <w:spacing w:after="0" w:line="248" w:lineRule="auto"/>
        <w:tabs>
          <w:tab w:leader="none" w:pos="148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color w:val="auto"/>
        </w:rPr>
        <w:t>. As used herein, a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(i) Executive, as a condition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remaining an employee of the Company, is required to change the principal location where Executive renders services to the Company to a location more than fifty (50) miles from Executive’s then-current location of employment; (ii) there occurs a material adverse change in Executive’s duties, authority or responsibilities which causes Executive’s position with the Company to carry significantly less responsibility or authority than Executive’s position on the date hereof, or (iii) there occurs a material reduction in Executive’s base salary from Executive’s base salary received on the date hereof, provided that any notice of termination by Executive for Good Reason shall be given by Executive within fifteen (15) days of Executive’s becoming aware of the occurrence of the facts giving rise to such Good Reason. For purposes of this Agreement, “Good Reason” shall be interpreted in a manner, and limited to the extent necessary, so that it will not cause adverse tax consequences for either party with respect to Section 409A of the Internal Revenue Code of 1986, as amended (“</w:t>
      </w:r>
      <w:r>
        <w:rPr>
          <w:rFonts w:ascii="Times New Roman" w:cs="Times New Roman" w:eastAsia="Times New Roman" w:hAnsi="Times New Roman"/>
          <w:sz w:val="22"/>
          <w:szCs w:val="22"/>
          <w:b w:val="1"/>
          <w:bCs w:val="1"/>
          <w:color w:val="auto"/>
        </w:rPr>
        <w:t>Code Section 409A</w:t>
      </w:r>
      <w:r>
        <w:rPr>
          <w:rFonts w:ascii="Times New Roman" w:cs="Times New Roman" w:eastAsia="Times New Roman" w:hAnsi="Times New Roman"/>
          <w:sz w:val="22"/>
          <w:szCs w:val="22"/>
          <w:color w:val="auto"/>
        </w:rPr>
        <w:t>”), and any successor statute, regulation and guidance thereto.</w:t>
      </w:r>
    </w:p>
    <w:p>
      <w:pPr>
        <w:spacing w:after="0" w:line="224" w:lineRule="exact"/>
        <w:rPr>
          <w:rFonts w:ascii="Times New Roman" w:cs="Times New Roman" w:eastAsia="Times New Roman" w:hAnsi="Times New Roman"/>
          <w:sz w:val="22"/>
          <w:szCs w:val="22"/>
          <w:color w:val="auto"/>
        </w:rPr>
      </w:pPr>
    </w:p>
    <w:p>
      <w:pPr>
        <w:ind w:left="-25" w:firstLine="656"/>
        <w:spacing w:after="0" w:line="299" w:lineRule="auto"/>
        <w:tabs>
          <w:tab w:leader="none" w:pos="1482"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color w:val="auto"/>
        </w:rPr>
        <w:t>. As used herein,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shall mean Executive’s annual base salary, excluding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reimbursements, bonuses, benefits, and amounts attributable to stock options and other non-cash compensation.</w:t>
      </w:r>
    </w:p>
    <w:p>
      <w:pPr>
        <w:spacing w:after="0" w:line="221" w:lineRule="exact"/>
        <w:rPr>
          <w:rFonts w:ascii="Times New Roman" w:cs="Times New Roman" w:eastAsia="Times New Roman" w:hAnsi="Times New Roman"/>
          <w:sz w:val="21"/>
          <w:szCs w:val="21"/>
          <w:color w:val="auto"/>
        </w:rPr>
      </w:pPr>
    </w:p>
    <w:p>
      <w:pPr>
        <w:jc w:val="both"/>
        <w:ind w:left="-5" w:right="100" w:firstLine="5"/>
        <w:spacing w:after="0" w:line="241" w:lineRule="auto"/>
        <w:tabs>
          <w:tab w:leader="none" w:pos="832"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for Termination by the Company Other than For Cause or by Executive for Good Reason</w:t>
      </w:r>
      <w:r>
        <w:rPr>
          <w:rFonts w:ascii="Times New Roman" w:cs="Times New Roman" w:eastAsia="Times New Roman" w:hAnsi="Times New Roman"/>
          <w:sz w:val="22"/>
          <w:szCs w:val="22"/>
          <w:color w:val="auto"/>
        </w:rPr>
        <w:t>. In the event that (i) Executive’s employment is terminated by action of the Company other than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or (ii) Executive terminates Executive’s employment for Good Reason, then Executive shall receive the following (A) in part consideration for undertaking the obligations set forth in the Confidentiality and Inventions and</w:t>
      </w:r>
    </w:p>
    <w:p>
      <w:pPr>
        <w:sectPr>
          <w:pgSz w:w="11900" w:h="16838" w:orient="portrait"/>
          <w:cols w:equalWidth="0" w:num="1">
            <w:col w:w="10035"/>
          </w:cols>
          <w:pgMar w:left="1425" w:top="517"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Restrictive Covenants Agreement signed and delivered by Executive as of the date thereof and (B) subject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Executive’s execution of a release of claims as described in Section 7:</w:t>
      </w:r>
    </w:p>
    <w:p>
      <w:pPr>
        <w:spacing w:after="0" w:line="286" w:lineRule="exact"/>
        <w:rPr>
          <w:sz w:val="20"/>
          <w:szCs w:val="20"/>
          <w:color w:val="auto"/>
        </w:rPr>
      </w:pPr>
    </w:p>
    <w:p>
      <w:pPr>
        <w:jc w:val="both"/>
        <w:ind w:firstLine="653"/>
        <w:spacing w:after="0" w:line="258" w:lineRule="auto"/>
        <w:tabs>
          <w:tab w:leader="none" w:pos="1495"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Severance Payments</w:t>
      </w:r>
      <w:r>
        <w:rPr>
          <w:rFonts w:ascii="Times New Roman" w:cs="Times New Roman" w:eastAsia="Times New Roman" w:hAnsi="Times New Roman"/>
          <w:sz w:val="22"/>
          <w:szCs w:val="22"/>
          <w:color w:val="auto"/>
        </w:rPr>
        <w:t>. Continuation of payments in an amount equal to Executive’s then-current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 Salary for a twelve (12) month period less all customary and required taxes and employment-related deductions, in accordance with the Company’s normal payroll practices (provided such payments will be made at least monthly).</w:t>
      </w:r>
    </w:p>
    <w:p>
      <w:pPr>
        <w:spacing w:after="0" w:line="208" w:lineRule="exact"/>
        <w:rPr>
          <w:rFonts w:ascii="Times New Roman" w:cs="Times New Roman" w:eastAsia="Times New Roman" w:hAnsi="Times New Roman"/>
          <w:sz w:val="22"/>
          <w:szCs w:val="22"/>
          <w:color w:val="auto"/>
        </w:rPr>
      </w:pPr>
    </w:p>
    <w:p>
      <w:pPr>
        <w:jc w:val="both"/>
        <w:ind w:left="-20" w:right="20" w:firstLine="647"/>
        <w:spacing w:after="0" w:line="251" w:lineRule="auto"/>
        <w:tabs>
          <w:tab w:leader="none" w:pos="149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Bonus</w:t>
      </w:r>
      <w:r>
        <w:rPr>
          <w:rFonts w:ascii="Times New Roman" w:cs="Times New Roman" w:eastAsia="Times New Roman" w:hAnsi="Times New Roman"/>
          <w:sz w:val="22"/>
          <w:szCs w:val="22"/>
          <w:color w:val="auto"/>
        </w:rPr>
        <w:t>. Payment of a separation bonus in an amount equal to the target annual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which Executive may have been entitled for the year in which Executive is terminated, less all customary and required taxes and employment-related deductions, paid in twelve (12) equal monthly installments less all customary and required taxes and employment-related deductions, in accordance with the Company’s normal payroll practices (provided such payments will be made at least monthly).</w:t>
      </w:r>
    </w:p>
    <w:p>
      <w:pPr>
        <w:spacing w:after="0" w:line="216" w:lineRule="exact"/>
        <w:rPr>
          <w:rFonts w:ascii="Times New Roman" w:cs="Times New Roman" w:eastAsia="Times New Roman" w:hAnsi="Times New Roman"/>
          <w:sz w:val="22"/>
          <w:szCs w:val="22"/>
          <w:color w:val="auto"/>
        </w:rPr>
      </w:pPr>
    </w:p>
    <w:p>
      <w:pPr>
        <w:jc w:val="both"/>
        <w:ind w:firstLine="653"/>
        <w:spacing w:after="0" w:line="259" w:lineRule="auto"/>
        <w:tabs>
          <w:tab w:leader="none" w:pos="1495"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Acceleration</w:t>
      </w:r>
      <w:r>
        <w:rPr>
          <w:rFonts w:ascii="Times New Roman" w:cs="Times New Roman" w:eastAsia="Times New Roman" w:hAnsi="Times New Roman"/>
          <w:sz w:val="22"/>
          <w:szCs w:val="22"/>
          <w:color w:val="auto"/>
        </w:rPr>
        <w:t>. Acceleration of vesting of any and all outstanding equity awards that would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vested during the period commencing on Executive’s date of termination through and including the date that is twelve (12) months following Executive’s date of termination.</w:t>
      </w:r>
    </w:p>
    <w:p>
      <w:pPr>
        <w:spacing w:after="0" w:line="206" w:lineRule="exact"/>
        <w:rPr>
          <w:rFonts w:ascii="Times New Roman" w:cs="Times New Roman" w:eastAsia="Times New Roman" w:hAnsi="Times New Roman"/>
          <w:sz w:val="22"/>
          <w:szCs w:val="22"/>
          <w:color w:val="auto"/>
        </w:rPr>
      </w:pPr>
    </w:p>
    <w:p>
      <w:pPr>
        <w:jc w:val="both"/>
        <w:ind w:firstLine="653"/>
        <w:spacing w:after="0" w:line="250" w:lineRule="auto"/>
        <w:tabs>
          <w:tab w:leader="none" w:pos="1494"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COBRA Payments</w:t>
      </w:r>
      <w:r>
        <w:rPr>
          <w:rFonts w:ascii="Times New Roman" w:cs="Times New Roman" w:eastAsia="Times New Roman" w:hAnsi="Times New Roman"/>
          <w:sz w:val="22"/>
          <w:szCs w:val="22"/>
          <w:color w:val="auto"/>
        </w:rPr>
        <w:t>. Upon completion of the appropriate COBRA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is the Consolidated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Omnibus Budget Reconciliation Act of 1985, as amended) forms, and subject to all the requirements of COBRA, the Company shall continue Executive’s participation in the Company’s health and dental insurance plans at the Company’s cost (except for Executive’s applicable contribution portion and co-pay, if any, which shall be deducted from Executive’s severance compensation) for the twelve (12) months following Executive’s date of termination, to the same extent that such insurance is provided to similarly situated Company executives, provided that this benefit will cease and the Company will be under no obligation to provide it if Executive has become eligible for coverage under another employer’s group coverage, and Executive hereby agrees to notify the Company promptly and in writing should that occur.</w:t>
      </w:r>
    </w:p>
    <w:p>
      <w:pPr>
        <w:spacing w:after="0" w:line="206" w:lineRule="exact"/>
        <w:rPr>
          <w:rFonts w:ascii="Times New Roman" w:cs="Times New Roman" w:eastAsia="Times New Roman" w:hAnsi="Times New Roman"/>
          <w:sz w:val="22"/>
          <w:szCs w:val="22"/>
          <w:color w:val="auto"/>
        </w:rPr>
      </w:pPr>
    </w:p>
    <w:p>
      <w:pPr>
        <w:jc w:val="both"/>
        <w:ind w:firstLine="653"/>
        <w:spacing w:after="0" w:line="265" w:lineRule="auto"/>
        <w:tabs>
          <w:tab w:leader="none" w:pos="1495"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Duplication</w:t>
      </w:r>
      <w:r>
        <w:rPr>
          <w:rFonts w:ascii="Times New Roman" w:cs="Times New Roman" w:eastAsia="Times New Roman" w:hAnsi="Times New Roman"/>
          <w:sz w:val="22"/>
          <w:szCs w:val="22"/>
          <w:color w:val="auto"/>
        </w:rPr>
        <w:t>. In the event that Executive is eligible for the severance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below, Executive shall not be eligible for and shall not receive any of the severance payments and benefits as provided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55" w:lineRule="exact"/>
        <w:rPr>
          <w:rFonts w:ascii="Times New Roman" w:cs="Times New Roman" w:eastAsia="Times New Roman" w:hAnsi="Times New Roman"/>
          <w:sz w:val="22"/>
          <w:szCs w:val="22"/>
          <w:color w:val="auto"/>
        </w:rPr>
      </w:pPr>
    </w:p>
    <w:p>
      <w:pPr>
        <w:jc w:val="both"/>
        <w:ind w:firstLine="5"/>
        <w:spacing w:after="0" w:line="252" w:lineRule="auto"/>
        <w:tabs>
          <w:tab w:leader="none" w:pos="189"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of Control Severance</w:t>
      </w:r>
      <w:r>
        <w:rPr>
          <w:rFonts w:ascii="Times New Roman" w:cs="Times New Roman" w:eastAsia="Times New Roman" w:hAnsi="Times New Roman"/>
          <w:sz w:val="22"/>
          <w:szCs w:val="22"/>
          <w:color w:val="auto"/>
        </w:rPr>
        <w:t>. In the event that a Change of Control occurs and within a period of one (1)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following the Change of Control either: (i) Executive’s employment is terminated by action of the Company other than for Cause, or (ii) Executive terminates Executive’s employment for Good Reason, then Executive shall receive the following (A) in part consideration for undertaking the obligations set forth in the Confidentiality and Inventions and Restrictive Covenants Agreement signed and delivered by Executive as of the date thereof and (B) subject to Executive’s execution of a release of claims as described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282" w:lineRule="exact"/>
        <w:rPr>
          <w:rFonts w:ascii="Times New Roman" w:cs="Times New Roman" w:eastAsia="Times New Roman" w:hAnsi="Times New Roman"/>
          <w:sz w:val="22"/>
          <w:szCs w:val="22"/>
          <w:b w:val="1"/>
          <w:bCs w:val="1"/>
          <w:color w:val="auto"/>
        </w:rPr>
      </w:pPr>
    </w:p>
    <w:p>
      <w:pPr>
        <w:jc w:val="both"/>
        <w:ind w:firstLine="653"/>
        <w:spacing w:after="0" w:line="259" w:lineRule="auto"/>
        <w:tabs>
          <w:tab w:leader="none" w:pos="1495"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Lump Sum Severance Payment</w:t>
      </w:r>
      <w:r>
        <w:rPr>
          <w:rFonts w:ascii="Times New Roman" w:cs="Times New Roman" w:eastAsia="Times New Roman" w:hAnsi="Times New Roman"/>
          <w:sz w:val="22"/>
          <w:szCs w:val="22"/>
          <w:color w:val="auto"/>
        </w:rPr>
        <w:t>. Within thirty (30) days following Executive’s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of an amount equal to twelve (12) months of Executive’s then-current Base Salary less all customary and required taxes and employment-related deductions.</w:t>
      </w:r>
    </w:p>
    <w:p>
      <w:pPr>
        <w:sectPr>
          <w:pgSz w:w="11900" w:h="16838" w:orient="portrait"/>
          <w:cols w:equalWidth="0" w:num="1">
            <w:col w:w="10040"/>
          </w:cols>
          <w:pgMar w:left="1420" w:top="504" w:right="439" w:bottom="1440" w:gutter="0" w:footer="0" w:header="0"/>
        </w:sectPr>
      </w:pPr>
    </w:p>
    <w:bookmarkStart w:id="53" w:name="page54"/>
    <w:bookmarkEnd w:id="53"/>
    <w:p>
      <w:pPr>
        <w:spacing w:after="0" w:line="46" w:lineRule="exact"/>
        <w:rPr>
          <w:sz w:val="20"/>
          <w:szCs w:val="20"/>
          <w:color w:val="auto"/>
        </w:rPr>
      </w:pPr>
    </w:p>
    <w:p>
      <w:pPr>
        <w:jc w:val="both"/>
        <w:ind w:left="-5" w:firstLine="653"/>
        <w:spacing w:after="0" w:line="265" w:lineRule="auto"/>
        <w:tabs>
          <w:tab w:leader="none" w:pos="148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Bonus</w:t>
      </w:r>
      <w:r>
        <w:rPr>
          <w:rFonts w:ascii="Times New Roman" w:cs="Times New Roman" w:eastAsia="Times New Roman" w:hAnsi="Times New Roman"/>
          <w:sz w:val="22"/>
          <w:szCs w:val="22"/>
          <w:color w:val="auto"/>
        </w:rPr>
        <w:t>. Within thirty (30) days following Executive’s termination, payment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bonus in an amount equal to the target annual bonus to which Executive may have been entitled for the year in which Executive is terminated, less all customary and required taxes and employment-related deductions.</w:t>
      </w:r>
    </w:p>
    <w:p>
      <w:pPr>
        <w:spacing w:after="0" w:line="188" w:lineRule="exact"/>
        <w:rPr>
          <w:rFonts w:ascii="Times New Roman" w:cs="Times New Roman" w:eastAsia="Times New Roman" w:hAnsi="Times New Roman"/>
          <w:sz w:val="22"/>
          <w:szCs w:val="22"/>
          <w:color w:val="auto"/>
        </w:rPr>
      </w:pPr>
    </w:p>
    <w:p>
      <w:pPr>
        <w:ind w:left="-5" w:firstLine="653"/>
        <w:spacing w:after="0" w:line="287" w:lineRule="auto"/>
        <w:tabs>
          <w:tab w:leader="none" w:pos="149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Acceleration</w:t>
      </w:r>
      <w:r>
        <w:rPr>
          <w:rFonts w:ascii="Times New Roman" w:cs="Times New Roman" w:eastAsia="Times New Roman" w:hAnsi="Times New Roman"/>
          <w:sz w:val="22"/>
          <w:szCs w:val="22"/>
          <w:color w:val="auto"/>
        </w:rPr>
        <w:t>. Full acceleration as of the date of termination of vesting of any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awards outstanding immediately prior to termination.</w:t>
      </w:r>
    </w:p>
    <w:p>
      <w:pPr>
        <w:spacing w:after="0" w:line="164" w:lineRule="exact"/>
        <w:rPr>
          <w:rFonts w:ascii="Times New Roman" w:cs="Times New Roman" w:eastAsia="Times New Roman" w:hAnsi="Times New Roman"/>
          <w:sz w:val="22"/>
          <w:szCs w:val="22"/>
          <w:color w:val="auto"/>
        </w:rPr>
      </w:pPr>
    </w:p>
    <w:p>
      <w:pPr>
        <w:jc w:val="both"/>
        <w:ind w:left="-5" w:firstLine="648"/>
        <w:spacing w:after="0" w:line="251" w:lineRule="auto"/>
        <w:tabs>
          <w:tab w:leader="none" w:pos="148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COBRA Payments</w:t>
      </w:r>
      <w:r>
        <w:rPr>
          <w:rFonts w:ascii="Times New Roman" w:cs="Times New Roman" w:eastAsia="Times New Roman" w:hAnsi="Times New Roman"/>
          <w:sz w:val="22"/>
          <w:szCs w:val="22"/>
          <w:color w:val="auto"/>
        </w:rPr>
        <w:t>. Upon completion of the appropriate COBRA forms, and subject to all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COBRA, the Company shall continue Executive’s participation in the Company’s health and dental insurance plans at the Company’s cost (except for Executive’s applicable contribution portion and co-pay, if any, which shall be deducted from Executive’s severance compensation) for the twelve (12) months following Executive’s date of termination, to the same extent that such insurance is provided to similarly situated Company executives. provided that this benefit will cease and the Company will be under no obligation to provide it if Executive has become eligible for coverage under another employer’s group coverage, and Executive hereby agrees to notify the Company promptly and in writing should that occur.</w:t>
      </w:r>
    </w:p>
    <w:p>
      <w:pPr>
        <w:spacing w:after="0" w:line="218" w:lineRule="exact"/>
        <w:rPr>
          <w:rFonts w:ascii="Times New Roman" w:cs="Times New Roman" w:eastAsia="Times New Roman" w:hAnsi="Times New Roman"/>
          <w:sz w:val="22"/>
          <w:szCs w:val="22"/>
          <w:color w:val="auto"/>
        </w:rPr>
      </w:pPr>
    </w:p>
    <w:p>
      <w:pPr>
        <w:jc w:val="both"/>
        <w:ind w:left="-5" w:firstLine="653"/>
        <w:spacing w:after="0" w:line="259" w:lineRule="auto"/>
        <w:tabs>
          <w:tab w:leader="none" w:pos="149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Duplication</w:t>
      </w:r>
      <w:r>
        <w:rPr>
          <w:rFonts w:ascii="Times New Roman" w:cs="Times New Roman" w:eastAsia="Times New Roman" w:hAnsi="Times New Roman"/>
          <w:sz w:val="22"/>
          <w:szCs w:val="22"/>
          <w:color w:val="auto"/>
        </w:rPr>
        <w:t>. In the event that Executive is eligible for the severance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above, Executive shall not be eligible for and shall not receive any of the severance payments and benefits as provided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5" w:firstLine="5"/>
        <w:spacing w:after="0" w:line="265" w:lineRule="auto"/>
        <w:tabs>
          <w:tab w:leader="none" w:pos="184"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Severance</w:t>
      </w:r>
      <w:r>
        <w:rPr>
          <w:rFonts w:ascii="Times New Roman" w:cs="Times New Roman" w:eastAsia="Times New Roman" w:hAnsi="Times New Roman"/>
          <w:sz w:val="22"/>
          <w:szCs w:val="22"/>
          <w:color w:val="auto"/>
        </w:rPr>
        <w:t>. In the event that Executive’s employment is terminated for any reason other than those outlined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then Executive shall have no right to any of the severance payments and benefits provided under this Agreement.</w:t>
      </w:r>
    </w:p>
    <w:p>
      <w:pPr>
        <w:spacing w:after="0" w:line="188" w:lineRule="exact"/>
        <w:rPr>
          <w:rFonts w:ascii="Times New Roman" w:cs="Times New Roman" w:eastAsia="Times New Roman" w:hAnsi="Times New Roman"/>
          <w:sz w:val="22"/>
          <w:szCs w:val="22"/>
          <w:b w:val="1"/>
          <w:bCs w:val="1"/>
          <w:color w:val="auto"/>
        </w:rPr>
      </w:pPr>
    </w:p>
    <w:p>
      <w:pPr>
        <w:jc w:val="both"/>
        <w:ind w:left="-5" w:firstLine="5"/>
        <w:spacing w:after="0" w:line="241" w:lineRule="auto"/>
        <w:tabs>
          <w:tab w:leader="none" w:pos="184"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Distribution Limitation</w:t>
      </w:r>
      <w:r>
        <w:rPr>
          <w:rFonts w:ascii="Times New Roman" w:cs="Times New Roman" w:eastAsia="Times New Roman" w:hAnsi="Times New Roman"/>
          <w:sz w:val="22"/>
          <w:szCs w:val="22"/>
          <w:color w:val="auto"/>
        </w:rPr>
        <w:t>. If any payment or benefit Executive would receive under this Agreement, when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combined with any other payment or benefit Executive receives pursuant to a Change of Control (for purposes of this section, a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would: (i) constitute a “parachute payment”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(ii) but for this sentence, be subject to the excise tax imposed by Section 4999 of the Code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such Payment shall be either: (x) the full amount of such Payment; or (y)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 tax basis, of the greater amount of the Payment notwithstanding that all or some portion of the Payment may be subject to the Excise Tax.</w:t>
      </w:r>
    </w:p>
    <w:p>
      <w:pPr>
        <w:spacing w:after="0" w:line="227" w:lineRule="exact"/>
        <w:rPr>
          <w:rFonts w:ascii="Times New Roman" w:cs="Times New Roman" w:eastAsia="Times New Roman" w:hAnsi="Times New Roman"/>
          <w:sz w:val="22"/>
          <w:szCs w:val="22"/>
          <w:b w:val="1"/>
          <w:bCs w:val="1"/>
          <w:color w:val="auto"/>
        </w:rPr>
      </w:pPr>
    </w:p>
    <w:p>
      <w:pPr>
        <w:jc w:val="both"/>
        <w:ind w:left="-5" w:firstLine="5"/>
        <w:spacing w:after="0" w:line="252" w:lineRule="auto"/>
        <w:tabs>
          <w:tab w:leader="none" w:pos="184"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Timing Of Payments</w:t>
      </w:r>
      <w:r>
        <w:rPr>
          <w:rFonts w:ascii="Times New Roman" w:cs="Times New Roman" w:eastAsia="Times New Roman" w:hAnsi="Times New Roman"/>
          <w:sz w:val="22"/>
          <w:szCs w:val="22"/>
          <w:color w:val="auto"/>
        </w:rPr>
        <w:t>. Notwithstanding any other provision with respect to the timing of payments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if at the time of Executive’s termination, Executive is deemed to be a “specified employee” of the Company (within the meaning of Code Section 409A(a)(2)( B)(i) and any successor statute, regulation and guidance thereto (“</w:t>
      </w:r>
      <w:r>
        <w:rPr>
          <w:rFonts w:ascii="Times New Roman" w:cs="Times New Roman" w:eastAsia="Times New Roman" w:hAnsi="Times New Roman"/>
          <w:sz w:val="22"/>
          <w:szCs w:val="22"/>
          <w:b w:val="1"/>
          <w:bCs w:val="1"/>
          <w:color w:val="auto"/>
        </w:rPr>
        <w:t>Code Section 409A</w:t>
      </w:r>
      <w:r>
        <w:rPr>
          <w:rFonts w:ascii="Times New Roman" w:cs="Times New Roman" w:eastAsia="Times New Roman" w:hAnsi="Times New Roman"/>
          <w:sz w:val="22"/>
          <w:szCs w:val="22"/>
          <w:color w:val="auto"/>
        </w:rPr>
        <w:t xml:space="preserve">”)), then limited only to the extent necessary to comply with the requirements of Code Section 409A any payments to which Executive may become entitled under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which are subject to Code Section 409A (and not otherwise exempt from its application) will be</w:t>
      </w:r>
    </w:p>
    <w:p>
      <w:pPr>
        <w:sectPr>
          <w:pgSz w:w="11900" w:h="16838" w:orient="portrait"/>
          <w:cols w:equalWidth="0" w:num="1">
            <w:col w:w="10035"/>
          </w:cols>
          <w:pgMar w:left="1425" w:top="1440" w:right="439" w:bottom="1440" w:gutter="0" w:footer="0" w:header="0"/>
        </w:sectPr>
      </w:pPr>
    </w:p>
    <w:bookmarkStart w:id="54" w:name="page55"/>
    <w:bookmarkEnd w:id="54"/>
    <w:p>
      <w:pPr>
        <w:jc w:val="both"/>
        <w:ind w:left="12"/>
        <w:spacing w:after="0" w:line="257" w:lineRule="auto"/>
        <w:rPr>
          <w:sz w:val="20"/>
          <w:szCs w:val="20"/>
          <w:color w:val="auto"/>
        </w:rPr>
      </w:pPr>
      <w:r>
        <w:rPr>
          <w:rFonts w:ascii="Times New Roman" w:cs="Times New Roman" w:eastAsia="Times New Roman" w:hAnsi="Times New Roman"/>
          <w:sz w:val="22"/>
          <w:szCs w:val="22"/>
          <w:color w:val="auto"/>
        </w:rPr>
        <w:t xml:space="preserve">withheld until the first (1st) business day of the seventh (7th) month following the termination of Executive’s employment at which time Executive shall be paid an aggregate amount equal to the accumulated, but unpaid, payments otherwise due to Executive under the terms of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w:t>
      </w:r>
    </w:p>
    <w:p>
      <w:pPr>
        <w:spacing w:after="0" w:line="277" w:lineRule="exact"/>
        <w:rPr>
          <w:sz w:val="20"/>
          <w:szCs w:val="20"/>
          <w:color w:val="auto"/>
        </w:rPr>
      </w:pPr>
    </w:p>
    <w:p>
      <w:pPr>
        <w:jc w:val="both"/>
        <w:ind w:left="12" w:firstLine="5"/>
        <w:spacing w:after="0" w:line="252" w:lineRule="auto"/>
        <w:tabs>
          <w:tab w:leader="none" w:pos="201"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Release of Claims</w:t>
      </w:r>
      <w:r>
        <w:rPr>
          <w:rFonts w:ascii="Times New Roman" w:cs="Times New Roman" w:eastAsia="Times New Roman" w:hAnsi="Times New Roman"/>
          <w:sz w:val="22"/>
          <w:szCs w:val="22"/>
          <w:color w:val="auto"/>
        </w:rPr>
        <w:t>. The Company shall not be obligated to pay Executive any of the compensation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unless and until Executive has executed, and not revoked, a timely full and general release of all claims against the Company and any affiliate, parent or subsidiary, and its and their officers, directors, employees, and agents, in a form satisfactory to the Company. Any payments due pursuant to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of this Agreement shall commence sixty (60) days after the Executive’s last day of employment, at which time Executive shall have no right to revoke any previously executed general release of claims.</w:t>
      </w:r>
    </w:p>
    <w:p>
      <w:pPr>
        <w:spacing w:after="0" w:line="201" w:lineRule="exact"/>
        <w:rPr>
          <w:rFonts w:ascii="Times New Roman" w:cs="Times New Roman" w:eastAsia="Times New Roman" w:hAnsi="Times New Roman"/>
          <w:sz w:val="22"/>
          <w:szCs w:val="22"/>
          <w:b w:val="1"/>
          <w:bCs w:val="1"/>
          <w:color w:val="auto"/>
        </w:rPr>
      </w:pPr>
    </w:p>
    <w:p>
      <w:pPr>
        <w:jc w:val="both"/>
        <w:ind w:left="-8" w:firstLine="8"/>
        <w:spacing w:after="0" w:line="259" w:lineRule="auto"/>
        <w:tabs>
          <w:tab w:leader="none" w:pos="20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Impact on Employment Status</w:t>
      </w:r>
      <w:r>
        <w:rPr>
          <w:rFonts w:ascii="Times New Roman" w:cs="Times New Roman" w:eastAsia="Times New Roman" w:hAnsi="Times New Roman"/>
          <w:sz w:val="22"/>
          <w:szCs w:val="22"/>
          <w:color w:val="auto"/>
        </w:rPr>
        <w:t>. This Agreement is not intended to confer, and shall not be interpreted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conferring, any additional employment rights on Executive, and has no impact on either party’s right to terminate Executive’s employment under contract or applicable law.</w:t>
      </w:r>
    </w:p>
    <w:p>
      <w:pPr>
        <w:spacing w:after="0" w:line="206" w:lineRule="exact"/>
        <w:rPr>
          <w:rFonts w:ascii="Times New Roman" w:cs="Times New Roman" w:eastAsia="Times New Roman" w:hAnsi="Times New Roman"/>
          <w:sz w:val="22"/>
          <w:szCs w:val="22"/>
          <w:b w:val="1"/>
          <w:bCs w:val="1"/>
          <w:color w:val="auto"/>
        </w:rPr>
      </w:pPr>
    </w:p>
    <w:p>
      <w:pPr>
        <w:jc w:val="both"/>
        <w:ind w:left="-8" w:firstLine="8"/>
        <w:spacing w:after="0" w:line="254" w:lineRule="auto"/>
        <w:tabs>
          <w:tab w:leader="none" w:pos="20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Enforceability; Reduction</w:t>
      </w:r>
      <w:r>
        <w:rPr>
          <w:rFonts w:ascii="Times New Roman" w:cs="Times New Roman" w:eastAsia="Times New Roman" w:hAnsi="Times New Roman"/>
          <w:sz w:val="22"/>
          <w:szCs w:val="22"/>
          <w:color w:val="auto"/>
        </w:rPr>
        <w:t>. If any provision of this Agreement shall be deemed invalid or unenforceable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this Agreement shall be construed, to the greatest extent possible, or modified, to the extent allowable by law, in a manner which shall render it valid and enforceable and any limitation on the scope or duration of any provision necessary to make it valid and enforceable shall be deemed to be a part thereof. No invalidity or unenforceability of any provision contained herein shall affect any other portion of this Agreement.</w:t>
      </w:r>
    </w:p>
    <w:p>
      <w:pPr>
        <w:spacing w:after="0" w:line="213" w:lineRule="exact"/>
        <w:rPr>
          <w:rFonts w:ascii="Times New Roman" w:cs="Times New Roman" w:eastAsia="Times New Roman" w:hAnsi="Times New Roman"/>
          <w:sz w:val="22"/>
          <w:szCs w:val="22"/>
          <w:b w:val="1"/>
          <w:bCs w:val="1"/>
          <w:color w:val="auto"/>
        </w:rPr>
      </w:pPr>
    </w:p>
    <w:p>
      <w:pPr>
        <w:ind w:left="652" w:hanging="328"/>
        <w:spacing w:after="0"/>
        <w:tabs>
          <w:tab w:leader="none" w:pos="652" w:val="left"/>
        </w:tabs>
        <w:numPr>
          <w:ilvl w:val="2"/>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w:t>
      </w:r>
    </w:p>
    <w:p>
      <w:pPr>
        <w:spacing w:after="0" w:line="318" w:lineRule="exact"/>
        <w:rPr>
          <w:rFonts w:ascii="Times New Roman" w:cs="Times New Roman" w:eastAsia="Times New Roman" w:hAnsi="Times New Roman"/>
          <w:sz w:val="22"/>
          <w:szCs w:val="22"/>
          <w:b w:val="1"/>
          <w:bCs w:val="1"/>
          <w:color w:val="auto"/>
        </w:rPr>
      </w:pPr>
    </w:p>
    <w:p>
      <w:pPr>
        <w:jc w:val="both"/>
        <w:ind w:left="-8" w:firstLine="656"/>
        <w:spacing w:after="0" w:line="253" w:lineRule="auto"/>
        <w:tabs>
          <w:tab w:leader="none" w:pos="1501"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notices, requests, consents and other communications hereunder shall be in writing, shall be addressed to the receiving party’s address set forth below or to such other address as a party may designate by notice hereunder, and shall be either (i) delivered by hand, (ii) made by telex, telecopy, facsimile, electronic mail, or other electronic transmission, (iii) sent by overnight courier, or (iv) sent by registered or certified mail, return receipt requested, postage prepaid.</w:t>
      </w:r>
    </w:p>
    <w:p>
      <w:pPr>
        <w:spacing w:after="0" w:line="20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i w:val="1"/>
          <w:iCs w:val="1"/>
          <w:color w:val="auto"/>
        </w:rPr>
        <w:t>If to the Company</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Chief Executive Officer Madrigal Pharmaceuticals,</w:t>
      </w:r>
    </w:p>
    <w:p>
      <w:pPr>
        <w:spacing w:after="0" w:line="2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Inc. 200 Barr Harbor Drive, Suite 200 West</w:t>
      </w:r>
    </w:p>
    <w:p>
      <w:pPr>
        <w:spacing w:after="0" w:line="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Conshohocken, PA 19428</w:t>
      </w:r>
    </w:p>
    <w:p>
      <w:pPr>
        <w:spacing w:after="0" w:line="23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i w:val="1"/>
          <w:iCs w:val="1"/>
          <w:color w:val="auto"/>
        </w:rPr>
        <w:t>If to Executive</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2"/>
          <w:szCs w:val="22"/>
          <w:color w:val="auto"/>
        </w:rPr>
        <w:t>To Executive’s last known address in the Company’s personnel records.</w:t>
      </w:r>
    </w:p>
    <w:p>
      <w:pPr>
        <w:spacing w:after="0" w:line="247" w:lineRule="exact"/>
        <w:rPr>
          <w:sz w:val="20"/>
          <w:szCs w:val="20"/>
          <w:color w:val="auto"/>
        </w:rPr>
      </w:pPr>
    </w:p>
    <w:p>
      <w:pPr>
        <w:jc w:val="both"/>
        <w:ind w:left="-8" w:firstLine="656"/>
        <w:spacing w:after="0" w:line="256" w:lineRule="auto"/>
        <w:tabs>
          <w:tab w:leader="none" w:pos="149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notices, requests, consents and other communications hereunder shall be deemed to have been given either (i) if by hand, at the time of the delivery thereof to the receiving party at the address of such party set forth above, (ii) if made by telex, telecopy, facsimile, electronic mail, or other electronic transmission, at the time that receipt thereof has</w:t>
      </w:r>
    </w:p>
    <w:p>
      <w:pPr>
        <w:sectPr>
          <w:pgSz w:w="11900" w:h="16838" w:orient="portrait"/>
          <w:cols w:equalWidth="0" w:num="1">
            <w:col w:w="10052"/>
          </w:cols>
          <w:pgMar w:left="1408" w:top="450" w:right="439" w:bottom="1440" w:gutter="0" w:footer="0" w:header="0"/>
        </w:sectPr>
      </w:pPr>
    </w:p>
    <w:bookmarkStart w:id="55" w:name="page56"/>
    <w:bookmarkEnd w:id="55"/>
    <w:p>
      <w:pPr>
        <w:jc w:val="both"/>
        <w:ind w:left="19"/>
        <w:spacing w:after="0" w:line="257" w:lineRule="auto"/>
        <w:rPr>
          <w:sz w:val="20"/>
          <w:szCs w:val="20"/>
          <w:color w:val="auto"/>
        </w:rPr>
      </w:pPr>
      <w:r>
        <w:rPr>
          <w:rFonts w:ascii="Times New Roman" w:cs="Times New Roman" w:eastAsia="Times New Roman" w:hAnsi="Times New Roman"/>
          <w:sz w:val="22"/>
          <w:szCs w:val="22"/>
          <w:color w:val="auto"/>
        </w:rPr>
        <w:t>been acknowledged by electronic confirmation or otherwise, (iii) if sent by overnight courier, on the next business day following the day such notice is delivered to the courier service, or (iv) if sent by registered or certified mail, on the fifth (5th) business day following the day such mailing is made.</w:t>
      </w:r>
    </w:p>
    <w:p>
      <w:pPr>
        <w:spacing w:after="0" w:line="209" w:lineRule="exact"/>
        <w:rPr>
          <w:sz w:val="20"/>
          <w:szCs w:val="20"/>
          <w:color w:val="auto"/>
        </w:rPr>
      </w:pPr>
    </w:p>
    <w:p>
      <w:pPr>
        <w:jc w:val="both"/>
        <w:ind w:left="19" w:firstLine="8"/>
        <w:spacing w:after="0" w:line="249" w:lineRule="auto"/>
        <w:tabs>
          <w:tab w:leader="none" w:pos="235"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Agreement/No Duplication of Compensation or Benefits</w:t>
      </w:r>
      <w:r>
        <w:rPr>
          <w:rFonts w:ascii="Times New Roman" w:cs="Times New Roman" w:eastAsia="Times New Roman" w:hAnsi="Times New Roman"/>
          <w:sz w:val="22"/>
          <w:szCs w:val="22"/>
          <w:color w:val="auto"/>
        </w:rPr>
        <w:t>. This Agreement embodies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and understanding between the parties hereto with respect to the subject matter hereof and supersedes all prior oral or written agreements and understandings relating to the subject matter hereof including, but not limited to, any offer letter or employment agreement previously entered into between Executive and the Company. No statement, representation, warranty, covenant or agreement of any kind not expressly set forth in this Agreement shall affect, or be used to interpret, change or restrict, the express terms and provisions of this Agreement. The terms of Sections 2 and 3 above shall replace any agreement policy or practice which otherwise would obligate the Company to provide any severance compensation and/or benefits to Executive,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provision shall not be construed to otherwise limit Executive’s rights to payments or benefits provided under any pension plan (as defined in Section 3(2) of the Employee Retirement Income Security Act of 1974, as amended), deferred compensation, stock, stock option or similar plan sponsored by the Company.</w:t>
      </w:r>
    </w:p>
    <w:p>
      <w:pPr>
        <w:spacing w:after="0" w:line="217" w:lineRule="exact"/>
        <w:rPr>
          <w:rFonts w:ascii="Times New Roman" w:cs="Times New Roman" w:eastAsia="Times New Roman" w:hAnsi="Times New Roman"/>
          <w:sz w:val="22"/>
          <w:szCs w:val="22"/>
          <w:b w:val="1"/>
          <w:bCs w:val="1"/>
          <w:color w:val="auto"/>
        </w:rPr>
      </w:pPr>
    </w:p>
    <w:p>
      <w:pPr>
        <w:jc w:val="both"/>
        <w:ind w:left="19" w:firstLine="8"/>
        <w:spacing w:after="0" w:line="259" w:lineRule="auto"/>
        <w:tabs>
          <w:tab w:leader="none" w:pos="235"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Modifications and Amendments</w:t>
      </w:r>
      <w:r>
        <w:rPr>
          <w:rFonts w:ascii="Times New Roman" w:cs="Times New Roman" w:eastAsia="Times New Roman" w:hAnsi="Times New Roman"/>
          <w:sz w:val="22"/>
          <w:szCs w:val="22"/>
          <w:color w:val="auto"/>
        </w:rPr>
        <w:t>. The terms and provisions of this Agreement may be modified or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by written agreement executed by all parties hereto. Any such amendment shall comply with the requirements of Code Section 409A, if applicable.</w:t>
      </w:r>
    </w:p>
    <w:p>
      <w:pPr>
        <w:spacing w:after="0" w:line="206" w:lineRule="exact"/>
        <w:rPr>
          <w:rFonts w:ascii="Times New Roman" w:cs="Times New Roman" w:eastAsia="Times New Roman" w:hAnsi="Times New Roman"/>
          <w:sz w:val="22"/>
          <w:szCs w:val="22"/>
          <w:b w:val="1"/>
          <w:bCs w:val="1"/>
          <w:color w:val="auto"/>
        </w:rPr>
      </w:pPr>
    </w:p>
    <w:p>
      <w:pPr>
        <w:jc w:val="both"/>
        <w:ind w:left="19" w:firstLine="8"/>
        <w:spacing w:after="0" w:line="252" w:lineRule="auto"/>
        <w:tabs>
          <w:tab w:leader="none" w:pos="235"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Waivers and Consents</w:t>
      </w:r>
      <w:r>
        <w:rPr>
          <w:rFonts w:ascii="Times New Roman" w:cs="Times New Roman" w:eastAsia="Times New Roman" w:hAnsi="Times New Roman"/>
          <w:sz w:val="22"/>
          <w:szCs w:val="22"/>
          <w:color w:val="auto"/>
        </w:rPr>
        <w:t>. The terms and provisions of this Agreement may be waived, or consent for the departure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215" w:lineRule="exact"/>
        <w:rPr>
          <w:rFonts w:ascii="Times New Roman" w:cs="Times New Roman" w:eastAsia="Times New Roman" w:hAnsi="Times New Roman"/>
          <w:sz w:val="22"/>
          <w:szCs w:val="22"/>
          <w:b w:val="1"/>
          <w:bCs w:val="1"/>
          <w:color w:val="auto"/>
        </w:rPr>
      </w:pPr>
    </w:p>
    <w:p>
      <w:pPr>
        <w:ind w:left="239" w:hanging="212"/>
        <w:spacing w:after="0"/>
        <w:tabs>
          <w:tab w:leader="none" w:pos="239"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The rights and obligations under this Agreement may be assigned by the Company.</w:t>
      </w:r>
    </w:p>
    <w:p>
      <w:pPr>
        <w:spacing w:after="0" w:line="260" w:lineRule="exact"/>
        <w:rPr>
          <w:rFonts w:ascii="Times New Roman" w:cs="Times New Roman" w:eastAsia="Times New Roman" w:hAnsi="Times New Roman"/>
          <w:sz w:val="22"/>
          <w:szCs w:val="22"/>
          <w:b w:val="1"/>
          <w:bCs w:val="1"/>
          <w:color w:val="auto"/>
        </w:rPr>
      </w:pPr>
    </w:p>
    <w:p>
      <w:pPr>
        <w:jc w:val="both"/>
        <w:ind w:left="19" w:firstLine="8"/>
        <w:spacing w:after="0" w:line="253" w:lineRule="auto"/>
        <w:tabs>
          <w:tab w:leader="none" w:pos="235"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Benefit</w:t>
      </w:r>
      <w:r>
        <w:rPr>
          <w:rFonts w:ascii="Times New Roman" w:cs="Times New Roman" w:eastAsia="Times New Roman" w:hAnsi="Times New Roman"/>
          <w:sz w:val="22"/>
          <w:szCs w:val="22"/>
          <w:color w:val="auto"/>
        </w:rPr>
        <w:t>. All statements, representations, warranties, covenants and agreements in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283" w:lineRule="exact"/>
        <w:rPr>
          <w:rFonts w:ascii="Times New Roman" w:cs="Times New Roman" w:eastAsia="Times New Roman" w:hAnsi="Times New Roman"/>
          <w:sz w:val="22"/>
          <w:szCs w:val="22"/>
          <w:b w:val="1"/>
          <w:bCs w:val="1"/>
          <w:color w:val="auto"/>
        </w:rPr>
      </w:pPr>
    </w:p>
    <w:p>
      <w:pPr>
        <w:jc w:val="both"/>
        <w:ind w:left="-1" w:firstLine="1"/>
        <w:spacing w:after="0" w:line="248" w:lineRule="auto"/>
        <w:tabs>
          <w:tab w:leader="none" w:pos="242"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 Any controversy, dispute or claim arising out of or in connection with this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settled by final and binding arbitration to be conducted in Philadelphia, Pennsylvania pursuant to the national rules for the resolution of employment disputes of the American Arbitration Association then in effect. The decision or award in any such arbitration will be final and binding upon the parties, and judgment upon such decision or award may be entered in any court of competent jurisdiction, or application may be made to any such court for judicial acceptance of such decision or award and an order of enforcement. In the event that any procedural matter is not covered by the aforesaid rules, the procedural law of the Commonwealth of Pennsylvania will govern. Any disagreement as to whether a particular dispute is arbitral under this Agreement shall itself be subject to arbitration in accordance with the procedures set forth</w:t>
      </w:r>
    </w:p>
    <w:p>
      <w:pPr>
        <w:sectPr>
          <w:pgSz w:w="11900" w:h="16838" w:orient="portrait"/>
          <w:cols w:equalWidth="0" w:num="1">
            <w:col w:w="10079"/>
          </w:cols>
          <w:pgMar w:left="1381" w:top="450" w:right="439" w:bottom="1440" w:gutter="0" w:footer="0" w:header="0"/>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22"/>
          <w:szCs w:val="22"/>
          <w:color w:val="auto"/>
        </w:rPr>
        <w:t>herein. Notwithstanding the foregoing, any right or obligation arising out of or concerning any separate contract or agreement between the parties (including but not limited to any employee, non-competition, non-solicitation, non-disclosure and invention agreement) shall be decided in accordance with the dispute resolution mechanism provided for by such contract or agreement.</w:t>
      </w:r>
    </w:p>
    <w:p>
      <w:pPr>
        <w:spacing w:after="0" w:line="216" w:lineRule="exact"/>
        <w:rPr>
          <w:sz w:val="20"/>
          <w:szCs w:val="20"/>
          <w:color w:val="auto"/>
        </w:rPr>
      </w:pPr>
    </w:p>
    <w:p>
      <w:pPr>
        <w:jc w:val="both"/>
        <w:ind w:left="20" w:firstLine="8"/>
        <w:spacing w:after="0" w:line="249" w:lineRule="auto"/>
        <w:tabs>
          <w:tab w:leader="none" w:pos="23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 Jurisdiction / Service of Process</w:t>
      </w:r>
      <w:r>
        <w:rPr>
          <w:rFonts w:ascii="Times New Roman" w:cs="Times New Roman" w:eastAsia="Times New Roman" w:hAnsi="Times New Roman"/>
          <w:sz w:val="22"/>
          <w:szCs w:val="22"/>
          <w:color w:val="auto"/>
        </w:rPr>
        <w:t>. This Agreement and the rights and obligations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shall be construed in accordance with and governed by the law of the Commonwealth of Pennsylvania, without giving effect to the conflict of law principles thereof. Any legal action or proceeding with respect to this Agreement that is not subject to arbitration pursuant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will be brought in the courts of the Commonwealth of Pennsylvania, County of Montgomery, or of the United States of America for the Eastern District of Pennsylvania, sitting in Philadelphia. By execution and delivery of this Agreement, each of the parties hereto accepts for itself and in respect of its property, generally and unconditionally, the exclusive jurisdiction of the aforesaid courts. Each of the parties hereto irrevocably consents to the service of process of any of the aforementioned courts in any such action or proceeding by the mailing of copies thereof by certified mail, postage prepaid, to the party at its address set forth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277" w:lineRule="exact"/>
        <w:rPr>
          <w:rFonts w:ascii="Times New Roman" w:cs="Times New Roman" w:eastAsia="Times New Roman" w:hAnsi="Times New Roman"/>
          <w:sz w:val="22"/>
          <w:szCs w:val="22"/>
          <w:b w:val="1"/>
          <w:bCs w:val="1"/>
          <w:color w:val="auto"/>
        </w:rPr>
      </w:pPr>
    </w:p>
    <w:p>
      <w:pPr>
        <w:jc w:val="both"/>
        <w:ind w:left="20" w:firstLine="8"/>
        <w:spacing w:after="0" w:line="265" w:lineRule="auto"/>
        <w:tabs>
          <w:tab w:leader="none" w:pos="23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multiple counterparts, and by different parties hereto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separate counterparts, each of which shall be deemed an original, but all of which together shall constitute one and the same instrument.</w:t>
      </w:r>
    </w:p>
    <w:p>
      <w:pPr>
        <w:spacing w:after="0" w:line="19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0080"/>
          </w:cols>
          <w:pgMar w:left="1380" w:top="517" w:right="439" w:bottom="1440" w:gutter="0" w:footer="0" w:header="0"/>
        </w:sectPr>
      </w:pPr>
    </w:p>
    <w:bookmarkStart w:id="57" w:name="page58"/>
    <w:bookmarkEnd w:id="57"/>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above written.</w:t>
      </w:r>
    </w:p>
    <w:p>
      <w:pPr>
        <w:spacing w:after="0" w:line="2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MADRIGAL PHARMACEUTICALS, INC.</w:t>
      </w:r>
    </w:p>
    <w:p>
      <w:pPr>
        <w:spacing w:after="0" w:line="200" w:lineRule="exact"/>
        <w:rPr>
          <w:sz w:val="20"/>
          <w:szCs w:val="20"/>
          <w:color w:val="auto"/>
        </w:rPr>
      </w:pPr>
    </w:p>
    <w:p>
      <w:pPr>
        <w:spacing w:after="0" w:line="344" w:lineRule="exact"/>
        <w:rPr>
          <w:sz w:val="20"/>
          <w:szCs w:val="20"/>
          <w:color w:val="auto"/>
        </w:rPr>
      </w:pPr>
    </w:p>
    <w:p>
      <w:pPr>
        <w:ind w:left="5040"/>
        <w:spacing w:after="0"/>
        <w:tabs>
          <w:tab w:leader="none" w:pos="6860" w:val="left"/>
        </w:tabs>
        <w:rPr>
          <w:sz w:val="20"/>
          <w:szCs w:val="20"/>
          <w:color w:val="auto"/>
        </w:rPr>
      </w:pPr>
      <w:r>
        <w:rPr>
          <w:rFonts w:ascii="Times New Roman" w:cs="Times New Roman" w:eastAsia="Times New Roman" w:hAnsi="Times New Roman"/>
          <w:sz w:val="22"/>
          <w:szCs w:val="22"/>
          <w:color w:val="auto"/>
        </w:rPr>
        <w:t>By: /s/ Bill Sibold</w:t>
      </w:r>
      <w:r>
        <w:rPr>
          <w:sz w:val="20"/>
          <w:szCs w:val="20"/>
          <w:color w:val="auto"/>
        </w:rPr>
        <w:tab/>
      </w:r>
      <w:r>
        <w:rPr>
          <w:rFonts w:ascii="Times New Roman" w:cs="Times New Roman" w:eastAsia="Times New Roman" w:hAnsi="Times New Roman"/>
          <w:sz w:val="21"/>
          <w:szCs w:val="21"/>
          <w:color w:val="auto"/>
        </w:rPr>
        <w:t>Name: Bill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-13970</wp:posOffset>
            </wp:positionV>
            <wp:extent cx="899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4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i w:val="1"/>
          <w:iCs w:val="1"/>
          <w:color w:val="auto"/>
        </w:rPr>
        <w:t>Chief Executive Officer</w:t>
      </w:r>
    </w:p>
    <w:p>
      <w:pPr>
        <w:spacing w:after="0" w:line="200" w:lineRule="exact"/>
        <w:rPr>
          <w:sz w:val="20"/>
          <w:szCs w:val="20"/>
          <w:color w:val="auto"/>
        </w:rPr>
      </w:pPr>
    </w:p>
    <w:p>
      <w:pPr>
        <w:spacing w:after="0" w:line="29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330" w:lineRule="exact"/>
        <w:rPr>
          <w:sz w:val="20"/>
          <w:szCs w:val="20"/>
          <w:color w:val="auto"/>
        </w:rPr>
      </w:pPr>
    </w:p>
    <w:p>
      <w:pPr>
        <w:jc w:val="right"/>
        <w:spacing w:after="0"/>
        <w:tabs>
          <w:tab w:leader="none" w:pos="2120" w:val="left"/>
        </w:tabs>
        <w:rPr>
          <w:sz w:val="20"/>
          <w:szCs w:val="20"/>
          <w:color w:val="auto"/>
        </w:rPr>
      </w:pPr>
      <w:r>
        <w:rPr>
          <w:rFonts w:ascii="Times New Roman" w:cs="Times New Roman" w:eastAsia="Times New Roman" w:hAnsi="Times New Roman"/>
          <w:sz w:val="22"/>
          <w:szCs w:val="22"/>
          <w:color w:val="auto"/>
        </w:rPr>
        <w:t>By: /s/ Carole Huntsman</w:t>
      </w:r>
      <w:r>
        <w:rPr>
          <w:sz w:val="20"/>
          <w:szCs w:val="20"/>
          <w:color w:val="auto"/>
        </w:rPr>
        <w:tab/>
      </w:r>
      <w:r>
        <w:rPr>
          <w:rFonts w:ascii="Times New Roman" w:cs="Times New Roman" w:eastAsia="Times New Roman" w:hAnsi="Times New Roman"/>
          <w:sz w:val="21"/>
          <w:szCs w:val="21"/>
          <w:color w:val="auto"/>
        </w:rPr>
        <w:t>Name: Carole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-13970</wp:posOffset>
            </wp:positionV>
            <wp:extent cx="12649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ectPr>
          <w:pgSz w:w="11900" w:h="16838" w:orient="portrait"/>
          <w:cols w:equalWidth="0" w:num="1">
            <w:col w:w="9740"/>
          </w:cols>
          <w:pgMar w:left="980" w:top="1440" w:right="117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IN THIS EXHIBIT HAS BEEN OMITTED AND REPLACED WITH “[***]” BECAUSE IT IS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623185" cy="676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2318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496B0"/>
        </w:rPr>
        <w:t>Four Tower Bridge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496B0"/>
        </w:rPr>
        <w:t>200 Barr Harbor Drive, Suite 200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496B0"/>
        </w:rPr>
        <w:t>West Conshohocken, PA 19428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25,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Mardi Dier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personally identifiable information</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Mardi:</w:t>
      </w:r>
    </w:p>
    <w:p>
      <w:pPr>
        <w:spacing w:after="0" w:line="2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I am pleased to offer you employment with Madrigal Pharmaceuticals, Inc. (hereinafter “</w:t>
      </w:r>
      <w:r>
        <w:rPr>
          <w:rFonts w:ascii="Times New Roman" w:cs="Times New Roman" w:eastAsia="Times New Roman" w:hAnsi="Times New Roman"/>
          <w:sz w:val="21"/>
          <w:szCs w:val="21"/>
          <w:b w:val="1"/>
          <w:bCs w:val="1"/>
          <w:color w:val="auto"/>
        </w:rPr>
        <w:t>Madrigal Pharmaceuticals</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reporting to Bill Sibold.</w:t>
      </w:r>
    </w:p>
    <w:p>
      <w:pPr>
        <w:spacing w:after="0" w:line="184" w:lineRule="exact"/>
        <w:rPr>
          <w:sz w:val="20"/>
          <w:szCs w:val="20"/>
          <w:color w:val="auto"/>
        </w:rPr>
      </w:pPr>
    </w:p>
    <w:p>
      <w:pPr>
        <w:jc w:val="both"/>
        <w:ind w:left="340" w:hanging="332"/>
        <w:spacing w:after="0" w:line="260" w:lineRule="auto"/>
        <w:tabs>
          <w:tab w:leader="none" w:pos="33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 and Positions</w:t>
      </w:r>
      <w:r>
        <w:rPr>
          <w:rFonts w:ascii="Times New Roman" w:cs="Times New Roman" w:eastAsia="Times New Roman" w:hAnsi="Times New Roman"/>
          <w:sz w:val="21"/>
          <w:szCs w:val="21"/>
          <w:color w:val="auto"/>
        </w:rPr>
        <w:t>: The effective date of your employment will be February 27, 2024. During the first two weeks of your employment, you will serve as a Senior Advisor to the Company’s current Chief Financial Officer (“CFO”). On March 11, 2024, you will move into the role of CFO, and it is anticipated that the Company’s current CFO will step down and continue with the Company as a Senior Advisor until March 31, 2024.</w:t>
      </w:r>
    </w:p>
    <w:p>
      <w:pPr>
        <w:spacing w:after="0" w:line="195"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p>
    <w:p>
      <w:pPr>
        <w:spacing w:after="0" w:line="244" w:lineRule="exact"/>
        <w:rPr>
          <w:rFonts w:ascii="Times New Roman" w:cs="Times New Roman" w:eastAsia="Times New Roman" w:hAnsi="Times New Roman"/>
          <w:sz w:val="21"/>
          <w:szCs w:val="21"/>
          <w:color w:val="auto"/>
        </w:rPr>
      </w:pPr>
    </w:p>
    <w:p>
      <w:pPr>
        <w:ind w:left="660" w:hanging="328"/>
        <w:spacing w:after="0" w:line="283" w:lineRule="auto"/>
        <w:tabs>
          <w:tab w:leader="none" w:pos="65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Your initial base salary will be payable at a semi-monthly rate of $22,916.67 ($550,000 annualized), from which all applicable taxes and other customary employment-related deductions will be taken.</w:t>
      </w:r>
    </w:p>
    <w:p>
      <w:pPr>
        <w:spacing w:after="0" w:line="173" w:lineRule="exact"/>
        <w:rPr>
          <w:rFonts w:ascii="Times New Roman" w:cs="Times New Roman" w:eastAsia="Times New Roman" w:hAnsi="Times New Roman"/>
          <w:sz w:val="21"/>
          <w:szCs w:val="21"/>
          <w:color w:val="auto"/>
        </w:rPr>
      </w:pPr>
    </w:p>
    <w:p>
      <w:pPr>
        <w:jc w:val="both"/>
        <w:ind w:left="660" w:hanging="328"/>
        <w:spacing w:after="0" w:line="252" w:lineRule="auto"/>
        <w:tabs>
          <w:tab w:leader="none" w:pos="65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You will be eligible to receive an annual performance-based bonus, and your target bonus opportunity will be equal to 45% of your annual base salary, based on the achievement of reasonable corporate and individual targets that will be determined by the discretion of the Company’s Compensation Committee, and your satisfaction of individual performance standards and expectations, as determined by your supervisor. For the avoidance of doubt, you must be employed through the bonus payment date to be eligible for such payment, except as provided in the Severance Agreement. Your 2024 annual bonus will be prorated based on the number of days in calendar year 2024 you are employed with the Company.</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60" w:hanging="328"/>
        <w:spacing w:after="0" w:line="255" w:lineRule="auto"/>
        <w:tabs>
          <w:tab w:leader="none" w:pos="655"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Living Expense Stipend</w:t>
      </w:r>
      <w:r>
        <w:rPr>
          <w:rFonts w:ascii="Times New Roman" w:cs="Times New Roman" w:eastAsia="Times New Roman" w:hAnsi="Times New Roman"/>
          <w:sz w:val="21"/>
          <w:szCs w:val="21"/>
          <w:color w:val="auto"/>
        </w:rPr>
        <w:t>: Effective from the date of your employment, the Company shall pay you a monthly living expense stipend of up to $7,000 per month for the first year of your employment, subject to standard payroll deductions and all required withholdings, and payable under the Company’s regular payroll practices. Prior to the end of your first year of employment, the Company shall determine if the stipend shall be extended for an additional period of time.</w:t>
      </w:r>
    </w:p>
    <w:p>
      <w:pPr>
        <w:spacing w:after="0" w:line="215" w:lineRule="exact"/>
        <w:rPr>
          <w:rFonts w:ascii="Times New Roman" w:cs="Times New Roman" w:eastAsia="Times New Roman" w:hAnsi="Times New Roman"/>
          <w:sz w:val="21"/>
          <w:szCs w:val="21"/>
          <w:color w:val="auto"/>
        </w:rPr>
      </w:pPr>
    </w:p>
    <w:p>
      <w:pPr>
        <w:jc w:val="both"/>
        <w:ind w:left="340" w:hanging="332"/>
        <w:spacing w:after="0" w:line="247" w:lineRule="auto"/>
        <w:tabs>
          <w:tab w:leader="none" w:pos="33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Options, RSUs, and PSUs:</w:t>
      </w:r>
      <w:r>
        <w:rPr>
          <w:rFonts w:ascii="Times New Roman" w:cs="Times New Roman" w:eastAsia="Times New Roman" w:hAnsi="Times New Roman"/>
          <w:sz w:val="21"/>
          <w:szCs w:val="21"/>
          <w:color w:val="auto"/>
        </w:rPr>
        <w:t xml:space="preserve"> Subject to the approval of the Company’s Compensation Committee (the “Committee”), you will be granted as soon as practicable by the Committee on the business day reasonably closest to the first or fifteenth day of the month after your start date (the “Grant Date”) equity awards with an aggregate value of $6,700,000 (your “Hire Award”). Your Hire Award will be composed of 33% RSUs (the “RSU Award”), 33% non-qualified stock options (the “NQSO Award”), and 33% Performance Stock Units (the “PSUs”), subject to the terms and conditions of the Madrigal Pharmaceuticals, Inc. 2023 Inducement Plan (the “Plan”), Company Plan grant policies and practices, and related award agreements, which will be provided after your start date. Your RSU Award will be valued, and the number of shares thereunder will be set, based on the closing price of Company common stock on the Grant Date. Your RSU Award will be subject to the following vesting schedule conditions being met over four years -- 25% of the RSU Award will vest on each of the first, second, third, and fourth year anniversaries of your RSU Award grant date, subject to your continued employment on such dates; these RSU Awards will contain a “sell-to-cover” automatic market sale of shares to cover Federal and State tax withholding requirements arising on each vesting date. The number and exercise price of the options subject to the NQSO Award will be set based on the closing price of Company common stock on the Grant Date; 25% of the NQSOs will vest on the first anniversary of your grant date and 6.25% of the NQSOs will vest on each quarterly anniversary thereafter, in each case subject to your continued employment on such dates. Future annual equity awards will be made in the discretion of the Company’s Compensation Committee, subject to the Company’s grant policies and the terms and conditions of the applicable Company equity plan and related award agreement in effect at such time.</w:t>
      </w:r>
    </w:p>
    <w:p>
      <w:pPr>
        <w:spacing w:after="0" w:line="235" w:lineRule="exact"/>
        <w:rPr>
          <w:rFonts w:ascii="Times New Roman" w:cs="Times New Roman" w:eastAsia="Times New Roman" w:hAnsi="Times New Roman"/>
          <w:sz w:val="21"/>
          <w:szCs w:val="21"/>
          <w:color w:val="auto"/>
        </w:rPr>
      </w:pPr>
    </w:p>
    <w:p>
      <w:pPr>
        <w:jc w:val="both"/>
        <w:ind w:left="340" w:hanging="332"/>
        <w:spacing w:after="0" w:line="272" w:lineRule="auto"/>
        <w:tabs>
          <w:tab w:leader="none" w:pos="33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As a full-time employee, you will be eligible to participate in certain Company-sponsored health and welfare and 401(k) benefit plans to the same extent as, and subject to the same terms, conditions, and limitations applicable to other employees of the Company of similar rank and tenure. All such benefits may be changed or modified from time to time at the Company’s sole discretion. You will be covered from the first day of employment and enrollment take place within your first 30-days of hire.</w:t>
      </w:r>
    </w:p>
    <w:p>
      <w:pPr>
        <w:spacing w:after="0" w:line="185" w:lineRule="exact"/>
        <w:rPr>
          <w:rFonts w:ascii="Times New Roman" w:cs="Times New Roman" w:eastAsia="Times New Roman" w:hAnsi="Times New Roman"/>
          <w:sz w:val="20"/>
          <w:szCs w:val="20"/>
          <w:color w:val="auto"/>
        </w:rPr>
      </w:pPr>
    </w:p>
    <w:p>
      <w:pPr>
        <w:jc w:val="both"/>
        <w:ind w:left="340" w:hanging="332"/>
        <w:spacing w:after="0" w:line="262" w:lineRule="auto"/>
        <w:tabs>
          <w:tab w:leader="none" w:pos="33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Paid Time-Off</w:t>
      </w:r>
      <w:r>
        <w:rPr>
          <w:rFonts w:ascii="Times New Roman" w:cs="Times New Roman" w:eastAsia="Times New Roman" w:hAnsi="Times New Roman"/>
          <w:sz w:val="21"/>
          <w:szCs w:val="21"/>
          <w:color w:val="auto"/>
        </w:rPr>
        <w:t>: You will be eligible for Madrigal paid holidays and 160 hours (20 days) of paid time off, prorated in the first partial year of employment, in accordance with the applicable policy guidelines. You will be eligible for 40 hours (5 days) of sick time which is not prorated.</w:t>
      </w:r>
    </w:p>
    <w:p>
      <w:pPr>
        <w:spacing w:after="0" w:line="208" w:lineRule="exact"/>
        <w:rPr>
          <w:rFonts w:ascii="Times New Roman" w:cs="Times New Roman" w:eastAsia="Times New Roman" w:hAnsi="Times New Roman"/>
          <w:sz w:val="21"/>
          <w:szCs w:val="21"/>
          <w:color w:val="auto"/>
        </w:rPr>
      </w:pPr>
    </w:p>
    <w:p>
      <w:pPr>
        <w:jc w:val="both"/>
        <w:ind w:left="340" w:hanging="332"/>
        <w:spacing w:after="0" w:line="255" w:lineRule="auto"/>
        <w:tabs>
          <w:tab w:leader="none" w:pos="33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Period</w:t>
      </w:r>
      <w:r>
        <w:rPr>
          <w:rFonts w:ascii="Times New Roman" w:cs="Times New Roman" w:eastAsia="Times New Roman" w:hAnsi="Times New Roman"/>
          <w:sz w:val="21"/>
          <w:szCs w:val="21"/>
          <w:color w:val="auto"/>
        </w:rPr>
        <w:t>: Your employment with the Company will be at will, meaning that you will not be obligated to remain employed by the Company for any specified period of time. The Company will not be obligated to continue your employment for any specific period and may terminate your employment at any time, with or without cause.</w:t>
      </w:r>
    </w:p>
    <w:p>
      <w:pPr>
        <w:spacing w:after="0" w:line="215" w:lineRule="exact"/>
        <w:rPr>
          <w:rFonts w:ascii="Times New Roman" w:cs="Times New Roman" w:eastAsia="Times New Roman" w:hAnsi="Times New Roman"/>
          <w:sz w:val="21"/>
          <w:szCs w:val="21"/>
          <w:color w:val="auto"/>
        </w:rPr>
      </w:pPr>
    </w:p>
    <w:p>
      <w:pPr>
        <w:ind w:left="340" w:hanging="332"/>
        <w:spacing w:after="0" w:line="270" w:lineRule="auto"/>
        <w:tabs>
          <w:tab w:leader="none" w:pos="33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Training</w:t>
      </w:r>
      <w:r>
        <w:rPr>
          <w:rFonts w:ascii="Times New Roman" w:cs="Times New Roman" w:eastAsia="Times New Roman" w:hAnsi="Times New Roman"/>
          <w:sz w:val="21"/>
          <w:szCs w:val="21"/>
          <w:color w:val="auto"/>
        </w:rPr>
        <w:t>: Employment is subject to successful completion of periodic training and testing (at least annually) regarding product knowledge, disease awareness, and other core job competencies is a continuing requirement for this role.</w:t>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340" w:hanging="332"/>
        <w:spacing w:after="0" w:line="264" w:lineRule="auto"/>
        <w:tabs>
          <w:tab w:leader="none" w:pos="3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As a condition to the Company’s willingness to extend you this offer of employment subject to its terms and conditions, you represented orally to (and by signing below you hereby represent to and agree in writing with) the Company, as follows: (a) you are not subject to any agreement, arrangement or obligation that would prohibit, restrict or limit your ability to fully perform services as a </w:t>
      </w:r>
      <w:r>
        <w:rPr>
          <w:rFonts w:ascii="Times New Roman" w:cs="Times New Roman" w:eastAsia="Times New Roman" w:hAnsi="Times New Roman"/>
          <w:sz w:val="20"/>
          <w:szCs w:val="20"/>
          <w:b w:val="1"/>
          <w:bCs w:val="1"/>
          <w:color w:val="auto"/>
        </w:rPr>
        <w:t>Chief Financial Officer</w:t>
      </w:r>
      <w:r>
        <w:rPr>
          <w:rFonts w:ascii="Times New Roman" w:cs="Times New Roman" w:eastAsia="Times New Roman" w:hAnsi="Times New Roman"/>
          <w:sz w:val="20"/>
          <w:szCs w:val="20"/>
          <w:color w:val="auto"/>
        </w:rPr>
        <w:t xml:space="preserve"> or employee of the Company; (b) you will abide by all covenants, policies and restrictions (including but not limited to those related to confidentiality and non-solicitation) of your prior employers or entities for which you served as an employee and/or independent contractor; (c) you will not disclose to the Company any confidential or proprietary information of any other entity or prior employer nor will you use any such information at any time while employed by the Company; and (d) you agree that in the event of any challenge or litigation concerning clauses (a) (b) and/or (c) immediately above, the Company has no obligation to assist you in the defense of such challenge or litigation and the Company has no compensation or payment obligation to you, unless and until such matters have been resolved to the satisfaction of the Company.</w:t>
      </w:r>
    </w:p>
    <w:p>
      <w:pPr>
        <w:spacing w:after="0" w:line="197" w:lineRule="exact"/>
        <w:rPr>
          <w:rFonts w:ascii="Times New Roman" w:cs="Times New Roman" w:eastAsia="Times New Roman" w:hAnsi="Times New Roman"/>
          <w:sz w:val="20"/>
          <w:szCs w:val="20"/>
          <w:color w:val="auto"/>
        </w:rPr>
      </w:pPr>
    </w:p>
    <w:p>
      <w:pPr>
        <w:jc w:val="both"/>
        <w:ind w:left="340" w:hanging="332"/>
        <w:spacing w:after="0" w:line="267" w:lineRule="auto"/>
        <w:tabs>
          <w:tab w:leader="none" w:pos="3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Contingencies</w:t>
      </w:r>
      <w:r>
        <w:rPr>
          <w:rFonts w:ascii="Times New Roman" w:cs="Times New Roman" w:eastAsia="Times New Roman" w:hAnsi="Times New Roman"/>
          <w:sz w:val="20"/>
          <w:szCs w:val="20"/>
          <w:color w:val="auto"/>
        </w:rPr>
        <w:t xml:space="preserve">: Our employment offer to you is contingent upon (1) your execution of the standard form of Non-Competition, Confidentiality, and Inventions Agreement (a copy of which is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(2) your ability, as required under federal law, to establish your employment eligibility as a U.S. citizen, a lawful permanent resident of the U.S. or an individual specifically authorized for employment by the Immigration and Naturalization Service; and (3) completion of a satisfactory background check and drug screening. If any of the foregoing conditions are not met, this employment offer shall be null and void.</w:t>
      </w:r>
    </w:p>
    <w:p>
      <w:pPr>
        <w:spacing w:after="0" w:line="211" w:lineRule="exact"/>
        <w:rPr>
          <w:rFonts w:ascii="Times New Roman" w:cs="Times New Roman" w:eastAsia="Times New Roman" w:hAnsi="Times New Roman"/>
          <w:sz w:val="20"/>
          <w:szCs w:val="20"/>
          <w:color w:val="auto"/>
        </w:rPr>
      </w:pPr>
    </w:p>
    <w:p>
      <w:pPr>
        <w:ind w:left="340" w:right="20" w:hanging="332"/>
        <w:spacing w:after="0" w:line="257" w:lineRule="auto"/>
        <w:tabs>
          <w:tab w:leader="none" w:pos="3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Potential Severance Payment Rights</w:t>
      </w:r>
      <w:r>
        <w:rPr>
          <w:rFonts w:ascii="Times New Roman" w:cs="Times New Roman" w:eastAsia="Times New Roman" w:hAnsi="Times New Roman"/>
          <w:sz w:val="22"/>
          <w:szCs w:val="22"/>
          <w:color w:val="auto"/>
        </w:rPr>
        <w:t>: Without limiting the at-will nature of your employment relationship, you will be eligible for cash severance payments in certain circumstances, pursuant to the terms of the agreement attached as Exhibit B, which must be fully signed by both parties before becoming effective.</w:t>
      </w:r>
    </w:p>
    <w:p>
      <w:pPr>
        <w:spacing w:after="0" w:line="194" w:lineRule="exact"/>
        <w:rPr>
          <w:rFonts w:ascii="Times New Roman" w:cs="Times New Roman" w:eastAsia="Times New Roman" w:hAnsi="Times New Roman"/>
          <w:sz w:val="22"/>
          <w:szCs w:val="22"/>
          <w:color w:val="auto"/>
        </w:rPr>
      </w:pPr>
    </w:p>
    <w:p>
      <w:pPr>
        <w:jc w:val="both"/>
        <w:ind w:left="340" w:hanging="332"/>
        <w:spacing w:after="0" w:line="255" w:lineRule="auto"/>
        <w:tabs>
          <w:tab w:leader="none" w:pos="32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Jurisdiction and Waiver</w:t>
      </w:r>
      <w:r>
        <w:rPr>
          <w:rFonts w:ascii="Times New Roman" w:cs="Times New Roman" w:eastAsia="Times New Roman" w:hAnsi="Times New Roman"/>
          <w:sz w:val="21"/>
          <w:szCs w:val="21"/>
          <w:color w:val="auto"/>
        </w:rPr>
        <w:t>: In the case of any dispute, this offer of employment shall be interpreted under the laws of the Commonwealth of Pennsylvania. By accepting this offer of employment, you agree that any action, demand, claim or counterclaim in connection with any aspect of your employment with the Company, or any separation of employment (whether voluntary or involuntary) from the Company, shall be resolved in a court of competent jurisdiction in Pennsylvania by a judge alone, and you knowingly waive and forever renounce your right to a trial before a civil jury.</w:t>
      </w:r>
    </w:p>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We are very enthusiastic about the prospect of your joining us as a Madrigal Pharmaceuticals employee. Please indicate your acceptance of the foregoing by signing one enclosed copy of this letter and returning it within five days of the date of this letter. After that date, this offer will lapse. If you need additional time to respond to this offer, please let us know immediately.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MADRIGAL PHARMACEUTICALS,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tabs>
          <w:tab w:leader="none" w:pos="5060" w:val="left"/>
          <w:tab w:leader="none" w:pos="6000" w:val="left"/>
        </w:tabs>
        <w:rPr>
          <w:sz w:val="20"/>
          <w:szCs w:val="20"/>
          <w:color w:val="auto"/>
        </w:rPr>
      </w:pPr>
      <w:r>
        <w:rPr>
          <w:rFonts w:ascii="Times New Roman" w:cs="Times New Roman" w:eastAsia="Times New Roman" w:hAnsi="Times New Roman"/>
          <w:sz w:val="21"/>
          <w:szCs w:val="21"/>
          <w:color w:val="auto"/>
        </w:rPr>
        <w:t>/s/ Bill Sibold</w:t>
      </w:r>
      <w:r>
        <w:rPr>
          <w:sz w:val="20"/>
          <w:szCs w:val="20"/>
          <w:color w:val="auto"/>
        </w:rPr>
        <w:tab/>
      </w: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0"/>
          <w:szCs w:val="20"/>
          <w:color w:val="auto"/>
        </w:rPr>
        <w:t>February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5314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Bill Sibold</w:t>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tabs>
          <w:tab w:leader="none" w:pos="5060" w:val="left"/>
          <w:tab w:leader="none" w:pos="6000" w:val="left"/>
        </w:tabs>
        <w:rPr>
          <w:sz w:val="20"/>
          <w:szCs w:val="20"/>
          <w:color w:val="auto"/>
        </w:rPr>
      </w:pPr>
      <w:r>
        <w:rPr>
          <w:rFonts w:ascii="Times New Roman" w:cs="Times New Roman" w:eastAsia="Times New Roman" w:hAnsi="Times New Roman"/>
          <w:sz w:val="21"/>
          <w:szCs w:val="21"/>
          <w:color w:val="auto"/>
        </w:rPr>
        <w:t>/s/ Mardi Dier</w:t>
      </w:r>
      <w:r>
        <w:rPr>
          <w:sz w:val="20"/>
          <w:szCs w:val="20"/>
          <w:color w:val="auto"/>
        </w:rPr>
        <w:tab/>
      </w: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0"/>
          <w:szCs w:val="20"/>
          <w:color w:val="auto"/>
        </w:rPr>
        <w:t>February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53149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Name: Mardi Dier</w:t>
      </w:r>
    </w:p>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25, 2024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Mardi Dier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personally identifiable information</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Mardi:</w:t>
      </w: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letter is to confirm our understanding with respect to (i) your agreement not to compete</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Madrigal Pharmaceuticals, Inc. or its current or future subsidiaries or Affiliates (collectively,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while employed by the Company or engage in prohibited solicitation during your employment and for a period thereafter, (ii) your agreement to protect and preserve information and property which is confidential and proprietary to the Company and your agreement concerning Company Inventions specified herein (with the terms and conditions agreed to in this letter being referred to as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For these purposes, an “Affiliate” is a person or entity that controls, is controlled by or is under common control with the Company, with “control” meaning the possession, direct or indirect, of the power to direct or cause the direction of the management and policies of a person or entity, whether through the ownership of voting securities, by contract, or otherwise</w:t>
      </w:r>
      <w:r>
        <w:rPr>
          <w:rFonts w:ascii="Verdana" w:cs="Verdana" w:eastAsia="Verdana" w:hAnsi="Verdana"/>
          <w:sz w:val="21"/>
          <w:szCs w:val="21"/>
          <w:color w:val="333333"/>
        </w:rPr>
        <w:t>.</w:t>
      </w:r>
      <w:r>
        <w:rPr>
          <w:rFonts w:ascii="Times New Roman" w:cs="Times New Roman" w:eastAsia="Times New Roman" w:hAnsi="Times New Roman"/>
          <w:sz w:val="21"/>
          <w:szCs w:val="21"/>
          <w:color w:val="auto"/>
        </w:rPr>
        <w:t xml:space="preserve"> You hereby acknowledge and agree that you are an “at-will” employee and that no provision of this Agreement shall be construed to create an express or implied employment contract, or a promise of employment for a specific period of time, and the Company expressly reserves the right to end your employment at any time, with or without notice or cause.</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In consideration of your employment by the Company, the mutual promises and covenants contained in this Agreement, and for other good and valuable consideration, the receipt and sufficiency of which are hereby mutually acknowledged, we have agreed as follows:</w:t>
      </w:r>
    </w:p>
    <w:p>
      <w:pPr>
        <w:spacing w:after="0" w:line="195" w:lineRule="exact"/>
        <w:rPr>
          <w:sz w:val="20"/>
          <w:szCs w:val="20"/>
          <w:color w:val="auto"/>
        </w:rPr>
      </w:pPr>
    </w:p>
    <w:p>
      <w:pPr>
        <w:ind w:left="640" w:hanging="632"/>
        <w:spacing w:after="0"/>
        <w:tabs>
          <w:tab w:leader="none" w:pos="6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Prohibited Competition and Solicitation</w:t>
      </w:r>
      <w:r>
        <w:rPr>
          <w:rFonts w:ascii="Times New Roman" w:cs="Times New Roman" w:eastAsia="Times New Roman" w:hAnsi="Times New Roman"/>
          <w:sz w:val="21"/>
          <w:szCs w:val="21"/>
          <w:color w:val="auto"/>
        </w:rPr>
        <w:t>.</w:t>
      </w:r>
    </w:p>
    <w:p>
      <w:pPr>
        <w:spacing w:after="0" w:line="244" w:lineRule="exact"/>
        <w:rPr>
          <w:rFonts w:ascii="Times New Roman" w:cs="Times New Roman" w:eastAsia="Times New Roman" w:hAnsi="Times New Roman"/>
          <w:sz w:val="21"/>
          <w:szCs w:val="21"/>
          <w:color w:val="auto"/>
        </w:rPr>
      </w:pPr>
    </w:p>
    <w:p>
      <w:pPr>
        <w:ind w:left="1140" w:hanging="484"/>
        <w:spacing w:after="0"/>
        <w:tabs>
          <w:tab w:leader="none" w:pos="114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Acknowledgments and Agreements</w:t>
      </w:r>
      <w:r>
        <w:rPr>
          <w:rFonts w:ascii="Times New Roman" w:cs="Times New Roman" w:eastAsia="Times New Roman" w:hAnsi="Times New Roman"/>
          <w:sz w:val="21"/>
          <w:szCs w:val="21"/>
          <w:color w:val="auto"/>
        </w:rPr>
        <w:t>.</w:t>
      </w:r>
    </w:p>
    <w:p>
      <w:pPr>
        <w:spacing w:after="0" w:line="258" w:lineRule="exact"/>
        <w:rPr>
          <w:rFonts w:ascii="Times New Roman" w:cs="Times New Roman" w:eastAsia="Times New Roman" w:hAnsi="Times New Roman"/>
          <w:sz w:val="21"/>
          <w:szCs w:val="21"/>
          <w:color w:val="auto"/>
        </w:rPr>
      </w:pPr>
    </w:p>
    <w:p>
      <w:pPr>
        <w:ind w:left="1560" w:hanging="256"/>
        <w:spacing w:after="0"/>
        <w:tabs>
          <w:tab w:leader="none" w:pos="1560"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have discussed, and you recognize and acknowledge the competitive and proprietary aspects of the business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w:t>
      </w:r>
    </w:p>
    <w:p>
      <w:pPr>
        <w:spacing w:after="0" w:line="234" w:lineRule="exact"/>
        <w:rPr>
          <w:rFonts w:ascii="Times New Roman" w:cs="Times New Roman" w:eastAsia="Times New Roman" w:hAnsi="Times New Roman"/>
          <w:sz w:val="21"/>
          <w:szCs w:val="21"/>
          <w:color w:val="auto"/>
        </w:rPr>
      </w:pPr>
    </w:p>
    <w:p>
      <w:pPr>
        <w:jc w:val="both"/>
        <w:ind w:firstLine="1304"/>
        <w:spacing w:after="0" w:line="264" w:lineRule="auto"/>
        <w:tabs>
          <w:tab w:leader="none" w:pos="165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devote your full time and efforts to the business of the Company and, during the period of your employment with the Company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you shall not participate, directly or indirectly, in any capacity, in any business which is competitive with the Company’s Field of Interest (as described below) unless you have received the prior written consent of the Company. You acknowledge and agree that a business will be deemed competitive with the Company if it (1) conducts research, (2) is developing or intends to develop any product candidate, (3) performs any of the services or manufactures or sells any of the products provided or offered by the Company or (4) performs any other services and/or engages in the production, manufacture, distribution or sale of any product that may be purchased in lieu of purchasing services performed or products produced, manufactured, distributed or sold by the Company, in each case within the Field of Interest at any time during the period of your employment with the Company (a “</w:t>
      </w:r>
      <w:r>
        <w:rPr>
          <w:rFonts w:ascii="Times New Roman" w:cs="Times New Roman" w:eastAsia="Times New Roman" w:hAnsi="Times New Roman"/>
          <w:sz w:val="20"/>
          <w:szCs w:val="20"/>
          <w:b w:val="1"/>
          <w:bCs w:val="1"/>
          <w:color w:val="auto"/>
        </w:rPr>
        <w:t>Competitor</w:t>
      </w:r>
      <w:r>
        <w:rPr>
          <w:rFonts w:ascii="Times New Roman" w:cs="Times New Roman" w:eastAsia="Times New Roman" w:hAnsi="Times New Roman"/>
          <w:sz w:val="20"/>
          <w:szCs w:val="20"/>
          <w:color w:val="auto"/>
        </w:rPr>
        <w:t>”). As used herein, the term “</w:t>
      </w:r>
      <w:r>
        <w:rPr>
          <w:rFonts w:ascii="Times New Roman" w:cs="Times New Roman" w:eastAsia="Times New Roman" w:hAnsi="Times New Roman"/>
          <w:sz w:val="20"/>
          <w:szCs w:val="20"/>
          <w:b w:val="1"/>
          <w:bCs w:val="1"/>
          <w:color w:val="auto"/>
        </w:rPr>
        <w:t>Field of Interest</w:t>
      </w:r>
      <w:r>
        <w:rPr>
          <w:rFonts w:ascii="Times New Roman" w:cs="Times New Roman" w:eastAsia="Times New Roman" w:hAnsi="Times New Roman"/>
          <w:sz w:val="20"/>
          <w:szCs w:val="20"/>
          <w:color w:val="auto"/>
        </w:rPr>
        <w:t>” means [***]. You hereby acknowledge and</w:t>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agree that the Field of Interest shall be assessed for purposes of this Agreement as of the date on which your competitive activity occurs.</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(iii) You further acknowledge and agree that, during the course of your employment</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with the Company, the Company will furnish, disclose or make available to you confidential and proprietary information related to the Company’s business and that the Company may provide you with unique and specialized training. You also acknowledge that such confidential information and such training have been developed and will be developed by the Company through the expenditure by the Company of substantial time, effort and money and that all such confidential information and training could be used by you to compete with the Company.</w:t>
      </w:r>
    </w:p>
    <w:p>
      <w:pPr>
        <w:spacing w:after="0" w:line="208" w:lineRule="exact"/>
        <w:rPr>
          <w:sz w:val="20"/>
          <w:szCs w:val="20"/>
          <w:color w:val="auto"/>
        </w:rPr>
      </w:pPr>
    </w:p>
    <w:p>
      <w:pPr>
        <w:jc w:val="both"/>
        <w:ind w:firstLine="1304"/>
        <w:spacing w:after="0" w:line="262" w:lineRule="auto"/>
        <w:tabs>
          <w:tab w:leader="none" w:pos="164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have been advised to consult with an attorney of your choice in connection with this Agreement and have been provided the time necessary for such consultation as is reasonable under the circumstances and, if applicable to your work location, in compliance with any state-specific review periods.</w:t>
      </w:r>
    </w:p>
    <w:p>
      <w:pPr>
        <w:spacing w:after="0" w:line="194" w:lineRule="exact"/>
        <w:rPr>
          <w:rFonts w:ascii="Times New Roman" w:cs="Times New Roman" w:eastAsia="Times New Roman" w:hAnsi="Times New Roman"/>
          <w:sz w:val="21"/>
          <w:szCs w:val="21"/>
          <w:color w:val="auto"/>
        </w:rPr>
      </w:pPr>
    </w:p>
    <w:p>
      <w:pPr>
        <w:ind w:left="1160" w:hanging="504"/>
        <w:spacing w:after="0"/>
        <w:tabs>
          <w:tab w:leader="none" w:pos="11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Term and for a period of twelve (12) months following</w:t>
      </w:r>
    </w:p>
    <w:p>
      <w:pPr>
        <w:spacing w:after="0" w:line="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termination of your employment, whether such termination is voluntary or involuntary, you shall not, without the prior written consent of the Company:</w:t>
      </w:r>
    </w:p>
    <w:p>
      <w:pPr>
        <w:spacing w:after="0" w:line="200" w:lineRule="exact"/>
        <w:rPr>
          <w:sz w:val="20"/>
          <w:szCs w:val="20"/>
          <w:color w:val="auto"/>
        </w:rPr>
      </w:pPr>
    </w:p>
    <w:p>
      <w:pPr>
        <w:jc w:val="both"/>
        <w:ind w:firstLine="1304"/>
        <w:spacing w:after="0" w:line="255" w:lineRule="auto"/>
        <w:tabs>
          <w:tab w:leader="none" w:pos="1543"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individually or on behalf of or through any third party, solicit, divert or appropriate or attempt to solicit, divert or appropriate, any vendor, business relationship or customer of the Company during the Term, with whom you had business-related communications on behalf of the Company or on whose project you provided services during the Term, with the effect or intention of reducing or limiting the amount of business that such vendor, business counterparty or customer does with the Company and for the benefit of a Competitor; or</w:t>
      </w:r>
    </w:p>
    <w:p>
      <w:pPr>
        <w:spacing w:after="0" w:line="202" w:lineRule="exact"/>
        <w:rPr>
          <w:rFonts w:ascii="Times New Roman" w:cs="Times New Roman" w:eastAsia="Times New Roman" w:hAnsi="Times New Roman"/>
          <w:sz w:val="21"/>
          <w:szCs w:val="21"/>
          <w:color w:val="auto"/>
        </w:rPr>
      </w:pPr>
    </w:p>
    <w:p>
      <w:pPr>
        <w:jc w:val="both"/>
        <w:ind w:firstLine="1304"/>
        <w:spacing w:after="0" w:line="260" w:lineRule="auto"/>
        <w:tabs>
          <w:tab w:leader="none" w:pos="1614"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individually or on behalf of or through any third party, directly or indirectly, solicit, entice or persuade or attempt to solicit, entice or persuade any employees of or consultants to the Company (other than your spouse), who are employees or consultants of the Company at the time of the solicitation, with whom you had business-related communications on behalf of the Company or with whom you worked during the Term, to leave the services of the Company to provide services to any Competitor.</w:t>
      </w:r>
    </w:p>
    <w:p>
      <w:pPr>
        <w:spacing w:after="0" w:line="195" w:lineRule="exact"/>
        <w:rPr>
          <w:rFonts w:ascii="Times New Roman" w:cs="Times New Roman" w:eastAsia="Times New Roman" w:hAnsi="Times New Roman"/>
          <w:sz w:val="21"/>
          <w:szCs w:val="21"/>
          <w:color w:val="auto"/>
        </w:rPr>
      </w:pPr>
    </w:p>
    <w:p>
      <w:pPr>
        <w:jc w:val="both"/>
        <w:ind w:firstLine="656"/>
        <w:spacing w:after="0" w:line="271" w:lineRule="auto"/>
        <w:tabs>
          <w:tab w:leader="none" w:pos="121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Reasonableness of Restrictions</w:t>
      </w:r>
      <w:r>
        <w:rPr>
          <w:rFonts w:ascii="Times New Roman" w:cs="Times New Roman" w:eastAsia="Times New Roman" w:hAnsi="Times New Roman"/>
          <w:sz w:val="20"/>
          <w:szCs w:val="20"/>
          <w:color w:val="auto"/>
        </w:rPr>
        <w:t xml:space="preserve">. You further acknowledge and agree that (i) the activities which are prohibited by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are narrow and reasonable in relation to the skills which represent your principal salable asset both to the Company and to your other prospective employers, and (ii) given the global nature of the Company’s business, including its need to market its services and sell its products in a large geographic area in order to have a sufficient customer base to make the Company’s business profitable, the geographic, length of time and substantive scope of the provisions of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are reasonable, legitimate and fair to you.</w:t>
      </w:r>
    </w:p>
    <w:p>
      <w:pPr>
        <w:spacing w:after="0" w:line="186" w:lineRule="exact"/>
        <w:rPr>
          <w:rFonts w:ascii="Times New Roman" w:cs="Times New Roman" w:eastAsia="Times New Roman" w:hAnsi="Times New Roman"/>
          <w:sz w:val="20"/>
          <w:szCs w:val="20"/>
          <w:color w:val="auto"/>
        </w:rPr>
      </w:pPr>
    </w:p>
    <w:p>
      <w:pPr>
        <w:jc w:val="both"/>
        <w:ind w:firstLine="656"/>
        <w:spacing w:after="0" w:line="262" w:lineRule="auto"/>
        <w:tabs>
          <w:tab w:leader="none" w:pos="1256"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of Acknowledgments and Agreements</w:t>
      </w:r>
      <w:r>
        <w:rPr>
          <w:rFonts w:ascii="Times New Roman" w:cs="Times New Roman" w:eastAsia="Times New Roman" w:hAnsi="Times New Roman"/>
          <w:sz w:val="21"/>
          <w:szCs w:val="21"/>
          <w:color w:val="auto"/>
        </w:rPr>
        <w:t xml:space="preserve">. Except as expressly set forth hereunder, your acknowledgments and agreements set forth in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shall survive the termination of your employment with the Company for the periods set forth above.</w:t>
      </w:r>
    </w:p>
    <w:p>
      <w:pPr>
        <w:spacing w:after="0" w:line="208"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Information</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17" w:right="339" w:bottom="1440" w:gutter="0" w:footer="0" w:header="0"/>
        </w:sectPr>
      </w:pPr>
    </w:p>
    <w:bookmarkStart w:id="64" w:name="page65"/>
    <w:bookmarkEnd w:id="64"/>
    <w:p>
      <w:pPr>
        <w:ind w:left="9664"/>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56" w:firstLine="656"/>
        <w:spacing w:after="0" w:line="249" w:lineRule="auto"/>
        <w:tabs>
          <w:tab w:leader="none" w:pos="6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 Obligations</w:t>
      </w:r>
      <w:r>
        <w:rPr>
          <w:rFonts w:ascii="Times New Roman" w:cs="Times New Roman" w:eastAsia="Times New Roman" w:hAnsi="Times New Roman"/>
          <w:sz w:val="21"/>
          <w:szCs w:val="21"/>
          <w:color w:val="auto"/>
        </w:rPr>
        <w:t>. You shall at all times, both during the Term and thereafter, maintain in confidence and shall not, without the prior written consent of the Company, use, except in the course of performance of your duties for the Company, disclose or give to others any Confidential Information of the Company. As used herein, the term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xml:space="preserve">” shall mean any information which is disclosed to or developed by you during the course of performing services for, or receiving training from, the Company, and is not generally available to the public, including but not limited to confidential information concerning business plans, customers, future customers, suppliers, licensors, licensees, partners, investors, affiliates or others, training methods and materials, financial information, sales prospects, client lists, Company Inventions (as defined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or any other scientific, technical, trade or business secret or confidential or proprietary information of the Company or of any third party provided to you during the Term. In the event anyone not employed or otherwise engaged by the Company seeks information from you in regard to any such Confidential Information or any other secret or confidential work of the Company, or concerning any fact or circumstance relating thereto, you will promptly notify the chief executive officer of the Company.</w:t>
      </w:r>
    </w:p>
    <w:p>
      <w:pPr>
        <w:spacing w:after="0" w:line="214" w:lineRule="exact"/>
        <w:rPr>
          <w:rFonts w:ascii="Times New Roman" w:cs="Times New Roman" w:eastAsia="Times New Roman" w:hAnsi="Times New Roman"/>
          <w:sz w:val="21"/>
          <w:szCs w:val="21"/>
          <w:color w:val="auto"/>
        </w:rPr>
      </w:pPr>
    </w:p>
    <w:p>
      <w:pPr>
        <w:jc w:val="both"/>
        <w:ind w:left="-656" w:firstLine="656"/>
        <w:spacing w:after="0" w:line="250" w:lineRule="auto"/>
        <w:tabs>
          <w:tab w:leader="none" w:pos="63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Limited Exceptions</w:t>
      </w:r>
      <w:r>
        <w:rPr>
          <w:rFonts w:ascii="Times New Roman" w:cs="Times New Roman" w:eastAsia="Times New Roman" w:hAnsi="Times New Roman"/>
          <w:sz w:val="21"/>
          <w:szCs w:val="21"/>
          <w:color w:val="auto"/>
        </w:rPr>
        <w:t xml:space="preserve">. The restrictions in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hereof shall not apply to information that, as can be established by competent written records: (i) was publicly known at the time of the Company’s communication thereof to you; (ii) becomes publicly known through no fault of yours subsequent to the time of the Company’s communication thereof to you; (iii) was in your possession free of any obligation of confidence at the time of the Company’s communication thereof to you; or (iv) is developed by you independently of and without reference to or use of any of the Company’s Confidential Information. In the event that you are required by law, regulation or court order to disclose any of the Company’s Confidential Information, you shall (i) first notify the Company of such disclosure requirement, unless such advance notice requirement is prohibited by law and (ii) furnish only that portion of the Confidential Information that is legally required and will exercise all reasonable efforts to obtain reliable assurances that confidential treatment will be accorded the Confidential Information.</w:t>
      </w:r>
    </w:p>
    <w:p>
      <w:pPr>
        <w:spacing w:after="0" w:line="220" w:lineRule="exact"/>
        <w:rPr>
          <w:rFonts w:ascii="Times New Roman" w:cs="Times New Roman" w:eastAsia="Times New Roman" w:hAnsi="Times New Roman"/>
          <w:sz w:val="21"/>
          <w:szCs w:val="21"/>
          <w:color w:val="auto"/>
        </w:rPr>
      </w:pPr>
    </w:p>
    <w:p>
      <w:pPr>
        <w:jc w:val="both"/>
        <w:ind w:left="-656" w:firstLine="656"/>
        <w:spacing w:after="0" w:line="252" w:lineRule="auto"/>
        <w:tabs>
          <w:tab w:leader="none" w:pos="6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Rights</w:t>
      </w:r>
      <w:r>
        <w:rPr>
          <w:rFonts w:ascii="Times New Roman" w:cs="Times New Roman" w:eastAsia="Times New Roman" w:hAnsi="Times New Roman"/>
          <w:sz w:val="21"/>
          <w:szCs w:val="21"/>
          <w:color w:val="auto"/>
        </w:rPr>
        <w:t>. Nothing in this Agreement prohibits or restricts you or your attorney from initiating communications directly with, responding to an inquiry from, or providing testimony before the Securities and Exchange Commission, any regulatory or self-regulatory organization, or any other governmental authority. Nothing in this Agreement in any way prohibits or is intended to restrict or impede you from discussing the terms and conditions of your employment with coworkers or union representatives or exercising any other protected rights under Section 7 of the National Labor Relations Act.</w:t>
      </w:r>
    </w:p>
    <w:p>
      <w:pPr>
        <w:spacing w:after="0" w:line="217" w:lineRule="exact"/>
        <w:rPr>
          <w:rFonts w:ascii="Times New Roman" w:cs="Times New Roman" w:eastAsia="Times New Roman" w:hAnsi="Times New Roman"/>
          <w:sz w:val="21"/>
          <w:szCs w:val="21"/>
          <w:color w:val="auto"/>
        </w:rPr>
      </w:pPr>
    </w:p>
    <w:p>
      <w:pPr>
        <w:jc w:val="both"/>
        <w:ind w:left="-656" w:firstLine="656"/>
        <w:spacing w:after="0" w:line="253" w:lineRule="auto"/>
        <w:tabs>
          <w:tab w:leader="none" w:pos="63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2870</w:t>
      </w:r>
      <w:r>
        <w:rPr>
          <w:rFonts w:ascii="Times New Roman" w:cs="Times New Roman" w:eastAsia="Times New Roman" w:hAnsi="Times New Roman"/>
          <w:sz w:val="21"/>
          <w:szCs w:val="21"/>
          <w:color w:val="auto"/>
        </w:rPr>
        <w:t>. You understand that the provisions of this Agreement requiring assignment of inventions to the Company do not apply to any invention which qualifies fully under the provisions of California Labor Code Section 2870, which provides as follows:</w:t>
      </w:r>
    </w:p>
    <w:p>
      <w:pPr>
        <w:spacing w:after="0" w:line="2" w:lineRule="exact"/>
        <w:rPr>
          <w:rFonts w:ascii="Times New Roman" w:cs="Times New Roman" w:eastAsia="Times New Roman" w:hAnsi="Times New Roman"/>
          <w:sz w:val="21"/>
          <w:szCs w:val="21"/>
          <w:color w:val="auto"/>
        </w:rPr>
      </w:pPr>
    </w:p>
    <w:p>
      <w:pPr>
        <w:jc w:val="both"/>
        <w:ind w:left="644" w:firstLine="4"/>
        <w:spacing w:after="0" w:line="247" w:lineRule="auto"/>
        <w:tabs>
          <w:tab w:leader="none" w:pos="929"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w:t>
      </w:r>
    </w:p>
    <w:p>
      <w:pPr>
        <w:sectPr>
          <w:pgSz w:w="11900" w:h="16838" w:orient="portrait"/>
          <w:cols w:equalWidth="0" w:num="1">
            <w:col w:w="10584"/>
          </w:cols>
          <w:pgMar w:left="976" w:top="11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300" w:firstLine="4"/>
        <w:spacing w:after="0" w:line="253" w:lineRule="auto"/>
        <w:tabs>
          <w:tab w:leader="none" w:pos="162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You will advise the Company promptly in writing of any invention that you believe meets the criteria in California Labor Code Section 2870.</w:t>
      </w:r>
    </w:p>
    <w:p>
      <w:pPr>
        <w:spacing w:after="0" w:line="197" w:lineRule="exact"/>
        <w:rPr>
          <w:sz w:val="20"/>
          <w:szCs w:val="20"/>
          <w:color w:val="auto"/>
        </w:rPr>
      </w:pPr>
    </w:p>
    <w:p>
      <w:pPr>
        <w:ind w:firstLine="656"/>
        <w:spacing w:after="0" w:line="270" w:lineRule="auto"/>
        <w:tabs>
          <w:tab w:leader="none" w:pos="1296"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of Acknowledgments and Agreements</w:t>
      </w:r>
      <w:r>
        <w:rPr>
          <w:rFonts w:ascii="Times New Roman" w:cs="Times New Roman" w:eastAsia="Times New Roman" w:hAnsi="Times New Roman"/>
          <w:sz w:val="21"/>
          <w:szCs w:val="21"/>
          <w:color w:val="auto"/>
        </w:rPr>
        <w:t xml:space="preserve">. Except as expressly set forth hereunder, your acknowledgments and agreements set forth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shall survive the termination of your employment with the Company.</w:t>
      </w:r>
    </w:p>
    <w:p>
      <w:pPr>
        <w:spacing w:after="0" w:line="199"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Ownership of Intellectual Property Ideas</w:t>
      </w:r>
      <w:r>
        <w:rPr>
          <w:rFonts w:ascii="Times New Roman" w:cs="Times New Roman" w:eastAsia="Times New Roman" w:hAnsi="Times New Roman"/>
          <w:sz w:val="21"/>
          <w:szCs w:val="21"/>
          <w:color w:val="auto"/>
        </w:rPr>
        <w:t>.</w:t>
      </w:r>
    </w:p>
    <w:p>
      <w:pPr>
        <w:spacing w:after="0" w:line="242" w:lineRule="exact"/>
        <w:rPr>
          <w:rFonts w:ascii="Times New Roman" w:cs="Times New Roman" w:eastAsia="Times New Roman" w:hAnsi="Times New Roman"/>
          <w:sz w:val="21"/>
          <w:szCs w:val="21"/>
          <w:color w:val="auto"/>
        </w:rPr>
      </w:pPr>
    </w:p>
    <w:p>
      <w:pPr>
        <w:jc w:val="both"/>
        <w:ind w:firstLine="656"/>
        <w:spacing w:after="0" w:line="264" w:lineRule="auto"/>
        <w:tabs>
          <w:tab w:leader="none" w:pos="129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Property of the Company</w:t>
      </w:r>
      <w:r>
        <w:rPr>
          <w:rFonts w:ascii="Times New Roman" w:cs="Times New Roman" w:eastAsia="Times New Roman" w:hAnsi="Times New Roman"/>
          <w:sz w:val="20"/>
          <w:szCs w:val="20"/>
          <w:color w:val="auto"/>
        </w:rPr>
        <w:t>. As used in this Agreement, the term “</w:t>
      </w:r>
      <w:r>
        <w:rPr>
          <w:rFonts w:ascii="Times New Roman" w:cs="Times New Roman" w:eastAsia="Times New Roman" w:hAnsi="Times New Roman"/>
          <w:sz w:val="20"/>
          <w:szCs w:val="20"/>
          <w:b w:val="1"/>
          <w:bCs w:val="1"/>
          <w:color w:val="auto"/>
        </w:rPr>
        <w:t>Inventions</w:t>
      </w:r>
      <w:r>
        <w:rPr>
          <w:rFonts w:ascii="Times New Roman" w:cs="Times New Roman" w:eastAsia="Times New Roman" w:hAnsi="Times New Roman"/>
          <w:sz w:val="20"/>
          <w:szCs w:val="20"/>
          <w:color w:val="auto"/>
        </w:rPr>
        <w:t>” shall mean all ideas, discoveries, creations, manuscripts and properties, innovations, improvements, know-how, inventions, designs, developments, apparatus, techniques, methods, biological processes, cell lines, laboratory notebooks and formulae, whether patentable, copyrightable or not, including all rights to obtain, register, perfect and enforce any of the foregoing. You hereby agree that any Inventions which you may conceive, reduce to practice or develop during the Term, whether in connection with the business activities of the Company or otherwise, alone or in conjunction with any other party, whether during or out of regular business hours, and whether at the request or upon the suggestion of the Company, or otherwise (collectively, the “</w:t>
      </w:r>
      <w:r>
        <w:rPr>
          <w:rFonts w:ascii="Times New Roman" w:cs="Times New Roman" w:eastAsia="Times New Roman" w:hAnsi="Times New Roman"/>
          <w:sz w:val="20"/>
          <w:szCs w:val="20"/>
          <w:b w:val="1"/>
          <w:bCs w:val="1"/>
          <w:color w:val="auto"/>
        </w:rPr>
        <w:t>Company Inventions</w:t>
      </w:r>
      <w:r>
        <w:rPr>
          <w:rFonts w:ascii="Times New Roman" w:cs="Times New Roman" w:eastAsia="Times New Roman" w:hAnsi="Times New Roman"/>
          <w:sz w:val="20"/>
          <w:szCs w:val="20"/>
          <w:color w:val="auto"/>
        </w:rPr>
        <w:t>”), shall be the sole and exclusive property of the Company. You hereby assign to the Company all of your right, title and interest in and to all such Company Inventions and hereby agree that you shall not publish any of the Company Inventions without the prior written consent of the Company.</w:t>
      </w:r>
    </w:p>
    <w:p>
      <w:pPr>
        <w:spacing w:after="0" w:line="209" w:lineRule="exact"/>
        <w:rPr>
          <w:rFonts w:ascii="Times New Roman" w:cs="Times New Roman" w:eastAsia="Times New Roman" w:hAnsi="Times New Roman"/>
          <w:sz w:val="20"/>
          <w:szCs w:val="20"/>
          <w:color w:val="auto"/>
        </w:rPr>
      </w:pPr>
    </w:p>
    <w:p>
      <w:pPr>
        <w:jc w:val="both"/>
        <w:ind w:firstLine="656"/>
        <w:spacing w:after="0" w:line="260" w:lineRule="auto"/>
        <w:tabs>
          <w:tab w:leader="none" w:pos="129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During the Term, you agree that, without further compensation, you will disclose promptly to the Company in writing, all Company Inventions you conceive, reduce to practice or develop during the Term (or, if based on or related to any Confidential Information of the Company obtained by you during the Term, within one (1) year after the termination of your employment). You further agree that you will fully cooperate with the Company, its attorneys and agents in the preparation and filing of all papers and other documents as may be reasonably required to perfect the Company’s rights in and to any of such Company Inventions, including, but not limited to, joining in any proceeding to obtain patents, copyrights, trademarks or other legal rights of the United States and of any and all other countries on such Company Inventions; provided, that, the Company will bear the expense of such proceedings (including all of your reasonable expenses). You further agree that any patent or other legal right covering any Company Invention so issued to you, personally, shall be assigned by you to the Company without charge by you. You further acknowledge that all original works of authorship made by you, whether alone or jointly with others within the scope of your employment and which are protectable by copyright are “works made for hire” within the meaning of the United States Copyright Act,</w:t>
      </w:r>
    </w:p>
    <w:p>
      <w:pPr>
        <w:spacing w:after="0" w:line="10" w:lineRule="exact"/>
        <w:rPr>
          <w:rFonts w:ascii="Times New Roman" w:cs="Times New Roman" w:eastAsia="Times New Roman" w:hAnsi="Times New Roman"/>
          <w:sz w:val="20"/>
          <w:szCs w:val="20"/>
          <w:color w:val="auto"/>
        </w:rPr>
      </w:pPr>
    </w:p>
    <w:p>
      <w:pPr>
        <w:jc w:val="both"/>
        <w:ind w:firstLine="8"/>
        <w:spacing w:after="0" w:line="247" w:lineRule="auto"/>
        <w:tabs>
          <w:tab w:leader="none" w:pos="29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U.S.C. § 101, as amended, the copyright of which shall be owned solely, completely and exclusively by the Company. If any Company Invention is considered to be work not included in the categories of work covered by the United States Copyright Act, 17 U.S.C. § 101, as amended, such work shall be owned solely by, or hereby assigned or transferred completely and exclusively to, the Company. If the Company is unable because of your mental or physical incapacity or for any other reason, after reasonable effort, to secure your signature on any document or documents needed to obtain or enforce any patent, copyright, trademarks or any other rights covering Inventions or original works of authorship assigned by you to the Company as required above, you hereby irrevocably designate and appoint the Company and its duly authorized officers and agents as your agent and attorney-in-fact, to act for and in your behalf and stead to execute and file any application or assignment and to do all other lawfully</w:t>
      </w:r>
    </w:p>
    <w:p>
      <w:pPr>
        <w:sectPr>
          <w:pgSz w:w="11900" w:h="16838" w:orient="portrait"/>
          <w:cols w:equalWidth="0" w:num="1">
            <w:col w:w="11240"/>
          </w:cols>
          <w:pgMar w:left="320"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permitted acts to further the prosecution and issuance to the Company of patents, copyright registrations, trademark registrations or similar protections covering the Inventions with the same legal force and effect as if executed by you.</w:t>
      </w:r>
    </w:p>
    <w:p>
      <w:pPr>
        <w:spacing w:after="0" w:line="199" w:lineRule="exact"/>
        <w:rPr>
          <w:sz w:val="20"/>
          <w:szCs w:val="20"/>
          <w:color w:val="auto"/>
        </w:rPr>
      </w:pPr>
    </w:p>
    <w:p>
      <w:pPr>
        <w:jc w:val="both"/>
        <w:ind w:firstLine="656"/>
        <w:spacing w:after="0" w:line="251" w:lineRule="auto"/>
        <w:tabs>
          <w:tab w:leader="none" w:pos="129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the Economic Espionage Act of 1996, as amended by the Defend Trade Secrets Act of 2016, notwithstanding any other provision of this Agreement: (i) you will not be held criminally or civilly liable under any federal or state trade secret law for any disclosure of a trade 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 or (ii) if you file a lawsuit for retaliation for reporting a suspected violation of law, you may disclose trade secrets to your attorney and use the trade secret information in the court proceeding if you (1) file any document containing the trade secret under seal; and (2) do not disclose the trade secret, except pursuant to court order.</w:t>
      </w:r>
    </w:p>
    <w:p>
      <w:pPr>
        <w:spacing w:after="0" w:line="207" w:lineRule="exact"/>
        <w:rPr>
          <w:rFonts w:ascii="Times New Roman" w:cs="Times New Roman" w:eastAsia="Times New Roman" w:hAnsi="Times New Roman"/>
          <w:sz w:val="21"/>
          <w:szCs w:val="21"/>
          <w:color w:val="auto"/>
        </w:rPr>
      </w:pPr>
    </w:p>
    <w:p>
      <w:pPr>
        <w:jc w:val="both"/>
        <w:ind w:firstLine="8"/>
        <w:spacing w:after="0" w:line="249" w:lineRule="auto"/>
        <w:tabs>
          <w:tab w:leader="none" w:pos="50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Provisions Necessary and Reasonable/Breach/Attorneys’ Fees</w:t>
      </w:r>
      <w:r>
        <w:rPr>
          <w:rFonts w:ascii="Times New Roman" w:cs="Times New Roman" w:eastAsia="Times New Roman" w:hAnsi="Times New Roman"/>
          <w:sz w:val="21"/>
          <w:szCs w:val="21"/>
          <w:color w:val="auto"/>
        </w:rPr>
        <w:t xml:space="preserve">. You agree that (i) the provisions of </w:t>
      </w:r>
      <w:r>
        <w:rPr>
          <w:rFonts w:ascii="Times New Roman" w:cs="Times New Roman" w:eastAsia="Times New Roman" w:hAnsi="Times New Roman"/>
          <w:sz w:val="21"/>
          <w:szCs w:val="21"/>
          <w:u w:val="single" w:color="auto"/>
          <w:color w:val="auto"/>
        </w:rPr>
        <w:t>Sections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of this Agreement are necessary and reasonable to protect the Company’s Confidential Information, Company Inventions, and goodwill and (ii) in the event of any breach of any of the covenants set forth herein, the Company would suffer substantial irreparable harm and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and/or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In the event the Company takes any court action with respect to your breach or threatened breach of this Agreement, and prevails in such action, you shall be obligated to reimburse the Company for its reasonable attorneys’ fees and costs incurred in such action. If you prevail in such action, the Company shall be obliged to reimburse you for your reasonable attorneys’ fees and costs incurred in such action.</w:t>
      </w:r>
    </w:p>
    <w:p>
      <w:pPr>
        <w:spacing w:after="0" w:line="220" w:lineRule="exact"/>
        <w:rPr>
          <w:rFonts w:ascii="Times New Roman" w:cs="Times New Roman" w:eastAsia="Times New Roman" w:hAnsi="Times New Roman"/>
          <w:sz w:val="21"/>
          <w:szCs w:val="21"/>
          <w:color w:val="auto"/>
        </w:rPr>
      </w:pPr>
    </w:p>
    <w:p>
      <w:pPr>
        <w:jc w:val="both"/>
        <w:ind w:firstLine="8"/>
        <w:spacing w:after="0" w:line="252" w:lineRule="auto"/>
        <w:tabs>
          <w:tab w:leader="none" w:pos="427"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 to Future Employers</w:t>
      </w:r>
      <w:r>
        <w:rPr>
          <w:rFonts w:ascii="Times New Roman" w:cs="Times New Roman" w:eastAsia="Times New Roman" w:hAnsi="Times New Roman"/>
          <w:sz w:val="21"/>
          <w:szCs w:val="21"/>
          <w:color w:val="auto"/>
        </w:rPr>
        <w:t xml:space="preserve">. You agree that you will provide, and that the Company may similarly provide in its discretion, a copy of the covenants contained in </w:t>
      </w:r>
      <w:r>
        <w:rPr>
          <w:rFonts w:ascii="Times New Roman" w:cs="Times New Roman" w:eastAsia="Times New Roman" w:hAnsi="Times New Roman"/>
          <w:sz w:val="21"/>
          <w:szCs w:val="21"/>
          <w:u w:val="single" w:color="auto"/>
          <w:color w:val="auto"/>
        </w:rPr>
        <w:t>Sections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of this Agreement to any business or enterprise which you may directly, or indirectly, own, manage, operate, finance, join, control or in which you participate in the ownership, management, operation, financing, or control, or with which you may be connected as an officer, director, employee, partner, principal, agent, representative, consultant or otherwise.</w:t>
      </w:r>
    </w:p>
    <w:p>
      <w:pPr>
        <w:spacing w:after="0" w:line="109"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Regarding Prior Work and Legal Obligations</w:t>
      </w:r>
      <w:r>
        <w:rPr>
          <w:rFonts w:ascii="Times New Roman" w:cs="Times New Roman" w:eastAsia="Times New Roman" w:hAnsi="Times New Roman"/>
          <w:sz w:val="21"/>
          <w:szCs w:val="21"/>
          <w:color w:val="auto"/>
        </w:rPr>
        <w:t>.</w:t>
      </w:r>
    </w:p>
    <w:p>
      <w:pPr>
        <w:spacing w:after="0" w:line="285" w:lineRule="exact"/>
        <w:rPr>
          <w:rFonts w:ascii="Times New Roman" w:cs="Times New Roman" w:eastAsia="Times New Roman" w:hAnsi="Times New Roman"/>
          <w:sz w:val="21"/>
          <w:szCs w:val="21"/>
          <w:color w:val="auto"/>
        </w:rPr>
      </w:pPr>
    </w:p>
    <w:p>
      <w:pPr>
        <w:jc w:val="both"/>
        <w:ind w:right="100" w:firstLine="656"/>
        <w:spacing w:after="0" w:line="256" w:lineRule="auto"/>
        <w:tabs>
          <w:tab w:leader="none" w:pos="129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You represent that you have no agreement or other legal obligation with any prior employer or any other person or entity that restricts your ability to engage in employment discussions with, employment with, or to perform any function for, the Company.</w:t>
      </w:r>
    </w:p>
    <w:p>
      <w:pPr>
        <w:spacing w:after="0" w:line="213" w:lineRule="exact"/>
        <w:rPr>
          <w:rFonts w:ascii="Times New Roman" w:cs="Times New Roman" w:eastAsia="Times New Roman" w:hAnsi="Times New Roman"/>
          <w:sz w:val="22"/>
          <w:szCs w:val="22"/>
          <w:color w:val="auto"/>
        </w:rPr>
      </w:pPr>
    </w:p>
    <w:p>
      <w:pPr>
        <w:jc w:val="both"/>
        <w:ind w:right="100" w:firstLine="656"/>
        <w:spacing w:after="0" w:line="256" w:lineRule="auto"/>
        <w:tabs>
          <w:tab w:leader="none" w:pos="129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You represent that you have been advised by the Company that at no time should you divulge to or use for the benefit of the Company, any trade secret or confidential or proprietary information of any previous employer. You acknowledge that you have not divulged or used any such information for the benefit of the Company.</w:t>
      </w:r>
    </w:p>
    <w:p>
      <w:pPr>
        <w:sectPr>
          <w:pgSz w:w="11900" w:h="16838" w:orient="portrait"/>
          <w:cols w:equalWidth="0" w:num="1">
            <w:col w:w="11240"/>
          </w:cols>
          <w:pgMar w:left="320" w:top="11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49" w:lineRule="auto"/>
        <w:tabs>
          <w:tab w:leader="none" w:pos="129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You acknowledge that the Company is basing important business decisions on these representations, and affirm that all of the statements included herein are true.</w:t>
      </w:r>
    </w:p>
    <w:p>
      <w:pPr>
        <w:jc w:val="both"/>
        <w:ind w:right="100" w:firstLine="8"/>
        <w:spacing w:after="0" w:line="256" w:lineRule="auto"/>
        <w:tabs>
          <w:tab w:leader="none" w:pos="64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xml:space="preserve"> Upon termination of your employment relationship with the Company, you shall deliver to the Company any property of the Company which may be in your possession including products, materials, memoranda, notes, records, reports, or other documents or photocopies of the same.</w:t>
      </w:r>
    </w:p>
    <w:p>
      <w:pPr>
        <w:spacing w:after="0" w:line="213" w:lineRule="exact"/>
        <w:rPr>
          <w:rFonts w:ascii="Times New Roman" w:cs="Times New Roman" w:eastAsia="Times New Roman" w:hAnsi="Times New Roman"/>
          <w:sz w:val="22"/>
          <w:szCs w:val="22"/>
          <w:color w:val="auto"/>
        </w:rPr>
      </w:pPr>
    </w:p>
    <w:p>
      <w:pPr>
        <w:jc w:val="both"/>
        <w:ind w:right="100" w:firstLine="8"/>
        <w:spacing w:after="0" w:line="256" w:lineRule="auto"/>
        <w:tabs>
          <w:tab w:leader="none" w:pos="64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No Conflicting Agreements</w:t>
      </w:r>
      <w:r>
        <w:rPr>
          <w:rFonts w:ascii="Times New Roman" w:cs="Times New Roman" w:eastAsia="Times New Roman" w:hAnsi="Times New Roman"/>
          <w:sz w:val="21"/>
          <w:szCs w:val="21"/>
          <w:color w:val="auto"/>
        </w:rPr>
        <w:t>. You hereby represent and warrant that you have no commitments or obligations inconsistent with this Agreement and you hereby agree to indemnify and hold the Company harmless against loss, damage, liability or expense arising from any claim based upon circumstances alleged to be inconsistent with such representation and warranty.</w:t>
      </w:r>
    </w:p>
    <w:p>
      <w:pPr>
        <w:spacing w:after="0" w:line="21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jc w:val="both"/>
        <w:ind w:right="100" w:firstLine="656"/>
        <w:spacing w:after="0" w:line="267" w:lineRule="auto"/>
        <w:tabs>
          <w:tab w:leader="none" w:pos="119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consents and other communications hereunder shall be in writing, shall be addressed to the receiving party’s address set forth below or to such other address as a party may designate by notice hereunder, and shall be either</w:t>
      </w:r>
    </w:p>
    <w:p>
      <w:pPr>
        <w:spacing w:after="0" w:line="1" w:lineRule="exact"/>
        <w:rPr>
          <w:rFonts w:ascii="Times New Roman" w:cs="Times New Roman" w:eastAsia="Times New Roman" w:hAnsi="Times New Roman"/>
          <w:sz w:val="20"/>
          <w:szCs w:val="20"/>
          <w:color w:val="auto"/>
        </w:rPr>
      </w:pPr>
    </w:p>
    <w:p>
      <w:pPr>
        <w:jc w:val="both"/>
        <w:ind w:right="100"/>
        <w:spacing w:after="0" w:line="2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 delivered by hand, (ii) made by telex, telecopy or facsimile transmission with confirmed receipt thereof (and with a copy of such telex, telecopy or facsimile, together with a copy of the confirmation sent to the recipient by regular U.S. mail on the next business day), (iii) sent by overnight courier, or (iv) sent by registered mail, return receipt requested, postage prepaid.</w:t>
      </w:r>
    </w:p>
    <w:p>
      <w:pPr>
        <w:spacing w:after="0" w:line="2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If to the Company: Madrigal Pharmaceuticals</w:t>
      </w:r>
    </w:p>
    <w:p>
      <w:pPr>
        <w:spacing w:after="0" w:line="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Four Tower Bridge</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200 Barr Harbor Drive, Suite 200</w:t>
      </w:r>
    </w:p>
    <w:p>
      <w:pPr>
        <w:spacing w:after="0" w:line="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West Conshohocken, PA 19428</w:t>
      </w:r>
    </w:p>
    <w:p>
      <w:pPr>
        <w:spacing w:after="0" w:line="2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If to you: To the address set forth on the signature page of this Agreement.</w:t>
      </w:r>
    </w:p>
    <w:p>
      <w:pPr>
        <w:spacing w:after="0" w:line="245" w:lineRule="exact"/>
        <w:rPr>
          <w:sz w:val="20"/>
          <w:szCs w:val="20"/>
          <w:color w:val="auto"/>
        </w:rPr>
      </w:pPr>
    </w:p>
    <w:p>
      <w:pPr>
        <w:jc w:val="both"/>
        <w:ind w:left="100" w:right="100"/>
        <w:spacing w:after="0" w:line="255" w:lineRule="auto"/>
        <w:rPr>
          <w:sz w:val="20"/>
          <w:szCs w:val="20"/>
          <w:color w:val="auto"/>
        </w:rPr>
      </w:pPr>
      <w:r>
        <w:rPr>
          <w:rFonts w:ascii="Times New Roman" w:cs="Times New Roman" w:eastAsia="Times New Roman" w:hAnsi="Times New Roman"/>
          <w:sz w:val="21"/>
          <w:szCs w:val="21"/>
          <w:color w:val="auto"/>
        </w:rPr>
        <w:t>All notices, requests, consents and other communications hereunder shall be deemed to have been given either (i) if by hand, at the time of the delivery thereof to the receiving party at the address of such party set forth above, (ii) if made by telex, telecopy or facsimile transmission, at the time that receipt thereof has been acknowledged by electronic confirmation or otherwise, (iii) if sent by overnight courier, on the next business day following the day such notice is delivered to the courier service, or (iv) if sent by registered mail, on the fifth business day following the day such mailing is made.</w:t>
      </w:r>
    </w:p>
    <w:p>
      <w:pPr>
        <w:spacing w:after="0" w:line="216" w:lineRule="exact"/>
        <w:rPr>
          <w:sz w:val="20"/>
          <w:szCs w:val="20"/>
          <w:color w:val="auto"/>
        </w:rPr>
      </w:pPr>
    </w:p>
    <w:p>
      <w:pPr>
        <w:jc w:val="both"/>
        <w:ind w:right="100" w:firstLine="656"/>
        <w:spacing w:after="0" w:line="251"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233" w:lineRule="exact"/>
        <w:rPr>
          <w:rFonts w:ascii="Times New Roman" w:cs="Times New Roman" w:eastAsia="Times New Roman" w:hAnsi="Times New Roman"/>
          <w:sz w:val="22"/>
          <w:szCs w:val="22"/>
          <w:color w:val="auto"/>
        </w:rPr>
      </w:pPr>
    </w:p>
    <w:p>
      <w:pPr>
        <w:ind w:right="100" w:firstLine="656"/>
        <w:spacing w:after="0" w:line="258" w:lineRule="auto"/>
        <w:tabs>
          <w:tab w:leader="none" w:pos="129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Modifications and Amendments</w:t>
      </w:r>
      <w:r>
        <w:rPr>
          <w:rFonts w:ascii="Times New Roman" w:cs="Times New Roman" w:eastAsia="Times New Roman" w:hAnsi="Times New Roman"/>
          <w:sz w:val="21"/>
          <w:szCs w:val="21"/>
          <w:color w:val="auto"/>
        </w:rPr>
        <w:t>. The terms and provisions of this Agreement may be modified or amended only by written agreement executed by the parties hereto.</w:t>
      </w:r>
    </w:p>
    <w:p>
      <w:pPr>
        <w:sectPr>
          <w:pgSz w:w="11900" w:h="16838" w:orient="portrait"/>
          <w:cols w:equalWidth="0" w:num="1">
            <w:col w:w="11240"/>
          </w:cols>
          <w:pgMar w:left="320" w:top="11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656"/>
        <w:spacing w:after="0" w:line="249"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Waivers and Consents</w:t>
      </w:r>
      <w:r>
        <w:rPr>
          <w:rFonts w:ascii="Times New Roman" w:cs="Times New Roman" w:eastAsia="Times New Roman" w:hAnsi="Times New Roman"/>
          <w:sz w:val="21"/>
          <w:szCs w:val="21"/>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4" w:lineRule="exact"/>
        <w:rPr>
          <w:rFonts w:ascii="Times New Roman" w:cs="Times New Roman" w:eastAsia="Times New Roman" w:hAnsi="Times New Roman"/>
          <w:sz w:val="22"/>
          <w:szCs w:val="22"/>
          <w:color w:val="auto"/>
        </w:rPr>
      </w:pPr>
    </w:p>
    <w:p>
      <w:pPr>
        <w:jc w:val="both"/>
        <w:ind w:right="100" w:firstLine="656"/>
        <w:spacing w:after="0" w:line="249" w:lineRule="auto"/>
        <w:tabs>
          <w:tab w:leader="none" w:pos="12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The Company may assign its rights and obligations hereunder to any person or entity that succeeds to all or substantially all of the Company’s business or that aspect of the Company’s business in which you are principally involved. Your rights and obligations under this Agreement may not be assigned by you without the prior written consent of the Company.</w:t>
      </w:r>
    </w:p>
    <w:p>
      <w:pPr>
        <w:spacing w:after="0" w:line="221" w:lineRule="exact"/>
        <w:rPr>
          <w:rFonts w:ascii="Times New Roman" w:cs="Times New Roman" w:eastAsia="Times New Roman" w:hAnsi="Times New Roman"/>
          <w:sz w:val="22"/>
          <w:szCs w:val="22"/>
          <w:color w:val="auto"/>
        </w:rPr>
      </w:pPr>
    </w:p>
    <w:p>
      <w:pPr>
        <w:jc w:val="both"/>
        <w:ind w:right="100" w:firstLine="656"/>
        <w:spacing w:after="0" w:line="251"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Benefit</w:t>
      </w:r>
      <w:r>
        <w:rPr>
          <w:rFonts w:ascii="Times New Roman" w:cs="Times New Roman" w:eastAsia="Times New Roman" w:hAnsi="Times New Roman"/>
          <w:sz w:val="21"/>
          <w:szCs w:val="21"/>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260" w:lineRule="exact"/>
        <w:rPr>
          <w:rFonts w:ascii="Times New Roman" w:cs="Times New Roman" w:eastAsia="Times New Roman" w:hAnsi="Times New Roman"/>
          <w:sz w:val="22"/>
          <w:szCs w:val="22"/>
          <w:color w:val="auto"/>
        </w:rPr>
      </w:pPr>
    </w:p>
    <w:p>
      <w:pPr>
        <w:jc w:val="both"/>
        <w:ind w:right="100" w:firstLine="656"/>
        <w:spacing w:after="0" w:line="248"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parties intend this Agreement to be enforced as written. However, (i) if any portion or provision of this Agreement shall to any extent be declared illegal or unenforceable by a duly authorized court having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and (ii) if any provision, or part thereof, is held to be unenforceable because of the duration of such provision or the geographic area covered thereby, the Company and you agree that the court making such determination shall have the power to reduce the duration and/or geographic area of such provision, and/or to delete specific words and phrases (“blue-penciling”), and in its reduced or blue-penciled form such provision shall then be enforceable and shall be enforced.</w:t>
      </w:r>
    </w:p>
    <w:p>
      <w:pPr>
        <w:spacing w:after="0" w:line="253" w:lineRule="exact"/>
        <w:rPr>
          <w:rFonts w:ascii="Times New Roman" w:cs="Times New Roman" w:eastAsia="Times New Roman" w:hAnsi="Times New Roman"/>
          <w:sz w:val="22"/>
          <w:szCs w:val="22"/>
          <w:color w:val="auto"/>
        </w:rPr>
      </w:pPr>
    </w:p>
    <w:p>
      <w:pPr>
        <w:ind w:right="100" w:firstLine="656"/>
        <w:spacing w:after="0" w:line="283" w:lineRule="auto"/>
        <w:tabs>
          <w:tab w:leader="none" w:pos="129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Headings and Captions</w:t>
      </w:r>
      <w:r>
        <w:rPr>
          <w:rFonts w:ascii="Times New Roman" w:cs="Times New Roman" w:eastAsia="Times New Roman" w:hAnsi="Times New Roman"/>
          <w:sz w:val="20"/>
          <w:szCs w:val="20"/>
          <w:color w:val="auto"/>
        </w:rPr>
        <w:t>. The headings and captions of the various subdivisions of this Agreement are for convenience of reference only and shall in no way modify, or affect the meaning or construction of any of the terms or provisions hereof.</w:t>
      </w:r>
    </w:p>
    <w:p>
      <w:pPr>
        <w:spacing w:after="0" w:line="227" w:lineRule="exact"/>
        <w:rPr>
          <w:rFonts w:ascii="Times New Roman" w:cs="Times New Roman" w:eastAsia="Times New Roman" w:hAnsi="Times New Roman"/>
          <w:sz w:val="21"/>
          <w:szCs w:val="21"/>
          <w:color w:val="auto"/>
        </w:rPr>
      </w:pPr>
    </w:p>
    <w:p>
      <w:pPr>
        <w:jc w:val="both"/>
        <w:ind w:right="100" w:firstLine="656"/>
        <w:spacing w:after="0" w:line="248" w:lineRule="auto"/>
        <w:tabs>
          <w:tab w:leader="none" w:pos="128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No Waiver of Rights, Powers and Remedies</w:t>
      </w:r>
      <w:r>
        <w:rPr>
          <w:rFonts w:ascii="Times New Roman" w:cs="Times New Roman" w:eastAsia="Times New Roman" w:hAnsi="Times New Roman"/>
          <w:sz w:val="21"/>
          <w:szCs w:val="21"/>
          <w:color w:val="auto"/>
        </w:rPr>
        <w:t>. No failure or delay by a party hereto in exercising any right, power or remedy under this Agreement, and no course of dealing between the 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ectPr>
          <w:pgSz w:w="11900" w:h="16838" w:orient="portrait"/>
          <w:cols w:equalWidth="0" w:num="1">
            <w:col w:w="11240"/>
          </w:cols>
          <w:pgMar w:left="320" w:top="11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firstLine="656"/>
        <w:spacing w:after="0" w:line="256" w:lineRule="auto"/>
        <w:tabs>
          <w:tab w:leader="none" w:pos="128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and by different parties hereto on separate counterparts, each of which shall be deemed an original, but all of which together shall constitute one and the same instrument.</w:t>
      </w:r>
    </w:p>
    <w:p>
      <w:pPr>
        <w:sectPr>
          <w:pgSz w:w="11900" w:h="16838" w:orient="portrait"/>
          <w:cols w:equalWidth="0" w:num="1">
            <w:col w:w="11240"/>
          </w:cols>
          <w:pgMar w:left="320" w:top="11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21"/>
          <w:szCs w:val="21"/>
          <w:color w:val="auto"/>
        </w:rPr>
        <w:t>If the foregoing accurately sets forth our agreement, please so indicate by signing and returning to us the enclosed copy of this letter.</w:t>
      </w:r>
    </w:p>
    <w:p>
      <w:pPr>
        <w:spacing w:after="0" w:line="19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4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color w:val="auto"/>
        </w:rPr>
        <w:t>MADRIGAL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color w:val="auto"/>
        </w:rPr>
        <w:t>By: _/s/ Bill Sibold____________________________ Bill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-12065</wp:posOffset>
            </wp:positionV>
            <wp:extent cx="2701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701290" cy="8255"/>
                    </a:xfrm>
                    <a:prstGeom prst="rect">
                      <a:avLst/>
                    </a:prstGeom>
                    <a:noFill/>
                  </pic:spPr>
                </pic:pic>
              </a:graphicData>
            </a:graphic>
          </wp:anchor>
        </w:drawing>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i w:val="1"/>
          <w:iCs w:val="1"/>
          <w:color w:val="auto"/>
        </w:rPr>
        <w:t>Chief Executive Officer</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u w:val="single" w:color="auto"/>
          <w:color w:val="auto"/>
        </w:rPr>
        <w:t>/s/ Mardi Dier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Mardi Dier</w:t>
      </w:r>
    </w:p>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SEVERANCE AND CHANGE OF CONTROL AGREEMENT</w:t>
      </w:r>
    </w:p>
    <w:p>
      <w:pPr>
        <w:spacing w:after="0" w:line="260"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2"/>
          <w:szCs w:val="22"/>
          <w:color w:val="auto"/>
        </w:rPr>
        <w:t>This Severance and Change of Control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February 25, 2024 by and between Madrigal Pharmaceuticals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Mardi Dier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right="1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is employed by the Company, and because of such employment, possesses detailed 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and its business and operations;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Executive’s continued service to the Company is very important to the future success of the Company;</w:t>
      </w:r>
    </w:p>
    <w:p>
      <w:pPr>
        <w:spacing w:after="0" w:line="260" w:lineRule="exact"/>
        <w:rPr>
          <w:sz w:val="20"/>
          <w:szCs w:val="20"/>
          <w:color w:val="auto"/>
        </w:rPr>
      </w:pPr>
    </w:p>
    <w:p>
      <w:pPr>
        <w:jc w:val="both"/>
        <w:ind w:right="1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enter into this Agreement to provide Executive with certain financial protection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event that Executive’s employment terminates under certain circumstances, and thereby to provide Executive with incentives to remain with the Company; and</w:t>
      </w:r>
    </w:p>
    <w:p>
      <w:pPr>
        <w:spacing w:after="0" w:line="207" w:lineRule="exact"/>
        <w:rPr>
          <w:sz w:val="20"/>
          <w:szCs w:val="20"/>
          <w:color w:val="auto"/>
        </w:rPr>
      </w:pPr>
    </w:p>
    <w:p>
      <w:pPr>
        <w:jc w:val="both"/>
        <w:ind w:right="1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acting through the Compensation Committee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that it is in the best interests of the Company to enter into this Agreement.</w:t>
      </w:r>
    </w:p>
    <w:p>
      <w:pPr>
        <w:spacing w:after="0" w:line="190" w:lineRule="exact"/>
        <w:rPr>
          <w:sz w:val="20"/>
          <w:szCs w:val="20"/>
          <w:color w:val="auto"/>
        </w:rPr>
      </w:pPr>
    </w:p>
    <w:p>
      <w:pPr>
        <w:jc w:val="both"/>
        <w:ind w:right="1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Company and Executive agree as follows:</w:t>
      </w:r>
    </w:p>
    <w:p>
      <w:pPr>
        <w:spacing w:after="0" w:line="190"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b w:val="1"/>
          <w:bCs w:val="1"/>
          <w:color w:val="auto"/>
        </w:rPr>
      </w:pPr>
    </w:p>
    <w:p>
      <w:pPr>
        <w:ind w:left="660" w:right="280" w:firstLine="644"/>
        <w:spacing w:after="0" w:line="269" w:lineRule="auto"/>
        <w:tabs>
          <w:tab w:leader="none" w:pos="1953" w:val="left"/>
        </w:tabs>
        <w:numPr>
          <w:ilvl w:val="2"/>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As used herein,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mean: (i) dishonesty with respect to the Company or any affiliate,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parent or subsidiary of the Company; (ii) insubordination; (iii) substantial malfeasance or willful nonfeasance of duty;</w:t>
      </w:r>
    </w:p>
    <w:p>
      <w:pPr>
        <w:spacing w:after="0" w:line="1" w:lineRule="exact"/>
        <w:rPr>
          <w:rFonts w:ascii="Times New Roman" w:cs="Times New Roman" w:eastAsia="Times New Roman" w:hAnsi="Times New Roman"/>
          <w:sz w:val="21"/>
          <w:szCs w:val="21"/>
          <w:color w:val="auto"/>
        </w:rPr>
      </w:pPr>
    </w:p>
    <w:p>
      <w:pPr>
        <w:ind w:left="660" w:right="60" w:hanging="4"/>
        <w:spacing w:after="0" w:line="259" w:lineRule="auto"/>
        <w:tabs>
          <w:tab w:leader="none" w:pos="1026"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unauthorized disclosure of confidential information; (v) Executive’s material breach of any material provision of any employment, consulting, advisory, non-disclosure, invention, assignment, non-competition, or similar agreement between Executive and the Company; or (vi) misconduct substantially prejudicial to the business of the Company or any affiliate, parent or subsidiary of the Company. Prior to any termination of employment for Cause, the Company shall provide written notice to the Executive pursuant to Section 10, describing the condition that constituted Cause. The Executive shall have the right to remedy the condition within thirty (30) days of the date the Executive received written notice from the Company (“Thirty Day Cure Period”). If the Executive remedies the condition to the Company’s satisfaction within the Thirty Day Cure Period, then no Cause shall be deemed to exist with respect to such condition. If the Executive does not remedy the condition to the Company’s satisfaction within the Thirty Day Cure Period, or the condition is of a kind that cannot be cured, then the Executive shall be deemed terminated for Cause following the expiration of the Thirty Day Cure Period. If within 180 days after Executive’s termination of service (for any reason other than a termination for Cause), the Board discovers that either prior or subsequent to Executive’s termination Executive engaged in</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conduct which constituted “Cause,” then such termination shall be deemed to have been for Cause</w:t>
      </w:r>
      <w:r>
        <w:rPr>
          <w:rFonts w:ascii="Times New Roman" w:cs="Times New Roman" w:eastAsia="Times New Roman" w:hAnsi="Times New Roman"/>
          <w:sz w:val="17"/>
          <w:szCs w:val="17"/>
          <w:color w:val="auto"/>
        </w:rPr>
        <w:t>.</w:t>
      </w:r>
    </w:p>
    <w:p>
      <w:pPr>
        <w:spacing w:after="0" w:line="270" w:lineRule="exact"/>
        <w:rPr>
          <w:sz w:val="20"/>
          <w:szCs w:val="20"/>
          <w:color w:val="auto"/>
        </w:rPr>
      </w:pPr>
    </w:p>
    <w:p>
      <w:pPr>
        <w:ind w:right="120" w:firstLine="644"/>
        <w:spacing w:after="0" w:line="275" w:lineRule="auto"/>
        <w:tabs>
          <w:tab w:leader="none" w:pos="12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As used herein, a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mean the occurrence of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events:</w:t>
      </w:r>
    </w:p>
    <w:p>
      <w:pPr>
        <w:spacing w:after="0" w:line="189" w:lineRule="exact"/>
        <w:rPr>
          <w:rFonts w:ascii="Times New Roman" w:cs="Times New Roman" w:eastAsia="Times New Roman" w:hAnsi="Times New Roman"/>
          <w:sz w:val="22"/>
          <w:szCs w:val="22"/>
          <w:color w:val="auto"/>
        </w:rPr>
      </w:pPr>
    </w:p>
    <w:p>
      <w:pPr>
        <w:jc w:val="both"/>
        <w:ind w:left="640" w:right="100" w:firstLine="652"/>
        <w:spacing w:after="0" w:line="250" w:lineRule="auto"/>
        <w:tabs>
          <w:tab w:leader="none" w:pos="192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Ownership</w:t>
      </w:r>
      <w:r>
        <w:rPr>
          <w:rFonts w:ascii="Times New Roman" w:cs="Times New Roman" w:eastAsia="Times New Roman" w:hAnsi="Times New Roman"/>
          <w:sz w:val="22"/>
          <w:szCs w:val="22"/>
          <w:color w:val="auto"/>
        </w:rPr>
        <w:t>. Any “Person” (as such term is used in Sections 13(d) and 14(d)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Act of 1934, as amended) becomes the “Beneficial Owner” (as defined in Rule 13d-3 under said Act), directly or indirectly, of securities of the Company representing fifty percent (50%) or more of the total voting power represented by the Company’s then outstanding voting securities (excluding for this purpose any such voting securities held by the Company, or any affiliate, parent or subsidiary of the Company, or by any employee benefit plan of the Company) pursuant to a transaction or a series of related transactions which the Board does not approve; or</w:t>
      </w:r>
    </w:p>
    <w:p>
      <w:pPr>
        <w:spacing w:after="0" w:line="220" w:lineRule="exact"/>
        <w:rPr>
          <w:rFonts w:ascii="Times New Roman" w:cs="Times New Roman" w:eastAsia="Times New Roman" w:hAnsi="Times New Roman"/>
          <w:sz w:val="22"/>
          <w:szCs w:val="22"/>
          <w:color w:val="auto"/>
        </w:rPr>
      </w:pPr>
    </w:p>
    <w:p>
      <w:pPr>
        <w:jc w:val="both"/>
        <w:ind w:left="640" w:right="100" w:firstLine="652"/>
        <w:spacing w:after="0" w:line="249" w:lineRule="auto"/>
        <w:tabs>
          <w:tab w:leader="none" w:pos="193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Merger/Sale of Assets</w:t>
      </w:r>
      <w:r>
        <w:rPr>
          <w:rFonts w:ascii="Times New Roman" w:cs="Times New Roman" w:eastAsia="Times New Roman" w:hAnsi="Times New Roman"/>
          <w:sz w:val="22"/>
          <w:szCs w:val="22"/>
          <w:color w:val="auto"/>
        </w:rPr>
        <w:t>. (A) A merger or consolidation of the Company, whether or not approved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fifty percent (50%) of the total voting power represented by the voting securities of the Company or such surviving entity or parent of such corporation, as the case may be outstanding immediately after such merger or consolidation; or (B) the stockholders of the Company approve an agreement for the sale or disposition by the Company of all or substantially all of the Company’s assets; or</w:t>
      </w:r>
    </w:p>
    <w:p>
      <w:pPr>
        <w:spacing w:after="0" w:line="222" w:lineRule="exact"/>
        <w:rPr>
          <w:rFonts w:ascii="Times New Roman" w:cs="Times New Roman" w:eastAsia="Times New Roman" w:hAnsi="Times New Roman"/>
          <w:sz w:val="22"/>
          <w:szCs w:val="22"/>
          <w:color w:val="auto"/>
        </w:rPr>
      </w:pPr>
    </w:p>
    <w:p>
      <w:pPr>
        <w:jc w:val="both"/>
        <w:ind w:left="640" w:right="100" w:firstLine="652"/>
        <w:spacing w:after="0" w:line="250" w:lineRule="auto"/>
        <w:tabs>
          <w:tab w:leader="none" w:pos="193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Board Composition</w:t>
      </w:r>
      <w:r>
        <w:rPr>
          <w:rFonts w:ascii="Times New Roman" w:cs="Times New Roman" w:eastAsia="Times New Roman" w:hAnsi="Times New Roman"/>
          <w:sz w:val="22"/>
          <w:szCs w:val="22"/>
          <w:color w:val="auto"/>
        </w:rPr>
        <w:t>. A change in the composition of the Board as a result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fewer than a majority of the directors are Incumbent Directors. “Incumbent Directors” shall mean directors who either (A) are directors of the Company as of the date of this Agreement, or (B) are elected, or nominated for election to the Board with the affirmative votes of at least a majority of the Incumbent Directors, or by a committee of the Board made up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220" w:lineRule="exact"/>
        <w:rPr>
          <w:rFonts w:ascii="Times New Roman" w:cs="Times New Roman" w:eastAsia="Times New Roman" w:hAnsi="Times New Roman"/>
          <w:sz w:val="22"/>
          <w:szCs w:val="22"/>
          <w:color w:val="auto"/>
        </w:rPr>
      </w:pPr>
    </w:p>
    <w:p>
      <w:pPr>
        <w:jc w:val="both"/>
        <w:ind w:right="100" w:firstLine="644"/>
        <w:spacing w:after="0" w:line="264" w:lineRule="auto"/>
        <w:tabs>
          <w:tab w:leader="none" w:pos="129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Good Reason</w:t>
      </w:r>
      <w:r>
        <w:rPr>
          <w:rFonts w:ascii="Times New Roman" w:cs="Times New Roman" w:eastAsia="Times New Roman" w:hAnsi="Times New Roman"/>
          <w:sz w:val="21"/>
          <w:szCs w:val="21"/>
          <w:color w:val="auto"/>
        </w:rPr>
        <w:t>. As used herein, a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(i) Executive, as a condition of remaining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employee of the Company, is required to change the principal location where Executive renders services to the Company to a location more than fifty (50) miles from Executive’s then-current location of employment unless Executive has approved or consented to such change; (ii) there occurs a material adverse change in any of Executive’s titles or Executive’s duties, authority or responsibilities (including reporting responsibilities); or (iii) there occurs a material reduction in Executive’s base salary; provided that any such event shall not constitute grounds for Good Reason unless (x) written notice of termination by Executive for Good Reason is given by Executive within thirty (30) days of</w:t>
      </w:r>
    </w:p>
    <w:p>
      <w:pPr>
        <w:sectPr>
          <w:pgSz w:w="11900" w:h="16838" w:orient="portrait"/>
          <w:cols w:equalWidth="0" w:num="1">
            <w:col w:w="10580"/>
          </w:cols>
          <w:pgMar w:left="98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right="100"/>
        <w:spacing w:after="0" w:line="251" w:lineRule="auto"/>
        <w:rPr>
          <w:sz w:val="20"/>
          <w:szCs w:val="20"/>
          <w:color w:val="auto"/>
        </w:rPr>
      </w:pPr>
      <w:r>
        <w:rPr>
          <w:rFonts w:ascii="Times New Roman" w:cs="Times New Roman" w:eastAsia="Times New Roman" w:hAnsi="Times New Roman"/>
          <w:sz w:val="22"/>
          <w:szCs w:val="22"/>
          <w:color w:val="auto"/>
        </w:rPr>
        <w:t>Executive’s becoming aware of the occurrence of the facts giving rise to such Good Reason, (y) the Company does not cure such event(s) within thirty (30) days after its receipt of Executive’s written notice, and (z) Executive terminates his employment within ninety (90) days after the expiration of the cure period. For purposes of this Agreement, “Good Reason” shall be interpreted in a manner, and limited to the extent necessary, so that it will not cause adverse tax consequences for either party with respect to Section 409A (“</w:t>
      </w:r>
      <w:r>
        <w:rPr>
          <w:rFonts w:ascii="Times New Roman" w:cs="Times New Roman" w:eastAsia="Times New Roman" w:hAnsi="Times New Roman"/>
          <w:sz w:val="22"/>
          <w:szCs w:val="22"/>
          <w:b w:val="1"/>
          <w:bCs w:val="1"/>
          <w:color w:val="auto"/>
        </w:rPr>
        <w:t>Code Section 409A</w:t>
      </w:r>
      <w:r>
        <w:rPr>
          <w:rFonts w:ascii="Times New Roman" w:cs="Times New Roman" w:eastAsia="Times New Roman" w:hAnsi="Times New Roman"/>
          <w:sz w:val="22"/>
          <w:szCs w:val="22"/>
          <w:color w:val="auto"/>
        </w:rPr>
        <w:t>”)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any successor statute, regulation and guidance thereto</w:t>
      </w:r>
      <w:r>
        <w:rPr>
          <w:rFonts w:ascii="Times New Roman" w:cs="Times New Roman" w:eastAsia="Times New Roman" w:hAnsi="Times New Roman"/>
          <w:sz w:val="17"/>
          <w:szCs w:val="17"/>
          <w:u w:val="single" w:color="auto"/>
          <w:color w:val="auto"/>
        </w:rPr>
        <w:t>.</w:t>
      </w:r>
    </w:p>
    <w:p>
      <w:pPr>
        <w:spacing w:after="0" w:line="218" w:lineRule="exact"/>
        <w:rPr>
          <w:sz w:val="20"/>
          <w:szCs w:val="20"/>
          <w:color w:val="auto"/>
        </w:rPr>
      </w:pPr>
    </w:p>
    <w:p>
      <w:pPr>
        <w:ind w:left="660" w:right="120" w:firstLine="644"/>
        <w:spacing w:after="0" w:line="275" w:lineRule="auto"/>
        <w:tabs>
          <w:tab w:leader="none" w:pos="1951"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color w:val="auto"/>
        </w:rPr>
        <w:t>. As used herein,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Executive’s annual base salary, excluding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reimbursements, bonuses, benefits, and amounts attributable to stock options and other non-cash compensation.</w:t>
      </w:r>
    </w:p>
    <w:p>
      <w:pPr>
        <w:spacing w:after="0" w:line="176" w:lineRule="exact"/>
        <w:rPr>
          <w:rFonts w:ascii="Times New Roman" w:cs="Times New Roman" w:eastAsia="Times New Roman" w:hAnsi="Times New Roman"/>
          <w:sz w:val="22"/>
          <w:szCs w:val="22"/>
          <w:color w:val="auto"/>
        </w:rPr>
      </w:pPr>
    </w:p>
    <w:p>
      <w:pPr>
        <w:ind w:left="660" w:right="140" w:hanging="652"/>
        <w:spacing w:after="0" w:line="239" w:lineRule="auto"/>
        <w:tabs>
          <w:tab w:leader="none" w:pos="6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for Termination by the Company Other than For Cause or by Executive for Good Reason</w:t>
      </w:r>
      <w:r>
        <w:rPr>
          <w:rFonts w:ascii="Times New Roman" w:cs="Times New Roman" w:eastAsia="Times New Roman" w:hAnsi="Times New Roman"/>
          <w:sz w:val="22"/>
          <w:szCs w:val="22"/>
          <w:color w:val="auto"/>
        </w:rPr>
        <w:t>. In the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that (i) Executive’s employment is terminated by action of the Company other than for Cause, or (ii) Executive terminates Executive’s employment for Good Reason, then Executive shall receive the following (A) in part consideration for undertaking the obligations set forth in the Confidentiality and Inventions and Restrictive Covenants Agreement signed and delivered by Executive as of the date thereof and (B) subject to Executive’s execution of a release of claims as described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b w:val="1"/>
          <w:bCs w:val="1"/>
          <w:color w:val="auto"/>
        </w:rPr>
      </w:pPr>
    </w:p>
    <w:p>
      <w:pPr>
        <w:ind w:left="660" w:right="480" w:firstLine="644"/>
        <w:spacing w:after="0" w:line="270" w:lineRule="auto"/>
        <w:tabs>
          <w:tab w:leader="none" w:pos="1953"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Severance Payments</w:t>
      </w:r>
      <w:r>
        <w:rPr>
          <w:rFonts w:ascii="Times New Roman" w:cs="Times New Roman" w:eastAsia="Times New Roman" w:hAnsi="Times New Roman"/>
          <w:sz w:val="21"/>
          <w:szCs w:val="21"/>
          <w:color w:val="auto"/>
        </w:rPr>
        <w:t>. Continuation of payments in an amount equal to Executive’s then-current Base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Salary for a twelve (12) month period less all customary and required taxes and employment-related deductions, in accordance with the Company’s normal payroll practices (provided such payments will be made at least monthly).</w:t>
      </w:r>
    </w:p>
    <w:p>
      <w:pPr>
        <w:spacing w:after="0" w:line="170" w:lineRule="exact"/>
        <w:rPr>
          <w:rFonts w:ascii="Times New Roman" w:cs="Times New Roman" w:eastAsia="Times New Roman" w:hAnsi="Times New Roman"/>
          <w:sz w:val="21"/>
          <w:szCs w:val="21"/>
          <w:color w:val="auto"/>
        </w:rPr>
      </w:pPr>
    </w:p>
    <w:p>
      <w:pPr>
        <w:ind w:left="660" w:right="100" w:firstLine="644"/>
        <w:spacing w:after="0" w:line="241" w:lineRule="auto"/>
        <w:tabs>
          <w:tab w:leader="none" w:pos="1951"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Bonus</w:t>
      </w:r>
      <w:r>
        <w:rPr>
          <w:rFonts w:ascii="Times New Roman" w:cs="Times New Roman" w:eastAsia="Times New Roman" w:hAnsi="Times New Roman"/>
          <w:sz w:val="22"/>
          <w:szCs w:val="22"/>
          <w:color w:val="auto"/>
        </w:rPr>
        <w:t>. Payment of a separation bonus in an amount equal to the target annual bonus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Executive may have been entitled for the year in which Executive is terminated, less all customary and required taxes and employment-related deductions, paid in twelve (12) equal monthly installments less all customary and required taxes and employment-related deductions, in accordance with the Company’s normal payroll practices (provided such payments will be made at least monthly).</w:t>
      </w:r>
    </w:p>
    <w:p>
      <w:pPr>
        <w:spacing w:after="0" w:line="201" w:lineRule="exact"/>
        <w:rPr>
          <w:rFonts w:ascii="Times New Roman" w:cs="Times New Roman" w:eastAsia="Times New Roman" w:hAnsi="Times New Roman"/>
          <w:sz w:val="22"/>
          <w:szCs w:val="22"/>
          <w:color w:val="auto"/>
        </w:rPr>
      </w:pPr>
    </w:p>
    <w:p>
      <w:pPr>
        <w:jc w:val="both"/>
        <w:ind w:left="660" w:right="340" w:firstLine="644"/>
        <w:spacing w:after="0" w:line="262" w:lineRule="auto"/>
        <w:tabs>
          <w:tab w:leader="none" w:pos="1953"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Equity Acceleration</w:t>
      </w:r>
      <w:r>
        <w:rPr>
          <w:rFonts w:ascii="Times New Roman" w:cs="Times New Roman" w:eastAsia="Times New Roman" w:hAnsi="Times New Roman"/>
          <w:sz w:val="21"/>
          <w:szCs w:val="21"/>
          <w:color w:val="auto"/>
        </w:rPr>
        <w:t>. Acceleration of vesting of any and all outstanding equity awards that would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vested during the period commencing on Executive’s date of termination through and including the date that is twelve</w:t>
      </w:r>
    </w:p>
    <w:p>
      <w:pPr>
        <w:ind w:left="1060" w:hanging="404"/>
        <w:spacing w:after="0"/>
        <w:tabs>
          <w:tab w:leader="none" w:pos="10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Executive’s date of termination.</w:t>
      </w:r>
    </w:p>
    <w:p>
      <w:pPr>
        <w:spacing w:after="0" w:line="205" w:lineRule="exact"/>
        <w:rPr>
          <w:rFonts w:ascii="Times New Roman" w:cs="Times New Roman" w:eastAsia="Times New Roman" w:hAnsi="Times New Roman"/>
          <w:sz w:val="22"/>
          <w:szCs w:val="22"/>
          <w:color w:val="auto"/>
        </w:rPr>
      </w:pPr>
    </w:p>
    <w:p>
      <w:pPr>
        <w:ind w:left="660" w:right="140" w:firstLine="644"/>
        <w:spacing w:after="0" w:line="238" w:lineRule="auto"/>
        <w:tabs>
          <w:tab w:leader="none" w:pos="1951"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COBRA Payments</w:t>
      </w:r>
      <w:r>
        <w:rPr>
          <w:rFonts w:ascii="Times New Roman" w:cs="Times New Roman" w:eastAsia="Times New Roman" w:hAnsi="Times New Roman"/>
          <w:sz w:val="22"/>
          <w:szCs w:val="22"/>
          <w:color w:val="auto"/>
        </w:rPr>
        <w:t>. Upon completion of the appropriate COBRA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is the Consolidated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Omnibus Budget Reconciliation Act of 1985, as amended) forms, and subject to all the requirements of COBRA, the Company shall continue Executive’s participation in the Company’s health and dental insurance plans at the Company’s cost (except for Executive’s applicable contribution portion and co-pay, if any, which shall be deducted from Executive’s severance compensation) for the twelve (12) months following Executive’s date of termination, to the same extent that such insurance is provided to similarly situated Company executives, provided that this benefit will cease and the Company will be under no obligation to provide it if Executive has become eligible for coverage under another employer’s</w:t>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group coverage, and Executive hereby agrees to notify the Company promptly and in writing should that occur.</w:t>
      </w:r>
    </w:p>
    <w:p>
      <w:pPr>
        <w:spacing w:after="0" w:line="229" w:lineRule="exact"/>
        <w:rPr>
          <w:sz w:val="20"/>
          <w:szCs w:val="20"/>
          <w:color w:val="auto"/>
        </w:rPr>
      </w:pPr>
    </w:p>
    <w:p>
      <w:pPr>
        <w:ind w:left="660" w:right="300" w:firstLine="644"/>
        <w:spacing w:after="0" w:line="252" w:lineRule="auto"/>
        <w:tabs>
          <w:tab w:leader="none" w:pos="195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Duplication</w:t>
      </w:r>
      <w:r>
        <w:rPr>
          <w:rFonts w:ascii="Times New Roman" w:cs="Times New Roman" w:eastAsia="Times New Roman" w:hAnsi="Times New Roman"/>
          <w:sz w:val="22"/>
          <w:szCs w:val="22"/>
          <w:color w:val="auto"/>
        </w:rPr>
        <w:t>. In the event that Executive is eligible for the severance payments and benefits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below, Executive shall not be eligible for and shall not receive any of the severance payments and benefits as provided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ind w:left="660" w:right="120" w:hanging="652"/>
        <w:spacing w:after="0" w:line="239" w:lineRule="auto"/>
        <w:tabs>
          <w:tab w:leader="none" w:pos="648"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of Control Severance</w:t>
      </w:r>
      <w:r>
        <w:rPr>
          <w:rFonts w:ascii="Times New Roman" w:cs="Times New Roman" w:eastAsia="Times New Roman" w:hAnsi="Times New Roman"/>
          <w:sz w:val="22"/>
          <w:szCs w:val="22"/>
          <w:color w:val="auto"/>
        </w:rPr>
        <w:t>. In the event that a Change of Control occurs and within a period of one (1)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following the Change of Control either: (i) Executive’s employment is terminated by action of the Company other than for Cause, or (ii) Executive terminates Executive’s employment for Good Reason, then Executive shall receive the following (A) in part consideration for undertaking the obligations set forth in the Confidentiality and Inventions and Restrictive Covenants Agreement signed and delivered by Executive as of the date thereof and (B) subject to Executive’s execution of a release of claims as described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b w:val="1"/>
          <w:bCs w:val="1"/>
          <w:color w:val="auto"/>
        </w:rPr>
      </w:pPr>
    </w:p>
    <w:p>
      <w:pPr>
        <w:ind w:left="660" w:right="120" w:firstLine="644"/>
        <w:spacing w:after="0" w:line="252" w:lineRule="auto"/>
        <w:tabs>
          <w:tab w:leader="none" w:pos="195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Lump Sum Severance Payment</w:t>
      </w:r>
      <w:r>
        <w:rPr>
          <w:rFonts w:ascii="Times New Roman" w:cs="Times New Roman" w:eastAsia="Times New Roman" w:hAnsi="Times New Roman"/>
          <w:sz w:val="22"/>
          <w:szCs w:val="22"/>
          <w:color w:val="auto"/>
        </w:rPr>
        <w:t>. Within thirty (30) days following Executive’s termination, payment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amount equal to twelve (12) months of Executive’s then-current Base Salary less all customary and required taxes and employment-related deductions.</w:t>
      </w:r>
    </w:p>
    <w:p>
      <w:pPr>
        <w:spacing w:after="0" w:line="188" w:lineRule="exact"/>
        <w:rPr>
          <w:rFonts w:ascii="Times New Roman" w:cs="Times New Roman" w:eastAsia="Times New Roman" w:hAnsi="Times New Roman"/>
          <w:sz w:val="22"/>
          <w:szCs w:val="22"/>
          <w:color w:val="auto"/>
        </w:rPr>
      </w:pPr>
    </w:p>
    <w:p>
      <w:pPr>
        <w:jc w:val="both"/>
        <w:ind w:left="660" w:right="380" w:firstLine="644"/>
        <w:spacing w:after="0" w:line="252" w:lineRule="auto"/>
        <w:tabs>
          <w:tab w:leader="none" w:pos="195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Bonus</w:t>
      </w:r>
      <w:r>
        <w:rPr>
          <w:rFonts w:ascii="Times New Roman" w:cs="Times New Roman" w:eastAsia="Times New Roman" w:hAnsi="Times New Roman"/>
          <w:sz w:val="22"/>
          <w:szCs w:val="22"/>
          <w:color w:val="auto"/>
        </w:rPr>
        <w:t>. Within thirty (30) days following Executive’s termination, payment of a separation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bonus in an amount equal to the target annual bonus to which Executive may have been entitled for the year in which Executive is terminated, less all customary and required taxes and employment-related deductions.</w:t>
      </w:r>
    </w:p>
    <w:p>
      <w:pPr>
        <w:spacing w:after="0" w:line="188" w:lineRule="exact"/>
        <w:rPr>
          <w:rFonts w:ascii="Times New Roman" w:cs="Times New Roman" w:eastAsia="Times New Roman" w:hAnsi="Times New Roman"/>
          <w:sz w:val="22"/>
          <w:szCs w:val="22"/>
          <w:color w:val="auto"/>
        </w:rPr>
      </w:pPr>
    </w:p>
    <w:p>
      <w:pPr>
        <w:ind w:left="660" w:right="680" w:firstLine="644"/>
        <w:spacing w:after="0" w:line="262" w:lineRule="auto"/>
        <w:tabs>
          <w:tab w:leader="none" w:pos="195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Acceleration</w:t>
      </w:r>
      <w:r>
        <w:rPr>
          <w:rFonts w:ascii="Times New Roman" w:cs="Times New Roman" w:eastAsia="Times New Roman" w:hAnsi="Times New Roman"/>
          <w:sz w:val="22"/>
          <w:szCs w:val="22"/>
          <w:color w:val="auto"/>
        </w:rPr>
        <w:t>. Full acceleration as of the date of termination of vesting of any and all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outstanding immediately prior to termination.</w:t>
      </w:r>
    </w:p>
    <w:p>
      <w:pPr>
        <w:spacing w:after="0" w:line="176" w:lineRule="exact"/>
        <w:rPr>
          <w:rFonts w:ascii="Times New Roman" w:cs="Times New Roman" w:eastAsia="Times New Roman" w:hAnsi="Times New Roman"/>
          <w:sz w:val="22"/>
          <w:szCs w:val="22"/>
          <w:color w:val="auto"/>
        </w:rPr>
      </w:pPr>
    </w:p>
    <w:p>
      <w:pPr>
        <w:ind w:left="660" w:right="120" w:firstLine="644"/>
        <w:spacing w:after="0" w:line="238" w:lineRule="auto"/>
        <w:tabs>
          <w:tab w:leader="none" w:pos="195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COBRA Payments</w:t>
      </w:r>
      <w:r>
        <w:rPr>
          <w:rFonts w:ascii="Times New Roman" w:cs="Times New Roman" w:eastAsia="Times New Roman" w:hAnsi="Times New Roman"/>
          <w:sz w:val="22"/>
          <w:szCs w:val="22"/>
          <w:color w:val="auto"/>
        </w:rPr>
        <w:t>. Upon completion of the appropriate COBRA forms, and subject to all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COBRA, the Company shall continue Executive’s participation in the Company’s health and dental insurance plans at the Company’s cost (except for Executive’s applicable contribution portion and co-pay, if any, which shall be deducted from Executive’s severance compensation) for the twelve (12) months following Executive’s date of termination, to the same extent that such insurance is provided to similarly situated Company executives. provided that this benefit will cease and the Company will be under no obligation to provide it if Executive has become eligible for coverage under another employer’s group coverage, and Executive hereby agrees to notify the Company promptly and in writing should that occur.</w:t>
      </w:r>
    </w:p>
    <w:p>
      <w:pPr>
        <w:spacing w:after="0" w:line="207" w:lineRule="exact"/>
        <w:rPr>
          <w:rFonts w:ascii="Times New Roman" w:cs="Times New Roman" w:eastAsia="Times New Roman" w:hAnsi="Times New Roman"/>
          <w:sz w:val="22"/>
          <w:szCs w:val="22"/>
          <w:color w:val="auto"/>
        </w:rPr>
      </w:pPr>
    </w:p>
    <w:p>
      <w:pPr>
        <w:ind w:left="660" w:right="300" w:firstLine="644"/>
        <w:spacing w:after="0" w:line="252" w:lineRule="auto"/>
        <w:tabs>
          <w:tab w:leader="none" w:pos="195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Duplication</w:t>
      </w:r>
      <w:r>
        <w:rPr>
          <w:rFonts w:ascii="Times New Roman" w:cs="Times New Roman" w:eastAsia="Times New Roman" w:hAnsi="Times New Roman"/>
          <w:sz w:val="22"/>
          <w:szCs w:val="22"/>
          <w:color w:val="auto"/>
        </w:rPr>
        <w:t>. In the event that Executive is eligible for the severance payments and benefits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above, Executive shall not be eligible for and shall not receive any of the severance payments and benefits as provided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ind w:left="660" w:right="480" w:hanging="652"/>
        <w:spacing w:after="0" w:line="246" w:lineRule="auto"/>
        <w:tabs>
          <w:tab w:leader="none" w:pos="6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Severance</w:t>
      </w:r>
      <w:r>
        <w:rPr>
          <w:rFonts w:ascii="Times New Roman" w:cs="Times New Roman" w:eastAsia="Times New Roman" w:hAnsi="Times New Roman"/>
          <w:sz w:val="22"/>
          <w:szCs w:val="22"/>
          <w:color w:val="auto"/>
        </w:rPr>
        <w:t>. In the event that Executive’s employment is terminated for any reason other than those outlined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then Executive shall have no right to any of the severance payments and benefits provided under this Agreement.</w:t>
      </w:r>
    </w:p>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120" w:hanging="652"/>
        <w:spacing w:after="0" w:line="237" w:lineRule="auto"/>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Distribution Limitation</w:t>
      </w:r>
      <w:r>
        <w:rPr>
          <w:rFonts w:ascii="Times New Roman" w:cs="Times New Roman" w:eastAsia="Times New Roman" w:hAnsi="Times New Roman"/>
          <w:sz w:val="22"/>
          <w:szCs w:val="22"/>
          <w:color w:val="auto"/>
        </w:rPr>
        <w:t>. If any payment or benefit Executive would receive under this Agreement, when combined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any other payment or benefit Executive receives pursuant to a Change of Control (for purposes of this section, a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would: (i) constitute a “parachute payment”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(ii) but for this sentence, be subject to the excise tax imposed by Section 4999 of the Code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such Payment shall be either: (x) the full amount of such Payment; or (y)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 tax basis, of the greater amount of the Payment notwithstanding that all or some portion of the Payment may be subject to the Excise Tax.</w:t>
      </w:r>
    </w:p>
    <w:p>
      <w:pPr>
        <w:spacing w:after="0" w:line="201" w:lineRule="exact"/>
        <w:rPr>
          <w:rFonts w:ascii="Times New Roman" w:cs="Times New Roman" w:eastAsia="Times New Roman" w:hAnsi="Times New Roman"/>
          <w:sz w:val="22"/>
          <w:szCs w:val="22"/>
          <w:b w:val="1"/>
          <w:bCs w:val="1"/>
          <w:color w:val="auto"/>
        </w:rPr>
      </w:pPr>
    </w:p>
    <w:p>
      <w:pPr>
        <w:ind w:left="660" w:right="260" w:hanging="652"/>
        <w:spacing w:after="0" w:line="251" w:lineRule="auto"/>
        <w:tabs>
          <w:tab w:leader="none" w:pos="66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Timing Of Payments</w:t>
      </w:r>
      <w:r>
        <w:rPr>
          <w:rFonts w:ascii="Times New Roman" w:cs="Times New Roman" w:eastAsia="Times New Roman" w:hAnsi="Times New Roman"/>
          <w:sz w:val="21"/>
          <w:szCs w:val="21"/>
          <w:color w:val="auto"/>
        </w:rPr>
        <w:t>. Notwithstanding any other provision with respect to the timing of payments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if at the time of Executive’s termination, Executive is deemed to be a “specified employee” of the Company (within the meaning of Code Section 409A(a)(2)( B)(i) and any successor statute, regulation and guidance thereto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then limited only to the extent necessary to comply with the requirements of Code Section 409A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payments to which Executive may become entitled under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which are subject to Code Section 409A (and not otherwise exempt from its application) will be withheld until the first (1st) business day of the seventh (7th) month following the termination of Executive’s employment at which time Executive shall be paid an aggregate amount equal to the accumulated, but unpaid, payments otherwise due to Executive under the terms of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w:t>
      </w:r>
    </w:p>
    <w:p>
      <w:pPr>
        <w:spacing w:after="0" w:line="193" w:lineRule="exact"/>
        <w:rPr>
          <w:rFonts w:ascii="Times New Roman" w:cs="Times New Roman" w:eastAsia="Times New Roman" w:hAnsi="Times New Roman"/>
          <w:sz w:val="21"/>
          <w:szCs w:val="21"/>
          <w:b w:val="1"/>
          <w:bCs w:val="1"/>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Release of Claims</w:t>
      </w:r>
      <w:r>
        <w:rPr>
          <w:rFonts w:ascii="Times New Roman" w:cs="Times New Roman" w:eastAsia="Times New Roman" w:hAnsi="Times New Roman"/>
          <w:sz w:val="22"/>
          <w:szCs w:val="22"/>
          <w:color w:val="auto"/>
        </w:rPr>
        <w:t>. The Company shall not be obligated to pay Executive any of the compensation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w:t>
      </w:r>
    </w:p>
    <w:p>
      <w:pPr>
        <w:spacing w:after="0" w:line="18" w:lineRule="exact"/>
        <w:rPr>
          <w:rFonts w:ascii="Times New Roman" w:cs="Times New Roman" w:eastAsia="Times New Roman" w:hAnsi="Times New Roman"/>
          <w:sz w:val="22"/>
          <w:szCs w:val="22"/>
          <w:b w:val="1"/>
          <w:bCs w:val="1"/>
          <w:color w:val="auto"/>
        </w:rPr>
      </w:pPr>
    </w:p>
    <w:p>
      <w:pPr>
        <w:ind w:left="660" w:right="140"/>
        <w:spacing w:after="0" w:line="23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unless and until Executive has executed, and not revoked, a timely full and general release of all claims against the Company and any affiliate, parent or subsidiary, and its and their officers, directors, employees, and agents, in a form satisfactory to the Company. Any payments due pursuant to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of this Agreement shall commence sixty (60) days after the Executive’s last day of employment, at which time Executive shall have no right to revoke any previously executed general release of claims.</w:t>
      </w:r>
    </w:p>
    <w:p>
      <w:pPr>
        <w:spacing w:after="0" w:line="213" w:lineRule="exact"/>
        <w:rPr>
          <w:rFonts w:ascii="Times New Roman" w:cs="Times New Roman" w:eastAsia="Times New Roman" w:hAnsi="Times New Roman"/>
          <w:sz w:val="22"/>
          <w:szCs w:val="22"/>
          <w:b w:val="1"/>
          <w:bCs w:val="1"/>
          <w:color w:val="auto"/>
        </w:rPr>
      </w:pPr>
    </w:p>
    <w:p>
      <w:pPr>
        <w:ind w:left="660" w:right="800" w:hanging="652"/>
        <w:spacing w:after="0" w:line="246" w:lineRule="auto"/>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Impact on Employment Status</w:t>
      </w:r>
      <w:r>
        <w:rPr>
          <w:rFonts w:ascii="Times New Roman" w:cs="Times New Roman" w:eastAsia="Times New Roman" w:hAnsi="Times New Roman"/>
          <w:sz w:val="22"/>
          <w:szCs w:val="22"/>
          <w:color w:val="auto"/>
        </w:rPr>
        <w:t>. This Agreement is not intended to confer, and shall not be interpreted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conferring, any additional employment rights on Executive, and has no impact on either party’s right to terminate Executive’s employment under contract or applicable law.</w:t>
      </w:r>
    </w:p>
    <w:p>
      <w:pPr>
        <w:spacing w:after="0" w:line="194" w:lineRule="exact"/>
        <w:rPr>
          <w:rFonts w:ascii="Times New Roman" w:cs="Times New Roman" w:eastAsia="Times New Roman" w:hAnsi="Times New Roman"/>
          <w:sz w:val="22"/>
          <w:szCs w:val="22"/>
          <w:b w:val="1"/>
          <w:bCs w:val="1"/>
          <w:color w:val="auto"/>
        </w:rPr>
      </w:pPr>
    </w:p>
    <w:p>
      <w:pPr>
        <w:ind w:left="660" w:right="160" w:hanging="652"/>
        <w:spacing w:after="0" w:line="241" w:lineRule="auto"/>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Enforceability; Reduction</w:t>
      </w:r>
      <w:r>
        <w:rPr>
          <w:rFonts w:ascii="Times New Roman" w:cs="Times New Roman" w:eastAsia="Times New Roman" w:hAnsi="Times New Roman"/>
          <w:sz w:val="22"/>
          <w:szCs w:val="22"/>
          <w:color w:val="auto"/>
        </w:rPr>
        <w:t>. If any provision of this Agreement shall be deemed invalid or unenforceable as written,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construed, to the greatest extent possible, or modified, to the extent allowable by law, in a manner which shall render it valid and enforceable and any limitation on the scope or duration of any provision necessary to make it valid and enforceable shall be deemed to be a part thereof. No invalidity or unenforceability of any provision contained herein shall affect any other portion of this Agreement.</w:t>
      </w:r>
    </w:p>
    <w:p>
      <w:pPr>
        <w:spacing w:after="0" w:line="214"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right="120" w:firstLine="644"/>
        <w:spacing w:after="0"/>
        <w:tabs>
          <w:tab w:leader="none" w:pos="195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notices, requests, consents and other communications hereunder shall be in writing, shall be addressed to the receiving party’s address set forth below or to such other address as a party may designate by notice hereunder, and shall be either (i) delivered by hand, (ii) made by telex, telecopy, facsimile, electronic mail, or other electronic transmission, (iii) sent by overnight courier, or (iv) sent by registered or certified mail, return receipt requested, postage prepaid.</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If to the Company</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Madrigal Pharmaceuticals, Inc.</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200 Barr Harbor Drive, Suite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200 West Conshohocken, PA 19428</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If to Executive</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Executive’s last known address in the Company’s personnel records.</w:t>
      </w:r>
    </w:p>
    <w:p>
      <w:pPr>
        <w:spacing w:after="0" w:line="233" w:lineRule="exact"/>
        <w:rPr>
          <w:sz w:val="20"/>
          <w:szCs w:val="20"/>
          <w:color w:val="auto"/>
        </w:rPr>
      </w:pPr>
    </w:p>
    <w:p>
      <w:pPr>
        <w:ind w:left="660" w:right="200" w:firstLine="644"/>
        <w:spacing w:after="0" w:line="260" w:lineRule="auto"/>
        <w:tabs>
          <w:tab w:leader="none" w:pos="1951"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notices, requests, consents and other communications hereunder shall be deemed to have been given either (i) if by hand, at the time of the delivery thereof to the receiving party at the address of such party set forth above,</w:t>
      </w:r>
    </w:p>
    <w:p>
      <w:pPr>
        <w:ind w:left="660" w:right="200" w:hanging="4"/>
        <w:spacing w:after="0" w:line="249" w:lineRule="auto"/>
        <w:tabs>
          <w:tab w:leader="none" w:pos="97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made by telex, telecopy, facsimile, electronic mail, or other electronic transmission, at the time that receipt thereof has been acknowledged by electronic confirmation or otherwise, (iii) if sent by overnight courier, on the next business day following the day such notice is delivered to the courier service, or (iv) if sent by registered or certified mail, on the</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fifth (5th) business day following the day such mailing is made.</w:t>
      </w:r>
    </w:p>
    <w:p>
      <w:pPr>
        <w:spacing w:after="0" w:line="270" w:lineRule="exact"/>
        <w:rPr>
          <w:sz w:val="20"/>
          <w:szCs w:val="20"/>
          <w:color w:val="auto"/>
        </w:rPr>
      </w:pPr>
    </w:p>
    <w:p>
      <w:pPr>
        <w:ind w:left="660" w:right="140" w:hanging="652"/>
        <w:spacing w:after="0" w:line="249" w:lineRule="auto"/>
        <w:tabs>
          <w:tab w:leader="none" w:pos="6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Agreement/No Duplication of Compensation or Benefits</w:t>
      </w:r>
      <w:r>
        <w:rPr>
          <w:rFonts w:ascii="Times New Roman" w:cs="Times New Roman" w:eastAsia="Times New Roman" w:hAnsi="Times New Roman"/>
          <w:sz w:val="22"/>
          <w:szCs w:val="22"/>
          <w:color w:val="auto"/>
        </w:rPr>
        <w:t>. This Agreement embodies the entire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understanding between the parties hereto with respect to the subject matter hereof and supersedes all prior oral or written agreements and understandings relating to the subject matter hereof including, but not limited to, any offer letter or employment agreement previously entered into between Executive and the Company. No statement, representation, warranty, covenant or agreement of any kind not expressly set forth in this Agreement shall affect, or be used to interpret, change or restrict, the express terms and provisions of this Agreement. The terms of Sections 2 and 3 above shall replace any agreement policy or practice which otherwise would obligate the Company to provide any severance compensation and/or benefits to Executive,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provision shall not be construed to otherwise limit Executive’s rights to payments or benefits provided under any pension plan (as defined in Section 3(2) of the Employee Retirement Income Security Act of 1974, as amended), deferred compensation, stock, stock option or similar plan sponsored by the Company.</w:t>
      </w:r>
    </w:p>
    <w:p>
      <w:pPr>
        <w:spacing w:after="0" w:line="204" w:lineRule="exact"/>
        <w:rPr>
          <w:rFonts w:ascii="Times New Roman" w:cs="Times New Roman" w:eastAsia="Times New Roman" w:hAnsi="Times New Roman"/>
          <w:sz w:val="22"/>
          <w:szCs w:val="22"/>
          <w:b w:val="1"/>
          <w:bCs w:val="1"/>
          <w:color w:val="auto"/>
        </w:rPr>
      </w:pPr>
    </w:p>
    <w:p>
      <w:pPr>
        <w:ind w:left="660" w:right="420" w:hanging="652"/>
        <w:spacing w:after="0" w:line="265" w:lineRule="auto"/>
        <w:tabs>
          <w:tab w:leader="none" w:pos="6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Modifications and Amendments</w:t>
      </w:r>
      <w:r>
        <w:rPr>
          <w:rFonts w:ascii="Times New Roman" w:cs="Times New Roman" w:eastAsia="Times New Roman" w:hAnsi="Times New Roman"/>
          <w:sz w:val="22"/>
          <w:szCs w:val="22"/>
          <w:color w:val="auto"/>
        </w:rPr>
        <w:t>. The terms and provisions of this Agreement may be modified or amended only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agreement executed by all parties hereto. Any such amendment shall comply with the requirements of Code Section 409A, if applicable.</w:t>
      </w:r>
    </w:p>
    <w:p>
      <w:pPr>
        <w:sectPr>
          <w:pgSz w:w="11900" w:h="16838" w:orient="portrait"/>
          <w:cols w:equalWidth="0" w:num="1">
            <w:col w:w="11240"/>
          </w:cols>
          <w:pgMar w:left="320" w:top="1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300" w:hanging="652"/>
        <w:spacing w:after="0" w:line="269" w:lineRule="auto"/>
        <w:tabs>
          <w:tab w:leader="none" w:pos="66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Waivers and Consents</w:t>
      </w:r>
      <w:r>
        <w:rPr>
          <w:rFonts w:ascii="Times New Roman" w:cs="Times New Roman" w:eastAsia="Times New Roman" w:hAnsi="Times New Roman"/>
          <w:sz w:val="21"/>
          <w:szCs w:val="21"/>
          <w:color w:val="auto"/>
        </w:rPr>
        <w:t>. The terms and provisions of this Agreement may be waived, or consent for the departure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99" w:lineRule="exact"/>
        <w:rPr>
          <w:rFonts w:ascii="Times New Roman" w:cs="Times New Roman" w:eastAsia="Times New Roman" w:hAnsi="Times New Roman"/>
          <w:sz w:val="21"/>
          <w:szCs w:val="21"/>
          <w:b w:val="1"/>
          <w:bCs w:val="1"/>
          <w:color w:val="auto"/>
        </w:rPr>
      </w:pPr>
    </w:p>
    <w:p>
      <w:pPr>
        <w:ind w:left="660" w:hanging="652"/>
        <w:spacing w:after="0"/>
        <w:tabs>
          <w:tab w:leader="none" w:pos="6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The rights and obligations under this Agreement may be assigned by the Company.</w:t>
      </w:r>
    </w:p>
    <w:p>
      <w:pPr>
        <w:spacing w:after="0" w:line="246" w:lineRule="exact"/>
        <w:rPr>
          <w:rFonts w:ascii="Times New Roman" w:cs="Times New Roman" w:eastAsia="Times New Roman" w:hAnsi="Times New Roman"/>
          <w:sz w:val="22"/>
          <w:szCs w:val="22"/>
          <w:b w:val="1"/>
          <w:bCs w:val="1"/>
          <w:color w:val="auto"/>
        </w:rPr>
      </w:pPr>
    </w:p>
    <w:p>
      <w:pPr>
        <w:ind w:left="660" w:right="160" w:hanging="652"/>
        <w:spacing w:after="0" w:line="258" w:lineRule="auto"/>
        <w:tabs>
          <w:tab w:leader="none" w:pos="6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Benefit</w:t>
      </w:r>
      <w:r>
        <w:rPr>
          <w:rFonts w:ascii="Times New Roman" w:cs="Times New Roman" w:eastAsia="Times New Roman" w:hAnsi="Times New Roman"/>
          <w:sz w:val="22"/>
          <w:szCs w:val="22"/>
          <w:color w:val="auto"/>
        </w:rPr>
        <w:t>. All statements, representations, warranties, covenants and agreements in this Agreement shall be binding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208" w:lineRule="exact"/>
        <w:rPr>
          <w:rFonts w:ascii="Times New Roman" w:cs="Times New Roman" w:eastAsia="Times New Roman" w:hAnsi="Times New Roman"/>
          <w:sz w:val="22"/>
          <w:szCs w:val="22"/>
          <w:b w:val="1"/>
          <w:bCs w:val="1"/>
          <w:color w:val="auto"/>
        </w:rPr>
      </w:pPr>
    </w:p>
    <w:p>
      <w:pPr>
        <w:ind w:left="660" w:right="140" w:hanging="652"/>
        <w:spacing w:after="0" w:line="248" w:lineRule="auto"/>
        <w:tabs>
          <w:tab w:leader="none" w:pos="6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 Any controversy, dispute or claim arising out of or in connection with this Agreement will be settled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final and binding arbitration to be conducted in Philadelphia, Pennsylvania pursuant to the national rules for the resolution of employment disputes of the American Arbitration Association then in effect. The decision or award in any such arbitration will be final and binding upon the parties, and judgment upon such decision or award may be entered in any court of competent jurisdiction, or application may be made to any such court for judicial acceptance of such decision or award and an order of enforcement. In the event that any procedural matter is not covered by the aforesaid rules, the procedural law of the Commonwealth of Pennsylvania will govern. Any disagreement as to whether a particular dispute is arbitral under this Agreement shall itself be subject to arbitration in accordance with the procedures set forth herein. Notwithstanding the foregoing, any right or obligation arising out of or concerning any separate contract or agreement between the parties (including but not limited to any employee, non-competition, non-solicitation, non-disclosure and invention agreement) shall be decided in accordance with the dispute resolution mechanism provided for by such contract or agreement.</w:t>
      </w:r>
    </w:p>
    <w:p>
      <w:pPr>
        <w:spacing w:after="0" w:line="224" w:lineRule="exact"/>
        <w:rPr>
          <w:rFonts w:ascii="Times New Roman" w:cs="Times New Roman" w:eastAsia="Times New Roman" w:hAnsi="Times New Roman"/>
          <w:sz w:val="22"/>
          <w:szCs w:val="22"/>
          <w:b w:val="1"/>
          <w:bCs w:val="1"/>
          <w:color w:val="auto"/>
        </w:rPr>
      </w:pPr>
    </w:p>
    <w:p>
      <w:pPr>
        <w:ind w:left="660" w:right="160" w:hanging="652"/>
        <w:spacing w:after="0" w:line="249" w:lineRule="auto"/>
        <w:tabs>
          <w:tab w:leader="none" w:pos="6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 Jurisdiction / Service of Process</w:t>
      </w:r>
      <w:r>
        <w:rPr>
          <w:rFonts w:ascii="Times New Roman" w:cs="Times New Roman" w:eastAsia="Times New Roman" w:hAnsi="Times New Roman"/>
          <w:sz w:val="22"/>
          <w:szCs w:val="22"/>
          <w:color w:val="auto"/>
        </w:rPr>
        <w:t>. This Agreement and the rights and obligations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shall be construed in accordance with and governed by the law of the Commonwealth of Pennsylvania, without giving effect to the conflict of law principles thereof. Any legal action or proceeding with respect to this Agreement that is not subject to arbitration pursuant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will be brought in the courts of the Commonwealth of Pennsylvania, County of Montgomery, or of the United States of America for the Eastern District of Pennsylvania, sitting in Philadelphia. By execution and delivery of this Agreement, each of the parties hereto accepts for itself and in respect of its property, generally and unconditionally, the exclusive jurisdiction of the aforesaid courts. Each of the parties hereto irrevocably consents to the service of process of any of the aforementioned courts in any such action or proceeding by the mailing of copies thereof by certified mail, postage prepaid, to the party at its address set forth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right="460" w:hanging="652"/>
        <w:spacing w:after="0" w:line="265" w:lineRule="auto"/>
        <w:tabs>
          <w:tab w:leader="none" w:pos="6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multiple counterparts, and by different parties hereto on separate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shall be deemed an original, but all of which together shall constitute one and the same instrument.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1240"/>
          </w:cols>
          <w:pgMar w:left="320" w:top="117" w:right="339" w:bottom="1440" w:gutter="0" w:footer="0" w:header="0"/>
        </w:sectPr>
      </w:pPr>
    </w:p>
    <w:bookmarkStart w:id="79" w:name="page80"/>
    <w:bookmarkEnd w:id="79"/>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above written.</w:t>
      </w:r>
    </w:p>
    <w:p>
      <w:pPr>
        <w:sectPr>
          <w:pgSz w:w="11900" w:h="16838" w:orient="portrait"/>
          <w:cols w:equalWidth="0" w:num="1">
            <w:col w:w="9600"/>
          </w:cols>
          <w:pgMar w:left="980" w:top="1440" w:right="1319" w:bottom="1440" w:gutter="0" w:footer="0" w:header="0"/>
        </w:sectPr>
      </w:pPr>
    </w:p>
    <w:p>
      <w:pPr>
        <w:spacing w:after="0" w:line="27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MADRIGAL PHARMACEUTICALS,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_____/s/ Bill Sibold______________</w:t>
      </w:r>
      <w:r>
        <w:rPr>
          <w:rFonts w:ascii="Times New Roman" w:cs="Times New Roman" w:eastAsia="Times New Roman" w:hAnsi="Times New Roman"/>
          <w:sz w:val="21"/>
          <w:szCs w:val="21"/>
          <w:color w:val="auto"/>
        </w:rPr>
        <w:t xml:space="preserve"> Name: Bill Sibold</w:t>
      </w:r>
    </w:p>
    <w:p>
      <w:pPr>
        <w:spacing w:after="0" w:line="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_____/s/ Mardi Dier_______________</w:t>
      </w:r>
      <w:r>
        <w:rPr>
          <w:rFonts w:ascii="Times New Roman" w:cs="Times New Roman" w:eastAsia="Times New Roman" w:hAnsi="Times New Roman"/>
          <w:sz w:val="21"/>
          <w:szCs w:val="21"/>
          <w:color w:val="auto"/>
        </w:rPr>
        <w:t xml:space="preserve"> Name: Mardi Dier</w:t>
      </w:r>
    </w:p>
    <w:p>
      <w:pPr>
        <w:sectPr>
          <w:pgSz w:w="11900" w:h="16838" w:orient="portrait"/>
          <w:cols w:equalWidth="0" w:num="1">
            <w:col w:w="9600"/>
          </w:cols>
          <w:pgMar w:left="980" w:top="1440" w:right="131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SUPPLEMENTAL COMPENSATION RECOVERY POLICY</w:t>
      </w: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Madrigal Pharmaceuticals, Inc.</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Supplemental Compensation Recovery Policy</w:t>
      </w:r>
    </w:p>
    <w:p>
      <w:pPr>
        <w:spacing w:after="0" w:line="190" w:lineRule="exact"/>
        <w:rPr>
          <w:sz w:val="20"/>
          <w:szCs w:val="20"/>
          <w:color w:val="auto"/>
        </w:rPr>
      </w:pPr>
    </w:p>
    <w:p>
      <w:pPr>
        <w:ind w:right="3360"/>
        <w:spacing w:after="0" w:line="276" w:lineRule="auto"/>
        <w:rPr>
          <w:sz w:val="20"/>
          <w:szCs w:val="20"/>
          <w:color w:val="auto"/>
        </w:rPr>
      </w:pPr>
      <w:r>
        <w:rPr>
          <w:rFonts w:ascii="Times New Roman" w:cs="Times New Roman" w:eastAsia="Times New Roman" w:hAnsi="Times New Roman"/>
          <w:sz w:val="22"/>
          <w:szCs w:val="22"/>
          <w:b w:val="1"/>
          <w:bCs w:val="1"/>
          <w:color w:val="auto"/>
        </w:rPr>
        <w:t>Adopted by the Board of Directors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b w:val="1"/>
          <w:bCs w:val="1"/>
          <w:color w:val="auto"/>
        </w:rPr>
        <w:t xml:space="preserve">”) of Madrigal Pharmaceuticals, Inc.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on April 26, 2024</w:t>
      </w:r>
    </w:p>
    <w:p>
      <w:pPr>
        <w:spacing w:after="0" w:line="176"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2"/>
          <w:szCs w:val="22"/>
          <w:color w:val="auto"/>
        </w:rPr>
        <w:t>The Board and Compensation Committee (the “</w:t>
      </w:r>
      <w:r>
        <w:rPr>
          <w:rFonts w:ascii="Times New Roman" w:cs="Times New Roman" w:eastAsia="Times New Roman" w:hAnsi="Times New Roman"/>
          <w:sz w:val="22"/>
          <w:szCs w:val="22"/>
          <w:i w:val="1"/>
          <w:iCs w:val="1"/>
          <w:color w:val="auto"/>
        </w:rPr>
        <w:t>Committee</w:t>
      </w:r>
      <w:r>
        <w:rPr>
          <w:rFonts w:ascii="Times New Roman" w:cs="Times New Roman" w:eastAsia="Times New Roman" w:hAnsi="Times New Roman"/>
          <w:sz w:val="22"/>
          <w:szCs w:val="22"/>
          <w:color w:val="auto"/>
        </w:rPr>
        <w:t>”) of the Board of Directors of the Company is adopting this Supplemental Compensation Recovery Policy (this “</w:t>
      </w:r>
      <w:r>
        <w:rPr>
          <w:rFonts w:ascii="Times New Roman" w:cs="Times New Roman" w:eastAsia="Times New Roman" w:hAnsi="Times New Roman"/>
          <w:sz w:val="22"/>
          <w:szCs w:val="22"/>
          <w:i w:val="1"/>
          <w:iCs w:val="1"/>
          <w:color w:val="auto"/>
        </w:rPr>
        <w:t>Supplemental Policy</w:t>
      </w:r>
      <w:r>
        <w:rPr>
          <w:rFonts w:ascii="Times New Roman" w:cs="Times New Roman" w:eastAsia="Times New Roman" w:hAnsi="Times New Roman"/>
          <w:sz w:val="22"/>
          <w:szCs w:val="22"/>
          <w:color w:val="auto"/>
        </w:rPr>
        <w:t>”) to provide for the recovery of certain Incentive Compensation not covered by the Company’s Incentive Compensation Recovery Policy (the “</w:t>
      </w:r>
      <w:r>
        <w:rPr>
          <w:rFonts w:ascii="Times New Roman" w:cs="Times New Roman" w:eastAsia="Times New Roman" w:hAnsi="Times New Roman"/>
          <w:sz w:val="22"/>
          <w:szCs w:val="22"/>
          <w:i w:val="1"/>
          <w:iCs w:val="1"/>
          <w:color w:val="auto"/>
        </w:rPr>
        <w:t>Dodd-Frank Policy</w:t>
      </w:r>
      <w:r>
        <w:rPr>
          <w:rFonts w:ascii="Times New Roman" w:cs="Times New Roman" w:eastAsia="Times New Roman" w:hAnsi="Times New Roman"/>
          <w:sz w:val="22"/>
          <w:szCs w:val="22"/>
          <w:color w:val="auto"/>
        </w:rPr>
        <w:t>”) adopted pursuant to Rule 10D-1(b)(1) of the Securities Exchange Act of 1934, as amended. For the avoidance of doubt, if (i) there is a conflict between this Supplemental Policy and the Dodd-Frank Policy, or (ii) both this Supplemental Policy and the Dodd-Frank Policy would require recoupment of the same Incentive Compensation, then the Dodd-Frank Policy will govern.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Statement of Policy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Without limiting the Dodd-Frank Policy, the Company has adopted this Supplemental Policy effective as of April 26, 2024.</w:t>
      </w:r>
    </w:p>
    <w:p>
      <w:pPr>
        <w:spacing w:after="0" w:line="247"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2"/>
          <w:szCs w:val="22"/>
          <w:color w:val="auto"/>
        </w:rPr>
        <w:t>To the extent permitted by law, and as it deems appropriate under the circumstances, the Company may seek recovery of Incentive Compensation from a Covered Executive who knowingly, intentionally or recklessly engaged in serious misconduct that resulted in a material violation of the law, the Company’s Corporate Code of Conduct and Ethics (or any successor or replacement code of conduct for employees) or a significant ethics or compliance policy of the Company. The amount of Incentive Compensation that the Committee may seek to recover will be the amount which the Committee, in its discretion, determines would not have been awarded or earned if the circumstances surrounding the Covered Executive’s misconduct had been known to the Company.</w:t>
      </w:r>
    </w:p>
    <w:p>
      <w:pPr>
        <w:spacing w:after="0" w:line="207"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22"/>
          <w:szCs w:val="22"/>
          <w:color w:val="auto"/>
        </w:rPr>
        <w:t>In determining whether to recover a payment under this Supplemental Policy, the Committee shall take into account all such facts and circumstances and considerations as it deems appropriate, including whether the assertion of a claim may violate applicable law or prejudice the interests of the Company in any related proceeding or investigation, whether amounts have already been subject to recoupment from a Covered Executive under the Dodd-Frank Policy, and the extent to which the Covered Executive acted in the normal course of the Covered Executive’s duties and in good faith based on facts known to the Covered Executive at the time.</w:t>
      </w:r>
    </w:p>
    <w:p>
      <w:pPr>
        <w:spacing w:after="0" w:line="208" w:lineRule="exact"/>
        <w:rPr>
          <w:sz w:val="20"/>
          <w:szCs w:val="20"/>
          <w:color w:val="auto"/>
        </w:rPr>
      </w:pPr>
    </w:p>
    <w:p>
      <w:pPr>
        <w:jc w:val="both"/>
        <w:ind w:right="100"/>
        <w:spacing w:after="0" w:line="284" w:lineRule="auto"/>
        <w:rPr>
          <w:sz w:val="20"/>
          <w:szCs w:val="20"/>
          <w:color w:val="auto"/>
        </w:rPr>
      </w:pPr>
      <w:r>
        <w:rPr>
          <w:rFonts w:ascii="Times New Roman" w:cs="Times New Roman" w:eastAsia="Times New Roman" w:hAnsi="Times New Roman"/>
          <w:sz w:val="22"/>
          <w:szCs w:val="22"/>
          <w:color w:val="auto"/>
        </w:rPr>
        <w:t>The Committee shall have sole discretion under this Supplemental Policy in determining whether a Covered Executive’s conduct has or has not met any particular standard of conduct under law or Company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43" w:lineRule="exact"/>
        <w:rPr>
          <w:sz w:val="20"/>
          <w:szCs w:val="20"/>
          <w:color w:val="auto"/>
        </w:rPr>
      </w:pPr>
    </w:p>
    <w:p>
      <w:pPr>
        <w:ind w:right="98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Executive</w:t>
      </w:r>
      <w:r>
        <w:rPr>
          <w:rFonts w:ascii="Times New Roman" w:cs="Times New Roman" w:eastAsia="Times New Roman" w:hAnsi="Times New Roman"/>
          <w:sz w:val="22"/>
          <w:szCs w:val="22"/>
          <w:color w:val="auto"/>
        </w:rPr>
        <w:t>” shall mean the Company’s Chief Executive Officer, President, Chief Financial Officer, principal accounting officer (or if there is no such accounting officer, the</w:t>
      </w:r>
    </w:p>
    <w:p>
      <w:pPr>
        <w:sectPr>
          <w:pgSz w:w="11900" w:h="16838" w:orient="portrait"/>
          <w:cols w:equalWidth="0" w:num="1">
            <w:col w:w="11140"/>
          </w:cols>
          <w:pgMar w:left="4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2"/>
          <w:szCs w:val="22"/>
          <w:color w:val="auto"/>
        </w:rPr>
        <w:t>controller), any vice-president of the Company in charge of a principal business unit, division, or function, any other officer who performs a policy-making function for the Company, any other person who performs similar policy-making functions for the Company, and any other employee who may from time to time be deemed subject to this Supplemental Policy by the Committee.</w:t>
      </w:r>
    </w:p>
    <w:p>
      <w:pPr>
        <w:spacing w:after="0" w:line="20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2"/>
          <w:szCs w:val="22"/>
          <w:i w:val="1"/>
          <w:iCs w:val="1"/>
          <w:color w:val="auto"/>
        </w:rPr>
        <w:t>“Incentive Compensation</w:t>
      </w:r>
      <w:r>
        <w:rPr>
          <w:rFonts w:ascii="Times New Roman" w:cs="Times New Roman" w:eastAsia="Times New Roman" w:hAnsi="Times New Roman"/>
          <w:sz w:val="22"/>
          <w:szCs w:val="22"/>
          <w:color w:val="auto"/>
        </w:rPr>
        <w:t>” means all compensation granted, paid or earned by the Covered Executive pursuant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Company’s annual incentive compensation program and long-term incentive program, including, for the avoidance of doubt, all annual cash incentive payments, cash bonuses, and equity awards (such as stock options, time-based equity awards and performance- based equity awards).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Administration</w:t>
      </w:r>
    </w:p>
    <w:p>
      <w:pPr>
        <w:spacing w:after="0" w:line="247"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2"/>
          <w:szCs w:val="22"/>
          <w:color w:val="auto"/>
        </w:rPr>
        <w:t>The Committee has full authority to interpret and administer this Supplemental Policy. The Committee’s determinations under this Supplemental Policy shall be final and binding on all persons, need not be uniform with respect to each individual covered by the Supplemental Policy, and shall be given the maximum deference permitted by law.</w:t>
      </w:r>
    </w:p>
    <w:p>
      <w:pPr>
        <w:spacing w:after="0" w:line="194"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2"/>
          <w:szCs w:val="22"/>
          <w:color w:val="auto"/>
        </w:rPr>
        <w:t>The Committee has the authority to determine the appropriate means of recovering Incentive Compensation based on the particular facts and circumstances, which could include, but is not limited to, seeking direct reimbursement, forfeiture of awards, offsets against other payments, and forfeiture of deferred compensation (subject to compliance with Section 409A of the Internal Revenue Code).</w:t>
      </w:r>
    </w:p>
    <w:p>
      <w:pPr>
        <w:spacing w:after="0" w:line="220"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22"/>
          <w:szCs w:val="22"/>
          <w:color w:val="auto"/>
        </w:rPr>
        <w:t>Subject to any limitations under applicable law, the Committee may authorize any officer or employee of the Company to take actions necessary or appropriate to carry out the purpose and intent of this Supplemental Policy, provided that no such authorization shall relate to any recovery under this Supplemental Policy that involves such officer or employee.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Non-Exclusive Remedy; Successors</w:t>
      </w:r>
    </w:p>
    <w:p>
      <w:pPr>
        <w:spacing w:after="0" w:line="260"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22"/>
          <w:szCs w:val="22"/>
          <w:color w:val="auto"/>
        </w:rPr>
        <w:t>Recovery of Incentive Compensation pursuant to this Supplemental Policy shall not in any way limit or affect the rights of the Company to pursue disciplinary, legal, or other action or pursue any other remedies available to it. This Supplemental Policy shall be in addition to, and is not intended to limit, any rights of the Company to recover Incentive Compensation from Covered Executives under any legal remedy available to the Company and applicable laws and regulations, including but not limited to the Dodd-Frank Policy, the Sarbanes-Oxley Act of 2002, as amended, or pursuant to the terms of any other Company policy, employment agreement, equity award agreement, or similar agreement with a Covered Executive.</w:t>
      </w:r>
    </w:p>
    <w:p>
      <w:pPr>
        <w:spacing w:after="0" w:line="208"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22"/>
          <w:szCs w:val="22"/>
          <w:color w:val="auto"/>
        </w:rPr>
        <w:t>This Supplemental Policy shall be binding and enforceable against all Covered Executives and their successors, beneficiaries, heirs, executors, administrators, or other legal representatives.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Amendment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Supplemental Policy may be amended from time to time by the Committee or the Board of Directors of the Company.</w:t>
      </w:r>
    </w:p>
    <w:p>
      <w:pPr>
        <w:sectPr>
          <w:pgSz w:w="11900" w:h="16838" w:orient="portrait"/>
          <w:cols w:equalWidth="0" w:num="1">
            <w:col w:w="11140"/>
          </w:cols>
          <w:pgMar w:left="4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Effective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Supplemental Policy shall apply to any Incentive Compensation granted, paid or earned on or after April 26, 2024.</w:t>
      </w:r>
    </w:p>
    <w:p>
      <w:pPr>
        <w:sectPr>
          <w:pgSz w:w="11900" w:h="16838" w:orient="portrait"/>
          <w:cols w:equalWidth="0" w:num="1">
            <w:col w:w="11140"/>
          </w:cols>
          <w:pgMar w:left="420" w:top="117" w:right="339" w:bottom="1440" w:gutter="0" w:footer="0" w:header="0"/>
        </w:sectPr>
      </w:pPr>
    </w:p>
    <w:bookmarkStart w:id="83" w:name="page84"/>
    <w:bookmarkEnd w:id="8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Sibold, certify that:</w:t>
      </w:r>
    </w:p>
    <w:p>
      <w:pPr>
        <w:spacing w:after="0" w:line="104" w:lineRule="exact"/>
        <w:rPr>
          <w:sz w:val="20"/>
          <w:szCs w:val="20"/>
          <w:color w:val="auto"/>
        </w:rPr>
      </w:pPr>
    </w:p>
    <w:p>
      <w:pPr>
        <w:ind w:left="980" w:hanging="486"/>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50"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980" w:right="60" w:hanging="486"/>
        <w:spacing w:after="0" w:line="258"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ind w:left="980" w:right="60" w:hanging="486"/>
        <w:spacing w:after="0" w:line="258" w:lineRule="auto"/>
        <w:tabs>
          <w:tab w:leader="none" w:pos="97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980" w:right="360" w:hanging="486"/>
        <w:spacing w:after="0" w:line="258" w:lineRule="auto"/>
        <w:tabs>
          <w:tab w:leader="none" w:pos="97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980" w:right="60" w:hanging="486"/>
        <w:spacing w:after="0" w:line="258" w:lineRule="auto"/>
        <w:tabs>
          <w:tab w:leader="none" w:pos="97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left="980" w:right="460" w:hanging="486"/>
        <w:spacing w:after="0" w:line="258"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980" w:right="780" w:hanging="486"/>
        <w:spacing w:after="0" w:line="266" w:lineRule="auto"/>
        <w:tabs>
          <w:tab w:leader="none" w:pos="97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0" w:right="480" w:hanging="486"/>
        <w:spacing w:after="0" w:line="266" w:lineRule="auto"/>
        <w:tabs>
          <w:tab w:leader="none" w:pos="97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629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Sibold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ectPr>
          <w:pgSz w:w="11900" w:h="16838" w:orient="portrait"/>
          <w:cols w:equalWidth="0" w:num="1">
            <w:col w:w="11240"/>
          </w:cols>
          <w:pgMar w:left="320" w:top="927" w:right="339" w:bottom="1440" w:gutter="0" w:footer="0" w:header="0"/>
        </w:sectPr>
      </w:pPr>
    </w:p>
    <w:bookmarkStart w:id="84" w:name="page85"/>
    <w:bookmarkEnd w:id="8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ind w:left="340" w:right="40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Mardi C. Dier, certify that:</w:t>
      </w:r>
    </w:p>
    <w:p>
      <w:pPr>
        <w:spacing w:after="0" w:line="104" w:lineRule="exact"/>
        <w:rPr>
          <w:sz w:val="20"/>
          <w:szCs w:val="20"/>
          <w:color w:val="auto"/>
        </w:rPr>
      </w:pPr>
    </w:p>
    <w:p>
      <w:pPr>
        <w:ind w:left="980" w:hanging="486"/>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50"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980" w:right="60" w:hanging="486"/>
        <w:spacing w:after="0" w:line="258"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ind w:left="980" w:right="60" w:hanging="486"/>
        <w:spacing w:after="0" w:line="258" w:lineRule="auto"/>
        <w:tabs>
          <w:tab w:leader="none" w:pos="97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980" w:right="360" w:hanging="486"/>
        <w:spacing w:after="0" w:line="258" w:lineRule="auto"/>
        <w:tabs>
          <w:tab w:leader="none" w:pos="9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980" w:right="60" w:hanging="486"/>
        <w:spacing w:after="0" w:line="258" w:lineRule="auto"/>
        <w:tabs>
          <w:tab w:leader="none" w:pos="9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left="980" w:right="460" w:hanging="486"/>
        <w:spacing w:after="0" w:line="258"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980" w:right="780" w:hanging="486"/>
        <w:spacing w:after="0" w:line="266" w:lineRule="auto"/>
        <w:tabs>
          <w:tab w:leader="none" w:pos="97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0" w:right="480" w:hanging="486"/>
        <w:spacing w:after="0" w:line="266" w:lineRule="auto"/>
        <w:tabs>
          <w:tab w:leader="none" w:pos="97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629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Mardi C. Dier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ectPr>
          <w:pgSz w:w="11900" w:h="16838" w:orient="portrait"/>
          <w:cols w:equalWidth="0" w:num="1">
            <w:col w:w="11240"/>
          </w:cols>
          <w:pgMar w:left="320" w:top="92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69"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The Quarterly Report on Form 10-Q for the quarterly period ended March 31,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3"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Dated: May 7, 2024</w:t>
      </w:r>
      <w:r>
        <w:rPr>
          <w:sz w:val="20"/>
          <w:szCs w:val="20"/>
          <w:color w:val="auto"/>
        </w:rPr>
        <w:tab/>
      </w:r>
      <w:r>
        <w:rPr>
          <w:rFonts w:ascii="Times New Roman" w:cs="Times New Roman" w:eastAsia="Times New Roman" w:hAnsi="Times New Roman"/>
          <w:sz w:val="17"/>
          <w:szCs w:val="17"/>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26035</wp:posOffset>
            </wp:positionV>
            <wp:extent cx="3446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William J. Sibold</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0"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Dated: May 7, 2024</w:t>
      </w:r>
      <w:r>
        <w:rPr>
          <w:sz w:val="20"/>
          <w:szCs w:val="20"/>
          <w:color w:val="auto"/>
        </w:rPr>
        <w:tab/>
      </w:r>
      <w:r>
        <w:rPr>
          <w:rFonts w:ascii="Times New Roman" w:cs="Times New Roman" w:eastAsia="Times New Roman" w:hAnsi="Times New Roman"/>
          <w:sz w:val="17"/>
          <w:szCs w:val="17"/>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26035</wp:posOffset>
            </wp:positionV>
            <wp:extent cx="3446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Mardi C. Dier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x"/>
      <w:numFmt w:val="bullet"/>
      <w:start w:val="1"/>
    </w:lvl>
  </w:abstractNum>
  <w:abstractNum w:abstractNumId="1">
    <w:nsid w:val="7644A45C"/>
    <w:multiLevelType w:val="hybridMultilevel"/>
    <w:lvl w:ilvl="0">
      <w:lvlJc w:val="left"/>
      <w:lvlText w:val="o"/>
      <w:numFmt w:val="bullet"/>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decimal"/>
      <w:start w:val="2"/>
    </w:lvl>
  </w:abstractNum>
  <w:abstractNum w:abstractNumId="4">
    <w:nsid w:val="579478FE"/>
    <w:multiLevelType w:val="hybridMultilevel"/>
    <w:lvl w:ilvl="0">
      <w:lvlJc w:val="left"/>
      <w:lvlText w:val="%1."/>
      <w:numFmt w:val="decimal"/>
      <w:start w:val="8"/>
    </w:lvl>
  </w:abstractNum>
  <w:abstractNum w:abstractNumId="5">
    <w:nsid w:val="749ABB43"/>
    <w:multiLevelType w:val="hybridMultilevel"/>
    <w:lvl w:ilvl="0">
      <w:lvlJc w:val="left"/>
      <w:lvlText w:val="%1."/>
      <w:numFmt w:val="decimal"/>
      <w:start w:val="9"/>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
      <w:numFmt w:val="bullet"/>
      <w:start w:val="1"/>
    </w:lvl>
  </w:abstractNum>
  <w:abstractNum w:abstractNumId="11">
    <w:nsid w:val="70C6A529"/>
    <w:multiLevelType w:val="hybridMultilevel"/>
    <w:lvl w:ilvl="0">
      <w:lvlJc w:val="left"/>
      <w:lvlText w:val=" "/>
      <w:numFmt w:val="bullet"/>
      <w:start w:val="1"/>
    </w:lvl>
  </w:abstractNum>
  <w:abstractNum w:abstractNumId="12">
    <w:nsid w:val="520EEDD1"/>
    <w:multiLevelType w:val="hybridMultilevel"/>
    <w:lvl w:ilvl="0">
      <w:lvlJc w:val="left"/>
      <w:lvlText w:val=" "/>
      <w:numFmt w:val="bullet"/>
      <w:start w:val="1"/>
    </w:lvl>
  </w:abstractNum>
  <w:abstractNum w:abstractNumId="13">
    <w:nsid w:val="374A3FE6"/>
    <w:multiLevelType w:val="hybridMultilevel"/>
    <w:lvl w:ilvl="0">
      <w:lvlJc w:val="left"/>
      <w:lvlText w:val=" "/>
      <w:numFmt w:val="bullet"/>
      <w:start w:val="1"/>
    </w:lvl>
  </w:abstractNum>
  <w:abstractNum w:abstractNumId="14">
    <w:nsid w:val="4F4EF005"/>
    <w:multiLevelType w:val="hybridMultilevel"/>
    <w:lvl w:ilvl="0">
      <w:lvlJc w:val="left"/>
      <w:lvlText w:val=" "/>
      <w:numFmt w:val="bullet"/>
      <w:start w:val="1"/>
    </w:lvl>
  </w:abstractNum>
  <w:abstractNum w:abstractNumId="15">
    <w:nsid w:val="23F9C13C"/>
    <w:multiLevelType w:val="hybridMultilevel"/>
    <w:lvl w:ilvl="0">
      <w:lvlJc w:val="left"/>
      <w:lvlText w:val="*"/>
      <w:numFmt w:val="bullet"/>
      <w:start w:val="1"/>
    </w:lvl>
    <w:lvl w:ilvl="1">
      <w:lvlJc w:val="left"/>
      <w:lvlText w:val="%2"/>
      <w:numFmt w:val="decimal"/>
      <w:start w:val="104"/>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decimal"/>
      <w:start w:val="1"/>
    </w:lvl>
    <w:lvl w:ilvl="1">
      <w:lvlJc w:val="left"/>
      <w:lvlText w:val="%2."/>
      <w:numFmt w:val="lowerLetter"/>
      <w:start w:val="1"/>
    </w:lvl>
  </w:abstractNum>
  <w:abstractNum w:abstractNumId="19">
    <w:nsid w:val="1CF10FD8"/>
    <w:multiLevelType w:val="hybridMultilevel"/>
    <w:lvl w:ilvl="0">
      <w:lvlJc w:val="left"/>
      <w:lvlText w:val="%1."/>
      <w:numFmt w:val="decimal"/>
      <w:start w:val="4"/>
    </w:lvl>
  </w:abstractNum>
  <w:abstractNum w:abstractNumId="20">
    <w:nsid w:val="180115BE"/>
    <w:multiLevelType w:val="hybridMultilevel"/>
    <w:lvl w:ilvl="0">
      <w:lvlJc w:val="left"/>
      <w:lvlText w:val="%1."/>
      <w:numFmt w:val="decimal"/>
      <w:start w:val="9"/>
    </w:lvl>
  </w:abstractNum>
  <w:abstractNum w:abstractNumId="21">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47398C89"/>
    <w:multiLevelType w:val="hybridMultilevel"/>
    <w:lvl w:ilvl="0">
      <w:lvlJc w:val="left"/>
      <w:lvlText w:val="%1"/>
      <w:numFmt w:val="lowerLetter"/>
      <w:start w:val="1"/>
    </w:lvl>
    <w:lvl w:ilvl="1">
      <w:lvlJc w:val="left"/>
      <w:lvlText w:val="(%2)"/>
      <w:numFmt w:val="lowerRoman"/>
      <w:start w:val="4"/>
    </w:lvl>
  </w:abstractNum>
  <w:abstractNum w:abstractNumId="23">
    <w:nsid w:val="354FE9F9"/>
    <w:multiLevelType w:val="hybridMultilevel"/>
    <w:lvl w:ilvl="0">
      <w:lvlJc w:val="left"/>
      <w:lvlText w:val="(%1)"/>
      <w:numFmt w:val="lowerLetter"/>
      <w:start w:val="2"/>
    </w:lvl>
    <w:lvl w:ilvl="1">
      <w:lvlJc w:val="left"/>
      <w:lvlText w:val="%2"/>
      <w:numFmt w:val="lowerRoman"/>
      <w:start w:val="1"/>
    </w:lvl>
  </w:abstractNum>
  <w:abstractNum w:abstractNumId="24">
    <w:nsid w:val="15B5AF5C"/>
    <w:multiLevelType w:val="hybridMultilevel"/>
    <w:lvl w:ilvl="0">
      <w:lvlJc w:val="left"/>
      <w:lvlText w:val="%1"/>
      <w:numFmt w:val="lowerLetter"/>
      <w:start w:val="1"/>
    </w:lvl>
    <w:lvl w:ilvl="1">
      <w:lvlJc w:val="left"/>
      <w:lvlText w:val="(%2)"/>
      <w:numFmt w:val="lowerRoman"/>
      <w:start w:val="1"/>
    </w:lvl>
  </w:abstractNum>
  <w:abstractNum w:abstractNumId="25">
    <w:nsid w:val="741226BB"/>
    <w:multiLevelType w:val="hybridMultilevel"/>
    <w:lvl w:ilvl="0">
      <w:lvlJc w:val="left"/>
      <w:lvlText w:val="(%1)"/>
      <w:numFmt w:val="lowerLetter"/>
      <w:start w:val="3"/>
    </w:lvl>
    <w:lvl w:ilvl="1">
      <w:lvlJc w:val="left"/>
      <w:lvlText w:val="%2"/>
      <w:numFmt w:val="lowerRoman"/>
      <w:start w:val="1"/>
    </w:lvl>
  </w:abstractNum>
  <w:abstractNum w:abstractNumId="26">
    <w:nsid w:val="D34B6A8"/>
    <w:multiLevelType w:val="hybridMultilevel"/>
    <w:lvl w:ilvl="0">
      <w:lvlJc w:val="left"/>
      <w:lvlText w:val="%1"/>
      <w:numFmt w:val="decimal"/>
      <w:start w:val="1"/>
    </w:lvl>
    <w:lvl w:ilvl="1">
      <w:lvlJc w:val="left"/>
      <w:lvlText w:val="(%2)"/>
      <w:numFmt w:val="lowerLetter"/>
      <w:start w:val="4"/>
    </w:lvl>
  </w:abstractNum>
  <w:abstractNum w:abstractNumId="27">
    <w:nsid w:val="10233C99"/>
    <w:multiLevelType w:val="hybridMultilevel"/>
    <w:lvl w:ilvl="0">
      <w:lvlJc w:val="left"/>
      <w:lvlText w:val="%1."/>
      <w:numFmt w:val="decimal"/>
      <w:start w:val="2"/>
    </w:lvl>
    <w:lvl w:ilvl="1">
      <w:lvlJc w:val="left"/>
      <w:lvlText w:val="(%2)"/>
      <w:numFmt w:val="lowerLetter"/>
      <w:start w:val="1"/>
    </w:lvl>
  </w:abstractNum>
  <w:abstractNum w:abstractNumId="28">
    <w:nsid w:val="3F6AB60F"/>
    <w:multiLevelType w:val="hybridMultilevel"/>
    <w:lvl w:ilvl="0">
      <w:lvlJc w:val="left"/>
      <w:lvlText w:val="%1."/>
      <w:numFmt w:val="decimal"/>
      <w:start w:val="3"/>
    </w:lvl>
    <w:lvl w:ilvl="1">
      <w:lvlJc w:val="left"/>
      <w:lvlText w:val="(%2)"/>
      <w:numFmt w:val="lowerLetter"/>
      <w:start w:val="1"/>
    </w:lvl>
  </w:abstractNum>
  <w:abstractNum w:abstractNumId="29">
    <w:nsid w:val="61574095"/>
    <w:multiLevelType w:val="hybridMultilevel"/>
    <w:lvl w:ilvl="0">
      <w:lvlJc w:val="left"/>
      <w:lvlText w:val="%1"/>
      <w:numFmt w:val="decimal"/>
      <w:start w:val="17"/>
    </w:lvl>
    <w:lvl w:ilvl="1">
      <w:lvlJc w:val="left"/>
      <w:lvlText w:val="(%2)"/>
      <w:numFmt w:val="lowerLetter"/>
      <w:start w:val="3"/>
    </w:lvl>
  </w:abstractNum>
  <w:abstractNum w:abstractNumId="30">
    <w:nsid w:val="7E0C57B1"/>
    <w:multiLevelType w:val="hybridMultilevel"/>
    <w:lvl w:ilvl="0">
      <w:lvlJc w:val="left"/>
      <w:lvlText w:val="%1."/>
      <w:numFmt w:val="decimal"/>
      <w:start w:val="4"/>
    </w:lvl>
    <w:lvl w:ilvl="1">
      <w:lvlJc w:val="left"/>
      <w:lvlText w:val="(%2)"/>
      <w:numFmt w:val="lowerLetter"/>
      <w:start w:val="1"/>
    </w:lvl>
  </w:abstractNum>
  <w:abstractNum w:abstractNumId="31">
    <w:nsid w:val="77AE35EB"/>
    <w:multiLevelType w:val="hybridMultilevel"/>
    <w:lvl w:ilvl="0">
      <w:lvlJc w:val="left"/>
      <w:lvlText w:val="%1."/>
      <w:numFmt w:val="decimal"/>
      <w:start w:val="8"/>
    </w:lvl>
    <w:lvl w:ilvl="1">
      <w:lvlJc w:val="left"/>
      <w:lvlText w:val="(%2)"/>
      <w:numFmt w:val="lowerLetter"/>
      <w:start w:val="1"/>
    </w:lvl>
  </w:abstractNum>
  <w:abstractNum w:abstractNumId="32">
    <w:nsid w:val="579BE4F1"/>
    <w:multiLevelType w:val="hybridMultilevel"/>
    <w:lvl w:ilvl="0">
      <w:lvlJc w:val="left"/>
      <w:lvlText w:val="(%1)"/>
      <w:numFmt w:val="lowerLetter"/>
      <w:start w:val="2"/>
    </w:lvl>
  </w:abstractNum>
  <w:abstractNum w:abstractNumId="33">
    <w:nsid w:val="310C50B3"/>
    <w:multiLevelType w:val="hybridMultilevel"/>
    <w:lvl w:ilvl="0">
      <w:lvlJc w:val="left"/>
      <w:lvlText w:val="(%1)"/>
      <w:numFmt w:val="lowerLetter"/>
      <w:start w:val="4"/>
    </w:lvl>
  </w:abstractNum>
  <w:abstractNum w:abstractNumId="34">
    <w:nsid w:val="5FF87E05"/>
    <w:multiLevelType w:val="hybridMultilevel"/>
    <w:lvl w:ilvl="0">
      <w:lvlJc w:val="left"/>
      <w:lvlText w:val="(%1)"/>
      <w:numFmt w:val="lowerLetter"/>
      <w:start w:val="12"/>
    </w:lvl>
  </w:abstractNum>
  <w:abstractNum w:abstractNumId="35">
    <w:nsid w:val="2F305DEF"/>
    <w:multiLevelType w:val="hybridMultilevel"/>
    <w:lvl w:ilvl="0">
      <w:lvlJc w:val="left"/>
      <w:lvlText w:val="%1."/>
      <w:numFmt w:val="decimal"/>
      <w:start w:val="1"/>
    </w:lvl>
    <w:lvl w:ilvl="1">
      <w:lvlJc w:val="left"/>
      <w:lvlText w:val="(%2)"/>
      <w:numFmt w:val="lowerLetter"/>
      <w:start w:val="1"/>
    </w:lvl>
  </w:abstractNum>
  <w:abstractNum w:abstractNumId="36">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4AD084E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9">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1381823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abstractNum>
  <w:abstractNum w:abstractNumId="41">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
    <w:nsid w:val="100F8FCA"/>
    <w:multiLevelType w:val="hybridMultilevel"/>
    <w:lvl w:ilvl="0">
      <w:lvlJc w:val="left"/>
      <w:lvlText w:val="%1"/>
      <w:numFmt w:val="decimal"/>
      <w:start w:val="1"/>
    </w:lvl>
    <w:lvl w:ilvl="1">
      <w:lvlJc w:val="left"/>
      <w:lvlText w:val="(%2)"/>
      <w:numFmt w:val="lowerLetter"/>
      <w:start w:val="2"/>
    </w:lvl>
  </w:abstractNum>
  <w:abstractNum w:abstractNumId="43">
    <w:nsid w:val="6590700B"/>
    <w:multiLevelType w:val="hybridMultilevel"/>
    <w:lvl w:ilvl="0">
      <w:lvlJc w:val="left"/>
      <w:lvlText w:val="%1."/>
      <w:numFmt w:val="decimal"/>
      <w:start w:val="2"/>
    </w:lvl>
    <w:lvl w:ilvl="1">
      <w:lvlJc w:val="left"/>
      <w:lvlText w:val="%2"/>
      <w:numFmt w:val="lowerLetter"/>
      <w:start w:val="1"/>
    </w:lvl>
  </w:abstractNum>
  <w:abstractNum w:abstractNumId="44">
    <w:nsid w:val="15014ACB"/>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lowerLetter"/>
      <w:start w:val="1"/>
    </w:lvl>
  </w:abstractNum>
  <w:abstractNum w:abstractNumId="45">
    <w:nsid w:val="5F5E7FD0"/>
    <w:multiLevelType w:val="hybridMultilevel"/>
    <w:lvl w:ilvl="0">
      <w:lvlJc w:val="left"/>
      <w:lvlText w:val="%1."/>
      <w:numFmt w:val="decimal"/>
      <w:start w:val="6"/>
    </w:lvl>
    <w:lvl w:ilvl="1">
      <w:lvlJc w:val="left"/>
      <w:lvlText w:val="%2"/>
      <w:numFmt w:val="decimal"/>
      <w:start w:val="1"/>
    </w:lvl>
    <w:lvl w:ilvl="2">
      <w:lvlJc w:val="left"/>
      <w:lvlText w:val="%3."/>
      <w:numFmt w:val="decimal"/>
      <w:start w:val="8"/>
    </w:lvl>
    <w:lvl w:ilvl="3">
      <w:lvlJc w:val="left"/>
      <w:lvlText w:val="(%4)"/>
      <w:numFmt w:val="lowerLetter"/>
      <w:start w:val="1"/>
    </w:lvl>
  </w:abstractNum>
  <w:abstractNum w:abstractNumId="46">
    <w:nsid w:val="98A3148"/>
    <w:multiLevelType w:val="hybridMultilevel"/>
    <w:lvl w:ilvl="0">
      <w:lvlJc w:val="left"/>
      <w:lvlText w:val="(%1)"/>
      <w:numFmt w:val="lowerLetter"/>
      <w:start w:val="2"/>
    </w:lvl>
  </w:abstractNum>
  <w:abstractNum w:abstractNumId="47">
    <w:nsid w:val="799D0247"/>
    <w:multiLevelType w:val="hybridMultilevel"/>
    <w:lvl w:ilvl="0">
      <w:lvlJc w:val="left"/>
      <w:lvlText w:val="%1"/>
      <w:numFmt w:val="decimal"/>
      <w:start w:val="1"/>
    </w:lvl>
    <w:lvl w:ilvl="1">
      <w:lvlJc w:val="left"/>
      <w:lvlText w:val="%2."/>
      <w:numFmt w:val="decimal"/>
      <w:start w:val="2"/>
    </w:lvl>
  </w:abstractNum>
  <w:abstractNum w:abstractNumId="48">
    <w:nsid w:val="6B94764"/>
    <w:multiLevelType w:val="hybridMultilevel"/>
    <w:lvl w:ilvl="0">
      <w:lvlJc w:val="left"/>
      <w:lvlText w:val="%1."/>
      <w:numFmt w:val="decimal"/>
      <w:start w:val="7"/>
    </w:lvl>
    <w:lvl w:ilvl="1">
      <w:lvlJc w:val="left"/>
      <w:lvlText w:val="%2"/>
      <w:numFmt w:val="decimal"/>
      <w:start w:val="1"/>
    </w:lvl>
  </w:abstractNum>
  <w:abstractNum w:abstractNumId="49">
    <w:nsid w:val="42C296BD"/>
    <w:multiLevelType w:val="hybridMultilevel"/>
    <w:lvl w:ilvl="0">
      <w:lvlJc w:val="left"/>
      <w:lvlText w:val="%1."/>
      <w:numFmt w:val="decimal"/>
      <w:start w:val="8"/>
    </w:lvl>
  </w:abstractNum>
  <w:abstractNum w:abstractNumId="50">
    <w:nsid w:val="168E121F"/>
    <w:multiLevelType w:val="hybridMultilevel"/>
    <w:lvl w:ilvl="0">
      <w:lvlJc w:val="left"/>
      <w:lvlText w:val="%1."/>
      <w:numFmt w:val="decimal"/>
      <w:start w:val="1"/>
    </w:lvl>
    <w:lvl w:ilvl="1">
      <w:lvlJc w:val="left"/>
      <w:lvlText w:val="%2."/>
      <w:numFmt w:val="lowerLetter"/>
      <w:start w:val="1"/>
    </w:lvl>
  </w:abstractNum>
  <w:abstractNum w:abstractNumId="51">
    <w:nsid w:val="1EBA5D23"/>
    <w:multiLevelType w:val="hybridMultilevel"/>
    <w:lvl w:ilvl="0">
      <w:lvlJc w:val="left"/>
      <w:lvlText w:val="%1"/>
      <w:numFmt w:val="decimal"/>
      <w:start w:val="1"/>
    </w:lvl>
    <w:lvl w:ilvl="1">
      <w:lvlJc w:val="left"/>
      <w:lvlText w:val="%2."/>
      <w:numFmt w:val="lowerLetter"/>
      <w:start w:val="3"/>
    </w:lvl>
  </w:abstractNum>
  <w:abstractNum w:abstractNumId="52">
    <w:nsid w:val="661E3F1E"/>
    <w:multiLevelType w:val="hybridMultilevel"/>
    <w:lvl w:ilvl="0">
      <w:lvlJc w:val="left"/>
      <w:lvlText w:val="%1."/>
      <w:numFmt w:val="decimal"/>
      <w:start w:val="3"/>
    </w:lvl>
    <w:lvl w:ilvl="1">
      <w:lvlJc w:val="left"/>
      <w:lvlText w:val="%2"/>
      <w:numFmt w:val="lowerLetter"/>
      <w:start w:val="1"/>
    </w:lvl>
  </w:abstractNum>
  <w:abstractNum w:abstractNumId="53">
    <w:nsid w:val="5DC79EA8"/>
    <w:multiLevelType w:val="hybridMultilevel"/>
    <w:lvl w:ilvl="0">
      <w:lvlJc w:val="left"/>
      <w:lvlText w:val="%1."/>
      <w:numFmt w:val="decimal"/>
      <w:start w:val="8"/>
    </w:lvl>
  </w:abstractNum>
  <w:abstractNum w:abstractNumId="54">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7BD3EE7B"/>
    <w:multiLevelType w:val="hybridMultilevel"/>
    <w:lvl w:ilvl="0">
      <w:lvlJc w:val="left"/>
      <w:lvlText w:val="%1"/>
      <w:numFmt w:val="lowerLetter"/>
      <w:start w:val="1"/>
    </w:lvl>
    <w:lvl w:ilvl="1">
      <w:lvlJc w:val="left"/>
      <w:lvlText w:val="(%2)"/>
      <w:numFmt w:val="lowerRoman"/>
      <w:start w:val="4"/>
    </w:lvl>
  </w:abstractNum>
  <w:abstractNum w:abstractNumId="56">
    <w:nsid w:val="51D9C564"/>
    <w:multiLevelType w:val="hybridMultilevel"/>
    <w:lvl w:ilvl="0">
      <w:lvlJc w:val="left"/>
      <w:lvlText w:val="(%1)"/>
      <w:numFmt w:val="lowerLetter"/>
      <w:start w:val="2"/>
    </w:lvl>
    <w:lvl w:ilvl="1">
      <w:lvlJc w:val="left"/>
      <w:lvlText w:val="%2"/>
      <w:numFmt w:val="lowerRoman"/>
      <w:start w:val="1"/>
    </w:lvl>
  </w:abstractNum>
  <w:abstractNum w:abstractNumId="57">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BF72B1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
    <w:nsid w:val="11447B7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
    <w:nsid w:val="42963E5A"/>
    <w:multiLevelType w:val="hybridMultilevel"/>
    <w:lvl w:ilvl="0">
      <w:lvlJc w:val="left"/>
      <w:lvlText w:val="(%1)"/>
      <w:numFmt w:val="lowerLetter"/>
      <w:start w:val="1"/>
    </w:lvl>
    <w:lvl w:ilvl="1">
      <w:lvlJc w:val="left"/>
      <w:lvlText w:val="(%2)"/>
      <w:numFmt w:val="lowerLetter"/>
      <w:start w:val="1"/>
    </w:lvl>
  </w:abstractNum>
  <w:abstractNum w:abstractNumId="61">
    <w:nsid w:val="A0382C5"/>
    <w:multiLevelType w:val="hybridMultilevel"/>
    <w:lvl w:ilvl="0">
      <w:lvlJc w:val="left"/>
      <w:lvlText w:val="(%1)"/>
      <w:numFmt w:val="lowerLetter"/>
      <w:start w:val="2"/>
    </w:lvl>
  </w:abstractNum>
  <w:abstractNum w:abstractNumId="62">
    <w:nsid w:val="8F2B15E"/>
    <w:multiLevelType w:val="hybridMultilevel"/>
    <w:lvl w:ilvl="0">
      <w:lvlJc w:val="left"/>
      <w:lvlText w:val="%1"/>
      <w:numFmt w:val="decimal"/>
      <w:start w:val="1"/>
    </w:lvl>
    <w:lvl w:ilvl="1">
      <w:lvlJc w:val="left"/>
      <w:lvlText w:val="(%2)"/>
      <w:numFmt w:val="lowerLetter"/>
      <w:start w:val="5"/>
    </w:lvl>
  </w:abstractNum>
  <w:abstractNum w:abstractNumId="63">
    <w:nsid w:val="1A32234B"/>
    <w:multiLevelType w:val="hybridMultilevel"/>
    <w:lvl w:ilvl="0">
      <w:lvlJc w:val="left"/>
      <w:lvlText w:val="%1."/>
      <w:numFmt w:val="decimal"/>
      <w:start w:val="3"/>
    </w:lvl>
    <w:lvl w:ilvl="1">
      <w:lvlJc w:val="left"/>
      <w:lvlText w:val="(%2)"/>
      <w:numFmt w:val="lowerLetter"/>
      <w:start w:val="1"/>
    </w:lvl>
  </w:abstractNum>
  <w:abstractNum w:abstractNumId="64">
    <w:nsid w:val="3B0FD379"/>
    <w:multiLevelType w:val="hybridMultilevel"/>
    <w:lvl w:ilvl="0">
      <w:lvlJc w:val="left"/>
      <w:lvlText w:val="%1"/>
      <w:numFmt w:val="decimal"/>
      <w:start w:val="17"/>
    </w:lvl>
    <w:lvl w:ilvl="1">
      <w:lvlJc w:val="left"/>
      <w:lvlText w:val="%2"/>
      <w:numFmt w:val="lowerLetter"/>
      <w:start w:val="1"/>
    </w:lvl>
  </w:abstractNum>
  <w:abstractNum w:abstractNumId="65">
    <w:nsid w:val="68EB2F63"/>
    <w:multiLevelType w:val="hybridMultilevel"/>
    <w:lvl w:ilvl="0">
      <w:lvlJc w:val="left"/>
      <w:lvlText w:val="%1"/>
      <w:numFmt w:val="decimal"/>
      <w:start w:val="1"/>
    </w:lvl>
    <w:lvl w:ilvl="1">
      <w:lvlJc w:val="left"/>
      <w:lvlText w:val="(%2)"/>
      <w:numFmt w:val="lowerLetter"/>
      <w:start w:val="3"/>
    </w:lvl>
  </w:abstractNum>
  <w:abstractNum w:abstractNumId="66">
    <w:nsid w:val="4962813B"/>
    <w:multiLevelType w:val="hybridMultilevel"/>
    <w:lvl w:ilvl="0">
      <w:lvlJc w:val="left"/>
      <w:lvlText w:val="%1."/>
      <w:numFmt w:val="decimal"/>
      <w:start w:val="4"/>
    </w:lvl>
    <w:lvl w:ilvl="1">
      <w:lvlJc w:val="left"/>
      <w:lvlText w:val="(%2)"/>
      <w:numFmt w:val="lowerLetter"/>
      <w:start w:val="1"/>
    </w:lvl>
  </w:abstractNum>
  <w:abstractNum w:abstractNumId="67">
    <w:nsid w:val="60B6DF70"/>
    <w:multiLevelType w:val="hybridMultilevel"/>
    <w:lvl w:ilvl="0">
      <w:lvlJc w:val="left"/>
      <w:lvlText w:val="%1"/>
      <w:numFmt w:val="decimal"/>
      <w:start w:val="1"/>
    </w:lvl>
    <w:lvl w:ilvl="1">
      <w:lvlJc w:val="left"/>
      <w:lvlText w:val="(%2)"/>
      <w:numFmt w:val="lowerLetter"/>
      <w:start w:val="3"/>
    </w:lvl>
  </w:abstractNum>
  <w:abstractNum w:abstractNumId="68">
    <w:nsid w:val="6A5EE64"/>
    <w:multiLevelType w:val="hybridMultilevel"/>
    <w:lvl w:ilvl="0">
      <w:lvlJc w:val="left"/>
      <w:lvlText w:val="%1."/>
      <w:numFmt w:val="decimal"/>
      <w:start w:val="7"/>
    </w:lvl>
    <w:lvl w:ilvl="1">
      <w:lvlJc w:val="left"/>
      <w:lvlText w:val="(%2)"/>
      <w:numFmt w:val="lowerLetter"/>
      <w:start w:val="1"/>
    </w:lvl>
  </w:abstractNum>
  <w:abstractNum w:abstractNumId="69">
    <w:nsid w:val="14330624"/>
    <w:multiLevelType w:val="hybridMultilevel"/>
    <w:lvl w:ilvl="0">
      <w:lvlJc w:val="left"/>
      <w:lvlText w:val="(%1)"/>
      <w:numFmt w:val="lowerLetter"/>
      <w:start w:val="2"/>
    </w:lvl>
  </w:abstractNum>
  <w:abstractNum w:abstractNumId="70">
    <w:nsid w:val="7FFFCA11"/>
    <w:multiLevelType w:val="hybridMultilevel"/>
    <w:lvl w:ilvl="0">
      <w:lvlJc w:val="left"/>
      <w:lvlText w:val="(%1)"/>
      <w:numFmt w:val="lowerLetter"/>
      <w:start w:val="4"/>
    </w:lvl>
  </w:abstractNum>
  <w:abstractNum w:abstractNumId="71">
    <w:nsid w:val="1A27709E"/>
    <w:multiLevelType w:val="hybridMultilevel"/>
    <w:lvl w:ilvl="0">
      <w:lvlJc w:val="left"/>
      <w:lvlText w:val="(%1)"/>
      <w:numFmt w:val="lowerLetter"/>
      <w:start w:val="10"/>
    </w:lvl>
  </w:abstractNum>
  <w:abstractNum w:abstractNumId="72">
    <w:nsid w:val="71EA1109"/>
    <w:multiLevelType w:val="hybridMultilevel"/>
    <w:lvl w:ilvl="0">
      <w:lvlJc w:val="left"/>
      <w:lvlText w:val="%1."/>
      <w:numFmt w:val="decimal"/>
      <w:start w:val="1"/>
    </w:lvl>
    <w:lvl w:ilvl="1">
      <w:lvlJc w:val="left"/>
      <w:lvlText w:val="(%2)"/>
      <w:numFmt w:val="lowerRoman"/>
      <w:start w:val="3"/>
    </w:lvl>
    <w:lvl w:ilvl="2">
      <w:lvlJc w:val="left"/>
      <w:lvlText w:val="(%3)"/>
      <w:numFmt w:val="lowerLetter"/>
      <w:start w:val="1"/>
    </w:lvl>
  </w:abstractNum>
  <w:abstractNum w:abstractNumId="73">
    <w:nsid w:val="100F59DC"/>
    <w:multiLevelType w:val="hybridMultilevel"/>
    <w:lvl w:ilvl="0">
      <w:lvlJc w:val="left"/>
      <w:lvlText w:val="(%1)"/>
      <w:numFmt w:val="lowerLetter"/>
      <w:start w:val="2"/>
    </w:lvl>
    <w:lvl w:ilvl="1">
      <w:lvlJc w:val="left"/>
      <w:lvlText w:val="(%2)"/>
      <w:numFmt w:val="lowerRoman"/>
      <w:start w:val="1"/>
    </w:lvl>
  </w:abstractNum>
  <w:abstractNum w:abstractNumId="74">
    <w:nsid w:val="7FB7E0A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75">
    <w:nsid w:val="6EB5BD4"/>
    <w:multiLevelType w:val="hybridMultilevel"/>
    <w:lvl w:ilvl="0">
      <w:lvlJc w:val="left"/>
      <w:lvlText w:val="%1."/>
      <w:numFmt w:val="decimal"/>
      <w:start w:val="10"/>
    </w:lvl>
    <w:lvl w:ilvl="1">
      <w:lvlJc w:val="left"/>
      <w:lvlText w:val="(%2)"/>
      <w:numFmt w:val="decimal"/>
      <w:start w:val="11"/>
    </w:lvl>
    <w:lvl w:ilvl="2">
      <w:lvlJc w:val="left"/>
      <w:lvlText w:val="(%3)"/>
      <w:numFmt w:val="lowerLetter"/>
      <w:start w:val="1"/>
    </w:lvl>
  </w:abstractNum>
  <w:abstractNum w:abstractNumId="76">
    <w:nsid w:val="6F6DD9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77">
    <w:nsid w:val="94211F2"/>
    <w:multiLevelType w:val="hybridMultilevel"/>
    <w:lvl w:ilvl="0">
      <w:lvlJc w:val="left"/>
      <w:lvlText w:val="%1"/>
      <w:numFmt w:val="decimal"/>
      <w:start w:val="1"/>
    </w:lvl>
    <w:lvl w:ilvl="1">
      <w:lvlJc w:val="left"/>
      <w:lvlText w:val="(%2)"/>
      <w:numFmt w:val="lowerLetter"/>
      <w:start w:val="5"/>
    </w:lvl>
  </w:abstractNum>
  <w:abstractNum w:abstractNumId="78">
    <w:nsid w:val="885E1B"/>
    <w:multiLevelType w:val="hybridMultilevel"/>
    <w:lvl w:ilvl="0">
      <w:lvlJc w:val="left"/>
      <w:lvlText w:val="%1."/>
      <w:numFmt w:val="decimal"/>
      <w:start w:val="11"/>
    </w:lvl>
    <w:lvl w:ilvl="1">
      <w:lvlJc w:val="left"/>
      <w:lvlText w:val="(%2)"/>
      <w:numFmt w:val="lowerLetter"/>
      <w:start w:val="1"/>
    </w:lvl>
  </w:abstractNum>
  <w:abstractNum w:abstractNumId="79">
    <w:nsid w:val="76272110"/>
    <w:multiLevelType w:val="hybridMultilevel"/>
    <w:lvl w:ilvl="0">
      <w:lvlJc w:val="left"/>
      <w:lvlText w:val="%1."/>
      <w:numFmt w:val="decimal"/>
      <w:start w:val="13"/>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lowerLetter"/>
      <w:start w:val="1"/>
    </w:lvl>
    <w:lvl w:ilvl="1">
      <w:lvlJc w:val="left"/>
      <w:lvlText w:val="(%2)"/>
      <w:numFmt w:val="lowerLetter"/>
      <w:start w:val="2"/>
    </w:lvl>
  </w:abstractNum>
  <w:abstractNum w:abstractNumId="82">
    <w:nsid w:val="14E17E33"/>
    <w:multiLevelType w:val="hybridMultilevel"/>
    <w:lvl w:ilvl="0">
      <w:lvlJc w:val="left"/>
      <w:lvlText w:val="(%1)"/>
      <w:numFmt w:val="lowerLetter"/>
      <w:start w:val="35"/>
    </w:lvl>
    <w:lvl w:ilvl="1">
      <w:lvlJc w:val="left"/>
      <w:lvlText w:val="%2"/>
      <w:numFmt w:val="lowerLetter"/>
      <w:start w:val="1"/>
    </w:lvl>
  </w:abstractNum>
  <w:abstractNum w:abstractNumId="83">
    <w:nsid w:val="3222E7CD"/>
    <w:multiLevelType w:val="hybridMultilevel"/>
    <w:lvl w:ilvl="0">
      <w:lvlJc w:val="left"/>
      <w:lvlText w:val="%1."/>
      <w:numFmt w:val="decimal"/>
      <w:start w:val="19"/>
    </w:lvl>
  </w:abstractNum>
  <w:abstractNum w:abstractNumId="84">
    <w:nsid w:val="74DE0EE3"/>
    <w:multiLevelType w:val="hybridMultilevel"/>
    <w:lvl w:ilvl="0">
      <w:lvlJc w:val="left"/>
      <w:lvlText w:val="%1."/>
      <w:numFmt w:val="decimal"/>
      <w:start w:val="21"/>
    </w:lvl>
  </w:abstractNum>
  <w:abstractNum w:abstractNumId="85">
    <w:nsid w:val="68EBC550"/>
    <w:multiLevelType w:val="hybridMultilevel"/>
    <w:lvl w:ilvl="0">
      <w:lvlJc w:val="left"/>
      <w:lvlText w:val="%1."/>
      <w:numFmt w:val="decimal"/>
      <w:start w:val="26"/>
    </w:lvl>
  </w:abstractNum>
  <w:abstractNum w:abstractNumId="86">
    <w:nsid w:val="2DF6D648"/>
    <w:multiLevelType w:val="hybridMultilevel"/>
    <w:lvl w:ilvl="0">
      <w:lvlJc w:val="left"/>
      <w:lvlText w:val="%1."/>
      <w:numFmt w:val="decimal"/>
      <w:start w:val="1"/>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decimal"/>
      <w:start w:val="5"/>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1)"/>
      <w:numFmt w:val="lowerLetter"/>
      <w:start w:val="1"/>
    </w:lvl>
  </w:abstractNum>
  <w:abstractNum w:abstractNumId="92">
    <w:nsid w:val="43F18422"/>
    <w:multiLevelType w:val="hybridMultilevel"/>
    <w:lvl w:ilvl="0">
      <w:lvlJc w:val="left"/>
      <w:lvlText w:val="%1."/>
      <w:numFmt w:val="decimal"/>
      <w:start w:val="5"/>
    </w:lvl>
  </w:abstractNum>
  <w:abstractNum w:abstractNumId="93">
    <w:nsid w:val="60EF011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jpe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jpe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49" Type="http://schemas.openxmlformats.org/officeDocument/2006/relationships/hyperlink" Target="https://www.sec.gov/ix?doc=/Archives/edgar/data/1157601/000119312524072706/d774533d8k.htm" TargetMode="External"/><Relationship Id="rId50" Type="http://schemas.openxmlformats.org/officeDocument/2006/relationships/hyperlink" Target="https://www.sec.gov/Archives/edgar/data/1157601/000119312523249192/d48584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2024-05-07T08:11:44Z</dcterms:created>
  <dcterms:modified xsi:type="dcterms:W3CDTF">2024-05-07T08:11:44Z</dcterms:modified>
</cp:coreProperties>
</file>