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80" w:hanging="328"/>
        <w:spacing w:after="0" w:line="256" w:lineRule="auto"/>
        <w:tabs>
          <w:tab w:leader="none" w:pos="539"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79"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60"/>
        <w:spacing w:after="0"/>
        <w:tabs>
          <w:tab w:leader="none" w:pos="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MADRIGAL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04-3508648</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30"/>
              <w:spacing w:after="0"/>
              <w:rPr>
                <w:sz w:val="20"/>
                <w:szCs w:val="20"/>
                <w:color w:val="auto"/>
              </w:rPr>
            </w:pPr>
            <w:r>
              <w:rPr>
                <w:rFonts w:ascii="Arial" w:cs="Arial" w:eastAsia="Arial" w:hAnsi="Arial"/>
                <w:sz w:val="18"/>
                <w:szCs w:val="18"/>
                <w:color w:val="auto"/>
                <w:w w:val="92"/>
              </w:rPr>
              <w:t>of 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Four Tower Bridge</w:t>
            </w:r>
          </w:p>
        </w:tc>
        <w:tc>
          <w:tcPr>
            <w:tcW w:w="4160" w:type="dxa"/>
            <w:vAlign w:val="bottom"/>
          </w:tcPr>
          <w:p>
            <w:pPr>
              <w:spacing w:after="0"/>
              <w:rPr>
                <w:sz w:val="24"/>
                <w:szCs w:val="24"/>
                <w:color w:val="auto"/>
              </w:rPr>
            </w:pP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200 Barr Harbor Drive, Suite 400</w:t>
            </w:r>
          </w:p>
        </w:tc>
        <w:tc>
          <w:tcPr>
            <w:tcW w:w="4160" w:type="dxa"/>
            <w:vAlign w:val="bottom"/>
          </w:tcPr>
          <w:p>
            <w:pPr>
              <w:spacing w:after="0"/>
              <w:rPr>
                <w:sz w:val="18"/>
                <w:szCs w:val="18"/>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87"/>
              </w:rPr>
              <w:t>West Conshohocken, Pennsylvania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19428</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(484) 380-9263</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2"/>
              </w:rPr>
              <w:t>Accelerated filer o</w:t>
            </w: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x</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2017, the registrant had 12,495,705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ectPr>
          <w:pgSz w:w="11900" w:h="16838" w:orient="portrait"/>
          <w:cols w:equalWidth="0" w:num="1">
            <w:col w:w="11420"/>
          </w:cols>
          <w:pgMar w:left="240" w:top="23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0" w:type="dxa"/>
            <w:vAlign w:val="bottom"/>
            <w:gridSpan w:val="8"/>
          </w:tcPr>
          <w:p>
            <w:pPr>
              <w:jc w:val="center"/>
              <w:ind w:right="2170"/>
              <w:spacing w:after="0"/>
              <w:rPr>
                <w:sz w:val="20"/>
                <w:szCs w:val="20"/>
                <w:color w:val="auto"/>
              </w:rPr>
            </w:pPr>
            <w:r>
              <w:rPr>
                <w:rFonts w:ascii="Arial" w:cs="Arial" w:eastAsia="Arial" w:hAnsi="Arial"/>
                <w:sz w:val="14"/>
                <w:szCs w:val="14"/>
                <w:b w:val="1"/>
                <w:bCs w:val="1"/>
                <w:color w:val="auto"/>
                <w:w w:val="90"/>
              </w:rPr>
              <w:t>Description</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r>
      <w:tr>
        <w:trPr>
          <w:trHeight w:val="385"/>
        </w:trPr>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0000EE"/>
            </w:tcBorders>
            <w:gridSpan w:val="6"/>
          </w:tcPr>
          <w:p>
            <w:pPr>
              <w:jc w:val="center"/>
              <w:spacing w:after="0"/>
              <w:rPr>
                <w:rFonts w:ascii="Arial" w:cs="Arial" w:eastAsia="Arial" w:hAnsi="Arial"/>
                <w:sz w:val="18"/>
                <w:szCs w:val="18"/>
                <w:b w:val="1"/>
                <w:bCs w:val="1"/>
                <w:color w:val="0000EE"/>
                <w:w w:val="95"/>
              </w:rPr>
            </w:pPr>
            <w:hyperlink w:anchor="page2">
              <w:r>
                <w:rPr>
                  <w:rFonts w:ascii="Arial" w:cs="Arial" w:eastAsia="Arial" w:hAnsi="Arial"/>
                  <w:sz w:val="18"/>
                  <w:szCs w:val="18"/>
                  <w:b w:val="1"/>
                  <w:bCs w:val="1"/>
                  <w:color w:val="0000EE"/>
                  <w:w w:val="95"/>
                </w:rPr>
                <w:t>Part I. Financial Information</w:t>
              </w:r>
            </w:hyperlink>
          </w:p>
        </w:tc>
        <w:tc>
          <w:tcPr>
            <w:tcW w:w="1700" w:type="dxa"/>
            <w:vAlign w:val="bottom"/>
            <w:tcBorders>
              <w:top w:val="single" w:sz="8" w:color="auto"/>
            </w:tcBorders>
            <w:gridSpan w:val="4"/>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Item 1.</w:t>
              </w:r>
            </w:hyperlink>
          </w:p>
        </w:tc>
        <w:tc>
          <w:tcPr>
            <w:tcW w:w="620" w:type="dxa"/>
            <w:vAlign w:val="bottom"/>
            <w:gridSpan w:val="3"/>
          </w:tcPr>
          <w:p>
            <w:pPr>
              <w:spacing w:after="0"/>
              <w:rPr>
                <w:sz w:val="24"/>
                <w:szCs w:val="24"/>
                <w:color w:val="auto"/>
              </w:rPr>
            </w:pPr>
          </w:p>
        </w:tc>
        <w:tc>
          <w:tcPr>
            <w:tcW w:w="33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Financial Statements (Unaudited):</w:t>
              </w:r>
            </w:hyperlink>
          </w:p>
        </w:tc>
        <w:tc>
          <w:tcPr>
            <w:tcW w:w="408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0" w:type="dxa"/>
            <w:vAlign w:val="bottom"/>
            <w:gridSpan w:val="22"/>
          </w:tcPr>
          <w:p>
            <w:pPr>
              <w:spacing w:after="0" w:line="196"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Condensed Consolidated Balance Sheets as of June 30, 2017 and December 31, 2016 (Unaudited)</w:t>
              </w:r>
            </w:hyperlink>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80" w:type="dxa"/>
            <w:vAlign w:val="bottom"/>
            <w:gridSpan w:val="28"/>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Operations for the three and six months ended June 30, 2017 and 2016 (Unaudited)</w:t>
              </w:r>
            </w:hyperlink>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Comprehensive Loss for the three and six months ended June 30, 2017 and 2016</w:t>
              </w:r>
            </w:hyperlink>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0" w:type="dxa"/>
            <w:vAlign w:val="bottom"/>
            <w:gridSpan w:val="26"/>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Cash Flows for the six months ended June 30, 2017 and 2016 (Unaudited)</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Consolidated Financial Statements</w:t>
              </w:r>
            </w:hyperlink>
          </w:p>
        </w:tc>
        <w:tc>
          <w:tcPr>
            <w:tcW w:w="3400" w:type="dxa"/>
            <w:vAlign w:val="bottom"/>
            <w:tcBorders>
              <w:top w:val="single" w:sz="8" w:color="0000EE"/>
            </w:tcBorders>
            <w:gridSpan w:val="8"/>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Item 2.</w:t>
              </w:r>
            </w:hyperlink>
          </w:p>
        </w:tc>
        <w:tc>
          <w:tcPr>
            <w:tcW w:w="620" w:type="dxa"/>
            <w:vAlign w:val="bottom"/>
            <w:gridSpan w:val="3"/>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9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Item 3.</w:t>
              </w:r>
            </w:hyperlink>
          </w:p>
        </w:tc>
        <w:tc>
          <w:tcPr>
            <w:tcW w:w="620" w:type="dxa"/>
            <w:vAlign w:val="bottom"/>
            <w:gridSpan w:val="3"/>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Quantitative and Qualitative Disclosures About Market Risk</w:t>
              </w:r>
            </w:hyperlink>
          </w:p>
        </w:tc>
        <w:tc>
          <w:tcPr>
            <w:tcW w:w="304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2460" w:type="dxa"/>
            <w:vAlign w:val="bottom"/>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412"/>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9"/>
          </w:tcPr>
          <w:p>
            <w:pPr>
              <w:jc w:val="center"/>
              <w:ind w:right="1710"/>
              <w:spacing w:after="0"/>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Part II. Other Information</w:t>
              </w:r>
            </w:hyperlink>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Item 1.</w:t>
              </w:r>
            </w:hyperlink>
          </w:p>
        </w:tc>
        <w:tc>
          <w:tcPr>
            <w:tcW w:w="620" w:type="dxa"/>
            <w:vAlign w:val="bottom"/>
            <w:gridSpan w:val="3"/>
          </w:tcPr>
          <w:p>
            <w:pPr>
              <w:spacing w:after="0"/>
              <w:rPr>
                <w:sz w:val="24"/>
                <w:szCs w:val="24"/>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112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8"/>
                <w:szCs w:val="18"/>
                <w:color w:val="auto"/>
              </w:rPr>
              <w:t>22</w:t>
            </w: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2460" w:type="dxa"/>
            <w:vAlign w:val="bottom"/>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520" w:type="dxa"/>
            <w:vAlign w:val="bottom"/>
            <w:gridSpan w:val="2"/>
          </w:tcPr>
          <w:p>
            <w:pPr>
              <w:spacing w:after="0"/>
              <w:rPr>
                <w:sz w:val="17"/>
                <w:szCs w:val="17"/>
                <w:color w:val="auto"/>
              </w:rPr>
            </w:pPr>
          </w:p>
        </w:tc>
        <w:tc>
          <w:tcPr>
            <w:tcW w:w="740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246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Defaults Upon Senior Securities</w:t>
              </w:r>
            </w:hyperlink>
          </w:p>
        </w:tc>
        <w:tc>
          <w:tcPr>
            <w:tcW w:w="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640" w:type="dxa"/>
            <w:vAlign w:val="bottom"/>
            <w:tcBorders>
              <w:top w:val="single" w:sz="8" w:color="0000EE"/>
            </w:tcBorders>
            <w:gridSpan w:val="4"/>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20" w:type="dxa"/>
            <w:vAlign w:val="bottom"/>
            <w:tcBorders>
              <w:bottom w:val="single" w:sz="8" w:color="0000EE"/>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620" w:type="dxa"/>
            <w:vAlign w:val="bottom"/>
            <w:gridSpan w:val="3"/>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186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453"/>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7"/>
          </w:tcPr>
          <w:p>
            <w:pPr>
              <w:jc w:val="center"/>
              <w:ind w:left="95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gridSpan w:val="3"/>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362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12"/>
          </w:tcPr>
          <w:p>
            <w:pPr>
              <w:jc w:val="center"/>
              <w:ind w:right="65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620" w:type="dxa"/>
            <w:vAlign w:val="bottom"/>
            <w:gridSpan w:val="15"/>
          </w:tcPr>
          <w:p>
            <w:pPr>
              <w:spacing w:after="0"/>
              <w:rPr>
                <w:sz w:val="20"/>
                <w:szCs w:val="20"/>
                <w:color w:val="auto"/>
              </w:rPr>
            </w:pPr>
            <w:r>
              <w:rPr>
                <w:rFonts w:ascii="Arial" w:cs="Arial" w:eastAsia="Arial" w:hAnsi="Arial"/>
                <w:sz w:val="18"/>
                <w:szCs w:val="18"/>
                <w:b w:val="1"/>
                <w:bCs w:val="1"/>
                <w:color w:val="auto"/>
              </w:rPr>
              <w:t>Item 1. Financial Statements.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12"/>
          </w:tcPr>
          <w:p>
            <w:pPr>
              <w:jc w:val="center"/>
              <w:ind w:right="670"/>
              <w:spacing w:after="0"/>
              <w:rPr>
                <w:sz w:val="20"/>
                <w:szCs w:val="20"/>
                <w:color w:val="auto"/>
              </w:rPr>
            </w:pPr>
            <w:r>
              <w:rPr>
                <w:rFonts w:ascii="Arial" w:cs="Arial" w:eastAsia="Arial" w:hAnsi="Arial"/>
                <w:sz w:val="18"/>
                <w:szCs w:val="18"/>
                <w:b w:val="1"/>
                <w:bCs w:val="1"/>
                <w:color w:val="auto"/>
              </w:rPr>
              <w:t>MADRIGAL PHARMACEUTICALS, INC.</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gridSpan w:val="12"/>
          </w:tcPr>
          <w:p>
            <w:pPr>
              <w:jc w:val="center"/>
              <w:ind w:right="6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gridSpan w:val="12"/>
          </w:tcPr>
          <w:p>
            <w:pPr>
              <w:jc w:val="center"/>
              <w:ind w:right="6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0" w:type="dxa"/>
            <w:vAlign w:val="bottom"/>
            <w:gridSpan w:val="8"/>
          </w:tcPr>
          <w:p>
            <w:pPr>
              <w:jc w:val="center"/>
              <w:ind w:right="2210"/>
              <w:spacing w:after="0"/>
              <w:rPr>
                <w:sz w:val="20"/>
                <w:szCs w:val="20"/>
                <w:color w:val="auto"/>
              </w:rPr>
            </w:pPr>
            <w:r>
              <w:rPr>
                <w:rFonts w:ascii="Arial" w:cs="Arial" w:eastAsia="Arial" w:hAnsi="Arial"/>
                <w:sz w:val="18"/>
                <w:szCs w:val="18"/>
                <w:b w:val="1"/>
                <w:bCs w:val="1"/>
                <w:color w:val="auto"/>
                <w:w w:val="91"/>
              </w:rPr>
              <w:t>(unaudited)</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1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160" w:type="dxa"/>
            <w:vAlign w:val="bottom"/>
            <w:gridSpan w:val="5"/>
          </w:tcPr>
          <w:p>
            <w:pPr>
              <w:spacing w:after="0"/>
              <w:rPr>
                <w:sz w:val="20"/>
                <w:szCs w:val="20"/>
                <w:color w:val="auto"/>
              </w:rPr>
            </w:pPr>
            <w:r>
              <w:rPr>
                <w:rFonts w:ascii="Arial" w:cs="Arial" w:eastAsia="Arial" w:hAnsi="Arial"/>
                <w:sz w:val="18"/>
                <w:szCs w:val="18"/>
                <w:color w:val="auto"/>
                <w:w w:val="93"/>
              </w:rPr>
              <w:t>Current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940" w:type="dxa"/>
            <w:vAlign w:val="bottom"/>
            <w:gridSpan w:val="1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34,797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19,145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tcPr>
          <w:p>
            <w:pPr>
              <w:ind w:left="180"/>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32,369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21,355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shd w:val="clear" w:color="auto" w:fill="CCEEFF"/>
          </w:tcPr>
          <w:p>
            <w:pPr>
              <w:ind w:left="180"/>
              <w:spacing w:after="0"/>
              <w:rPr>
                <w:sz w:val="20"/>
                <w:szCs w:val="20"/>
                <w:color w:val="auto"/>
              </w:rPr>
            </w:pPr>
            <w:r>
              <w:rPr>
                <w:rFonts w:ascii="Arial" w:cs="Arial" w:eastAsia="Arial" w:hAnsi="Arial"/>
                <w:sz w:val="18"/>
                <w:szCs w:val="18"/>
                <w:color w:val="auto"/>
                <w:w w:val="99"/>
              </w:rPr>
              <w:t>Prepaid expenses and other current assets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20" w:type="dxa"/>
            <w:vAlign w:val="bottom"/>
            <w:gridSpan w:val="15"/>
          </w:tcPr>
          <w:p>
            <w:pPr>
              <w:ind w:left="360"/>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67,947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41,207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3620" w:type="dxa"/>
            <w:vAlign w:val="bottom"/>
            <w:tcBorders>
              <w:bottom w:val="single" w:sz="8" w:color="CCEEFF"/>
            </w:tcBorders>
            <w:gridSpan w:val="15"/>
          </w:tcPr>
          <w:p>
            <w:pPr>
              <w:ind w:left="36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68,067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41,210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3620" w:type="dxa"/>
            <w:vAlign w:val="bottom"/>
            <w:gridSpan w:val="1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620" w:type="dxa"/>
            <w:vAlign w:val="bottom"/>
            <w:gridSpan w:val="15"/>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940" w:type="dxa"/>
            <w:vAlign w:val="bottom"/>
            <w:gridSpan w:val="1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20" w:type="dxa"/>
            <w:vAlign w:val="bottom"/>
            <w:tcBorders>
              <w:top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20" w:type="dxa"/>
            <w:vAlign w:val="bottom"/>
            <w:tcBorders>
              <w:bottom w:val="single" w:sz="8" w:color="CCEEFF"/>
            </w:tcBorders>
            <w:gridSpan w:val="15"/>
          </w:tcPr>
          <w:p>
            <w:pPr>
              <w:ind w:left="36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62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8560" w:type="dxa"/>
            <w:vAlign w:val="bottom"/>
            <w:gridSpan w:val="27"/>
          </w:tcPr>
          <w:p>
            <w:pPr>
              <w:ind w:left="36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June 30, 2017 and</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5"/>
          </w:tcPr>
          <w:p>
            <w:pPr>
              <w:spacing w:after="0"/>
              <w:rPr>
                <w:sz w:val="20"/>
                <w:szCs w:val="20"/>
                <w:color w:val="auto"/>
              </w:rPr>
            </w:pPr>
            <w:r>
              <w:rPr>
                <w:rFonts w:ascii="Arial" w:cs="Arial" w:eastAsia="Arial" w:hAnsi="Arial"/>
                <w:sz w:val="18"/>
                <w:szCs w:val="18"/>
                <w:color w:val="auto"/>
              </w:rPr>
              <w:t>December 31, 2016; 1,969,797 and no shares issued and outstanding at June 30, 2017 and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gridSpan w:val="13"/>
          </w:tcPr>
          <w:p>
            <w:pPr>
              <w:spacing w:after="0"/>
              <w:rPr>
                <w:sz w:val="20"/>
                <w:szCs w:val="20"/>
                <w:color w:val="auto"/>
              </w:rPr>
            </w:pPr>
            <w:r>
              <w:rPr>
                <w:rFonts w:ascii="Arial" w:cs="Arial" w:eastAsia="Arial" w:hAnsi="Arial"/>
                <w:sz w:val="18"/>
                <w:szCs w:val="18"/>
                <w:color w:val="auto"/>
              </w:rPr>
              <w:t>December 31, 2016, respectively</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8560" w:type="dxa"/>
            <w:vAlign w:val="bottom"/>
            <w:gridSpan w:val="27"/>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par value $0.0001 per share authorized: 200,000,000 at June 30, 2017 and December 31,</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2016, respectively; 12,495,705 and 11,951,866 shares issued and outstanding at June 30, 2017 and</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December 31, 2016, respectively</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620" w:type="dxa"/>
            <w:vAlign w:val="bottom"/>
            <w:gridSpan w:val="15"/>
          </w:tcPr>
          <w:p>
            <w:pPr>
              <w:ind w:left="180"/>
              <w:spacing w:after="0"/>
              <w:rPr>
                <w:sz w:val="20"/>
                <w:szCs w:val="20"/>
                <w:color w:val="auto"/>
              </w:rPr>
            </w:pPr>
            <w:r>
              <w:rPr>
                <w:rFonts w:ascii="Arial" w:cs="Arial" w:eastAsia="Arial" w:hAnsi="Arial"/>
                <w:sz w:val="18"/>
                <w:szCs w:val="18"/>
                <w:color w:val="auto"/>
              </w:rPr>
              <w:t>Additional paid-in-capital</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151,247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111,691</w:t>
            </w:r>
          </w:p>
        </w:tc>
        <w:tc>
          <w:tcPr>
            <w:tcW w:w="40" w:type="dxa"/>
            <w:vAlign w:val="bottom"/>
          </w:tcPr>
          <w:p>
            <w:pPr>
              <w:spacing w:after="0"/>
              <w:rPr>
                <w:sz w:val="18"/>
                <w:szCs w:val="18"/>
                <w:color w:val="auto"/>
              </w:rPr>
            </w:pPr>
          </w:p>
        </w:tc>
      </w:tr>
      <w:tr>
        <w:trPr>
          <w:trHeight w:val="216"/>
        </w:trPr>
        <w:tc>
          <w:tcPr>
            <w:tcW w:w="3620" w:type="dxa"/>
            <w:vAlign w:val="bottom"/>
            <w:gridSpan w:val="15"/>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15"/>
          </w:tcPr>
          <w:p>
            <w:pPr>
              <w:ind w:left="180"/>
              <w:spacing w:after="0"/>
              <w:rPr>
                <w:sz w:val="20"/>
                <w:szCs w:val="20"/>
                <w:color w:val="auto"/>
              </w:rPr>
            </w:pPr>
            <w:r>
              <w:rPr>
                <w:rFonts w:ascii="Arial" w:cs="Arial" w:eastAsia="Arial" w:hAnsi="Arial"/>
                <w:sz w:val="18"/>
                <w:szCs w:val="18"/>
                <w:color w:val="auto"/>
              </w:rPr>
              <w:t>Accumulated deficit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(89,653)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(75,307)</w:t>
            </w:r>
          </w:p>
        </w:tc>
        <w:tc>
          <w:tcPr>
            <w:tcW w:w="40" w:type="dxa"/>
            <w:vAlign w:val="bottom"/>
          </w:tcPr>
          <w:p>
            <w:pPr>
              <w:spacing w:after="0"/>
              <w:rPr>
                <w:sz w:val="18"/>
                <w:szCs w:val="18"/>
                <w:color w:val="auto"/>
              </w:rPr>
            </w:pPr>
          </w:p>
        </w:tc>
      </w:tr>
      <w:tr>
        <w:trPr>
          <w:trHeight w:val="210"/>
        </w:trPr>
        <w:tc>
          <w:tcPr>
            <w:tcW w:w="3620" w:type="dxa"/>
            <w:vAlign w:val="bottom"/>
            <w:tcBorders>
              <w:top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61,631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20" w:type="dxa"/>
            <w:vAlign w:val="bottom"/>
            <w:gridSpan w:val="15"/>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41,210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-5601335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-5601335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 w:name="page3"/>
    <w:bookmarkEnd w:id="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11,196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r>
      <w:tr>
        <w:trPr>
          <w:trHeight w:val="210"/>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(1,213)</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(8,347)</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tcPr>
          <w:p>
            <w:pPr>
              <w:spacing w:after="0"/>
              <w:rPr>
                <w:sz w:val="21"/>
                <w:szCs w:val="21"/>
                <w:color w:val="auto"/>
              </w:rPr>
            </w:pPr>
          </w:p>
        </w:tc>
      </w:tr>
      <w:tr>
        <w:trPr>
          <w:trHeight w:val="170"/>
        </w:trPr>
        <w:tc>
          <w:tcPr>
            <w:tcW w:w="4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(0.69)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(16.33)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weighted average number of common shares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12,039,005</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176,158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11,997,602</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176,158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(8,347)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gridSpan w:val="2"/>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available-for-sale securities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(8,375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PIK interest expense on convertible promissory notes payable — related parties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540"/>
              <w:spacing w:after="0"/>
              <w:rPr>
                <w:sz w:val="20"/>
                <w:szCs w:val="20"/>
                <w:color w:val="auto"/>
              </w:rPr>
            </w:pPr>
            <w:r>
              <w:rPr>
                <w:rFonts w:ascii="Arial" w:cs="Arial" w:eastAsia="Arial" w:hAnsi="Arial"/>
                <w:sz w:val="18"/>
                <w:szCs w:val="18"/>
                <w:color w:val="auto"/>
              </w:rPr>
              <w:t>Accounts receivable - related parties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r>
      <w:tr>
        <w:trPr>
          <w:trHeight w:val="216"/>
        </w:trPr>
        <w:tc>
          <w:tcPr>
            <w:tcW w:w="72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7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7200" w:type="dxa"/>
            <w:vAlign w:val="bottom"/>
          </w:tcPr>
          <w:p>
            <w:pPr>
              <w:ind w:left="540"/>
              <w:spacing w:after="0"/>
              <w:rPr>
                <w:sz w:val="20"/>
                <w:szCs w:val="20"/>
                <w:color w:val="auto"/>
              </w:rPr>
            </w:pPr>
            <w:r>
              <w:rPr>
                <w:rFonts w:ascii="Arial" w:cs="Arial" w:eastAsia="Arial" w:hAnsi="Arial"/>
                <w:sz w:val="18"/>
                <w:szCs w:val="18"/>
                <w:color w:val="auto"/>
              </w:rPr>
              <w:t>Accrued interest — related party</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0"/>
        </w:trPr>
        <w:tc>
          <w:tcPr>
            <w:tcW w:w="72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20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20,033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8"/>
        </w:trPr>
        <w:tc>
          <w:tcPr>
            <w:tcW w:w="7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68"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Proceeds from issuance of common and preferred stock, net of transaction costs</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38,278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convertible notes — related parties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increase in cash and cash equivalents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19,145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of related party advances payable for convertible notes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Related party debt restructuring</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6900" w:firstLine="8"/>
        <w:spacing w:after="0" w:line="503" w:lineRule="auto"/>
        <w:tabs>
          <w:tab w:leader="none" w:pos="7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and metabolic diseases. The Company’s lead compound, MGL-3196, is being advanced for non-alcoholic steatohepatitis (“NASH”), a liver disease that commonly affects people with metabolic diseases such as obesity and diabetes, and indications in dyslipidemia, particularly genetic dyslipidemias such as familial hypercholesterolemia (“FH”), including both homozygous and heterozygous forms of the disease. The Company initiated a Phase 2 study of MGL-3196 in NASH in October 2016. In February 2017, the Company initiated a Phase 2 study of MGL-3196 in patients with Heterozygous Familial Hypercholesterolemia (“HeFH”).</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Madrigal was originally incorporated as a private company (“Private Madrigal”) on August 19, 2011 and commenced operations in September 2011. On July 22, 2016, Private Madrigal completed a reverse merger (the “Merger”) into Synta Pharmaceuticals Corp. (“Synta”) (see Note 3). Upon the consummation of the Merger, the historical financial statements of Private Madrigal became the Company’s historical financial statements. Accordingly, the historical financial statements of Private Madrigal are included in the comparative prior periods. The Company, or Madrigal, as used in the accompanying notes to the unaudited condensed consolidated financial statements, refers to Private Madrigal prior to the completion of the Merger and Public Madrigal subsequent to the completion of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ended December 31, 2017 or any subsequent period. These unaudited condensed financial statements should be read in conjunction with the audited consolidated financial statements and the notes to those statements for the year ended December 31, 2016.</w:t>
      </w:r>
    </w:p>
    <w:p>
      <w:pPr>
        <w:spacing w:after="0" w:line="188" w:lineRule="exact"/>
        <w:rPr>
          <w:sz w:val="20"/>
          <w:szCs w:val="20"/>
          <w:color w:val="auto"/>
        </w:rPr>
      </w:pPr>
    </w:p>
    <w:p>
      <w:pPr>
        <w:ind w:right="7260" w:firstLine="8"/>
        <w:spacing w:after="0" w:line="503" w:lineRule="auto"/>
        <w:tabs>
          <w:tab w:leader="none" w:pos="76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w:t>
      </w:r>
    </w:p>
    <w:p>
      <w:pPr>
        <w:sectPr>
          <w:pgSz w:w="11900" w:h="16838" w:orient="portrait"/>
          <w:cols w:equalWidth="0" w:num="1">
            <w:col w:w="11420"/>
          </w:cols>
          <w:pgMar w:left="240" w:top="140" w:right="239" w:bottom="0" w:gutter="0" w:footer="0" w:header="0"/>
        </w:sectPr>
      </w:pPr>
    </w:p>
    <w:bookmarkStart w:id="4" w:name="page5"/>
    <w:bookmarkEnd w:id="4"/>
    <w:p>
      <w:pPr>
        <w:ind w:right="520"/>
        <w:spacing w:after="0" w:line="277" w:lineRule="auto"/>
        <w:rPr>
          <w:sz w:val="20"/>
          <w:szCs w:val="20"/>
          <w:color w:val="auto"/>
        </w:rPr>
      </w:pPr>
      <w:r>
        <w:rPr>
          <w:rFonts w:ascii="Arial" w:cs="Arial" w:eastAsia="Arial" w:hAnsi="Arial"/>
          <w:sz w:val="18"/>
          <w:szCs w:val="18"/>
          <w:color w:val="auto"/>
        </w:rPr>
        <w:t>Company invests in money market funds and high-grade, short-term commercial paper and corporate bonds, which management believes are subject to minimal credit and market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and six months ended June 30, 2017 and 2016, the Company determined it did not have any securities that were other-than-temporarily impaired.</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and six months ended June 30, 2017 and 2016, the Company did not have any realized gains or losses on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June 30, 2017, the Company’s financial assets valued based on Level 1 inputs consisted of cash and cash equivalents in a money market fund and its financial assets valued based on Level 2 inputs consisted of high-grade corporate bonds and commercial paper. During the three and six months ended June 30, 2017 and 2016, the Company did not have any transfers of financial assets between Levels 1 and 2. As of June 30, 2017, the Company did not have any financial liabilities that were recorded at fair value on a recurring basis on the balance sheet.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and conducted Phase 1 &amp; 2 clinical trials, all of which are considered research and development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ectPr>
          <w:pgSz w:w="11900" w:h="16838" w:orient="portrait"/>
          <w:cols w:equalWidth="0" w:num="1">
            <w:col w:w="11420"/>
          </w:cols>
          <w:pgMar w:left="240" w:top="125" w:right="239" w:bottom="0" w:gutter="0" w:footer="0" w:header="0"/>
        </w:sectPr>
      </w:pPr>
    </w:p>
    <w:bookmarkStart w:id="5" w:name="page6"/>
    <w:bookmarkEnd w:id="5"/>
    <w:p>
      <w:pPr>
        <w:ind w:right="18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and six months ended June 30, 2017 and 2016, diluted net loss per share is the same as basic net loss per share as the inclusion of weighted average shares of unvested restricted common stock and common stock issuable upon the exercise of stock options would be anti-dilutive.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184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976,711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2620" w:type="dxa"/>
            <w:vAlign w:val="bottom"/>
            <w:gridSpan w:val="3"/>
          </w:tcPr>
          <w:p>
            <w:pPr>
              <w:jc w:val="right"/>
              <w:ind w:right="280"/>
              <w:spacing w:after="0"/>
              <w:rPr>
                <w:sz w:val="20"/>
                <w:szCs w:val="20"/>
                <w:color w:val="auto"/>
              </w:rPr>
            </w:pPr>
            <w:r>
              <w:rPr>
                <w:rFonts w:ascii="Arial" w:cs="Arial" w:eastAsia="Arial" w:hAnsi="Arial"/>
                <w:sz w:val="18"/>
                <w:szCs w:val="18"/>
                <w:color w:val="auto"/>
              </w:rPr>
              <w:t>157,262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1,969,797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Conversion option on promissory notes — related parties</w:t>
            </w:r>
          </w:p>
        </w:tc>
        <w:tc>
          <w:tcPr>
            <w:tcW w:w="1000" w:type="dxa"/>
            <w:vAlign w:val="bottom"/>
          </w:tcPr>
          <w:p>
            <w:pPr>
              <w:spacing w:after="0"/>
              <w:rPr>
                <w:sz w:val="20"/>
                <w:szCs w:val="20"/>
                <w:color w:val="auto"/>
              </w:rPr>
            </w:pP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512,160</w:t>
            </w:r>
          </w:p>
        </w:tc>
        <w:tc>
          <w:tcPr>
            <w:tcW w:w="184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9</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4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March 2016, the Financial Accounting Standards Board (the “FASB”) issued Accounting Standards Update (“ASU”) No. 2016-09, “Compensation—Stock Compensation (Topic 718): Improvements to Employee Share-Based Payment Accounting,” which was designed to simplify several aspects of the accounting for share-based payment transactions, including, among other things, guidance related to accounting for income taxes, modification of the criteria for classification of awards as either equity awards or liability awards where an employer withholds shares from an employee’s share-based award for tax withholding purposes, and classification on the statement of cash flows of cash payments to a tax authority by an employer that withholds shares from an employee’s award for tax withholding purposes. The amendments in this ASU are effective for annual periods beginning after December 15, 2016, and interim periods within those annual periods. The Company adopted ASU No. 2016-09 effective January 1, 2017. There was no significant impact from the adoption of ASU No. 2016-09 because the Company currently maintains a 100% valuation allowance on its deferred tax assets.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2015-16 provides that the amendments in the update should be applied retrospectively to all periods presented, unless deemed impracticable, in which case, prospective application is permitted. The Company is currently evaluating the impact this standard may have on its financial statements.</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current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this standard may have on its financial statements.</w:t>
      </w:r>
    </w:p>
    <w:p>
      <w:pPr>
        <w:spacing w:after="0" w:line="178"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Reverse Merger</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July 22, 2016, the Company, Synta and Saffron Merger Sub, Inc., a wholly-owned subsidiary of Synta (“Merger Sub”), completed their merger transaction pursuant to which Merger Sub merged with and into the Company with the Company becoming a wholly-owned subsidiary of Synta and the surviving corporation of the Merger. Each outstanding share of Private Madrigal common stock was converted into 0.1593 shares of common stock of the post-merger combined company. As a result, Synta issued 7.3 million shares of common stock to the stockholders of Private Madrigal in exchange for the outstanding common shares of Private Madrigal. For accounting purposes, the Company was considered to have acquired Synta in the Merger. The Company was determined to be the accounting acquirer based upon the terms of the Merger Agreement and other factors including: (i) Madrigal security holders owned approximately 64% of the voting interests of the combined company immediately following the closing of the Merger; (ii) directors appointed by Madrigal hold a majority of board seats in the combined company; and (iii) Madrigal management hold a majority of the key positions in the management of the combined company. As the accounting acquirer, the Company’s assets and liabilities continue to be recorded at their historical carrying amounts and the historical operations that are reflected in the financial statements are those of the Company.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Immediately prior to the closing of the Merger, Synta completed a one-for-35 reverse stock split. Following the reverse stock split and the Merger, the post-merger combined company had approximately 11.3 million shares outstanding and the former stockholders of the Company owned approximately 64% of the outstanding capital stock of the post-merger combined company. The impact of the recapitalization of the Company has been retroactively applied to all periods presented.</w:t>
      </w:r>
    </w:p>
    <w:p>
      <w:pPr>
        <w:spacing w:after="0" w:line="183" w:lineRule="exact"/>
        <w:rPr>
          <w:sz w:val="20"/>
          <w:szCs w:val="20"/>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Uncertainties</w:t>
      </w:r>
    </w:p>
    <w:p>
      <w:pPr>
        <w:sectPr>
          <w:pgSz w:w="11900" w:h="16838" w:orient="portrait"/>
          <w:cols w:equalWidth="0" w:num="1">
            <w:col w:w="11460"/>
          </w:cols>
          <w:pgMar w:left="240" w:top="341" w:right="199" w:bottom="0" w:gutter="0" w:footer="0" w:header="0"/>
        </w:sectPr>
      </w:pPr>
    </w:p>
    <w:bookmarkStart w:id="6" w:name="page7"/>
    <w:bookmarkEnd w:id="6"/>
    <w:p>
      <w:pPr>
        <w:ind w:right="36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has incurred losses since inception, including approximately $14.3 million for the six months ended June 30, 2017, resulting in an accumulated deficit of approximately $89.7 million as of June 30, 2017. Management expects to incur losses for the foreseeable future. Subsequent to the reverse merger, the Company has funded its operations primarily through proceeds from sales of the Company’s common stock under the October 2015 Sales Agreement (as defined below), and the sale of the Company’s Series A Convertible Preferred Stock and common stock in a private placement offering.</w:t>
      </w:r>
    </w:p>
    <w:p>
      <w:pPr>
        <w:spacing w:after="0" w:line="15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June 30, 2017 will be sufficient to fund operations past one year from the issuance of these financial statements. To meet its future capital needs beyond our assessment period, the Company will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also has the ability to delay certain research activities and related clinical expenses if necessary due to liquidity concerns until a date in which those concerns are relieved.</w:t>
      </w:r>
    </w:p>
    <w:p>
      <w:pPr>
        <w:spacing w:after="0" w:line="161" w:lineRule="exact"/>
        <w:rPr>
          <w:sz w:val="20"/>
          <w:szCs w:val="20"/>
          <w:color w:val="auto"/>
        </w:rPr>
      </w:pPr>
    </w:p>
    <w:p>
      <w:pPr>
        <w:ind w:left="780" w:hanging="772"/>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Marketable Securities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June 30, 2017 and December 31, 2016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left="264"/>
              <w:spacing w:after="0" w:line="119" w:lineRule="exact"/>
              <w:rPr>
                <w:sz w:val="20"/>
                <w:szCs w:val="20"/>
                <w:color w:val="auto"/>
              </w:rPr>
            </w:pPr>
            <w:r>
              <w:rPr>
                <w:rFonts w:ascii="Arial" w:cs="Arial" w:eastAsia="Arial" w:hAnsi="Arial"/>
                <w:sz w:val="13"/>
                <w:szCs w:val="13"/>
                <w:b w:val="1"/>
                <w:bCs w:val="1"/>
                <w:color w:val="auto"/>
              </w:rPr>
              <w:t>Unrealized</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left="180"/>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left="244"/>
              <w:spacing w:after="0"/>
              <w:rPr>
                <w:sz w:val="20"/>
                <w:szCs w:val="20"/>
                <w:color w:val="auto"/>
              </w:rPr>
            </w:pPr>
            <w:r>
              <w:rPr>
                <w:rFonts w:ascii="Arial" w:cs="Arial" w:eastAsia="Arial" w:hAnsi="Arial"/>
                <w:sz w:val="14"/>
                <w:szCs w:val="14"/>
                <w:b w:val="1"/>
                <w:bCs w:val="1"/>
                <w:color w:val="auto"/>
                <w:w w:val="87"/>
              </w:rPr>
              <w:t>gains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left="160"/>
              <w:spacing w:after="0"/>
              <w:rPr>
                <w:sz w:val="20"/>
                <w:szCs w:val="20"/>
                <w:color w:val="auto"/>
              </w:rPr>
            </w:pPr>
            <w:r>
              <w:rPr>
                <w:rFonts w:ascii="Arial" w:cs="Arial" w:eastAsia="Arial" w:hAnsi="Arial"/>
                <w:sz w:val="14"/>
                <w:szCs w:val="14"/>
                <w:b w:val="1"/>
                <w:bCs w:val="1"/>
                <w:color w:val="auto"/>
                <w:w w:val="77"/>
              </w:rPr>
              <w:t>losses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(Level 1)</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3,887</w:t>
            </w:r>
          </w:p>
        </w:tc>
        <w:tc>
          <w:tcPr>
            <w:tcW w:w="118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30,910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34,797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year of date of</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8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32,333</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36</w:t>
            </w:r>
          </w:p>
        </w:tc>
        <w:tc>
          <w:tcPr>
            <w:tcW w:w="110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32,369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67,130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left="264"/>
              <w:spacing w:after="0" w:line="119" w:lineRule="exact"/>
              <w:rPr>
                <w:sz w:val="20"/>
                <w:szCs w:val="20"/>
                <w:color w:val="auto"/>
              </w:rPr>
            </w:pPr>
            <w:r>
              <w:rPr>
                <w:rFonts w:ascii="Arial" w:cs="Arial" w:eastAsia="Arial" w:hAnsi="Arial"/>
                <w:sz w:val="13"/>
                <w:szCs w:val="13"/>
                <w:b w:val="1"/>
                <w:bCs w:val="1"/>
                <w:color w:val="auto"/>
              </w:rPr>
              <w:t>Unrealized</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left="180"/>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left="244"/>
              <w:spacing w:after="0"/>
              <w:rPr>
                <w:sz w:val="20"/>
                <w:szCs w:val="20"/>
                <w:color w:val="auto"/>
              </w:rPr>
            </w:pPr>
            <w:r>
              <w:rPr>
                <w:rFonts w:ascii="Arial" w:cs="Arial" w:eastAsia="Arial" w:hAnsi="Arial"/>
                <w:sz w:val="14"/>
                <w:szCs w:val="14"/>
                <w:b w:val="1"/>
                <w:bCs w:val="1"/>
                <w:color w:val="auto"/>
                <w:w w:val="87"/>
              </w:rPr>
              <w:t>gains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left="160"/>
              <w:spacing w:after="0"/>
              <w:rPr>
                <w:sz w:val="20"/>
                <w:szCs w:val="20"/>
                <w:color w:val="auto"/>
              </w:rPr>
            </w:pPr>
            <w:r>
              <w:rPr>
                <w:rFonts w:ascii="Arial" w:cs="Arial" w:eastAsia="Arial" w:hAnsi="Arial"/>
                <w:sz w:val="14"/>
                <w:szCs w:val="14"/>
                <w:b w:val="1"/>
                <w:bCs w:val="1"/>
                <w:color w:val="auto"/>
                <w:w w:val="77"/>
              </w:rPr>
              <w:t>losses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(Level 1)</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5,651</w:t>
            </w:r>
          </w:p>
        </w:tc>
        <w:tc>
          <w:tcPr>
            <w:tcW w:w="118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13,494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19,145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year of date of</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8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21,330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25</w:t>
            </w:r>
          </w:p>
        </w:tc>
        <w:tc>
          <w:tcPr>
            <w:tcW w:w="110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21,355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40,475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80" w:hanging="772"/>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 — Related Parties</w:t>
      </w:r>
    </w:p>
    <w:p>
      <w:pPr>
        <w:spacing w:after="0" w:line="229" w:lineRule="exact"/>
        <w:rPr>
          <w:sz w:val="20"/>
          <w:szCs w:val="20"/>
          <w:color w:val="auto"/>
        </w:rPr>
      </w:pPr>
    </w:p>
    <w:p>
      <w:pPr>
        <w:jc w:val="both"/>
        <w:ind w:right="900"/>
        <w:spacing w:after="0" w:line="264" w:lineRule="auto"/>
        <w:rPr>
          <w:sz w:val="20"/>
          <w:szCs w:val="20"/>
          <w:color w:val="auto"/>
        </w:rPr>
      </w:pPr>
      <w:r>
        <w:rPr>
          <w:rFonts w:ascii="Arial" w:cs="Arial" w:eastAsia="Arial" w:hAnsi="Arial"/>
          <w:sz w:val="18"/>
          <w:szCs w:val="18"/>
          <w:color w:val="auto"/>
        </w:rPr>
        <w:t>Prior to the Merger, the Company was financed via issuances of convertible promissory notes, designated as “the September 14, 2011 Notes”, “the September 16, 2011 Notes”, and “the March 1, 2016 Notes”, respectively (collectively “the Notes”). The Notes accrued interest at 8% per annum, compounded monthly, and were collateralized by all assets of the Company.</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April 13, 2016, in connection with execution of the Merger Agreement, the Notes were amended and restated, primarily to provide for mandatory conversion upon completion of the Merger. On that same date, the lenders collectively waived all accrued and unpaid interest under all of the convertible notes. The total accrued and waived interest amounted to $13,680,000. The lenders also agreed that no additional interest on these notes would be accrued through the date on which the Merger was consummated or terminated. Also on April 13, 2016, the Company reduced the convertible notes payable by the waived accrued interest less $2,456,000 of accrued interest for the period April 14, 2016 through the maturity date of December 31, 2016, as required under Troubled Debt Restructuring accounting guidance. The net waived interest of $11,224,000 was recorded as an increase in Additional Paid in Capital (“APIC”) at the time of the amendment, as the notes were held by related parties. The remaining $2,456,000 of accrued interest was recorded as an increase in APIC upon conversion at the Merger.</w:t>
      </w:r>
    </w:p>
    <w:p>
      <w:pPr>
        <w:spacing w:after="0" w:line="19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During the period March 1, 2016 through the Merger, the lenders provided convertible promissory note financing of $8,500,000 in cash. Additionally, on April 13, 2016, one of the lenders exchanged $500,000 of Advances Payable for an equal amount of convertible promissory notes.</w:t>
      </w:r>
    </w:p>
    <w:p>
      <w:pPr>
        <w:sectPr>
          <w:pgSz w:w="11900" w:h="16838" w:orient="portrait"/>
          <w:cols w:equalWidth="0" w:num="1">
            <w:col w:w="11460"/>
          </w:cols>
          <w:pgMar w:left="240" w:top="341" w:right="199" w:bottom="0" w:gutter="0" w:footer="0" w:header="0"/>
        </w:sectPr>
      </w:pPr>
    </w:p>
    <w:bookmarkStart w:id="7" w:name="page8"/>
    <w:bookmarkEnd w:id="7"/>
    <w:p>
      <w:pPr>
        <w:spacing w:after="0" w:line="62" w:lineRule="exact"/>
        <w:rPr>
          <w:sz w:val="20"/>
          <w:szCs w:val="20"/>
          <w:color w:val="auto"/>
        </w:rPr>
      </w:pPr>
    </w:p>
    <w:p>
      <w:pPr>
        <w:ind w:right="8300" w:firstLine="8"/>
        <w:spacing w:after="0" w:line="503" w:lineRule="auto"/>
        <w:tabs>
          <w:tab w:leader="none" w:pos="81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 $100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2017, 597,256 shares have been sold to-date under the October 2015 Sales Agreement for an aggregate of approximately $9.6 million in gross proceeds. Net proceeds to the Company were approximately $9.4 million after deducting commissions and other transactions costs. Of those shares sold, 215,539 were sold in 2017 for an aggregate of approximately $3.5 million in gross proceeds, and $3.4 million in net proceeds. Approximately $90.4 million remained reserved under the Company’s shelf registration statement and the applicable prospectus supplement for possible future issuance under the October 2015 Sales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Offering and its Series A Convertible Preferred Stock</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“Offering”). Under the terms of the Offering, the Company sold 328,300 shares of its common stock at a price of $15.23 per share, and 1,969,797 shares of its Series A Convertible Preferred Stock (the “Series A Preferred Stock”) at a price of $15.23 per share. The Offering resulted in gross proceeds to the Company of approximately $35.0 million, and net proceeds to the Company of approximately $34.9 million. The Offering closed on June 23, 2017.</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Secretary of State of the State of Delaware on June 21, 2017. Each share of the Series A Preferred Stock is convertible into shares of the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88"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2015, upon obtaining stockholder approval at its annual shareholder meeting, the Company implemented its new 2015 Stock Plan. The 2015 Stock Plan replaced the 2006 Stock Plan which was terminated upon adoption of the 2015 Stock Plan. Shares of common stock reserved for outstanding awards under the 2006 Stock Plan that lapse or are canceled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 stock on the date of grant and expire no later than ten years from the date the option is granted. As of June 30, 2017, the Company had options outstanding to purchase 976,711 shares of its common stock, which includes options outstanding under its 2006 Stock Plan that was terminated in June 2015. As of June 30, 2017, 1,458,561 shares were available for future issuance under the 2015 Stock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192,700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Options cancelled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63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976,711</w:t>
            </w:r>
          </w:p>
        </w:tc>
        <w:tc>
          <w:tcPr>
            <w:tcW w:w="8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June 30, 2017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line="20" w:lineRule="exact"/>
              <w:rPr>
                <w:sz w:val="1"/>
                <w:szCs w:val="1"/>
                <w:color w:val="auto"/>
              </w:rPr>
            </w:pPr>
          </w:p>
        </w:tc>
      </w:tr>
      <w:tr>
        <w:trPr>
          <w:trHeight w:val="211"/>
        </w:trPr>
        <w:tc>
          <w:tcPr>
            <w:tcW w:w="63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153,088</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total cash received by the Company as a result of stock option exercises was $0 in each of the six months ended June 30, 2017 and 2016. The weighted-average grant date fair values, based on the Black-Scholes option model, of options granted during the six months ended June 30, 2017 was $12.68.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157,262 unvested restricted shares outstanding at a weighted average grant date fair value of $10.06 at June 30, 2017 and December 31,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during the three and six months ended June 30, 2017 and 2016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Six Months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w w:val="93"/>
              </w:rPr>
              <w:t>Ended 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54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527</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5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508</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Unrecognized stock-based compensation expense as of June 30, 2017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Unrecognized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stock</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Restricted stock</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500" w:firstLine="8"/>
        <w:spacing w:after="0" w:line="566" w:lineRule="auto"/>
        <w:tabs>
          <w:tab w:leader="none" w:pos="81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Related party financing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Certain related party lenders provided financing to the Company prior to the Merger, which was subsequently converted to equity at the time of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2016, the Company incurred approximately $1.2 million of interest expense to related party lenders.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Prior to the Merger, the Company had a consulting agreement with its former Chief Executive Officer, who is also a stockholder of the Company. For the six months ended June 30, 2016, the Company paid $83 thousand pursuant to this agreement. On July 22, 2016, the consulting agreement was replaced by an employment agreement for the position of Chief Medical Officer, Executive Vice President, Research and Development, upon the completion of the Merger.</w:t>
      </w:r>
    </w:p>
    <w:p>
      <w:pPr>
        <w:spacing w:after="0" w:line="143" w:lineRule="exact"/>
        <w:rPr>
          <w:sz w:val="20"/>
          <w:szCs w:val="20"/>
          <w:color w:val="auto"/>
        </w:rPr>
      </w:pPr>
    </w:p>
    <w:p>
      <w:pPr>
        <w:ind w:left="900" w:hanging="892"/>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quarters ended June 30, 2017 and 2016.</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2017, the Company has entered into several customary contractual arrangements and letters of intent in preparation for and in support of the Phase 2 clinical trials.</w:t>
      </w:r>
    </w:p>
    <w:p>
      <w:pPr>
        <w:sectPr>
          <w:pgSz w:w="11900" w:h="16838" w:orient="portrait"/>
          <w:cols w:equalWidth="0" w:num="1">
            <w:col w:w="11420"/>
          </w:cols>
          <w:pgMar w:left="240" w:top="140" w:right="239" w:bottom="217"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17" w:gutter="0" w:footer="0" w:header="0"/>
          <w:type w:val="continuous"/>
        </w:sectPr>
      </w:pPr>
    </w:p>
    <w:bookmarkStart w:id="9" w:name="page10"/>
    <w:bookmarkEnd w:id="9"/>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are based on our beliefs and assumptions and on information currently available to us. Forward-looking statements include information concerning our expectations for the timing of clinical study results, and the timing and success of future development of MGL-3196, our possible or assumed future results of operations and expenses, business strategies and plans, capital needs and financing plans, trends, market sizing, competitive position, industry environment and potential growth opportunities, among other things. Forward-looking statements include all statements that are not historical facts and, in some cases, can be identified by terms such as “anticipates,” “believes,” “could,” “estimates,” “expects,” “intends,” “may,” “plans,” “potential,” “predicts,” “projects,” “seeks,” “should,” “will,” “would” or similar expressions and the negatives of those terms.</w:t>
      </w:r>
    </w:p>
    <w:p>
      <w:pPr>
        <w:spacing w:after="0" w:line="18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2016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sections entitled “Risk Factors” included elsewhere in this report. Our operating results are not necessarily indicative of results that may occur for the full fiscal year or any other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 ß, or THR-ß, agonist that can potentially be used to treat a number of disease states with high unmet medical need. We are developing MGL-3196 for non-alcoholic steatohepatitis, or NASH, and we have initiated a Phase 2 clinical trial in this indication. We are also developing MGL-3196 for dyslipidemia, particularly genetic dyslipidemias such as familial hypercholesterolemia, or FH, including both homozygous and heterozygous forms of the disease. We have initiated a Phase 2 clinical trial in heterozygous FH, or HeFH, patients and we are planning to conduct a proof-of-concept clinical trial in homozygous FH patients. MGL-3196 is a once-daily oral pill that has been studied in four completed Phase 1 trials in a total of 129 subjects. MGL-3196 appeared to be safe and well-tolerated in these trials, which included a single ascending dose trial, a multiple ascending dose trial, and two drug interaction trials with statins.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June 20, 2017, we entered into a Securities Purchase Agreement, or the Purchase Agreement, with a group of institutional accredited investors, who are existing, non-controlling stockholders of our company, or the Investors, pursuant to which, on June 23, 2017, we sold 328,300 shares of our common stock at a price of $15.23 per share, and 1,969,797 shares of our Series A Convertible Preferred Stock, or the Series A Preferred Stock, at a price of $15.23 per share, to the Investors for an aggregate offering price of approximately $35.0 million. The Series A Preferred Stock is convertible into shares of our common stock at a one-to-one ratio, subject to adjustment as provided in the Purchase Agreement. The Offering resulted in gross proceeds to us of approximately $35.0 million, before deducting estimated offering expenses payable by us, and net proceeds to us of approximately $34.9 million. The issuance and sale of the securities in the Offering was made pursuant to an exemption from the registration requirements of the Securities Act provided by Section 4(a)(2) thereof and Regulation D promulgated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25" w:lineRule="exact"/>
        <w:rPr>
          <w:sz w:val="20"/>
          <w:szCs w:val="20"/>
          <w:color w:val="auto"/>
        </w:rPr>
      </w:pPr>
    </w:p>
    <w:p>
      <w:pPr>
        <w:ind w:left="900" w:right="140" w:hanging="244"/>
        <w:spacing w:after="0" w:line="277" w:lineRule="auto"/>
        <w:tabs>
          <w:tab w:leader="none" w:pos="8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ectPr>
          <w:pgSz w:w="11900" w:h="16861" w:orient="portrait"/>
          <w:cols w:equalWidth="0" w:num="1">
            <w:col w:w="11400"/>
          </w:cols>
          <w:pgMar w:left="240" w:top="125" w:right="259" w:bottom="0" w:gutter="0" w:footer="0" w:header="0"/>
        </w:sectPr>
      </w:pPr>
    </w:p>
    <w:bookmarkStart w:id="10" w:name="page11"/>
    <w:bookmarkEnd w:id="10"/>
    <w:p>
      <w:pPr>
        <w:ind w:left="860" w:hanging="204"/>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expenses related to development and production of nonclinical and clinical trial supplies, including fees paid to contract manufacturers;</w:t>
      </w:r>
    </w:p>
    <w:p>
      <w:pPr>
        <w:spacing w:after="0" w:line="34" w:lineRule="exact"/>
        <w:rPr>
          <w:rFonts w:ascii="Arial" w:cs="Arial" w:eastAsia="Arial" w:hAnsi="Arial"/>
          <w:sz w:val="17"/>
          <w:szCs w:val="17"/>
          <w:color w:val="auto"/>
        </w:rPr>
      </w:pPr>
    </w:p>
    <w:p>
      <w:pPr>
        <w:ind w:left="860" w:hanging="20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60" w:hanging="20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to continue to incur substantial expenses related to our development activities for the foreseeable future as we conduct our Phase 2 clinical program, manufacturing and toxicology studies. Product candidates in later stages of clinical development generally have higher development costs than those in earlier stages of clinical development, due primarily to the increased size and duration of later-stage clinical trials, additional drug manufacturing requirements, and later stage toxicology studies such as carcinogenicity studies. Our research and development expenses increased between 2016 and 2017,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General and administrative expenses consist primarily of management costs, costs associated with obtaining and maintaining our patent portfolio, professional fees for accounting, auditing, consulting and legal services, and allocated overhead expenses.</w:t>
      </w:r>
    </w:p>
    <w:p>
      <w:pPr>
        <w:spacing w:after="0" w:line="17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U.S. Securities and Exchange Commission, or SEC, requirements. We expect these potential increases will likely include management costs, legal fees, accounting fees, directors’ and officers’ liability insurance premiums and expenses associated with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significant and material changes in our critical accounting policies and significant judgments and estimates during the six months ended</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June 30, 2017, as compared to those disclosed in our Annual Report on Form 10-K for the fiscal year ended December 31, 2016 filed with the SEC on March 31, 2017.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three months ended June 30, 2017 and 2016:</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160" w:type="dxa"/>
            <w:vAlign w:val="bottom"/>
            <w:gridSpan w:val="5"/>
          </w:tcPr>
          <w:p>
            <w:pPr>
              <w:jc w:val="right"/>
              <w:ind w:right="14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0"/>
              </w:rPr>
              <w:t>Increase / Decrease</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2160" w:type="dxa"/>
            <w:vAlign w:val="bottom"/>
            <w:gridSpan w:val="5"/>
          </w:tcPr>
          <w:p>
            <w:pPr>
              <w:jc w:val="right"/>
              <w:ind w:right="125"/>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6,816</w:t>
            </w:r>
          </w:p>
        </w:tc>
        <w:tc>
          <w:tcPr>
            <w:tcW w:w="820" w:type="dxa"/>
            <w:vAlign w:val="bottom"/>
            <w:gridSpan w:val="2"/>
            <w:shd w:val="clear" w:color="auto" w:fill="CCEEFF"/>
          </w:tcPr>
          <w:p>
            <w:pPr>
              <w:jc w:val="right"/>
              <w:ind w:right="54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2,088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4,728</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1,623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1,072</w:t>
            </w: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740" w:type="dxa"/>
            <w:vAlign w:val="bottom"/>
            <w:tcBorders>
              <w:top w:val="single" w:sz="8" w:color="auto"/>
            </w:tcBorders>
          </w:tcPr>
          <w:p>
            <w:pPr>
              <w:jc w:val="right"/>
              <w:ind w:right="56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2,877</w:t>
            </w:r>
          </w:p>
        </w:tc>
        <w:tc>
          <w:tcPr>
            <w:tcW w:w="2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ectPr>
          <w:pgSz w:w="11900" w:h="16838" w:orient="portrait"/>
          <w:cols w:equalWidth="0" w:num="1">
            <w:col w:w="11420"/>
          </w:cols>
          <w:pgMar w:left="240" w:top="125" w:right="239" w:bottom="0" w:gutter="0" w:footer="0" w:header="0"/>
        </w:sectPr>
      </w:pPr>
    </w:p>
    <w:bookmarkStart w:id="11" w:name="page12"/>
    <w:bookmarkEnd w:id="11"/>
    <w:p>
      <w:pPr>
        <w:ind w:right="20"/>
        <w:spacing w:after="0" w:line="293" w:lineRule="auto"/>
        <w:rPr>
          <w:sz w:val="20"/>
          <w:szCs w:val="20"/>
          <w:color w:val="auto"/>
        </w:rPr>
      </w:pPr>
      <w:r>
        <w:rPr>
          <w:rFonts w:ascii="Arial" w:cs="Arial" w:eastAsia="Arial" w:hAnsi="Arial"/>
          <w:sz w:val="16"/>
          <w:szCs w:val="16"/>
          <w:color w:val="auto"/>
        </w:rPr>
        <w:t>Our research and development expenses were $6.8 million for the three months ended June 30, 2017 compared to $2.1 million for the same period in 2016. Research and development expenses increased by $4.7 million in the 2017 period due primarily to expenses incurred to conduct and support the two Phase 2 studies for MGL-3196, which commenced in the fourth quarter of 2016 and the first quarter of 2017, respectively. Our increased research and development expenses include a $3.7 million increase in contract research organization costs directly associated with the two Phase 2 studies. These increases also include $0.6 million in compensation expenses related to employee hiring that occurred upon and following the consummation of the Merger. We expect our research and development expenses to increase over time as we advance our clinical and preclinical development programs for MGL-3196.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general and administrative expenses were $1.6 million for the three months ended June 30, 2017 compared to $0.6 million for the same period in 2016. General and administrative expenses increased by $1.1 million in the 2017 period due primarily to a $0.9 million increase in compensation expenses related to employee hiring that occurred upon and following consummation of the Merger. Additional increases in our general and administrative expenses resulted from expenses related to operating as a public company. We believe our general and administrative expenses may increase over time as we advance our technology into clinical programs and as a result of our obligations as a public reporting company, both of which will likely result in an increase in our headcount, consulting services, and certain overhead needed to support those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Income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net interest income was $0.1 million for the three months ended June 30, 2017, and our net interest expense was $0.2 million for the three months ended June 30, 2016. The decrease in interest expense was due primarily to the conversion of all outstanding promissory notes to equity upon the consummation of the Merger.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six months ended June 30, 2017 and 2016:</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Six Months Ended</w:t>
            </w:r>
          </w:p>
        </w:tc>
        <w:tc>
          <w:tcPr>
            <w:tcW w:w="18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0"/>
              </w:rPr>
              <w:t>Increase / Decrease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11,196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8,592</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3,318</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2,545</w:t>
            </w:r>
          </w:p>
        </w:tc>
        <w:tc>
          <w:tcPr>
            <w:tcW w:w="4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4"/>
        </w:trPr>
        <w:tc>
          <w:tcPr>
            <w:tcW w:w="3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research and development expenses were $11.2 million for the six months ended June 30, 2017 compared to $2.6 million for the same period in 2016. Research and development expenses increased by $8.6 million in the 2017 period due primarily to the expenses incurred to conduct and support the two Phase 2 studies for MGL-3196, which commenced in the fourth quarter of 2016 and the first quarter of 2017, respectively. Our increased research and development expenses include a $5.8 million increase in contract research organization costs directly associated with the two Phase 2 studies. These increases also include $1.2 million in compensation expenses related to employee hiring that occurred upon and following the consummation of the Merger. We expect our research and development expenses to increase over time as we advance our clinical and preclinical development programs for MGL-3196.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general and administrative expenses were $3.3 million for the six months ended June 30, 2017 compared to $0.8 million for the same period in 2016. General and administrative expenses increased by $2.5 million in the 2017 period due primarily to a $1.8 million increase in compensation expenses related to employee hiring that occurred upon and following consummation of the Merger. Additional increases in our general and administrative expenses resulted from expenses related to operating as a public company. We believe our general and administrative expenses may increase over time as we advance our technology into clinical programs and as a result of our obligations as a public reporting company, both of which will likely result in an increase in our headcount, consulting services and certain overhead needed to support those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Income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net interest income was $0.2 million for the six months ended June 30, 2017, and our net interest expense was $1.2 million for the six months ended June 30, 2016. The decrease in interest expense was due primarily to the conversion of all outstanding promissory notes to equity upon the consummation of the Merger.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50" w:gutter="0" w:footer="0" w:header="0"/>
        </w:sectPr>
      </w:pPr>
    </w:p>
    <w:bookmarkStart w:id="12" w:name="page13"/>
    <w:bookmarkEnd w:id="12"/>
    <w:p>
      <w:pPr>
        <w:jc w:val="both"/>
        <w:ind w:right="160"/>
        <w:spacing w:after="0" w:line="288" w:lineRule="auto"/>
        <w:rPr>
          <w:sz w:val="20"/>
          <w:szCs w:val="20"/>
          <w:color w:val="auto"/>
        </w:rPr>
      </w:pPr>
      <w:r>
        <w:rPr>
          <w:rFonts w:ascii="Arial" w:cs="Arial" w:eastAsia="Arial" w:hAnsi="Arial"/>
          <w:sz w:val="16"/>
          <w:szCs w:val="16"/>
          <w:color w:val="auto"/>
        </w:rPr>
        <w:t>As of June 30, 2017, we had cash, cash equivalents and marketable securities of $67.2 million. To date, our operations have been financed primarily by net proceeds from the issuance of convertible debt, the Merger with Synta, sales of our common stock under our at-the market issuance agreement with Cowen and Company, LLC, or the October 2015 Sales Agreement, and the sale of our preferred stock and common stock in a private placement offering in</w:t>
      </w:r>
    </w:p>
    <w:p>
      <w:pPr>
        <w:ind w:right="140"/>
        <w:spacing w:after="0" w:line="261" w:lineRule="auto"/>
        <w:rPr>
          <w:sz w:val="20"/>
          <w:szCs w:val="20"/>
          <w:color w:val="auto"/>
        </w:rPr>
      </w:pPr>
      <w:r>
        <w:rPr>
          <w:rFonts w:ascii="Arial" w:cs="Arial" w:eastAsia="Arial" w:hAnsi="Arial"/>
          <w:sz w:val="18"/>
          <w:szCs w:val="18"/>
          <w:color w:val="auto"/>
        </w:rPr>
        <w:t>June 2017, or the June 2017 Offering. We believe that our cash and cash equivalents at June 30, 2017 will be sufficient to fund our operations past one year from the issuance of these financial statements.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uses of capital are, and we expect will continue to be, funding our research efforts and the development of our product candidates, compensation and related expenses, hiring additional staff, including clinical, scientific, operational, financial and management personnel, and costs associated with operating as a public company. We expect to incur substantial expenditures in the foreseeable future for the development and potential commercialization of our product candidates.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plan to continue to fund losses from operations and capital funding needs through future equity and/or debt financings, as well as potential additional collaborations or strategic partnerships with other companies. The sale of additional equity or convertible debt could result in additional dilution to our stockholders. The incurrence of indebtedness would result in debt service obligations and could result in operating and financing covenants that would restrict our operations. We can provide no assurance that financing will be available in the amounts we need or on terms acceptable to us, if at all. If we are not able to secure adequate additional funding, we may be forced to delay, make reductions in spending, extend payment terms with suppliers, liquidate assets where possible, and/or suspend or curtail planned programs. Any of these actions could materially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w:t>
      </w:r>
    </w:p>
    <w:p>
      <w:pPr>
        <w:spacing w:after="0" w:line="217"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Six Months Ended</w:t>
      </w:r>
    </w:p>
    <w:p>
      <w:pPr>
        <w:jc w:val="center"/>
        <w:ind w:left="49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5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r>
      <w:tr>
        <w:trPr>
          <w:trHeight w:val="180"/>
        </w:trPr>
        <w:tc>
          <w:tcPr>
            <w:tcW w:w="5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5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(11,421)</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(11,205)</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38,278</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6,875</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15,652</w:t>
            </w:r>
          </w:p>
        </w:tc>
        <w:tc>
          <w:tcPr>
            <w:tcW w:w="280" w:type="dxa"/>
            <w:vAlign w:val="bottom"/>
          </w:tcPr>
          <w:p>
            <w:pPr>
              <w:spacing w:after="0"/>
              <w:rPr>
                <w:sz w:val="19"/>
                <w:szCs w:val="19"/>
                <w:color w:val="auto"/>
              </w:rPr>
            </w:pPr>
          </w:p>
        </w:tc>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operating activities was $11.4 million for the six months ended June 30, 2017 compared to $3.1 million for the same period in 2016.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by investing activities was $11.2 million for the six months ended June 30, 2017 compared to $0 million for the same period in 2016. Net cash used by investing activities for the six months ended June 30, 2017 consisted of $31.1 million of purchases of marketable securities for our investment portfolio, partially offset by $20.0 million from sales and maturities of marketable securities.</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Net cash provided by financing activities was $38.3 million for the six months ended June 30, 2017 compared to $6.9 million for the same period in 2016. Net cash provided by financing activities for the six months ended June 30, 2017 consisted of net proceeds from the sale of common stock under the October 2015 Sales Agreement and net proceeds from the sale of preferred stock and common stock in the June 2017 Offering. Net cash provided by financing activities for the six months ended June 30, 2016 consisted of net proceeds from the issuance of related party convertible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 significant changes to contractual obligations and commitments occurred during the six months ended June 30, 2017, as compared to those disclosed in our Annual Report on Form 10-K filed on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cash and cash equivalents as of June 30, 2017 consisted of readily available checking and money market funds.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or cash equivalents has significant risk of default or illiquidity. While we believe our cash and cash equivalents do not contain excessive risk, we cannot provide absolute assurance that in the future its investments will not be subject to adverse changes in market value. In addition, we maintain significant amounts of cash and cash equivalents at one or more financial institutions that are in excess of federally insured limits.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380"/>
          </w:cols>
          <w:pgMar w:left="240" w:top="125" w:right="279" w:bottom="0" w:gutter="0" w:footer="0" w:header="0"/>
        </w:sectPr>
      </w:pPr>
    </w:p>
    <w:bookmarkStart w:id="13" w:name="page14"/>
    <w:bookmarkEnd w:id="13"/>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Exchange Act) are controls and other procedures that are designed to ensure that information required to be disclosed by us in the reports that we file under the Exchange Act, such as this Quarterly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chief executive officer and our chief financial officer, after evaluating the effectiveness of our disclosure controls and procedures, believe that as of the end of the period covered by this Quarterly Report, our disclosure controls and procedures were effective in providing the requisite reasonable assurance that information required to be disclosed by us in the reports that we file under the Exchange Act is recorded, processed, summarized and reported within the time periods specified in the SEC’s rules and forms, and is accumulated and communicated to our management, including our principal executive officer and principal financial officer, as appropriate to allow timely decisions regarding the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operations. If any of the events, contingencies, circumstances or conditions described in the following risks actually occurs, our business, financial condition or our results of operations could be seriously harmed. If that happens, the trading price of our common stock could decline and you may lose part or all of the value of any of our shares held by you.</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have incurred significant operating losses since our inception and expect to incur significant losses for the foreseeable future as we continue our clinical trial and development programs for MGL-3196 and other future product candidates. As of December 31, 2016, we had an accumulated deficit of</w:t>
      </w:r>
    </w:p>
    <w:p>
      <w:pPr>
        <w:ind w:right="240"/>
        <w:spacing w:after="0" w:line="253" w:lineRule="auto"/>
        <w:rPr>
          <w:sz w:val="20"/>
          <w:szCs w:val="20"/>
          <w:color w:val="auto"/>
        </w:rPr>
      </w:pPr>
      <w:r>
        <w:rPr>
          <w:rFonts w:ascii="Arial" w:cs="Arial" w:eastAsia="Arial" w:hAnsi="Arial"/>
          <w:sz w:val="18"/>
          <w:szCs w:val="18"/>
          <w:color w:val="auto"/>
        </w:rPr>
        <w:t>$75.3 million. Losses have principally resulted from costs incurred in our preclinical and clinical trials, research and development programs and from our general and administrative expenses. As of December 31, 2016, we had cash, cash equivalents and marketable securities of $40.5 million. In the future, we intend to continue to conduct research and development, clinical testing, regulatory compliance and, if MGL-3196 or other future product candidates are approved, sales and marketing activities that, together with anticipated general and administrative expenses, will likely result in us incurring further significant losses for the foreseeable future.</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generate no revenue from product sales, and we may never be able to commercialize MGL-3196 or other future product candidates. We do not currently have the required approvals to market MGL-3196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18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business depends on the success of MGL-3196, which is still in clinical development. If we are unable to obtain regulatory approval for or successfully commercialize MGL-3196, our business will be materially harmed.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date, the sole focus of our product development has been MGL-3196, a liver-directed selective thyroid hormone receptor beta agonist for potential use in non-alcoholic steatohepatitis, or NASH, and FH. Successful continued development and ultimate regulatory approval of MGL-3196 for NASH or genetic dyslipidemias, such as FH, is critical to the future success of our business. We have invested, and will continue to invest, a significant portion of our time and financial resources in the clinical development of MGL-3196. We will need to raise sufficient funds to successfully complete our clinical development</w:t>
      </w:r>
    </w:p>
    <w:p>
      <w:pPr>
        <w:sectPr>
          <w:pgSz w:w="11900" w:h="16877" w:orient="portrait"/>
          <w:cols w:equalWidth="0" w:num="1">
            <w:col w:w="11400"/>
          </w:cols>
          <w:pgMar w:left="240" w:top="341" w:right="259" w:bottom="0" w:gutter="0" w:footer="0" w:header="0"/>
        </w:sectPr>
      </w:pPr>
    </w:p>
    <w:bookmarkStart w:id="14" w:name="page15"/>
    <w:bookmarkEnd w:id="14"/>
    <w:p>
      <w:pPr>
        <w:ind w:right="640"/>
        <w:spacing w:after="0" w:line="277" w:lineRule="auto"/>
        <w:rPr>
          <w:sz w:val="20"/>
          <w:szCs w:val="20"/>
          <w:color w:val="auto"/>
        </w:rPr>
      </w:pPr>
      <w:r>
        <w:rPr>
          <w:rFonts w:ascii="Arial" w:cs="Arial" w:eastAsia="Arial" w:hAnsi="Arial"/>
          <w:sz w:val="18"/>
          <w:szCs w:val="18"/>
          <w:color w:val="auto"/>
        </w:rPr>
        <w:t>program for MGL-3196 in NASH and FH. The future regulatory and commercial success of MGL-3196 is subject to a number of risks, including the following:</w:t>
      </w:r>
    </w:p>
    <w:p>
      <w:pPr>
        <w:spacing w:after="0" w:line="170" w:lineRule="exact"/>
        <w:rPr>
          <w:sz w:val="20"/>
          <w:szCs w:val="20"/>
          <w:color w:val="auto"/>
        </w:rPr>
      </w:pPr>
    </w:p>
    <w:p>
      <w:pPr>
        <w:ind w:left="980" w:right="340" w:hanging="324"/>
        <w:spacing w:after="0" w:line="258"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to complete the necessary clinical trials for MGL-3196, including but not limited to Phase 2 clinical trials and, later, registrational clinical trials to obtain drug approval;</w:t>
      </w:r>
    </w:p>
    <w:p>
      <w:pPr>
        <w:spacing w:after="0" w:line="1" w:lineRule="exact"/>
        <w:rPr>
          <w:rFonts w:ascii="Arial" w:cs="Arial" w:eastAsia="Arial" w:hAnsi="Arial"/>
          <w:sz w:val="18"/>
          <w:szCs w:val="18"/>
          <w:color w:val="auto"/>
        </w:rPr>
      </w:pPr>
    </w:p>
    <w:p>
      <w:pPr>
        <w:ind w:left="980" w:right="160" w:hanging="324"/>
        <w:spacing w:after="0" w:line="250"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mechanism of action of MGL-3196 is complex and we do not know the degree to which it will translate into a therapeutic benefit, if any, in NASH, FH or any other indication, and we do not know the degree to which the complex mechanism of action may contribute to long term safety issues or adverse events, if any, when MGL-3196 is taken for prolonged periods such as in the treatment of NASH, FH or any other indication;</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able to obtain adequate evidence from clinical trials of efficacy and safety for MGL-3196 in NASH, FH or any other indication;</w:t>
      </w:r>
    </w:p>
    <w:p>
      <w:pPr>
        <w:spacing w:after="0" w:line="32" w:lineRule="exact"/>
        <w:rPr>
          <w:rFonts w:ascii="Arial" w:cs="Arial" w:eastAsia="Arial" w:hAnsi="Arial"/>
          <w:sz w:val="16"/>
          <w:szCs w:val="16"/>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know the degree to which MGL-3196 will be accepted as a therapy by physicians, patients and payors, even if approved;</w:t>
      </w:r>
    </w:p>
    <w:p>
      <w:pPr>
        <w:spacing w:after="0" w:line="9" w:lineRule="exact"/>
        <w:rPr>
          <w:rFonts w:ascii="Arial" w:cs="Arial" w:eastAsia="Arial" w:hAnsi="Arial"/>
          <w:sz w:val="18"/>
          <w:szCs w:val="18"/>
          <w:color w:val="auto"/>
        </w:rPr>
      </w:pPr>
    </w:p>
    <w:p>
      <w:pPr>
        <w:ind w:left="980" w:right="460" w:hanging="324"/>
        <w:spacing w:after="0" w:line="261"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our clinical programs for MGL-3196, we may experience variability in patients, adjustments to clinical trial procedures and the need for additional clinical trial sites, which could delay our clinical trial progress;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58"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bodies for marketing approval;</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in our clinical trials may die or suffer other adverse effects for reasons that may or may not be related to MGL-3196, which could delay or prevent further clinical development;</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standards implemented by clinical or regulatory agencies may change at any time;</w:t>
      </w:r>
    </w:p>
    <w:p>
      <w:pPr>
        <w:spacing w:after="0" w:line="9" w:lineRule="exact"/>
        <w:rPr>
          <w:rFonts w:ascii="Arial" w:cs="Arial" w:eastAsia="Arial" w:hAnsi="Arial"/>
          <w:sz w:val="18"/>
          <w:szCs w:val="18"/>
          <w:color w:val="auto"/>
        </w:rPr>
      </w:pPr>
    </w:p>
    <w:p>
      <w:pPr>
        <w:ind w:left="980" w:right="240" w:hanging="324"/>
        <w:spacing w:after="0" w:line="265" w:lineRule="auto"/>
        <w:tabs>
          <w:tab w:leader="none" w:pos="9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foreign clinical or regulatory agencies may require efficacy endpoints for a Phase 3 clinical trial for the treatment of NASH or FH that differ from the endpoints of our current or future trials, which may require us to conduct additional clinical trials;</w:t>
      </w:r>
    </w:p>
    <w:p>
      <w:pPr>
        <w:ind w:left="980" w:right="200" w:hanging="324"/>
        <w:spacing w:after="0" w:line="250"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approved for NASH, MGL-3196 will likely compete with other therapies in development that may reach approval for NASH prior to MGL-3196;</w:t>
      </w:r>
    </w:p>
    <w:p>
      <w:pPr>
        <w:ind w:left="980" w:right="60" w:hanging="324"/>
        <w:spacing w:after="0" w:line="250"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approved for FH, MGL-3196 will likely compete with currently approved and marketed products and other therapies in development that may reach approval for FH prior to MGL-3196; and</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patents and other intellectual property rights.</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MGL-3196,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MGL-3196. If we or any of our future development partners are unable to develop, or obtain regulatory approval for, or, if approved, successfully commercialize MGL-3196, we may not be able to generate sufficient revenue to continue our business.</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The results of preclinical studies and early clinical trials are not always predictive of future results. Any product candidate that we advance into clinical trials, including MGL-3196, may not have favorable results in later clinical trials or receive regulatory approval.</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may not be predictive of any future Phase 2 results. Furthermore, our future trials will need to demonstrate sufficient safety and efficacy in larger patient populations for approval by regulatory authorities. Companies frequently suffer significant setbacks in advanced clinical trials, even after earlier clinical trials have shown promising results. In addition, only a small percentage of drugs under development result in the submission of an NDA to the FDA and even fewer are approved for commercialization.</w:t>
      </w:r>
    </w:p>
    <w:p>
      <w:pPr>
        <w:spacing w:after="0" w:line="182"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Because MGL-3196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147"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MGL-3196 has not yet received regulatory approval for the treatment of NASH, FH or any other indication, and unexpected problems may arise that could cause us to delay, suspend or terminate our development efforts in any or all indications. Further, MGL-3196 has not yet demonstrated efficacy in patients with NASH or FH, and the long-term safety consequences of a liver-directed thyroid hormone receptor beta agonist are not known. Regulatory approval of new product candidates such as MGL-3196 can be more expensive and take longer than approval for candidates for the treatment of more well-understood diseases with previously approved products.</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1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cannot predict whether we will encounter problems with any of our completed, ongoing or planned clinical trials that will cause us or any regulatory authority to delay or suspend those clinical trials or delay the analysis of data derived from them. A number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15" w:name="page16"/>
    <w:bookmarkEnd w:id="15"/>
    <w:p>
      <w:pPr>
        <w:ind w:right="600"/>
        <w:spacing w:after="0" w:line="277" w:lineRule="auto"/>
        <w:rPr>
          <w:sz w:val="20"/>
          <w:szCs w:val="20"/>
          <w:color w:val="auto"/>
        </w:rPr>
      </w:pPr>
      <w:r>
        <w:rPr>
          <w:rFonts w:ascii="Arial" w:cs="Arial" w:eastAsia="Arial" w:hAnsi="Arial"/>
          <w:sz w:val="18"/>
          <w:szCs w:val="18"/>
          <w:color w:val="auto"/>
        </w:rPr>
        <w:t>events, including any of the following, could delay the completion of our ongoing and planned clinical trials and negatively affect our ability to obtain regulatory approval for, and to market and sell, a particular product candidate:</w:t>
      </w:r>
    </w:p>
    <w:p>
      <w:pPr>
        <w:spacing w:after="0" w:line="170"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imposed on us by the FDA or other regulatory authorities regarding the scope or design of our clinical trials;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of our product candidates or other materials necessary to conduct and complete our clinical trials;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 enrollment and retention rate of subjects in our clinical trials;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related to the product candidate being tested.</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know whether our clinical trials will begin as planned, will need to be restructured, or will be completed on schedule, if at all.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r>
        <w:rPr>
          <w:rFonts w:ascii="Arial" w:cs="Arial" w:eastAsia="Arial" w:hAnsi="Arial"/>
          <w:sz w:val="16"/>
          <w:szCs w:val="16"/>
          <w:color w:val="auto"/>
        </w:rPr>
        <w:t>.</w:t>
      </w:r>
    </w:p>
    <w:p>
      <w:pPr>
        <w:spacing w:after="0" w:line="124" w:lineRule="exact"/>
        <w:rPr>
          <w:sz w:val="20"/>
          <w:szCs w:val="20"/>
          <w:color w:val="auto"/>
        </w:rPr>
      </w:pPr>
    </w:p>
    <w:p>
      <w:pPr>
        <w:ind w:right="100" w:firstLine="365"/>
        <w:spacing w:after="0" w:line="271" w:lineRule="auto"/>
        <w:rPr>
          <w:sz w:val="20"/>
          <w:szCs w:val="20"/>
          <w:color w:val="auto"/>
        </w:rPr>
      </w:pPr>
      <w:r>
        <w:rPr>
          <w:rFonts w:ascii="Arial" w:cs="Arial" w:eastAsia="Arial" w:hAnsi="Arial"/>
          <w:sz w:val="17"/>
          <w:szCs w:val="17"/>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encounter difficulties enrolling patients in our clinical trials, our clinical development activities could be delayed or otherwise adversely affected.</w:t>
      </w:r>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may not be able to initiate, continue, or complete clinical trials required by the FDA or foreign regulatory agencies for MGL-3196 if we are unable to locate and enroll a sufficient number of eligible patients to participate in these clinical trials. Patient enrollment, a significant factor in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In the proposed clinical trials, patient willingness to undergo a liver biopsy in our NASH trials, and identification of patients willing to participate in our FH trials due to the rarity of the disease, are also risk factors. Potential patients for MGL-3196 may not be adequately diagnosed or identified with the diseases which we are targeting or may not meet the entry criteria for our studies.</w:t>
      </w:r>
    </w:p>
    <w:p>
      <w:pPr>
        <w:spacing w:after="0" w:line="1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one clinical drug interaction study of MGL-3196 and two statins in 25 normal healthy volunteers, which showed MGL-3196 to have a favorable safety profile and to be well-tolerated. We completed a second drug-interaction study of MGL-3196 with a third statin. We have initiated a Phase 2 clinical study in NASH including patients taking low dose statins. We have also initiated a Phase 2 clinical study in HeFH including patients taking high dose statins.</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will be required to identify and enroll a sufficient number of patients for each of our ongoing and planned clinical trials of MGL-3196 for NASH and FH indications, respectively. We also may encounter difficulties in identifying and enrolling NASH patients and FH patients with a stage of disease appropriate for our ongoing or future clinical trials. We may not be able to initiate or continue clinical trials if we are unable to locate a sufficient number of eligible patients to participate in the clinical trials required by the FDA or other foreign regulatory agencies. In addition, the process of finding and diagnosing patients may prove costly. Our inability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enroll a sufficient number of patients for any of our clinical trials would result in significant delays or may require us to abandon one or more clinical trials.</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product candidate in our current or future clinical trials may cause unacceptable adverse events or have other properties that may delay or prevent its regulatory approval or commercialization or limit its commercial potential.</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Unacceptable adverse events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14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Even if we receive regulatory approval to market a particular product candidate, the manufacturing, labeling, packaging, adverse event reporting, storage, advertising, promotion, and record keeping related to the product will remain subject to extensive regulatory requirements. 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154"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processes;</w:t>
      </w:r>
    </w:p>
    <w:p>
      <w:pPr>
        <w:sectPr>
          <w:pgSz w:w="11900" w:h="16838" w:orient="portrait"/>
          <w:cols w:equalWidth="0" w:num="1">
            <w:col w:w="11420"/>
          </w:cols>
          <w:pgMar w:left="240" w:top="125" w:right="239" w:bottom="0" w:gutter="0" w:footer="0" w:header="0"/>
        </w:sectPr>
      </w:pPr>
    </w:p>
    <w:bookmarkStart w:id="16" w:name="page17"/>
    <w:bookmarkEnd w:id="16"/>
    <w:p>
      <w:pPr>
        <w:spacing w:after="0" w:line="69"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civil or criminal penalties;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seizures or detentions;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pressure to initiate voluntary product recalls;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approvals;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for marketing approval of new products or supplements to approved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 and our product candidates may become obsolete.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us, which could materially adversely affect our business.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MGL-3196.</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Even if any of our product candidates obtain regulatory approval, they may not gain market acceptance among physicians, patients, and third-party payers.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Physicians may decide not to recommend its treatments for a variety of reasons including:</w:t>
      </w:r>
    </w:p>
    <w:p>
      <w:pPr>
        <w:spacing w:after="0" w:line="211"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or no coverage by third-party payers;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in the label of the drug;</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ineffective marketing and distribution support of its products.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w:t>
      </w:r>
    </w:p>
    <w:p>
      <w:pPr>
        <w:sectPr>
          <w:pgSz w:w="11900" w:h="16908" w:orient="portrait"/>
          <w:cols w:equalWidth="0" w:num="1">
            <w:col w:w="11420"/>
          </w:cols>
          <w:pgMar w:left="240" w:top="125" w:right="239" w:bottom="0" w:gutter="0" w:footer="0" w:header="0"/>
        </w:sectPr>
      </w:pPr>
    </w:p>
    <w:bookmarkStart w:id="17" w:name="page18"/>
    <w:bookmarkEnd w:id="17"/>
    <w:p>
      <w:pPr>
        <w:jc w:val="both"/>
        <w:ind w:right="120"/>
        <w:spacing w:after="0" w:line="259" w:lineRule="auto"/>
        <w:rPr>
          <w:sz w:val="20"/>
          <w:szCs w:val="20"/>
          <w:color w:val="auto"/>
        </w:rPr>
      </w:pPr>
      <w:r>
        <w:rPr>
          <w:rFonts w:ascii="Arial" w:cs="Arial" w:eastAsia="Arial" w:hAnsi="Arial"/>
          <w:sz w:val="18"/>
          <w:szCs w:val="18"/>
          <w:color w:val="auto"/>
        </w:rPr>
        <w:t>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uncertainty associated with pharmaceutical reimbursement and related matters may adversely affect our business.</w:t>
      </w:r>
    </w:p>
    <w:p>
      <w:pPr>
        <w:spacing w:after="0" w:line="22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Medicare Modernization Act, or MMA, changed the way Medicare covers and pays for pharmaceutical products. The legislation established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Affordability Reconciliation Act, or collectively, ACA, became law in the United States. The goal of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We also cannot predict the impact of ACA on us as many of the ACA reforms require the promulgation of detailed regulations implementing the statutory provisions, which have not yet been fully implemented.</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188"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products may be used;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w:t>
      </w:r>
    </w:p>
    <w:p>
      <w:pPr>
        <w:sectPr>
          <w:pgSz w:w="11900" w:h="16838" w:orient="portrait"/>
          <w:cols w:equalWidth="0" w:num="1">
            <w:col w:w="11420"/>
          </w:cols>
          <w:pgMar w:left="240" w:top="125" w:right="239" w:bottom="0" w:gutter="0" w:footer="0" w:header="0"/>
        </w:sectPr>
      </w:pPr>
    </w:p>
    <w:bookmarkStart w:id="18" w:name="page19"/>
    <w:bookmarkEnd w:id="18"/>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0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the development and commercialization of MGL-3196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highly dependent on principal members of our management team, including our Chief Executive Officer, Paul A. Friedman, M.D., and our Chief Medical Officer,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with respect to our product candidates. If we are unable to develop our sales, marketing and distribution capabilities on our own or through collaborations with marketing partners, we will not be successful in commercializing our product candidates.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have no marketing, sales or distribution capabilities and have limited sales or marketing experience within our organization. If our product candidate, MGL-3196, is approved, we intend either to establish a sales and marketing organization with technical expertise and supporting distribution capabilities to commercialize MGL-3196, or to outsource this function to a third party. Either of these options would be expensive and time consuming. Some or all of these costs may be incurred in advance of any approval of MGL-3196.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MGL-3196 and other future product candidates.</w:t>
      </w:r>
    </w:p>
    <w:p>
      <w:pPr>
        <w:spacing w:after="0" w:line="17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w:t>
      </w:r>
    </w:p>
    <w:p>
      <w:pPr>
        <w:sectPr>
          <w:pgSz w:w="11900" w:h="16975" w:orient="portrait"/>
          <w:cols w:equalWidth="0" w:num="1">
            <w:col w:w="11420"/>
          </w:cols>
          <w:pgMar w:left="240" w:top="125" w:right="239" w:bottom="0" w:gutter="0" w:footer="0" w:header="0"/>
        </w:sectPr>
      </w:pPr>
    </w:p>
    <w:bookmarkStart w:id="19" w:name="page20"/>
    <w:bookmarkEnd w:id="19"/>
    <w:p>
      <w:pPr>
        <w:spacing w:after="0" w:line="4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MGL-3196 or any other future product candidate, we or our partners may never obtain approval or commercialize our products outside of the United States, which would limit our ability to realize their full market potential.</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and our partners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by extending the term of patents covering each of our product candidates, our business may be materially harmed.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our competitors may obtain approval to market competing products sooner. As a result, our revenue could be potentially materially reduced.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healthcare laws, including those commonly referred to as “fraud and abuse” laws, have been applied in recent years to restrict certain marketing practices in the pharmaceutical industry. These laws include, among others, false claims and anti-kickback statutes. At such time, if ever, as we or any of our partners market any of our future approved products, it is possible that some of our business activities and/or our partners could be subject to challenge under one or more of these laws.</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Federal false claims, false statements and civil monetary penalties laws prohibit, among others,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w:t>
      </w:r>
    </w:p>
    <w:p>
      <w:pPr>
        <w:spacing w:after="0" w:line="16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addition, we and/or our partners may be subject to data privacy and security regulation, including the Health Insurance Portability and Accountability Act of 1996, as amended by the Health Information Technology for Economic and Clinical Health Act, and their respective implementing regulations, which impose specified requirements relating to the privacy, security and transmission of individually identifiable health information.</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w:t>
      </w:r>
    </w:p>
    <w:p>
      <w:pPr>
        <w:spacing w:after="0" w:line="17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10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FDA requires us and our third-party service providers to comply with regulations and standards, commonly referred to as good clinical practices, or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w:t>
      </w:r>
    </w:p>
    <w:p>
      <w:pPr>
        <w:sectPr>
          <w:pgSz w:w="11900" w:h="16885" w:orient="portrait"/>
          <w:cols w:equalWidth="0" w:num="1">
            <w:col w:w="11400"/>
          </w:cols>
          <w:pgMar w:left="240" w:top="125" w:right="259" w:bottom="0" w:gutter="0" w:footer="0" w:header="0"/>
        </w:sectPr>
      </w:pPr>
    </w:p>
    <w:bookmarkStart w:id="20" w:name="page21"/>
    <w:bookmarkEnd w:id="20"/>
    <w:p>
      <w:pPr>
        <w:ind w:right="80"/>
        <w:spacing w:after="0" w:line="259" w:lineRule="auto"/>
        <w:rPr>
          <w:sz w:val="20"/>
          <w:szCs w:val="20"/>
          <w:color w:val="auto"/>
        </w:rPr>
      </w:pPr>
      <w:r>
        <w:rPr>
          <w:rFonts w:ascii="Arial" w:cs="Arial" w:eastAsia="Arial" w:hAnsi="Arial"/>
          <w:sz w:val="18"/>
          <w:szCs w:val="18"/>
          <w:color w:val="auto"/>
        </w:rPr>
        <w:t>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relied on, and expect to continue to rely on, third-party manufacturers to produce our product candidates.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our product candidates. Reliance on third-party manufacturers entail risks to which we would not be subject if we manufactured our product candidates or products ourselves, including: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third-parties for manufacturing process development, regulatory compliance and quality assurance;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and scheduling constraints of third-parties;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third-parties because of factors beyond our control;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third-parties, at a time that is costly or inconvenient to us.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and comparable foreign regulatory requirements could adversely affect our clinical research activities and our ability to develop our product candidates and market our products following approval.</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14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b w:val="1"/>
          <w:bCs w:val="1"/>
          <w:i w:val="1"/>
          <w:iCs w:val="1"/>
          <w:color w:val="auto"/>
        </w:rPr>
        <w:t>We previously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reporting obligations or fail to prevent fraud; and in that case, our stockholders could lose confidence in our financial reporting, which would harm our business and could negatively impact the price of our stock.</w:t>
      </w:r>
    </w:p>
    <w:p>
      <w:pPr>
        <w:spacing w:after="0" w:line="15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If we fail to maintain an effective system of internal controls, we may be unable to report our financial results accurately or prevent fraud; and in that case, our stockholders could lose confidence in our financial reporting, which would harm our business and could negatively impact the price of our stock. On March 31, 2017, we filed with the SEC an amendment to our Quarterly Report on Form 10-Q for the quarter ended September 30, 2016 to correct certain errors therein. Management reported a material weakness in our system of internal control over financial reporting as of September 30, 2016.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remediated this material weakness. We cannot assure you that the measures we have taken to date will be sufficient to avoid future material weaknesses. Even when we conclude that our internal control over financial reporting provides reasonable assurance regarding the reliability of financial reporting and the preparation of financial statements for external purposes in accordance with GAAP, because of its inherent limitations, internal control over financial reporting may not prevent or detect fraud or misstatements.</w:t>
      </w:r>
    </w:p>
    <w:p>
      <w:pPr>
        <w:spacing w:after="0" w:line="16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reporting obligations as a public company will require significant managerial, operational and financial resources for the foreseeable future. If we fail to maintain the adequacy of our internal control over financial reporting, we may not be able to produce reliable financial reports or help prevent fraud. Our failure to maintain effective internal control over financial reporting could prevent us from filing our periodic reports on a timely basis which could result in the loss of investor confidence in the reliability of our financial statements, harm our business and negatively impact the trading price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a license to MGL-3196 granted to us by Roche.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entered into a research, development and commercialization agreement, or the Roche Agreement, with Hoffmann-La Roche Pharmaceutical Company Limited, or Roche, on December 18, 2008. Pursuant to the terms of the Roche Agreement, we assumed control of all development and commercialization of MGL-3196 and will own exclusive worldwide rights for all potential indications. Roche assigned all patent rights relating to MGL-3196 to us and granted us an exclusive license to use certain know-how relating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21" w:name="page22"/>
    <w:bookmarkEnd w:id="21"/>
    <w:p>
      <w:pPr>
        <w:ind w:right="40"/>
        <w:spacing w:after="0" w:line="271" w:lineRule="auto"/>
        <w:rPr>
          <w:sz w:val="20"/>
          <w:szCs w:val="20"/>
          <w:color w:val="auto"/>
        </w:rPr>
      </w:pPr>
      <w:r>
        <w:rPr>
          <w:rFonts w:ascii="Arial" w:cs="Arial" w:eastAsia="Arial" w:hAnsi="Arial"/>
          <w:sz w:val="17"/>
          <w:szCs w:val="17"/>
          <w:color w:val="auto"/>
        </w:rPr>
        <w:t>MGL-3196 in exchange for consideration consisting of an upfront payment, milestone payments tied to the achievement of product development and regulatory milestones, and royalty payments based on net sales of products containing MGL-3196, subject to certain reductions. We must use commercially reasonable efforts to conduct clinical and commercial development programs for products containing MGL-3196. If we determine that it is not reasonable to continue clinical trials or other development of MGL-3196, we may elect to cease further development and Roche may terminate the license. If we determine not to pursue the development or commercialization of MGL-3196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MGL-3196, or (ii) ten years after the first sale of a product containing MGL-3196.</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have, nor have we had, any material disputes with Roche regarding the Roche Agreement. However, if there is any future dispute between us and Roche regarding the parties’ rights under the Roche Agreement, our ability to develop and commercialize MGL-3196 may be materially harmed. Any uncured, material breach under the Roche Agreement could result in our loss of exclusive rights to MGL-3196 and may lead to a complete termination of the Roche Agreement and force us to cease product development efforts for MGL-3196.</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may enter into license agreements from time to time. Licensing of intellectual property is important to our business and involves complex legal, business and scientific issues. Disputes may arise regarding intellectual property subject to a licensing agreement, including but not limited to:</w:t>
      </w:r>
    </w:p>
    <w:p>
      <w:pPr>
        <w:spacing w:after="0" w:line="147"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and collaborators;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 protection without regard to any method of use or any method of manufacturing. While we own and have licensed rights to issue composition-of-matter patents in the United States and other jurisdictions for MGL-3196, we cannot be certain that the claims in issued composition-of-matter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will not be enforced against those making and marketing a product that has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5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licensed composition-of-matter patent from Roche for MGL-3196 is expected to expire in the United States in 2026. Our owned patents and pending patent applications that cover solid form, method of manufacturing, and use of MGL-3196 to treat various indications are expected to expire in 2033.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ectPr>
          <w:pgSz w:w="11900" w:h="16838" w:orient="portrait"/>
          <w:cols w:equalWidth="0" w:num="1">
            <w:col w:w="11380"/>
          </w:cols>
          <w:pgMar w:left="240" w:top="125" w:right="279" w:bottom="53" w:gutter="0" w:footer="0" w:header="0"/>
        </w:sectPr>
      </w:pPr>
    </w:p>
    <w:bookmarkStart w:id="22" w:name="page23"/>
    <w:bookmarkEnd w:id="22"/>
    <w:p>
      <w:pPr>
        <w:ind w:left="980" w:right="80" w:hanging="324"/>
        <w:spacing w:after="0" w:line="279" w:lineRule="auto"/>
        <w:tabs>
          <w:tab w:leader="none" w:pos="9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1"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980" w:right="74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and our licensor(s) may not have been the first to make the inventions covered by pending patent applications or issued patents;</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and our licensor(s) may not have been the first to file patent applications for our product candidates or the compositions developed, or for their uses;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and our licensor(s)’ disclosures in patent applications may not be sufficient to meet the statutory requirements for patentability;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others may design around our owned and licensed patent claims to produce competitive products which fall outside of the scope of the patents;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or licensor(s)’ patents;</w:t>
      </w:r>
    </w:p>
    <w:p>
      <w:pPr>
        <w:spacing w:after="0" w:line="225" w:lineRule="exact"/>
        <w:rPr>
          <w:rFonts w:ascii="Arial" w:cs="Arial" w:eastAsia="Arial" w:hAnsi="Arial"/>
          <w:sz w:val="18"/>
          <w:szCs w:val="18"/>
          <w:color w:val="auto"/>
        </w:rPr>
      </w:pPr>
    </w:p>
    <w:p>
      <w:pPr>
        <w:ind w:left="980" w:right="180" w:hanging="324"/>
        <w:spacing w:after="0" w:line="312" w:lineRule="auto"/>
        <w:tabs>
          <w:tab w:leader="none" w:pos="9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146" w:lineRule="exact"/>
        <w:rPr>
          <w:rFonts w:ascii="Arial" w:cs="Arial" w:eastAsia="Arial" w:hAnsi="Arial"/>
          <w:sz w:val="16"/>
          <w:szCs w:val="16"/>
          <w:color w:val="auto"/>
        </w:rPr>
      </w:pPr>
    </w:p>
    <w:p>
      <w:pPr>
        <w:ind w:left="980" w:right="120" w:hanging="324"/>
        <w:spacing w:after="0" w:line="264"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1"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in which case a patent may become subject to post-grant proceedings including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7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MGL-3196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182"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ectPr>
          <w:pgSz w:w="11900" w:h="16838" w:orient="portrait"/>
          <w:cols w:equalWidth="0" w:num="1">
            <w:col w:w="11400"/>
          </w:cols>
          <w:pgMar w:left="240" w:top="125" w:right="259" w:bottom="0" w:gutter="0" w:footer="0" w:header="0"/>
        </w:sectPr>
      </w:pPr>
    </w:p>
    <w:bookmarkStart w:id="23" w:name="page24"/>
    <w:bookmarkEnd w:id="23"/>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prevent us from commercializing MGL-3916 for NASH or FH or our other product candidates until the asserted patent expires or is held finally invalid or not infringed in a court of law;</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Although no third party has asserted a claim of patent infringement against us as of the filing date of this report, others may hold proprietary rights that could prevent MGL-3196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MGL-3196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MGL-3196 or our other product candidates, which could harm our business, financial condition and operating results.</w:t>
      </w:r>
    </w:p>
    <w:p>
      <w:pPr>
        <w:spacing w:after="0" w:line="1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Moreover, we may be subject to a third party preissuance submission of prior art to the USPTO or in addition to interference proceedings,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9"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currently have the intellectual property rights, through licenses from third parties and under patents that we 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w:t>
      </w:r>
    </w:p>
    <w:p>
      <w:pPr>
        <w:sectPr>
          <w:pgSz w:w="11900" w:h="16838" w:orient="portrait"/>
          <w:cols w:equalWidth="0" w:num="1">
            <w:col w:w="11420"/>
          </w:cols>
          <w:pgMar w:left="240" w:top="341" w:right="239" w:bottom="0" w:gutter="0" w:footer="0" w:header="0"/>
        </w:sectPr>
      </w:pPr>
    </w:p>
    <w:bookmarkStart w:id="24" w:name="page25"/>
    <w:bookmarkEnd w:id="24"/>
    <w:p>
      <w:pPr>
        <w:ind w:right="700"/>
        <w:spacing w:after="0" w:line="308" w:lineRule="auto"/>
        <w:rPr>
          <w:sz w:val="20"/>
          <w:szCs w:val="20"/>
          <w:color w:val="auto"/>
        </w:rPr>
      </w:pPr>
      <w:r>
        <w:rPr>
          <w:rFonts w:ascii="Arial" w:cs="Arial" w:eastAsia="Arial" w:hAnsi="Arial"/>
          <w:sz w:val="17"/>
          <w:szCs w:val="17"/>
          <w:color w:val="auto"/>
        </w:rPr>
        <w:t>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While we have licensed from Roche issued composition-of-matter patents directed at MGL-3196 in the United States and other countries, filing, prosecuting and defending patents on MGL-3196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MGL-3196, and our patents or other intellectual property rights may not be effective or sufficient to prevent them from competing.</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obtain the capital necessary to fund our operations, we will be unable to successfully develop and commercialize MGL-3196 and other future product candidates.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Although we believe that our existing cash and cash equivalents will be sufficient to fund our current operations through at least the next 12 months, we will require substantial future working capital in order to complete the remaining clinical development for MGL-3196 and our other product candidates through potential regulatory approval and through potential commercialization of these product candidates. In particular, in order to initiate our Phase 3 clinical</w:t>
      </w:r>
    </w:p>
    <w:p>
      <w:pPr>
        <w:sectPr>
          <w:pgSz w:w="11900" w:h="16838" w:orient="portrait"/>
          <w:cols w:equalWidth="0" w:num="1">
            <w:col w:w="11420"/>
          </w:cols>
          <w:pgMar w:left="240" w:top="125" w:right="239" w:bottom="0" w:gutter="0" w:footer="0" w:header="0"/>
        </w:sectPr>
      </w:pPr>
    </w:p>
    <w:bookmarkStart w:id="25" w:name="page26"/>
    <w:bookmarkEnd w:id="25"/>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program for MGL-3196 in NASH, we will need to collaborate with a strategic partner or raise significant financing. We expect our spending levels to increase in connection with our clinical trials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MGL-3196 as well as other corporate activities. The amount and timing of any expenditure needed to implement our development and commercialization programs will depend on numerous factors, including:</w:t>
      </w:r>
    </w:p>
    <w:p>
      <w:pPr>
        <w:spacing w:after="0" w:line="170" w:lineRule="exact"/>
        <w:rPr>
          <w:sz w:val="20"/>
          <w:szCs w:val="20"/>
          <w:color w:val="auto"/>
        </w:rPr>
      </w:pPr>
    </w:p>
    <w:p>
      <w:pPr>
        <w:ind w:left="980" w:right="60" w:hanging="324"/>
        <w:spacing w:after="0" w:line="342" w:lineRule="auto"/>
        <w:tabs>
          <w:tab w:leader="none" w:pos="9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type, number, scope, progress, expansion costs, results of and timing of our ongoing or future clinical trials or the need for additional clinical trials of MGL-3196 for NASH and FH or any of our other product candidates which we are pursuing or may choose to pursue in the future;</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MGL-3196 for NASH and FH and any of our other product candidates;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obtaining or maintaining manufacturing for MGL-3196 for NASH and FH and any of our other product candidates, including commercial manufacturing if any product candidate is approved;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costs and timing of establishing sales, marketing and reimbursement capabilities and enhanced internal controls over financial reporting;</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 agreements and other partnerships;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any new product candidates that we may develop, in-license or acquire;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operating as a public company.</w:t>
      </w:r>
    </w:p>
    <w:p>
      <w:pPr>
        <w:spacing w:after="0" w:line="225" w:lineRule="exact"/>
        <w:rPr>
          <w:sz w:val="20"/>
          <w:szCs w:val="20"/>
          <w:color w:val="auto"/>
        </w:rPr>
      </w:pPr>
    </w:p>
    <w:p>
      <w:pPr>
        <w:jc w:val="both"/>
        <w:ind w:right="320"/>
        <w:spacing w:after="0" w:line="308" w:lineRule="auto"/>
        <w:rPr>
          <w:sz w:val="20"/>
          <w:szCs w:val="20"/>
          <w:color w:val="auto"/>
        </w:rPr>
      </w:pPr>
      <w:r>
        <w:rPr>
          <w:rFonts w:ascii="Arial" w:cs="Arial" w:eastAsia="Arial" w:hAnsi="Arial"/>
          <w:sz w:val="17"/>
          <w:szCs w:val="17"/>
          <w:color w:val="auto"/>
        </w:rPr>
        <w:t>Some of these factors are outside of our control. We do not expect our existing capital resources to be sufficient to enable us to fund the completion of our clinical trials and commercialization of our product candidates. We expect that we will need to raise substantial additional funds in the future.</w:t>
      </w:r>
    </w:p>
    <w:p>
      <w:pPr>
        <w:spacing w:after="0" w:line="147" w:lineRule="exact"/>
        <w:rPr>
          <w:sz w:val="20"/>
          <w:szCs w:val="20"/>
          <w:color w:val="auto"/>
        </w:rPr>
      </w:pPr>
    </w:p>
    <w:p>
      <w:pPr>
        <w:jc w:val="both"/>
        <w:ind w:right="340"/>
        <w:spacing w:after="0" w:line="257" w:lineRule="auto"/>
        <w:rPr>
          <w:sz w:val="20"/>
          <w:szCs w:val="20"/>
          <w:color w:val="auto"/>
        </w:rPr>
      </w:pPr>
      <w:r>
        <w:rPr>
          <w:rFonts w:ascii="Arial" w:cs="Arial" w:eastAsia="Arial" w:hAnsi="Arial"/>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In addition, the issuance of additional shares by us, or the possibility of such issuance, may cause the market price of our shares to decline.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are unable to obtain additional funding on a timely basis, we may be unable to complete ongoing and planned clinical trials for MGL-3196 for NASH and FH and any of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 in addition to global and industry-wide events:</w:t>
      </w:r>
    </w:p>
    <w:p>
      <w:pPr>
        <w:spacing w:after="0" w:line="181"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losses we may incur;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owned or licensed by us, our collaborative partners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 concern as to the safety and efficacy of products developed by us or others;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26" w:name="page27"/>
    <w:bookmarkEnd w:id="26"/>
    <w:p>
      <w:pPr>
        <w:ind w:right="160"/>
        <w:spacing w:after="0" w:line="277"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that event, the market price of our common stock could materially decline.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small number of our stockholders beneficially own a substantial amount of our common stock and have substantial control over us; therefore, your ability to influence corporate matters may be limited.</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Certain stockholders affiliated with our officers and directors collectively beneficially own or control approximately 52.4% of our outstanding common stock as of December 31, 2016 and acting together, may have the ability to affect matters submitted to our stockholders for approval. This concentration of ownership may have the effect of delaying, deferring or preventing a strategic transaction, even if such a transaction would benefit other stockholders.</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June 20, 2017, we entered into a Securities Purchase Agreement, or the Purchase Agreement, with a group of institutional accredited investors, who are existing, non-controlling stockholders of our company, or the Investors, pursuant to which, on July 23, 2017, we issued and sold 328,300 shares of our common stock at a price of $15.23 per share, and 1,969,797 shares of our Series A Convertible Preferred Stock, or the Series A Preferred Stock, at a price of $15.23 per share, to the Investors for an aggregate offering price of approximately $35.0 million. We refer herein to the issuance and sale of our securities to the Investors pursuant to the Purchase Agreement as the Offering. The Offering resulted in gross proceeds to us of approximately $35.0 million, before deducting estimated offering expenses payable by us, and net proceeds to us of approximately $34.9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A Preferred Stock is convertible into shares of our common stock at a one-to-one ratio, subject to adjustment as provided in the Purchase Agreement. The powers, preferences, rights, qualifications, limitations and restrictions applicable to the Series A Preferred Stock are set forth in the Certificate of Designation of Preferences, Rights and Limitations of Series A Convertible Preferred Stock, that we filed with the Secretary of State of the State of Delaware on June 21, 2017.</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issuance and sale of the securities in the Offering was made pursuant to an exemption from the registration requirements of the Securities Act provided by Section 4(a)(2) thereof and Regulation D promulgated thereunder. The Offering was conducted without general solicitation or advertising. Each Investor represented to us that it is an accredited investor with access to information about us sufficient to evaluate the investment and that the securities were being acquired without a view to distribution or resale in violation of the Securities Act. We filed a Form D for the Offering following the closing thereof in accordance with the requirements of Regulation 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420"/>
          </w:cols>
          <w:pgMar w:left="240" w:top="341"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40" w:type="dxa"/>
            <w:vAlign w:val="bottom"/>
            <w:gridSpan w:val="8"/>
          </w:tcPr>
          <w:p>
            <w:pPr>
              <w:ind w:left="620"/>
              <w:spacing w:after="0"/>
              <w:rPr>
                <w:sz w:val="20"/>
                <w:szCs w:val="20"/>
                <w:color w:val="auto"/>
              </w:rPr>
            </w:pPr>
            <w:r>
              <w:rPr>
                <w:rFonts w:ascii="Arial" w:cs="Arial" w:eastAsia="Arial" w:hAnsi="Arial"/>
                <w:sz w:val="18"/>
                <w:szCs w:val="18"/>
                <w:color w:val="auto"/>
                <w:w w:val="99"/>
              </w:rPr>
              <w:t>MADRIGAL PHARMACEUTICALS, INC.</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000" w:type="dxa"/>
            <w:vAlign w:val="bottom"/>
            <w:gridSpan w:val="7"/>
          </w:tcPr>
          <w:p>
            <w:pPr>
              <w:spacing w:after="0"/>
              <w:rPr>
                <w:sz w:val="20"/>
                <w:szCs w:val="20"/>
                <w:color w:val="auto"/>
              </w:rPr>
            </w:pPr>
            <w:r>
              <w:rPr>
                <w:rFonts w:ascii="Arial" w:cs="Arial" w:eastAsia="Arial" w:hAnsi="Arial"/>
                <w:sz w:val="18"/>
                <w:szCs w:val="18"/>
                <w:color w:val="auto"/>
              </w:rPr>
              <w:t>Date: August 10, 2017</w:t>
            </w:r>
          </w:p>
        </w:tc>
        <w:tc>
          <w:tcPr>
            <w:tcW w:w="280" w:type="dxa"/>
            <w:vAlign w:val="bottom"/>
          </w:tcPr>
          <w:p>
            <w:pPr>
              <w:spacing w:after="0"/>
              <w:rPr>
                <w:sz w:val="24"/>
                <w:szCs w:val="24"/>
                <w:color w:val="auto"/>
              </w:rPr>
            </w:pP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rPr>
              <w:t>By:</w:t>
            </w: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Paul A. Friedman</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spacing w:after="0" w:line="195" w:lineRule="exact"/>
              <w:rPr>
                <w:sz w:val="20"/>
                <w:szCs w:val="20"/>
                <w:color w:val="auto"/>
              </w:rPr>
            </w:pPr>
            <w:r>
              <w:rPr>
                <w:rFonts w:ascii="Arial" w:cs="Arial" w:eastAsia="Arial" w:hAnsi="Arial"/>
                <w:sz w:val="18"/>
                <w:szCs w:val="18"/>
                <w:color w:val="auto"/>
              </w:rPr>
              <w:t>Paul A. Friedman, M.D.</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000" w:type="dxa"/>
            <w:vAlign w:val="bottom"/>
            <w:gridSpan w:val="7"/>
          </w:tcPr>
          <w:p>
            <w:pPr>
              <w:spacing w:after="0"/>
              <w:rPr>
                <w:sz w:val="20"/>
                <w:szCs w:val="20"/>
                <w:color w:val="auto"/>
              </w:rPr>
            </w:pPr>
            <w:r>
              <w:rPr>
                <w:rFonts w:ascii="Arial" w:cs="Arial" w:eastAsia="Arial" w:hAnsi="Arial"/>
                <w:sz w:val="18"/>
                <w:szCs w:val="18"/>
                <w:color w:val="auto"/>
              </w:rPr>
              <w:t>Date: August 10, 2017</w:t>
            </w:r>
          </w:p>
        </w:tc>
        <w:tc>
          <w:tcPr>
            <w:tcW w:w="280" w:type="dxa"/>
            <w:vAlign w:val="bottom"/>
          </w:tcPr>
          <w:p>
            <w:pPr>
              <w:spacing w:after="0"/>
              <w:rPr>
                <w:sz w:val="24"/>
                <w:szCs w:val="24"/>
                <w:color w:val="auto"/>
              </w:rPr>
            </w:pP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rPr>
              <w:t>By:</w:t>
            </w: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Marc R. Schneebaum</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spacing w:after="0" w:line="195" w:lineRule="exact"/>
              <w:rPr>
                <w:sz w:val="20"/>
                <w:szCs w:val="20"/>
                <w:color w:val="auto"/>
              </w:rPr>
            </w:pPr>
            <w:r>
              <w:rPr>
                <w:rFonts w:ascii="Arial" w:cs="Arial" w:eastAsia="Arial" w:hAnsi="Arial"/>
                <w:sz w:val="18"/>
                <w:szCs w:val="18"/>
                <w:color w:val="auto"/>
              </w:rPr>
              <w:t>Marc R. Schneebaum</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7"/>
          </w:tcPr>
          <w:p>
            <w:pPr>
              <w:spacing w:after="0"/>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gridSpan w:val="2"/>
          </w:tcPr>
          <w:p>
            <w:pPr>
              <w:jc w:val="right"/>
              <w:ind w:right="193"/>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500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rPr>
              <w:t>EXHIBIT INDEX</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40" w:type="dxa"/>
            <w:vAlign w:val="bottom"/>
          </w:tcPr>
          <w:p>
            <w:pPr>
              <w:spacing w:after="0"/>
              <w:rPr>
                <w:sz w:val="24"/>
                <w:szCs w:val="24"/>
                <w:color w:val="auto"/>
              </w:rPr>
            </w:pPr>
          </w:p>
        </w:tc>
      </w:tr>
      <w:tr>
        <w:trPr>
          <w:trHeight w:val="142"/>
        </w:trPr>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3720" w:type="dxa"/>
            <w:vAlign w:val="bottom"/>
            <w:gridSpan w:val="3"/>
          </w:tcPr>
          <w:p>
            <w:pPr>
              <w:ind w:left="1220"/>
              <w:spacing w:after="0" w:line="142" w:lineRule="exact"/>
              <w:rPr>
                <w:sz w:val="20"/>
                <w:szCs w:val="20"/>
                <w:color w:val="auto"/>
              </w:rPr>
            </w:pPr>
            <w:r>
              <w:rPr>
                <w:rFonts w:ascii="Arial" w:cs="Arial" w:eastAsia="Arial" w:hAnsi="Arial"/>
                <w:sz w:val="14"/>
                <w:szCs w:val="14"/>
                <w:b w:val="1"/>
                <w:bCs w:val="1"/>
                <w:color w:val="auto"/>
              </w:rPr>
              <w:t>Exhibit Description</w:t>
            </w:r>
          </w:p>
        </w:tc>
        <w:tc>
          <w:tcPr>
            <w:tcW w:w="280" w:type="dxa"/>
            <w:vAlign w:val="bottom"/>
          </w:tcPr>
          <w:p>
            <w:pPr>
              <w:spacing w:after="0"/>
              <w:rPr>
                <w:sz w:val="12"/>
                <w:szCs w:val="12"/>
                <w:color w:val="auto"/>
              </w:rPr>
            </w:pPr>
          </w:p>
        </w:tc>
        <w:tc>
          <w:tcPr>
            <w:tcW w:w="120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Form</w:t>
            </w:r>
          </w:p>
        </w:tc>
        <w:tc>
          <w:tcPr>
            <w:tcW w:w="13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File No.</w:t>
            </w:r>
          </w:p>
        </w:tc>
        <w:tc>
          <w:tcPr>
            <w:tcW w:w="13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Exhibit</w:t>
            </w:r>
          </w:p>
        </w:tc>
        <w:tc>
          <w:tcPr>
            <w:tcW w:w="1120" w:type="dxa"/>
            <w:vAlign w:val="bottom"/>
          </w:tcPr>
          <w:p>
            <w:pPr>
              <w:jc w:val="center"/>
              <w:ind w:right="174"/>
              <w:spacing w:after="0" w:line="142" w:lineRule="exact"/>
              <w:rPr>
                <w:sz w:val="20"/>
                <w:szCs w:val="20"/>
                <w:color w:val="auto"/>
              </w:rPr>
            </w:pPr>
            <w:r>
              <w:rPr>
                <w:rFonts w:ascii="Arial" w:cs="Arial" w:eastAsia="Arial" w:hAnsi="Arial"/>
                <w:sz w:val="14"/>
                <w:szCs w:val="14"/>
                <w:b w:val="1"/>
                <w:bCs w:val="1"/>
                <w:color w:val="auto"/>
                <w:w w:val="97"/>
              </w:rPr>
              <w:t>Filing Date</w:t>
            </w:r>
          </w:p>
        </w:tc>
        <w:tc>
          <w:tcPr>
            <w:tcW w:w="2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16"/>
                <w:szCs w:val="16"/>
                <w:color w:val="auto"/>
              </w:rPr>
            </w:pPr>
          </w:p>
        </w:tc>
        <w:tc>
          <w:tcPr>
            <w:tcW w:w="37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7"/>
              </w:rPr>
              <w:t>Certificate of Designation of Preferences, Rights</w:t>
            </w:r>
          </w:p>
        </w:tc>
        <w:tc>
          <w:tcPr>
            <w:tcW w:w="28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001-33277</w:t>
            </w:r>
          </w:p>
        </w:tc>
        <w:tc>
          <w:tcPr>
            <w:tcW w:w="28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94"/>
              <w:spacing w:after="0" w:line="195" w:lineRule="exact"/>
              <w:rPr>
                <w:sz w:val="20"/>
                <w:szCs w:val="20"/>
                <w:color w:val="auto"/>
              </w:rPr>
            </w:pPr>
            <w:r>
              <w:rPr>
                <w:rFonts w:ascii="Arial" w:cs="Arial" w:eastAsia="Arial" w:hAnsi="Arial"/>
                <w:sz w:val="18"/>
                <w:szCs w:val="18"/>
                <w:color w:val="auto"/>
                <w:w w:val="91"/>
              </w:rPr>
              <w:t>2017-06-21</w:t>
            </w:r>
          </w:p>
        </w:tc>
        <w:tc>
          <w:tcPr>
            <w:tcW w:w="2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6"/>
              </w:rPr>
              <w:t>and Limitations of Series A Convertible Preferred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8"/>
              </w:rPr>
              <w:t>Securities Purchase Agreement, dated June 20,</w:t>
            </w:r>
          </w:p>
        </w:tc>
        <w:tc>
          <w:tcPr>
            <w:tcW w:w="28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60"/>
              <w:spacing w:after="0"/>
              <w:rPr>
                <w:sz w:val="20"/>
                <w:szCs w:val="20"/>
                <w:color w:val="auto"/>
              </w:rPr>
            </w:pPr>
            <w:r>
              <w:rPr>
                <w:rFonts w:ascii="Arial" w:cs="Arial" w:eastAsia="Arial" w:hAnsi="Arial"/>
                <w:sz w:val="18"/>
                <w:szCs w:val="18"/>
                <w:color w:val="auto"/>
              </w:rPr>
              <w:t>001-33277</w:t>
            </w:r>
          </w:p>
        </w:tc>
        <w:tc>
          <w:tcPr>
            <w:tcW w:w="2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94"/>
              <w:spacing w:after="0"/>
              <w:rPr>
                <w:sz w:val="20"/>
                <w:szCs w:val="20"/>
                <w:color w:val="auto"/>
              </w:rPr>
            </w:pPr>
            <w:r>
              <w:rPr>
                <w:rFonts w:ascii="Arial" w:cs="Arial" w:eastAsia="Arial" w:hAnsi="Arial"/>
                <w:sz w:val="18"/>
                <w:szCs w:val="18"/>
                <w:color w:val="auto"/>
                <w:w w:val="91"/>
              </w:rPr>
              <w:t>2017-06-21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2017, by and among the Registrant and the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6"/>
              </w:rPr>
              <w:t>investors party thereto, including the Registration</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80" w:type="dxa"/>
            <w:vAlign w:val="bottom"/>
            <w:gridSpan w:val="4"/>
          </w:tcPr>
          <w:p>
            <w:pPr>
              <w:spacing w:after="0" w:line="190" w:lineRule="exact"/>
              <w:rPr>
                <w:sz w:val="20"/>
                <w:szCs w:val="20"/>
                <w:color w:val="auto"/>
              </w:rPr>
            </w:pPr>
            <w:r>
              <w:rPr>
                <w:rFonts w:ascii="Arial" w:cs="Arial" w:eastAsia="Arial" w:hAnsi="Arial"/>
                <w:sz w:val="18"/>
                <w:szCs w:val="18"/>
                <w:color w:val="auto"/>
                <w:w w:val="97"/>
              </w:rPr>
              <w:t>Rights Agreement attached as Exhibit B thereto.</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53"/>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88"/>
              </w:rPr>
              <w:t>2015 Stock Plan, as amended.</w:t>
            </w:r>
          </w:p>
        </w:tc>
        <w:tc>
          <w:tcPr>
            <w:tcW w:w="7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60"/>
              <w:spacing w:after="0"/>
              <w:rPr>
                <w:sz w:val="20"/>
                <w:szCs w:val="20"/>
                <w:color w:val="auto"/>
              </w:rPr>
            </w:pPr>
            <w:r>
              <w:rPr>
                <w:rFonts w:ascii="Arial" w:cs="Arial" w:eastAsia="Arial" w:hAnsi="Arial"/>
                <w:sz w:val="18"/>
                <w:szCs w:val="18"/>
                <w:color w:val="auto"/>
              </w:rPr>
              <w:t>001-33277</w:t>
            </w:r>
          </w:p>
        </w:tc>
        <w:tc>
          <w:tcPr>
            <w:tcW w:w="2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94"/>
              <w:spacing w:after="0"/>
              <w:rPr>
                <w:sz w:val="20"/>
                <w:szCs w:val="20"/>
                <w:color w:val="auto"/>
              </w:rPr>
            </w:pPr>
            <w:r>
              <w:rPr>
                <w:rFonts w:ascii="Arial" w:cs="Arial" w:eastAsia="Arial" w:hAnsi="Arial"/>
                <w:sz w:val="18"/>
                <w:szCs w:val="18"/>
                <w:color w:val="auto"/>
                <w:w w:val="91"/>
              </w:rPr>
              <w:t>2017-07-05</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30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Certification of Principal Executive Officer</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1"/>
              </w:rPr>
              <w:t>pursuant to Rule 13a-14(a) or Rule 15d-14(a) of the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Securities Exchange Act of 1934, as adopted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2"/>
              </w:rPr>
              <w:t>pursuant to Section 302 of the Sarbanes-Oxley Act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of 2002.</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30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4"/>
              </w:rPr>
              <w:t>Certification of Principal Financial Officer pursuant</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to Rule 13a-14(a) or Rule 15d-14(a) of the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Securities Exchange Act of 1934, as adopted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2"/>
              </w:rPr>
              <w:t>pursuant to Section 302 of the Sarbanes-Oxley Act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of 2002.</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30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Certifications of Principal Executive Officer and</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7"/>
              </w:rPr>
              <w:t>Principal Financial Officer, pursuant to 18 U.S.C.</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89"/>
              </w:rPr>
              <w:t>Section 1350, as adopted pursuant to Section 906 of</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the Sarbanes-Oxley Act of 2002.</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101.INS</w:t>
            </w:r>
          </w:p>
        </w:tc>
        <w:tc>
          <w:tcPr>
            <w:tcW w:w="37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101.SCH</w:t>
            </w:r>
          </w:p>
        </w:tc>
        <w:tc>
          <w:tcPr>
            <w:tcW w:w="3780" w:type="dxa"/>
            <w:vAlign w:val="bottom"/>
            <w:gridSpan w:val="4"/>
          </w:tcPr>
          <w:p>
            <w:pPr>
              <w:spacing w:after="0"/>
              <w:rPr>
                <w:sz w:val="20"/>
                <w:szCs w:val="20"/>
                <w:color w:val="auto"/>
              </w:rPr>
            </w:pPr>
            <w:r>
              <w:rPr>
                <w:rFonts w:ascii="Arial" w:cs="Arial" w:eastAsia="Arial" w:hAnsi="Arial"/>
                <w:sz w:val="18"/>
                <w:szCs w:val="18"/>
                <w:color w:val="auto"/>
                <w:w w:val="98"/>
              </w:rPr>
              <w:t>XBRL Taxonomy Extension Schema Document.</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101.CAL</w:t>
            </w:r>
          </w:p>
        </w:tc>
        <w:tc>
          <w:tcPr>
            <w:tcW w:w="3780" w:type="dxa"/>
            <w:vAlign w:val="bottom"/>
            <w:gridSpan w:val="4"/>
          </w:tcPr>
          <w:p>
            <w:pPr>
              <w:spacing w:after="0"/>
              <w:rPr>
                <w:sz w:val="20"/>
                <w:szCs w:val="20"/>
                <w:color w:val="auto"/>
              </w:rPr>
            </w:pPr>
            <w:r>
              <w:rPr>
                <w:rFonts w:ascii="Arial" w:cs="Arial" w:eastAsia="Arial" w:hAnsi="Arial"/>
                <w:sz w:val="18"/>
                <w:szCs w:val="18"/>
                <w:color w:val="auto"/>
                <w:w w:val="96"/>
              </w:rPr>
              <w:t>XBRL Taxonomy Extension Calculation Linkbase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-5669915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-5669915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8" w:name="page29"/>
    <w:bookmarkEnd w:id="28"/>
    <w:tbl>
      <w:tblPr>
        <w:tblLayout w:type="fixed"/>
        <w:tblInd w:w="112"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690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c>
          <w:tcPr>
            <w:tcW w:w="3120" w:type="dxa"/>
            <w:vAlign w:val="bottom"/>
          </w:tcPr>
          <w:p>
            <w:pPr>
              <w:ind w:left="2980"/>
              <w:spacing w:after="0"/>
              <w:rPr>
                <w:sz w:val="20"/>
                <w:szCs w:val="20"/>
                <w:color w:val="auto"/>
              </w:rPr>
            </w:pPr>
            <w:r>
              <w:rPr>
                <w:rFonts w:ascii="Arial" w:cs="Arial" w:eastAsia="Arial" w:hAnsi="Arial"/>
                <w:sz w:val="18"/>
                <w:szCs w:val="18"/>
                <w:color w:val="auto"/>
                <w:w w:val="99"/>
              </w:rPr>
              <w:t>X</w:t>
            </w:r>
          </w:p>
        </w:tc>
      </w:tr>
      <w:tr>
        <w:trPr>
          <w:trHeight w:val="230"/>
        </w:trPr>
        <w:tc>
          <w:tcPr>
            <w:tcW w:w="900" w:type="dxa"/>
            <w:vAlign w:val="bottom"/>
          </w:tcPr>
          <w:p>
            <w:pPr>
              <w:spacing w:after="0"/>
              <w:rPr>
                <w:sz w:val="20"/>
                <w:szCs w:val="20"/>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120" w:type="dxa"/>
            <w:vAlign w:val="bottom"/>
          </w:tcPr>
          <w:p>
            <w:pPr>
              <w:spacing w:after="0"/>
              <w:rPr>
                <w:sz w:val="20"/>
                <w:szCs w:val="20"/>
                <w:color w:val="auto"/>
              </w:rPr>
            </w:pPr>
          </w:p>
        </w:tc>
      </w:tr>
      <w:tr>
        <w:trPr>
          <w:trHeight w:val="418"/>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690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c>
          <w:tcPr>
            <w:tcW w:w="3120" w:type="dxa"/>
            <w:vAlign w:val="bottom"/>
          </w:tcPr>
          <w:p>
            <w:pPr>
              <w:ind w:left="2980"/>
              <w:spacing w:after="0"/>
              <w:rPr>
                <w:sz w:val="20"/>
                <w:szCs w:val="20"/>
                <w:color w:val="auto"/>
              </w:rPr>
            </w:pPr>
            <w:r>
              <w:rPr>
                <w:rFonts w:ascii="Arial" w:cs="Arial" w:eastAsia="Arial" w:hAnsi="Arial"/>
                <w:sz w:val="18"/>
                <w:szCs w:val="18"/>
                <w:color w:val="auto"/>
                <w:w w:val="99"/>
              </w:rPr>
              <w:t>X</w:t>
            </w:r>
          </w:p>
        </w:tc>
      </w:tr>
      <w:tr>
        <w:trPr>
          <w:trHeight w:val="230"/>
        </w:trPr>
        <w:tc>
          <w:tcPr>
            <w:tcW w:w="900" w:type="dxa"/>
            <w:vAlign w:val="bottom"/>
          </w:tcPr>
          <w:p>
            <w:pPr>
              <w:spacing w:after="0"/>
              <w:rPr>
                <w:sz w:val="20"/>
                <w:szCs w:val="20"/>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120" w:type="dxa"/>
            <w:vAlign w:val="bottom"/>
          </w:tcPr>
          <w:p>
            <w:pPr>
              <w:spacing w:after="0"/>
              <w:rPr>
                <w:sz w:val="20"/>
                <w:szCs w:val="20"/>
                <w:color w:val="auto"/>
              </w:rPr>
            </w:pPr>
          </w:p>
        </w:tc>
      </w:tr>
      <w:tr>
        <w:trPr>
          <w:trHeight w:val="418"/>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690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c>
          <w:tcPr>
            <w:tcW w:w="3120" w:type="dxa"/>
            <w:vAlign w:val="bottom"/>
          </w:tcPr>
          <w:p>
            <w:pPr>
              <w:ind w:left="2980"/>
              <w:spacing w:after="0"/>
              <w:rPr>
                <w:sz w:val="20"/>
                <w:szCs w:val="20"/>
                <w:color w:val="auto"/>
              </w:rPr>
            </w:pPr>
            <w:r>
              <w:rPr>
                <w:rFonts w:ascii="Arial" w:cs="Arial" w:eastAsia="Arial" w:hAnsi="Arial"/>
                <w:sz w:val="18"/>
                <w:szCs w:val="18"/>
                <w:color w:val="auto"/>
                <w:w w:val="99"/>
              </w:rPr>
              <w:t>X</w:t>
            </w:r>
          </w:p>
        </w:tc>
      </w:tr>
      <w:tr>
        <w:trPr>
          <w:trHeight w:val="230"/>
        </w:trPr>
        <w:tc>
          <w:tcPr>
            <w:tcW w:w="900" w:type="dxa"/>
            <w:vAlign w:val="bottom"/>
          </w:tcPr>
          <w:p>
            <w:pPr>
              <w:spacing w:after="0"/>
              <w:rPr>
                <w:sz w:val="20"/>
                <w:szCs w:val="20"/>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Document.</w:t>
            </w:r>
          </w:p>
        </w:tc>
        <w:tc>
          <w:tcPr>
            <w:tcW w:w="3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72" w:hanging="772"/>
        <w:spacing w:after="0" w:line="259" w:lineRule="auto"/>
        <w:tabs>
          <w:tab w:leader="none" w:pos="7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8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12"/>
          </w:cols>
          <w:pgMar w:left="248"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Quarterly Report on Form 10-Q for the quarterly period ended June 30, 2017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Dated: August 10, 2017</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240" w:type="dxa"/>
            <w:vAlign w:val="bottom"/>
          </w:tcPr>
          <w:p>
            <w:pPr>
              <w:spacing w:after="0"/>
              <w:rPr>
                <w:sz w:val="16"/>
                <w:szCs w:val="16"/>
                <w:color w:val="auto"/>
              </w:rPr>
            </w:pP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2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2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240" w:type="dxa"/>
            <w:vAlign w:val="bottom"/>
          </w:tcPr>
          <w:p>
            <w:pPr>
              <w:spacing w:after="0"/>
              <w:rPr>
                <w:sz w:val="20"/>
                <w:szCs w:val="20"/>
                <w:color w:val="auto"/>
              </w:rPr>
            </w:pPr>
            <w:r>
              <w:rPr>
                <w:rFonts w:ascii="Arial" w:cs="Arial" w:eastAsia="Arial" w:hAnsi="Arial"/>
                <w:sz w:val="18"/>
                <w:szCs w:val="18"/>
                <w:color w:val="auto"/>
              </w:rPr>
              <w:t>Dated: August 10, 2017</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195"/>
        </w:trPr>
        <w:tc>
          <w:tcPr>
            <w:tcW w:w="5240" w:type="dxa"/>
            <w:vAlign w:val="bottom"/>
          </w:tcPr>
          <w:p>
            <w:pPr>
              <w:spacing w:after="0"/>
              <w:rPr>
                <w:sz w:val="16"/>
                <w:szCs w:val="16"/>
                <w:color w:val="auto"/>
              </w:rPr>
            </w:pP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2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2019-12-29T04:22:25Z</dcterms:created>
  <dcterms:modified xsi:type="dcterms:W3CDTF">2019-12-29T04:22:25Z</dcterms:modified>
</cp:coreProperties>
</file>