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-605155</wp:posOffset>
            </wp:positionV>
            <wp:extent cx="8255" cy="605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3993515</wp:posOffset>
            </wp:positionH>
            <wp:positionV relativeFrom="paragraph">
              <wp:posOffset>-613410</wp:posOffset>
            </wp:positionV>
            <wp:extent cx="8255" cy="6140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4018280</wp:posOffset>
            </wp:positionH>
            <wp:positionV relativeFrom="paragraph">
              <wp:posOffset>-588645</wp:posOffset>
            </wp:positionV>
            <wp:extent cx="1269365" cy="565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-1623060</wp:posOffset>
            </wp:positionH>
            <wp:positionV relativeFrom="paragraph">
              <wp:posOffset>28575</wp:posOffset>
            </wp:positionV>
            <wp:extent cx="6968490" cy="18751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87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Lynch Brian Joseph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 w:line="3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C/O MADRIGAL PHARMACEUTICALS, INC. 200 BARR HARBOR DRIVE, SUITE 200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rFonts w:ascii="Arial" w:cs="Arial" w:eastAsia="Arial" w:hAnsi="Arial"/>
          <w:sz w:val="20"/>
          <w:szCs w:val="20"/>
          <w:u w:val="single" w:color="auto"/>
          <w:color w:val="0000EE"/>
        </w:rPr>
      </w:pPr>
      <w:hyperlink r:id="rId14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MADRIGAL PHARMACEUTICALS, INC.</w:t>
        </w:r>
      </w:hyperlink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0" w:hanging="130"/>
        <w:spacing w:after="0"/>
        <w:tabs>
          <w:tab w:leader="none" w:pos="130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MDGL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08/06/2020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See Remarks</w:t>
      </w:r>
    </w:p>
    <w:p>
      <w:pPr>
        <w:spacing w:after="0" w:line="5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440" w:space="470"/>
            <w:col w:w="3690" w:space="140"/>
            <w:col w:w="3340"/>
          </w:cols>
          <w:pgMar w:left="460" w:top="221" w:right="359" w:bottom="1440" w:gutter="0" w:footer="0" w:header="0"/>
          <w:type w:val="continuous"/>
        </w:sectPr>
      </w:pP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(Street)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120"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color w:val="0000FF"/>
          <w:vertAlign w:val="superscript"/>
        </w:rPr>
        <w:t>WEST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 PA 19428 CONSHOHOCKEN</w:t>
      </w: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(Zip)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18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-2486660</wp:posOffset>
            </wp:positionH>
            <wp:positionV relativeFrom="paragraph">
              <wp:posOffset>266065</wp:posOffset>
            </wp:positionV>
            <wp:extent cx="6968490" cy="8763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200" w:space="720"/>
            <w:col w:w="7160"/>
          </w:cols>
          <w:pgMar w:left="460" w:top="221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-15875</wp:posOffset>
            </wp:positionV>
            <wp:extent cx="7033895" cy="20961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9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6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9"/>
        </w:trPr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85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9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103.1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08/06/2020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08/06/2030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20,000</w:t>
            </w:r>
          </w:p>
        </w:tc>
        <w:tc>
          <w:tcPr>
            <w:tcW w:w="6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20,000</w:t>
            </w:r>
          </w:p>
        </w:tc>
        <w:tc>
          <w:tcPr>
            <w:tcW w:w="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04"/>
        </w:trPr>
        <w:tc>
          <w:tcPr>
            <w:tcW w:w="680" w:type="dxa"/>
            <w:vAlign w:val="bottom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 w:right="500" w:firstLine="2"/>
        <w:spacing w:after="0" w:line="249" w:lineRule="auto"/>
        <w:tabs>
          <w:tab w:leader="none" w:pos="169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as to 25% of the shares on the first anniversary of the date of grant (August 6, 2021) and, thereafter, 6.25% of the shares shall vest on the last day of each successive three month period, provided the Reporting Person continues in service with the Issuer on each such date.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Senior Vice President and General Counsel</w:t>
      </w:r>
    </w:p>
    <w:p>
      <w:pPr>
        <w:spacing w:after="0" w:line="51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/s/ Brian J. Lynch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08/10/2020</w:t>
            </w: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[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776196" TargetMode="External"/><Relationship Id="rId14" Type="http://schemas.openxmlformats.org/officeDocument/2006/relationships/hyperlink" Target="http://www.sec.gov/cgi-bin/browse-edgar?action=getcompany&amp;CIK=000115760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2020-08-10T18:08:29Z</dcterms:created>
  <dcterms:modified xsi:type="dcterms:W3CDTF">2020-08-10T18:08:29Z</dcterms:modified>
</cp:coreProperties>
</file>