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1560" w:type="dxa"/>
        <w:tblCellMar>
          <w:top w:w="0" w:type="dxa"/>
          <w:left w:w="0" w:type="dxa"/>
          <w:bottom w:w="0" w:type="dxa"/>
          <w:right w:w="0" w:type="dxa"/>
        </w:tblCellMar>
      </w:tblPr>
      <w:tr>
        <w:trPr>
          <w:trHeight w:val="214"/>
        </w:trPr>
        <w:tc>
          <w:tcPr>
            <w:tcW w:w="4500" w:type="dxa"/>
            <w:vAlign w:val="bottom"/>
          </w:tcPr>
          <w:p>
            <w:pPr>
              <w:jc w:val="center"/>
              <w:ind w:right="17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04-3508648</w:t>
            </w:r>
          </w:p>
        </w:tc>
      </w:tr>
      <w:tr>
        <w:trPr>
          <w:trHeight w:val="148"/>
        </w:trPr>
        <w:tc>
          <w:tcPr>
            <w:tcW w:w="4500" w:type="dxa"/>
            <w:vAlign w:val="bottom"/>
          </w:tcPr>
          <w:p>
            <w:pPr>
              <w:jc w:val="center"/>
              <w:ind w:right="17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00" w:type="dxa"/>
            <w:vAlign w:val="bottom"/>
          </w:tcPr>
          <w:p>
            <w:pPr>
              <w:jc w:val="center"/>
              <w:ind w:right="17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500" w:type="dxa"/>
            <w:vAlign w:val="bottom"/>
          </w:tcPr>
          <w:p>
            <w:pPr>
              <w:jc w:val="center"/>
              <w:ind w:right="1738"/>
              <w:spacing w:after="0"/>
              <w:rPr>
                <w:sz w:val="20"/>
                <w:szCs w:val="20"/>
                <w:color w:val="auto"/>
              </w:rPr>
            </w:pPr>
            <w:r>
              <w:rPr>
                <w:rFonts w:ascii="Times New Roman" w:cs="Times New Roman" w:eastAsia="Times New Roman" w:hAnsi="Times New Roman"/>
                <w:sz w:val="18"/>
                <w:szCs w:val="18"/>
                <w:b w:val="1"/>
                <w:bCs w:val="1"/>
                <w:color w:val="auto"/>
                <w:w w:val="99"/>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200 Barr Harbor Drive, Suite 200</w:t>
            </w:r>
          </w:p>
        </w:tc>
        <w:tc>
          <w:tcPr>
            <w:tcW w:w="2960" w:type="dxa"/>
            <w:vAlign w:val="bottom"/>
          </w:tcPr>
          <w:p>
            <w:pPr>
              <w:spacing w:after="0"/>
              <w:rPr>
                <w:sz w:val="18"/>
                <w:szCs w:val="18"/>
                <w:color w:val="auto"/>
              </w:rPr>
            </w:pPr>
          </w:p>
        </w:tc>
      </w:tr>
      <w:tr>
        <w:trPr>
          <w:trHeight w:val="227"/>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West Conshohocken, Pennsylvania</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19428</w:t>
            </w:r>
          </w:p>
        </w:tc>
      </w:tr>
      <w:tr>
        <w:trPr>
          <w:trHeight w:val="190"/>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 824-2827</w:t>
      </w:r>
    </w:p>
    <w:p>
      <w:pPr>
        <w:spacing w:after="0" w:line="2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230505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120"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left="120"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26" w:right="439" w:bottom="0" w:gutter="0" w:footer="0" w:header="0"/>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1, 2022, the registrant had 17,103,395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1"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30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320" w:type="dxa"/>
            <w:vAlign w:val="bottom"/>
            <w:gridSpan w:val="20"/>
          </w:tcPr>
          <w:p>
            <w:pPr>
              <w:spacing w:after="0" w:line="169"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8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84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at June 30, 2022 and December 31, 2021</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June 30, 2022 and 2021</w:t>
            </w:r>
          </w:p>
        </w:tc>
        <w:tc>
          <w:tcPr>
            <w:tcW w:w="122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and Six Months Ended June 30, 2022 and 2021</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Six Months Ended June 30, 2022 and 2021</w:t>
            </w:r>
          </w:p>
        </w:tc>
        <w:tc>
          <w:tcPr>
            <w:tcW w:w="4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and 2021</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380" w:type="dxa"/>
            <w:vAlign w:val="bottom"/>
            <w:tcBorders>
              <w:top w:val="single" w:sz="8" w:color="0000EE"/>
            </w:tcBorders>
            <w:gridSpan w:val="5"/>
          </w:tcPr>
          <w:p>
            <w:pPr>
              <w:spacing w:after="0"/>
              <w:rPr>
                <w:sz w:val="17"/>
                <w:szCs w:val="17"/>
                <w:color w:val="auto"/>
              </w:rPr>
            </w:pPr>
          </w:p>
        </w:tc>
        <w:tc>
          <w:tcPr>
            <w:tcW w:w="194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286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54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746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420" w:type="dxa"/>
            <w:vAlign w:val="bottom"/>
            <w:tcBorders>
              <w:top w:val="single" w:sz="8" w:color="0000EE"/>
            </w:tcBorders>
            <w:gridSpan w:val="2"/>
          </w:tcPr>
          <w:p>
            <w:pPr>
              <w:spacing w:after="0"/>
              <w:rPr>
                <w:sz w:val="17"/>
                <w:szCs w:val="17"/>
                <w:color w:val="auto"/>
              </w:rPr>
            </w:pPr>
          </w:p>
        </w:tc>
        <w:tc>
          <w:tcPr>
            <w:tcW w:w="798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96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700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60" w:type="dxa"/>
            <w:vAlign w:val="bottom"/>
            <w:gridSpan w:val="1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385"/>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160" w:type="dxa"/>
            <w:vAlign w:val="bottom"/>
            <w:gridSpan w:val="12"/>
          </w:tcPr>
          <w:p>
            <w:pPr>
              <w:jc w:val="right"/>
              <w:ind w:right="1148"/>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53,272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36,269</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158,494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234,077</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216,392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273,332</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11,294</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21,380</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71,836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55,048</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84,009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76,838</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48,670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48,848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132,857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authorized: 5,000,000 shares at June 30, 2022 and December 31, 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1,969,797 shares issued and outstanding at June 30, 2022 and December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200,000,000 at June 30, 2022 and December 31, 2021;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17,103,395 shares issued and outstanding at June 30, 2022 and December 31, 2021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879,538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863,495</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6"/>
              </w:rPr>
              <w:t>(795,558)</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(667,310)</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83,535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196,107</w:t>
            </w:r>
          </w:p>
        </w:tc>
        <w:tc>
          <w:tcPr>
            <w:tcW w:w="0" w:type="dxa"/>
            <w:vAlign w:val="bottom"/>
          </w:tcPr>
          <w:p>
            <w:pPr>
              <w:spacing w:after="0"/>
              <w:rPr>
                <w:sz w:val="1"/>
                <w:szCs w:val="1"/>
                <w:color w:val="auto"/>
              </w:rPr>
            </w:pPr>
          </w:p>
        </w:tc>
      </w:tr>
      <w:tr>
        <w:trPr>
          <w:trHeight w:val="223"/>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216,392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20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58,499</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51,632</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106,428</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97,402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10,110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17,319</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70,273</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61,742</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127,860</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(70,273)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(61,742)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(127,860)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(114,721)</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(61,651)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(114,197)</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 outstanding</w:t>
            </w:r>
          </w:p>
        </w:tc>
        <w:tc>
          <w:tcPr>
            <w:tcW w:w="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17,103,395</w:t>
            </w: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16,571,322</w:t>
            </w:r>
          </w:p>
        </w:tc>
        <w:tc>
          <w:tcPr>
            <w:tcW w:w="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17,103,395</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16,207,880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360"/>
        <w:spacing w:after="0" w:line="278" w:lineRule="auto"/>
        <w:rPr>
          <w:sz w:val="20"/>
          <w:szCs w:val="20"/>
          <w:color w:val="auto"/>
        </w:rPr>
      </w:pPr>
      <w:r>
        <w:rPr>
          <w:rFonts w:ascii="Times New Roman" w:cs="Times New Roman" w:eastAsia="Times New Roman" w:hAnsi="Times New Roman"/>
          <w:sz w:val="18"/>
          <w:szCs w:val="18"/>
          <w:b w:val="1"/>
          <w:bCs w:val="1"/>
          <w:color w:val="auto"/>
        </w:rPr>
        <w:t>MADRIGAL PHARMACEUTICALS, INC. CONDENSED CONSOLIDATED STATEMENTS OF COMPREHENSIVE LOSS (Unaudited;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20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80" w:type="dxa"/>
            <w:vAlign w:val="bottom"/>
            <w:gridSpan w:val="5"/>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0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(70,730)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(61,651)</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 (128,248)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$(114,197)</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7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(70,775</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7"/>
              </w:rPr>
              <w:t>(61,622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(128,615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(114,229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32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9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6"/>
                <w:szCs w:val="6"/>
                <w:color w:val="auto"/>
              </w:rPr>
            </w:pPr>
          </w:p>
        </w:tc>
        <w:tc>
          <w:tcPr>
            <w:tcW w:w="90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vMerge w:val="restart"/>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3220" w:type="dxa"/>
            <w:vAlign w:val="bottom"/>
          </w:tcPr>
          <w:p>
            <w:pPr>
              <w:spacing w:after="0"/>
              <w:rPr>
                <w:sz w:val="4"/>
                <w:szCs w:val="4"/>
                <w:color w:val="auto"/>
              </w:rPr>
            </w:pPr>
          </w:p>
        </w:tc>
        <w:tc>
          <w:tcPr>
            <w:tcW w:w="1240" w:type="dxa"/>
            <w:vAlign w:val="bottom"/>
            <w:gridSpan w:val="4"/>
            <w:vMerge w:val="restart"/>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gridSpan w:val="3"/>
            <w:vMerge w:val="restart"/>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3220" w:type="dxa"/>
            <w:vAlign w:val="bottom"/>
          </w:tcPr>
          <w:p>
            <w:pPr>
              <w:spacing w:after="0"/>
              <w:rPr>
                <w:sz w:val="9"/>
                <w:szCs w:val="9"/>
                <w:color w:val="auto"/>
              </w:rPr>
            </w:pPr>
          </w:p>
        </w:tc>
        <w:tc>
          <w:tcPr>
            <w:tcW w:w="1240" w:type="dxa"/>
            <w:vAlign w:val="bottom"/>
            <w:tcBorders>
              <w:bottom w:val="single" w:sz="8" w:color="auto"/>
            </w:tcBorders>
            <w:gridSpan w:val="4"/>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220" w:type="dxa"/>
            <w:vAlign w:val="bottom"/>
          </w:tcPr>
          <w:p>
            <w:pPr>
              <w:spacing w:after="0" w:line="20" w:lineRule="exact"/>
              <w:rPr>
                <w:sz w:val="1"/>
                <w:szCs w:val="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vMerge w:val="restart"/>
          </w:tcPr>
          <w:p>
            <w:pPr>
              <w:spacing w:after="0" w:line="20" w:lineRule="exact"/>
              <w:rPr>
                <w:sz w:val="1"/>
                <w:szCs w:val="1"/>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line="20" w:lineRule="exact"/>
              <w:rPr>
                <w:sz w:val="1"/>
                <w:szCs w:val="1"/>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2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1,969,797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17,103,395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$ 863,495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(667,310)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196,107</w:t>
            </w:r>
          </w:p>
        </w:tc>
        <w:tc>
          <w:tcPr>
            <w:tcW w:w="0" w:type="dxa"/>
            <w:vAlign w:val="bottom"/>
          </w:tcPr>
          <w:p>
            <w:pPr>
              <w:spacing w:after="0"/>
              <w:rPr>
                <w:sz w:val="1"/>
                <w:szCs w:val="1"/>
                <w:color w:val="auto"/>
              </w:rPr>
            </w:pPr>
          </w:p>
        </w:tc>
      </w:tr>
      <w:tr>
        <w:trPr>
          <w:trHeight w:val="198"/>
        </w:trPr>
        <w:tc>
          <w:tcPr>
            <w:tcW w:w="32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7,477</w:t>
            </w:r>
          </w:p>
        </w:tc>
        <w:tc>
          <w:tcPr>
            <w:tcW w:w="1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(57,518)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17,103,395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$ 870,972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(724,828)</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145,744</w:t>
            </w:r>
          </w:p>
        </w:tc>
        <w:tc>
          <w:tcPr>
            <w:tcW w:w="0" w:type="dxa"/>
            <w:vAlign w:val="bottom"/>
          </w:tcPr>
          <w:p>
            <w:pPr>
              <w:spacing w:after="0"/>
              <w:rPr>
                <w:sz w:val="1"/>
                <w:szCs w:val="1"/>
                <w:color w:val="auto"/>
              </w:rPr>
            </w:pPr>
          </w:p>
        </w:tc>
      </w:tr>
      <w:tr>
        <w:trPr>
          <w:trHeight w:val="198"/>
        </w:trPr>
        <w:tc>
          <w:tcPr>
            <w:tcW w:w="32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7,944</w:t>
            </w:r>
          </w:p>
        </w:tc>
        <w:tc>
          <w:tcPr>
            <w:tcW w:w="1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7,944</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warrants</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(70,730)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(70,730)</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17,103,395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w w:val="70"/>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$ 879,538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(795,558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1,969,797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15,508,146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$ 665,385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(425,464)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239,970</w:t>
            </w:r>
          </w:p>
        </w:tc>
        <w:tc>
          <w:tcPr>
            <w:tcW w:w="0" w:type="dxa"/>
            <w:vAlign w:val="bottom"/>
          </w:tcPr>
          <w:p>
            <w:pPr>
              <w:spacing w:after="0"/>
              <w:rPr>
                <w:sz w:val="1"/>
                <w:szCs w:val="1"/>
                <w:color w:val="auto"/>
              </w:rPr>
            </w:pPr>
          </w:p>
        </w:tc>
      </w:tr>
      <w:tr>
        <w:trPr>
          <w:trHeight w:val="198"/>
        </w:trPr>
        <w:tc>
          <w:tcPr>
            <w:tcW w:w="32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offering, excluding to related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parties, net of transaction costs</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550,803</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66,616</w:t>
            </w:r>
          </w:p>
        </w:tc>
        <w:tc>
          <w:tcPr>
            <w:tcW w:w="1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66,616</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parties and exercise of common</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options, net of transaction</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costs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4,250</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98"/>
        </w:trPr>
        <w:tc>
          <w:tcPr>
            <w:tcW w:w="32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6,096</w:t>
            </w:r>
          </w:p>
        </w:tc>
        <w:tc>
          <w:tcPr>
            <w:tcW w:w="1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(52,546)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(52,546)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16,063,199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$ 738,575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(478,010)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260,553</w:t>
            </w:r>
          </w:p>
        </w:tc>
        <w:tc>
          <w:tcPr>
            <w:tcW w:w="0" w:type="dxa"/>
            <w:vAlign w:val="bottom"/>
          </w:tcPr>
          <w:p>
            <w:pPr>
              <w:spacing w:after="0"/>
              <w:rPr>
                <w:sz w:val="1"/>
                <w:szCs w:val="1"/>
                <w:color w:val="auto"/>
              </w:rPr>
            </w:pPr>
          </w:p>
        </w:tc>
      </w:tr>
      <w:tr>
        <w:trPr>
          <w:trHeight w:val="198"/>
        </w:trPr>
        <w:tc>
          <w:tcPr>
            <w:tcW w:w="32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offering, excluding to related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parties, net of transaction costs</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536,323</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63,541</w:t>
            </w:r>
          </w:p>
        </w:tc>
        <w:tc>
          <w:tcPr>
            <w:tcW w:w="1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63,541</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8,179</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198"/>
        </w:trPr>
        <w:tc>
          <w:tcPr>
            <w:tcW w:w="32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(61,651)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(61,651)</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16,599,522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w w:val="70"/>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$ 810,295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(539,661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776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7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6"/>
              </w:rPr>
              <w:t>(128,248)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(114,197)</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15,421</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14,275</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(1,208)</w:t>
            </w:r>
          </w:p>
        </w:tc>
      </w:tr>
      <w:tr>
        <w:trPr>
          <w:trHeight w:val="216"/>
        </w:trPr>
        <w:tc>
          <w:tcPr>
            <w:tcW w:w="7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(10,086)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16,788</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10,018</w:t>
            </w:r>
          </w:p>
        </w:tc>
      </w:tr>
      <w:tr>
        <w:trPr>
          <w:trHeight w:val="216"/>
        </w:trPr>
        <w:tc>
          <w:tcPr>
            <w:tcW w:w="7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7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(107,273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(90,310)</w:t>
            </w:r>
          </w:p>
        </w:tc>
        <w:tc>
          <w:tcPr>
            <w:tcW w:w="120" w:type="dxa"/>
            <w:vAlign w:val="bottom"/>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6"/>
              </w:rPr>
              <w:t>(116,496)</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(224,071)</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191,813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163,328</w:t>
            </w: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75,162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(60,789)</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130,157</w:t>
            </w: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loan payable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49,114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130,635</w:t>
            </w:r>
          </w:p>
        </w:tc>
      </w:tr>
      <w:tr>
        <w:trPr>
          <w:trHeight w:val="223"/>
        </w:trPr>
        <w:tc>
          <w:tcPr>
            <w:tcW w:w="7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(20,464)</w:t>
            </w: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36,269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54,004</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33,540</w:t>
            </w:r>
          </w:p>
        </w:tc>
        <w:tc>
          <w:tcPr>
            <w:tcW w:w="12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698"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MADRIGAL PHARMACEUTICALS, INC. NOTES TO CONDENSED CONSOLIDATED FINANCIAL STATEMENTS (Unaudited)</w:t>
      </w:r>
    </w:p>
    <w:p>
      <w:pPr>
        <w:spacing w:after="0" w:line="384" w:lineRule="exact"/>
        <w:rPr>
          <w:sz w:val="20"/>
          <w:szCs w:val="20"/>
          <w:color w:val="auto"/>
        </w:rPr>
      </w:pPr>
    </w:p>
    <w:p>
      <w:pPr>
        <w:ind w:left="120" w:right="7020" w:hanging="4"/>
        <w:spacing w:after="0" w:line="378" w:lineRule="auto"/>
        <w:tabs>
          <w:tab w:leader="none" w:pos="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Madrigal Pharmaceuticals, Inc. (the “Company” or “Madrigal”) is a clinical-stage biopharmaceutical company pursuing novel therapeutics for nonalcoholic steatohepatitis (NASH), a liver disease with high unmet medical need. Madrigal’s lead candidate, resmetirom, is a once daily, oral, thyroid hormone receptor (THR)-ß selective agonist designed to target key underlying causes of NASH in the liver. Resmetirom is currently being evaluated in two Phase 3 clinical studies (MAESTRO-NASH and MAESTRO-NAFLD-1) designed to demonstrate multiple benefits in patients with NASH. The Company announced results from the Phase 3 MAESTRO-NAFLD-1 safety study of resmetirom in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2022 or any subsequent period. These unaudited condensed consolidated financial statements should be read in conjunction with the audited consolidated financial statements and the notes to those statements for the year ended December 31, 2021.</w:t>
      </w:r>
    </w:p>
    <w:p>
      <w:pPr>
        <w:spacing w:after="0" w:line="296" w:lineRule="exact"/>
        <w:rPr>
          <w:sz w:val="20"/>
          <w:szCs w:val="20"/>
          <w:color w:val="auto"/>
        </w:rPr>
      </w:pPr>
    </w:p>
    <w:p>
      <w:pPr>
        <w:ind w:left="120" w:right="7440" w:hanging="4"/>
        <w:spacing w:after="0" w:line="378" w:lineRule="auto"/>
        <w:tabs>
          <w:tab w:leader="none" w:pos="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Realized gains and losses and declines in value, if any, that the Company judges to be other-than-temporary on available-for-sale securities are reported as a component of interest income.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six months ended June 30, 2022 and 2021, the Company determined it did not have any securities that were other-than-temporarily impaired.</w:t>
      </w:r>
    </w:p>
    <w:p>
      <w:pPr>
        <w:spacing w:after="0" w:line="18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six months ended June 30, 2022 and 2021, the Company did not have any realized gains or losses on marketable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 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of June 30, 2022,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six months ended June 30, 2022 and 2021, the Company did not have any transfers of financial assets between Levels 1 and 2. As of June 30, 2022 and December 31, 2021, the Company did not have any financial liabilities that were recorded at fair value on a recurring basis on the balance sheet.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general and administrative expense in the Company’s consolidated statements of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excluding any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six months ended June 30, 2022 and 2021,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outstanding securities not included in the computation of diluted net loss per common share, as their inclusion would be anti-dilutive:</w:t>
      </w:r>
    </w:p>
    <w:p>
      <w:pPr>
        <w:spacing w:after="0" w:line="39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8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2,976,545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2,268,787</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1,969,797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1,969,797</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14,899</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(FDA) and other government regulations.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has incurred losses since inception, including approximately $128.2 million for the six months ended June 30, 2022, resulting in an accumulated deficit of approximately $795.6 million as of June 30, 2022. Management expects to incur losses for the foreseeable future. To date, the Company has funded its operations primarily through proceeds from sales of the Company’s capital stock. In addition, the Company entered into a Loan and Security Agreement (the “Loan Facility”) with Hercules Capital, Inc. and the several banks and other financial institutions or entities party thereto in May 2022 which provides for an aggregate of up to $250.0 million in term loans, which will be available in four tranches, subject to the Company’s achievement of certain milestones. The first $50.0 million tranche was drawn at closing (see Note 6 – Long Term Debt). The Company believes that its cash, cash equivalents and marketable securities at June 30, 2022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Cash, Cash Equivalents and Marketable Securities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June 30, 2022 and December 31, 2021 is as follows (in thousands):</w:t>
      </w:r>
    </w:p>
    <w:p>
      <w:pPr>
        <w:spacing w:after="0" w:line="29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37,809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13,735</w:t>
            </w:r>
          </w:p>
        </w:tc>
        <w:tc>
          <w:tcPr>
            <w:tcW w:w="14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53,272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5"/>
              </w:rPr>
              <w:t>152,923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152,493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government and government sponsored entities due within 1 year of date of</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rPr>
              <w:t>purchase (Level 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6,018</w:t>
            </w:r>
          </w:p>
        </w:tc>
        <w:tc>
          <w:tcPr>
            <w:tcW w:w="140" w:type="dxa"/>
            <w:vAlign w:val="bottom"/>
          </w:tcPr>
          <w:p>
            <w:pPr>
              <w:spacing w:after="0"/>
              <w:rPr>
                <w:sz w:val="20"/>
                <w:szCs w:val="20"/>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5"/>
              </w:rPr>
              <w:t>212,213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211,766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7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18,877</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17,392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17,392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36,269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228,348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228,288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1 to 2 years of date of purchase (Level 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5,809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23"/>
        </w:trPr>
        <w:tc>
          <w:tcPr>
            <w:tcW w:w="6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270,426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Accrued liabilities as of June 30, 2022 and December 31, 2021 consisted of the following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research organization costs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clinical study related costs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71,836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55,048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Long Term Debt</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May 2022 the Company and its wholly-owned subsidiary, Canticle Pharmaceuticals, Inc., entered into the $250.0 million Loan Facility with the several banks and other financial 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may also draw up to an additional $125.0 million in two separate tranches upon achievement of certain resmetirom clinical and regulatory milestones. A fourth tranche of $75.0 million may be drawn by the Company, subject to the approval of Hercules.</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Loan Facility has a minimum interest rate of 7.45% and adjusts with changes in the prime rate. The Company will pay interest-only monthly payments of accrued interest under the Loan Facility for a period of 30 months, which period may be extended to 36, 48, and 60 months upon the successive achievement of certain clinical and regulatory milestones and if the Company maintains compliance with applicable covenants. The Loan Facility matures in May 2026 and may be extended an additional year upon the achievement of certain clinical and regulatory milestones.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which had a Black-Scholes value of $0.6 million. Additional details of the Loan Facility were filed with the Securities and Exchange Commission (“SEC”) on a Current Report on Form 8-K on May 9, 2022 and the Loan and Security Agreement associated with the Loan Facility is included as an exhibit to this Quarterly Report on Form 10-Q.</w:t>
      </w:r>
    </w:p>
    <w:p>
      <w:pPr>
        <w:spacing w:after="0" w:line="18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Loan Facility includes affirmative and restrictive financial covenants commencing on January 1, 2023, including maintenance of a minimum cash, cash equivalents and liquid funds covenant of $35.0 million, which may decrease in certain circumstances if the Company achieves certain clinical milestones and a revenue milestone, and a revenue-based covenant that could apply commencing at or after the time that financial reporting is due for the quarter ending September 30, 2024.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As of June 30, 2022, the outstanding principal under the Loan Facility was $50.0 million. The interest rate as of June 30, 2022 was 8.70%. As of June 30, 2022, the Company was in compliance with all loan covenants and provisions.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minimum payments, including interest and principal, under the loans payable outstanding as of June 30, 2022 are as follows (in thousands):</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22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Period Ending June 30, 2022:</w:t>
            </w:r>
          </w:p>
        </w:tc>
        <w:tc>
          <w:tcPr>
            <w:tcW w:w="466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gridSpan w:val="2"/>
          </w:tcPr>
          <w:p>
            <w:pPr>
              <w:spacing w:after="0"/>
              <w:rPr>
                <w:sz w:val="19"/>
                <w:szCs w:val="19"/>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shd w:val="clear" w:color="auto" w:fill="CCEEFF"/>
          </w:tcPr>
          <w:p>
            <w:pPr>
              <w:spacing w:after="0"/>
              <w:rPr>
                <w:sz w:val="18"/>
                <w:szCs w:val="18"/>
                <w:color w:val="auto"/>
              </w:rPr>
            </w:pPr>
          </w:p>
        </w:tc>
      </w:tr>
      <w:tr>
        <w:trPr>
          <w:trHeight w:val="216"/>
        </w:trPr>
        <w:tc>
          <w:tcPr>
            <w:tcW w:w="2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tcPr>
          <w:p>
            <w:pPr>
              <w:spacing w:after="0"/>
              <w:rPr>
                <w:sz w:val="18"/>
                <w:szCs w:val="18"/>
                <w:color w:val="auto"/>
              </w:rPr>
            </w:pPr>
          </w:p>
        </w:tc>
      </w:tr>
      <w:tr>
        <w:trPr>
          <w:trHeight w:val="216"/>
        </w:trPr>
        <w:tc>
          <w:tcPr>
            <w:tcW w:w="2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9,338</w:t>
            </w:r>
          </w:p>
        </w:tc>
        <w:tc>
          <w:tcPr>
            <w:tcW w:w="80" w:type="dxa"/>
            <w:vAlign w:val="bottom"/>
            <w:shd w:val="clear" w:color="auto" w:fill="CCEEFF"/>
          </w:tcPr>
          <w:p>
            <w:pPr>
              <w:spacing w:after="0"/>
              <w:rPr>
                <w:sz w:val="18"/>
                <w:szCs w:val="18"/>
                <w:color w:val="auto"/>
              </w:rPr>
            </w:pPr>
          </w:p>
        </w:tc>
      </w:tr>
      <w:tr>
        <w:trPr>
          <w:trHeight w:val="223"/>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66,726</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(14,051)</w:t>
            </w:r>
          </w:p>
        </w:tc>
      </w:tr>
      <w:tr>
        <w:trPr>
          <w:trHeight w:val="216"/>
        </w:trPr>
        <w:tc>
          <w:tcPr>
            <w:tcW w:w="6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(4,005)</w:t>
            </w: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payable, net of discount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9200" w:hanging="4"/>
        <w:spacing w:after="0" w:line="377" w:lineRule="auto"/>
        <w:tabs>
          <w:tab w:leader="none" w:pos="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Each common stockholder generally is entitled to one vote for each share of common stock held, subject to limitations as may be established for certain other classes and series of stock of the Company from time to time. Each share of common stock is entitled to receive dividends, as and when declared by the Company’s board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Company’s Series A Convertible Preferred Stock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November 2020, the Company entered into an at-the-market sales agreement (the “2020 Sales Agreement”), with Cowen and Company, LLC (“Cowen”), pursuant to which the Company could, from time to time, issue and sell shares of its common stock. The 2020 Sales Agreement authorized an aggregate offering of up to $200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The 2020 Sales Agreement was terminated in June 2021 when the Company filed a new shelf registration statement.</w:t>
      </w:r>
    </w:p>
    <w:p>
      <w:pPr>
        <w:spacing w:after="0" w:line="187"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Under the 2020 Sales Agreement the Company sold 1,126,733 shares for an aggregate of approximately $137.4 million in gross proceeds, with net proceeds to the Company of approximately $134.8 million after deducting commissions and other transaction costs. Of those shares sold, 1,087,126 were sold in 2021.</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June 2021, the Company filed with the SEC and had declared effective a new shelf registration statement on Form S-3 and, in connection therewith, entered into a new at-the-market sales agreement (the “2021 Sales Agreement”) with Cowen. The terms of the 2021 Sales Agreement are substantially the same as the 2020 Sales Agreement. The 2021 Sales Agreement authorizes an aggregate offering of up to $200 million in shares of our common stock, from time to time, at the Company’s option, through Cowen as its sales agent. The 2021 Sales Agreement supersedes the 2020 Sales Agreement. Subject to the terms and conditions of the 2021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w:t>
      </w:r>
    </w:p>
    <w:p>
      <w:pPr>
        <w:sectPr>
          <w:pgSz w:w="11900" w:h="16838" w:orient="portrait"/>
          <w:cols w:equalWidth="0" w:num="1">
            <w:col w:w="11120"/>
          </w:cols>
          <w:pgMar w:left="320" w:top="482" w:right="459" w:bottom="1440" w:gutter="0" w:footer="0" w:header="0"/>
        </w:sectPr>
      </w:pPr>
    </w:p>
    <w:bookmarkStart w:id="15" w:name="page16"/>
    <w:bookmarkEnd w:id="15"/>
    <w:p>
      <w:pPr>
        <w:spacing w:after="0" w:line="261" w:lineRule="auto"/>
        <w:rPr>
          <w:sz w:val="20"/>
          <w:szCs w:val="20"/>
          <w:color w:val="auto"/>
        </w:rPr>
      </w:pPr>
      <w:r>
        <w:rPr>
          <w:rFonts w:ascii="Times New Roman" w:cs="Times New Roman" w:eastAsia="Times New Roman" w:hAnsi="Times New Roman"/>
          <w:sz w:val="18"/>
          <w:szCs w:val="18"/>
          <w:color w:val="auto"/>
        </w:rPr>
        <w:t>As of June 30, 2022, 497,043 shares had been sold under the 2021 Sales Agreement for an aggregate of approximately $40.8 million in gross proceeds, with net proceeds to the Company of approximately $39.8 million after deducting commissions and other transaction costs. All of those shares were sold in 2021. As of June 30, 2022, $159.2 million remained reserved and available for sale under the 2021 Sales Agreement and the Company’s related prospectus supplement.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2015 Stock Plan, as amended, is our primary equity incentive compensation plan through which equity based grants are awarded.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June 30, 2022, the Company had options outstanding to purchase 2,976,545 shares of its common stock, which includes options outstanding under its prior incentive compensation plan, the 2006 Stock Plan. As of June 30, 2022, 986,322 shares were available for future issuance under the 2015 Stock Plan.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2022:</w:t>
      </w:r>
    </w:p>
    <w:p>
      <w:pPr>
        <w:sectPr>
          <w:pgSz w:w="11900" w:h="16838" w:orient="portrait"/>
          <w:cols w:equalWidth="0" w:num="1">
            <w:col w:w="11000"/>
          </w:cols>
          <w:pgMar w:left="44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Outstanding at January 1, 2022</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Options granted</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Options cancelled</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Outstanding at June 30, 2022</w:t>
      </w:r>
    </w:p>
    <w:p>
      <w:pPr>
        <w:spacing w:after="0" w:line="2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Exercisable at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p>
      <w:pPr>
        <w:jc w:val="center"/>
        <w:ind w:right="140"/>
        <w:spacing w:after="0" w:line="229" w:lineRule="auto"/>
        <w:rPr>
          <w:sz w:val="20"/>
          <w:szCs w:val="20"/>
          <w:color w:val="auto"/>
        </w:rPr>
      </w:pPr>
      <w:r>
        <w:rPr>
          <w:rFonts w:ascii="Times New Roman" w:cs="Times New Roman" w:eastAsia="Times New Roman" w:hAnsi="Times New Roman"/>
          <w:sz w:val="14"/>
          <w:szCs w:val="14"/>
          <w:b w:val="1"/>
          <w:bCs w:val="1"/>
          <w:color w:val="auto"/>
        </w:rPr>
        <w:t>average exercise</w:t>
      </w:r>
    </w:p>
    <w:p>
      <w:pPr>
        <w:ind w:left="120"/>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-3175</wp:posOffset>
            </wp:positionV>
            <wp:extent cx="531495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4950" cy="205740"/>
                    </a:xfrm>
                    <a:prstGeom prst="rect">
                      <a:avLst/>
                    </a:prstGeom>
                    <a:noFill/>
                  </pic:spPr>
                </pic:pic>
              </a:graphicData>
            </a:graphic>
          </wp:anchor>
        </w:drawing>
      </w:r>
    </w:p>
    <w:p>
      <w:pPr>
        <w:spacing w:after="0" w:line="64" w:lineRule="exact"/>
        <w:rPr>
          <w:sz w:val="20"/>
          <w:szCs w:val="20"/>
          <w:color w:val="auto"/>
        </w:rPr>
      </w:pPr>
    </w:p>
    <w:p>
      <w:pPr>
        <w:spacing w:after="0"/>
        <w:tabs>
          <w:tab w:leader="none" w:pos="1200" w:val="left"/>
          <w:tab w:leader="none" w:pos="1820" w:val="left"/>
        </w:tabs>
        <w:rPr>
          <w:sz w:val="20"/>
          <w:szCs w:val="20"/>
          <w:color w:val="auto"/>
        </w:rPr>
      </w:pPr>
      <w:r>
        <w:rPr>
          <w:rFonts w:ascii="Times New Roman" w:cs="Times New Roman" w:eastAsia="Times New Roman" w:hAnsi="Times New Roman"/>
          <w:sz w:val="18"/>
          <w:szCs w:val="18"/>
          <w:color w:val="auto"/>
        </w:rPr>
        <w:t>2,301,574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78.90</w:t>
      </w:r>
    </w:p>
    <w:p>
      <w:pPr>
        <w:spacing w:after="0" w:line="117" w:lineRule="exact"/>
        <w:rPr>
          <w:sz w:val="20"/>
          <w:szCs w:val="20"/>
          <w:color w:val="auto"/>
        </w:rPr>
      </w:pPr>
    </w:p>
    <w:p>
      <w:pPr>
        <w:ind w:left="140"/>
        <w:spacing w:after="0"/>
        <w:tabs>
          <w:tab w:leader="none" w:pos="1820" w:val="left"/>
        </w:tabs>
        <w:rPr>
          <w:sz w:val="20"/>
          <w:szCs w:val="20"/>
          <w:color w:val="auto"/>
        </w:rPr>
      </w:pPr>
      <w:r>
        <w:rPr>
          <w:rFonts w:ascii="Times New Roman" w:cs="Times New Roman" w:eastAsia="Times New Roman" w:hAnsi="Times New Roman"/>
          <w:sz w:val="17"/>
          <w:szCs w:val="17"/>
          <w:color w:val="auto"/>
        </w:rPr>
        <w:t>736,395</w:t>
      </w:r>
      <w:r>
        <w:rPr>
          <w:sz w:val="20"/>
          <w:szCs w:val="20"/>
          <w:color w:val="auto"/>
        </w:rPr>
        <w:tab/>
      </w:r>
      <w:r>
        <w:rPr>
          <w:rFonts w:ascii="Times New Roman" w:cs="Times New Roman" w:eastAsia="Times New Roman" w:hAnsi="Times New Roman"/>
          <w:sz w:val="17"/>
          <w:szCs w:val="17"/>
          <w:color w:val="auto"/>
        </w:rPr>
        <w:t>83.35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24765</wp:posOffset>
            </wp:positionV>
            <wp:extent cx="531495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0" cy="205740"/>
                    </a:xfrm>
                    <a:prstGeom prst="rect">
                      <a:avLst/>
                    </a:prstGeom>
                    <a:noFill/>
                  </pic:spPr>
                </pic:pic>
              </a:graphicData>
            </a:graphic>
          </wp:anchor>
        </w:drawing>
      </w:r>
    </w:p>
    <w:p>
      <w:pPr>
        <w:spacing w:after="0" w:line="109" w:lineRule="exact"/>
        <w:rPr>
          <w:sz w:val="20"/>
          <w:szCs w:val="20"/>
          <w:color w:val="auto"/>
        </w:rPr>
      </w:pPr>
    </w:p>
    <w:p>
      <w:pPr>
        <w:ind w:left="160"/>
        <w:spacing w:after="0"/>
        <w:tabs>
          <w:tab w:leader="none" w:pos="1720" w:val="left"/>
        </w:tabs>
        <w:rPr>
          <w:sz w:val="20"/>
          <w:szCs w:val="20"/>
          <w:color w:val="auto"/>
        </w:rPr>
      </w:pPr>
      <w:r>
        <w:rPr>
          <w:rFonts w:ascii="Times New Roman" w:cs="Times New Roman" w:eastAsia="Times New Roman" w:hAnsi="Times New Roman"/>
          <w:sz w:val="18"/>
          <w:szCs w:val="18"/>
          <w:color w:val="auto"/>
        </w:rPr>
        <w:t>(61,424)</w:t>
      </w:r>
      <w:r>
        <w:rPr>
          <w:sz w:val="20"/>
          <w:szCs w:val="20"/>
          <w:color w:val="auto"/>
        </w:rPr>
        <w:tab/>
      </w:r>
      <w:r>
        <w:rPr>
          <w:rFonts w:ascii="Times New Roman" w:cs="Times New Roman" w:eastAsia="Times New Roman" w:hAnsi="Times New Roman"/>
          <w:sz w:val="18"/>
          <w:szCs w:val="18"/>
          <w:color w:val="auto"/>
        </w:rPr>
        <w:t>100.82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17145</wp:posOffset>
            </wp:positionV>
            <wp:extent cx="1457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32" w:lineRule="exact"/>
        <w:rPr>
          <w:sz w:val="20"/>
          <w:szCs w:val="20"/>
          <w:color w:val="auto"/>
        </w:rPr>
      </w:pPr>
    </w:p>
    <w:p>
      <w:pPr>
        <w:spacing w:after="0"/>
        <w:tabs>
          <w:tab w:leader="none" w:pos="1200" w:val="left"/>
          <w:tab w:leader="none" w:pos="1820" w:val="left"/>
        </w:tabs>
        <w:rPr>
          <w:sz w:val="20"/>
          <w:szCs w:val="20"/>
          <w:color w:val="auto"/>
        </w:rPr>
      </w:pPr>
      <w:r>
        <w:rPr>
          <w:rFonts w:ascii="Times New Roman" w:cs="Times New Roman" w:eastAsia="Times New Roman" w:hAnsi="Times New Roman"/>
          <w:sz w:val="18"/>
          <w:szCs w:val="18"/>
          <w:u w:val="single" w:color="auto"/>
          <w:color w:val="auto"/>
        </w:rPr>
        <w:t>2,976,545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79.54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120015</wp:posOffset>
            </wp:positionV>
            <wp:extent cx="531495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4950" cy="20574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17145</wp:posOffset>
            </wp:positionV>
            <wp:extent cx="145732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7325" cy="26035"/>
                    </a:xfrm>
                    <a:prstGeom prst="rect">
                      <a:avLst/>
                    </a:prstGeom>
                    <a:noFill/>
                  </pic:spPr>
                </pic:pic>
              </a:graphicData>
            </a:graphic>
          </wp:anchor>
        </w:drawing>
      </w:r>
    </w:p>
    <w:p>
      <w:pPr>
        <w:spacing w:after="0" w:line="259" w:lineRule="exact"/>
        <w:rPr>
          <w:sz w:val="20"/>
          <w:szCs w:val="20"/>
          <w:color w:val="auto"/>
        </w:rPr>
      </w:pPr>
    </w:p>
    <w:p>
      <w:pPr>
        <w:spacing w:after="0"/>
        <w:tabs>
          <w:tab w:leader="none" w:pos="1200" w:val="left"/>
          <w:tab w:leader="none" w:pos="1820" w:val="left"/>
        </w:tabs>
        <w:rPr>
          <w:sz w:val="20"/>
          <w:szCs w:val="20"/>
          <w:color w:val="auto"/>
        </w:rPr>
      </w:pPr>
      <w:r>
        <w:rPr>
          <w:rFonts w:ascii="Times New Roman" w:cs="Times New Roman" w:eastAsia="Times New Roman" w:hAnsi="Times New Roman"/>
          <w:sz w:val="18"/>
          <w:szCs w:val="18"/>
          <w:color w:val="auto"/>
        </w:rPr>
        <w:t>1,669,315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69.41</w:t>
      </w:r>
    </w:p>
    <w:p>
      <w:pPr>
        <w:spacing w:after="0" w:line="27" w:lineRule="exact"/>
        <w:rPr>
          <w:sz w:val="20"/>
          <w:szCs w:val="20"/>
          <w:color w:val="auto"/>
        </w:rPr>
      </w:pPr>
    </w:p>
    <w:p>
      <w:pPr>
        <w:sectPr>
          <w:pgSz w:w="11900" w:h="16838" w:orient="portrait"/>
          <w:cols w:equalWidth="0" w:num="2">
            <w:col w:w="6680" w:space="720"/>
            <w:col w:w="3600"/>
          </w:cols>
          <w:pgMar w:left="440" w:top="121" w:right="459" w:bottom="1440" w:gutter="0" w:footer="0" w:header="0"/>
          <w:type w:val="continuous"/>
        </w:sect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$0 million and $0.5 million, respectively, for the six months ended June 30, 2022 and 2021. The total intrinsic value of options exercised was $0 million and $0.1 million, respectively, for the six months ended June 30, 2022 and 2021. The weighted-average grant date fair values, based on the Black-Scholes option model, of options granted during the six months ended June 30, 2022 and 2021 were $55.84 and $78.34,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during the six months ended June 30, 2022 and 2021 was as follows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7,944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8,179</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15,421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14,275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7,944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8,179</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15,421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14,275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60" w:type="dxa"/>
            <w:vAlign w:val="bottom"/>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300" w:type="dxa"/>
            <w:vAlign w:val="bottom"/>
            <w:gridSpan w:val="2"/>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3,301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2,860</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6,488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60" w:type="dxa"/>
            <w:vAlign w:val="bottom"/>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300" w:type="dxa"/>
            <w:vAlign w:val="bottom"/>
            <w:gridSpan w:val="2"/>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4,643</w:t>
            </w:r>
          </w:p>
        </w:tc>
        <w:tc>
          <w:tcPr>
            <w:tcW w:w="180" w:type="dxa"/>
            <w:vAlign w:val="bottom"/>
          </w:tcPr>
          <w:p>
            <w:pPr>
              <w:spacing w:after="0"/>
              <w:rPr>
                <w:sz w:val="20"/>
                <w:szCs w:val="2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5,319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8,933</w:t>
            </w:r>
          </w:p>
        </w:tc>
        <w:tc>
          <w:tcPr>
            <w:tcW w:w="160" w:type="dxa"/>
            <w:vAlign w:val="bottom"/>
          </w:tcPr>
          <w:p>
            <w:pPr>
              <w:spacing w:after="0"/>
              <w:rPr>
                <w:sz w:val="20"/>
                <w:szCs w:val="2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8,778</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 included in net loss</w:t>
            </w: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7,944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8,179</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15,421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14,275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60" w:type="dxa"/>
            <w:vAlign w:val="bottom"/>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300" w:type="dxa"/>
            <w:vAlign w:val="bottom"/>
            <w:gridSpan w:val="2"/>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121" w:right="4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120"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on stock options as of June 30, 2022 was $70.0 million with a weighted average remaining period of 2.95 years.</w:t>
      </w:r>
    </w:p>
    <w:p>
      <w:pPr>
        <w:sectPr>
          <w:pgSz w:w="11900" w:h="16838" w:orient="portrait"/>
          <w:cols w:equalWidth="0" w:num="1">
            <w:col w:w="11020"/>
          </w:cols>
          <w:pgMar w:left="260" w:top="293" w:right="6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agreement requires future milestone payments to Roche. Remaining milestones under the agreement total $8 million and are payable upon Madrigal achieving specified objectives related to future regulatory approval in the United States and Europe of resmetirom or a product developed from resmetirom. Furthermore, a tiered single-digit royalty is payable on net sales of resmetirom or a product developed from resmetirom, subject to certain reductions. The Company has not achieved any additional product development or regulatory milestones and had no Licensed Product sales for the six months ended June 30, 2022 and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the Phase 3 clinical trials.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117"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“believes,” “can,” “continue,” “could,” “demonstrates,” ”design,” “estimates,” “expects,” “expectation,” “forecasts,” “future,” “goal,” “help,” “hopeful,” “inform,” “intends,” “may,” “might,” “on track,” “planned,” “planning,” “plans,” “positions,” “potential,” “powers,” “predicts,” ”predictive,” “projects,” “seeks,” “should,” “will,” “will be,” “will achieve,” “would” or similar expressions and the negatives of those terms. In particular, forward-looking statements contained in or incorporated by reference to this Quarterly Report relate to, among other things:</w:t>
      </w:r>
    </w:p>
    <w:p>
      <w:pPr>
        <w:spacing w:after="0" w:line="97" w:lineRule="exact"/>
        <w:rPr>
          <w:sz w:val="20"/>
          <w:szCs w:val="20"/>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the risks and uncertainties associated with our future operating performance and financial position;</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results of operations and expenses, business strategies and plans (including ex-U.S. launch/partnering plans),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delay certain research activities and related clinical expenses as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the anticipated timing of disclosure, presentations of data from, or outcomes from our trials,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and the timing and results associated with the future development of our lead product candidate, resmetirom (formerly known as MGL-3196), including projected market size, sector leadership, and patient treatment estimates for non-alcoholic steatohepatitis (“NASH”) and non-alcoholic fatty liver disease (“NAFLD”) patients;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projected future clinical milestone events, including enrollment, additional studies, top-line data and open label projections;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objectives and timing for making a Subpart H (Accelerated Approval of New Drugs for Serious or Life-Threatening Illnesses) submission to FDA;</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or objectives for obtaining accelerated or full approval for resmetirom for non-cirrhotic NASH patients and NASH patients with compensated cirrhosis;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and key secondary study endpoints for resmetirom, and the potential for achieving such endpoints and projections, including NASH resolution, safety, fibrosis treatment, cardiovascular effects, and lipid treatment with resmetirom;</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Optimal dosing levels for resmetirom and projections regarding potential NASH or NAFLD and potential patient benefits with resmetirom, including future NASH resolution, safety, fibrosis treatment, cardiovascular effects, lipid treatment, and/or biomarker effects with resmetirom;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safety of resmetirom for non-cirrhotic NASH patients and cirrhotic NASH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resmetirom to become the best-in-class and/or first-to-market treatment option for patients with NASH and liver fibrosis;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of operations and expenses as we expand our resmetirom clinical development program and our commercial development program;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Ex-U.S. launch/partnering plans;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clinical evidence demonstrating the utility of non-invasive tools and techniques to screen and diagnose NASH and/or NAFLD patients;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reduction with resmetirom, as measured by non-invasive tests, on NASH resolution and/or fibrosis reduction or improvement, and potential NASH or NAFLD patient risk profile benefits with resmetirom;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liver volume changes, or MAST scores for NASH and/or NAFLD patients;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NASH resolution and/or liver fibrosis reduction or improvement with resmetirom using non-invasive tests, including the use of ELF, FibroScan, MRE and/or MRI-PDFF;</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non-invasive tests generally, including for purposes of diagnosing NASH, monitoring patient response to resmetirom, or recruiting and conducting a NASH clinical trial;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293"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and acceptance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commercialization of new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approvals, including, but not limited to, potential regulatory delays or rejections;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85"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effects of resmetirom’s mechanism of action and our ability to accomplish our business and business development objectives and realize the anticipated benefit of any such transactions;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any of the foregoing.</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including, but not limited to: our clinical development of resmetirom; enrollment and trial conclusion uncertainties, generally and in relation to COVID-19 related measures and individual precautionary measures that may be implemented or continued for an uncertain period of time; our potential inability to raise sufficient capital to fund our ongoing operations as currently planned or to obtain financings on terms similar to those we have arranged in the past;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limitations associated with early stage or non-placebo controlled study data;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 Item 1A of our Annual Report on Form 10-K for the year ended December 31, 2021, filed with the SEC on February 25, 2022 (the “2021 Form 10-K”), as updated by the risk factors discussed in Part II, Item 1A of our Quarterly Report on Form 10-Q for the quarter ended March 31, 2022 filed with the SEC on May 9, 2022 (the “1Q 2022 Form 10-Q”), as well as in our other filings with the SEC. You should read the 2021 Form 10-K, the 1Q 2022 Form 10-Q, this Quarterly Report, and the other documents that we file or have filed with the SEC, with the understanding that our actual future results may be materially different from the results expressed or implied by these forward-looking statements.</w:t>
      </w:r>
    </w:p>
    <w:p>
      <w:pPr>
        <w:spacing w:after="0" w:line="19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2021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or contribute to such differences include, but are not limited to, those discussed in the “Cautionary Note Regarding Forward-Looking Statements” and “Risk Factors” sections contained in this Form 10-Q and our Annual Report on Form 10-K for the year ended December 31, 2021. Our operating results are not necessarily indicative of results that may occur for the full fiscal year or any other future period.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Our Focus</w:t>
      </w:r>
      <w:r>
        <w:rPr>
          <w:rFonts w:ascii="Times New Roman" w:cs="Times New Roman" w:eastAsia="Times New Roman" w:hAnsi="Times New Roman"/>
          <w:sz w:val="18"/>
          <w:szCs w:val="18"/>
          <w:color w:val="auto"/>
        </w:rPr>
        <w:t>. We are a clinical-stage biopharmaceutical company pursuing novel therapeutics for nonalcoholic steatohepatitis (NASH), a liver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high unmet medical need. Our lead product candidate, resmetirom, is a proprietary, liver-directed, selective thyroid hormone receptor-ß, or THR-ß, agonist being developed as a once-daily oral pill that can potentially be used to treat NASH and a number of disease states with high unmet medical need.</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Patient Market Opportunity. </w:t>
      </w:r>
      <w:r>
        <w:rPr>
          <w:rFonts w:ascii="Times New Roman" w:cs="Times New Roman" w:eastAsia="Times New Roman" w:hAnsi="Times New Roman"/>
          <w:sz w:val="18"/>
          <w:szCs w:val="18"/>
          <w:color w:val="auto"/>
        </w:rPr>
        <w:t>NASH is a serious inflammatory form of nonalcoholic fatty liver disease, or NAFLD. NAFLD has become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20 million people in the United States, or five to six percent of the adult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8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Completed Studies. </w:t>
      </w:r>
      <w:r>
        <w:rPr>
          <w:rFonts w:ascii="Times New Roman" w:cs="Times New Roman" w:eastAsia="Times New Roman" w:hAnsi="Times New Roman"/>
          <w:sz w:val="18"/>
          <w:szCs w:val="18"/>
          <w:color w:val="auto"/>
        </w:rPr>
        <w:t>For NASH, we enrolled 125 patients in a Phase 2 clinical trial with resmetirom. We achieved the 12-week primary endpoint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w:t>
      </w:r>
    </w:p>
    <w:p>
      <w:pPr>
        <w:spacing w:after="0" w:line="18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(discussed below under “—Our Ongoing and Planned Studies”), with resmetirom doses of 80 mg or 100 mg or placebo. Enrollment objectives for this study were exceeded, with approximately 1,300 patients enrolled overall. The MAESTRO-NAFLD-1 study will help support the adequacy of the safety database at the time of NDA submission for Subpart H approval for treatment of NASH in patients with F2 or F3 fibrosis. In November of 2021, we reported data from the open label non-cirrhotic arm of MAESTRO-NAFLD-1, and in January 2022 we announced that we achieved primary and secondary endpoints for the double-blind portion of MAESTRO-NAFLD-1. Further MAESTRO-NAFLD-1 data were presented at a hepatology medical congress in June of 2022. MAESTRO-NAFLD-1 has completed the double-blind arms and an open-label 100 mg arm. An additional open-label active treatment arm in patients with early (well-compensated) NASH cirrhosis is ongoing.</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multiple completed Phase 1 trials in a total of more than 300 subjects. Resmetirom was well-tolerated in these trials, which included a single ascending dose trial, a multiple ascending dose trial, several drug interaction studies, a multiple dose mass balance study, a single dose relative bioavailability study of tablet formulation versus capsule formulation, a multiple dose drug interaction study, a multiple dose drug interaction with food effect study, and a hepatic impairment study.</w:t>
      </w:r>
    </w:p>
    <w:p>
      <w:pPr>
        <w:spacing w:after="0" w:line="18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Ongoing and Planned Studies. </w:t>
      </w:r>
      <w:r>
        <w:rPr>
          <w:rFonts w:ascii="Times New Roman" w:cs="Times New Roman" w:eastAsia="Times New Roman" w:hAnsi="Times New Roman"/>
          <w:sz w:val="18"/>
          <w:szCs w:val="18"/>
          <w:color w:val="auto"/>
        </w:rPr>
        <w:t>On March 28, 2019, the Company announced that it had initiated MAESTRO-NASH, a Phase 3 trial in NASH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once daily, oral thyroid hormone receptor beta selective agonist, resmetirom. This double-blind, placebo-controlled study is being conducted at more than 230 sites in the United States and the rest of the world. Patients with liver biopsy confirmed NASH with stage 2 or 3 fibrosis are being randomized 1:1:1 to receive a single oral daily dose of placebo, resmetirom 80 mg or resmetirom 100 mg. A second liver biopsy at week 52 in the first 900 patients will be the basis of filing for accelerated approval under subpart H of applicable FDA regulations, which we refer to as subpart H-accelerated approval. Historically: the primary endpoint pertained to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and two key secondary endpoints pertained to reduction in LDL-cholesterol and a 1-point or more improvement in fibrosis stage on the week</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52 biopsy with no worsening of NASH. In May 2022, the Company announced that it determined to move the 1-point fibrosis endpoint up the hierarchy in our MAESTRO-NASH trial to a primary endpoint along with NASH resolution, as dual primary endpoints. The dual primary endpoint design allows for a successful outcome of the study, which can be filed for subpart H approval, if either the NASH resolution or 1-point fibrosis reduction endpoint is met. Patients will continue in the study for a total of approximately 54 months, and will be evaluated for a composite clinical outcome including cirrhosis on liver biopsy, or a liver related event such as hepatic decompensation. The total anticipated enrollment currently is up to 2,000 patients, and will include up to 15% high risk F1 fibrosis stage NASH patients whose efficacy responses will be evaluated as exploratory endpoints. On June 30, 2021 we announced our achievement of the requisite enrollment of patients to support the planned Subpart H (Accelerated Approval of New Drugs for Serious or Life-Threatening Illnesses) submission to the US Food and Drug Administration (FDA).</w:t>
      </w:r>
    </w:p>
    <w:p>
      <w:pPr>
        <w:spacing w:after="0" w:line="19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Phase 3 MAESTRO-NAFLD-1 Data</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In January 2022, we announced that certain primary and key secondary endpoints from the double-blind, placebo-controlled, 969-patient MAESTRO-NAFLD-1 safety study were achieved; resmetirom was well-tolerated and provided significant reductions in liver fat, LDL-c and other atherogenic lipids vs. placebo.</w:t>
      </w:r>
    </w:p>
    <w:p>
      <w:pPr>
        <w:spacing w:after="0" w:line="176"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May 2022 and June 2022, we announced additional data and results from the MAESTRO-NAFLD-1 safety study, as described below. Patients in the resmetirom 80 mg and 100 mg double-blind arms achieved reductions in ALT (p=0.002; &lt;0.0001) relative to placebo. ALT increases ≥3 times the upper limit of normal occurred in 0.61% in the resmetirom 80 mg group, 0.31% in the 100 mg group and 1.6% of patients in the placebo group.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Treatment-emergent adverse events ≥ grade 3 in severity occurred in 7.6% of patients in the resmetirom 80 mg group, 9.0% in the 100 mg group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9.1% in the placebo group. Withdrawals due to adverse events were 2.4% in the 80 mg group, 2.8% in the 100 mg group and 1.3% in the placebo group.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GI-related adverse events (diarrhea, nausea) were increased relative to placebo at the initiation of therapy but not after the first few weeks.</w:t>
      </w:r>
    </w:p>
    <w:p>
      <w:pPr>
        <w:spacing w:after="0" w:line="20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FibroScan CAP (controlled attenuation parameter) scores reflective of hepatic fat were statistically significantly (p&lt;0.0001) reduced in resmetirom arms as compared with placebo. FibroScan liver stiffness reductions were similar in the 100 mg open-label and double-blind arms. Responder analyses of FibroScan (vibration-controlled transient elastography (VCTE) reduction and % reduction from baseline comparing resmetirom 100 mg open-label and double-blind arms with placebo showed a significant increase in responders in resmetirom treatment arms (44% averaged across the arms) compared with placebo (25%); magnetic resonance elastography (MRE) responders as measured by kPa reduction were significantly greater in resmetirom-treated groups compared with placebo. Mean reduction in FibroScan VCTE in resmetirom double-blind patients was greater than placebo but not statistically significant.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MAESTRO-NASH Outcomes Study</w:t>
      </w:r>
    </w:p>
    <w:p>
      <w:pPr>
        <w:spacing w:after="0" w:line="12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We plan to initiate a second NASH outcomes study, MAESTRO-NASH Outcomes, a randomized double-blind placebo-controlled study in approximately 700 patients with early NASH cirrhosis to allow for non-invasive monitoring of progression to liver decompensation events. Several biomarker and imaging techniques will also be employed to assess correlates with disease progression. Ongoing open-label studies of more than 180 patients with well-compensated NASH cirrhosis (MAESTRO-NAFLD-1 open-label arm) support the potential of resmetirom in this patient population.</w:t>
      </w:r>
    </w:p>
    <w:p>
      <w:pPr>
        <w:spacing w:after="0" w:line="16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expect that a positive outcome in MAESTRO-NASH Outcomes could support the full approval of resmetirom for noncirrhotic NASH, and could potentially accelerate the timeline to full approval. In addition, this study has the potential to broaden the label for resmetirom to include NASH patients with compensated cirrhosis.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 Facility to support expansion of clinical development program and ramp-up for potential resmetirom launch</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secured a $250 million Loan Facility (“Loan Facility”) with Hercules Capital, Inc (“Hercules”) in May 2022. The committed capital strengthens our balance sheet, providing an additional source of funding both to support the expanded clinical program and ramp-up for a potential launch of resmetirom in the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Under the terms of the loan agreement, $50 million was drawn at closing. We may also draw up to an additional $125 million in two separate tranches upon achievement of resmetirom clinical and regulatory milestones. An additional $75 million may be drawn by us, subject to the approval of Hercules. The loan facility has a minimum interest rate of 7.45% and adjusts with changes in the prime rate. We will pay interest-only for a period of 30 months, which may be extended to 60 months upon the achievement of certain clinical and regulatory milestones. The loan matures in May 2026 and may be extended an additional year upon the achievement of certain clinical and regulatory milestones. Additional details of the Loan Facility were filed with the Securities and Exchange Commission (“SEC”) on a Current Report on Form 8-K on May 9, 2022 and the Loan and Security Agreement associated with the Loan Facility is included as an exhibit to this Quarterly Report on Form 10-Q.</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preclinical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Our research and development expenses have increased period over period in each of 2022 and 2021 and we expect that our research and development expenses will increase in the future, including as a result of our planned MAESTRO-NASH Outcomes study discussed in –“Key Developments” above.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 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six months ended June 30, 2022, as compared to those disclosed in our Annual Report on Form 10-K for the fiscal year ended December 31, 2021 filed with the SEC on February 25, 2022.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and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June 30, 2022 and 2021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4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142"/>
        </w:trPr>
        <w:tc>
          <w:tcPr>
            <w:tcW w:w="45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10,110</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1,664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4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70,730</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61,651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9,079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had no revenue for the three months ended June 30, 2022 and 2021.</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were $58.5 million for the three months ended June 30, 2022, compared to $51.6 million in the corresponding period in 2021. Research and development expenses increased by $6.9 million in the 2022 period due primarily to the additional activities related to our Phase 3 clinical trials, an increase in head count, and an increase in stock compensation expense. We expect our research and development expenses to increase as we advance our clinical and preclinical development programs for resmetirom.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were $11.8 million for the three months ended June 30, 2022, compared to $10.1 million in the corresponding period in 2021. General and administrative expenses increased by $1.7 million in the 2022 period due primarily to increases in commercial preparation activities, including a corresponding increase in head count, and an increase in stock compensation expense. We believe our general and administrative expenses may increase over time as we advance our clinical and preclinical development programs for resmetirom, prepare for commercialization, and expand our operating activities, which will likely result in an increase in our headcount, consulting services, and related overhead needed to support those efforts.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82"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net interest income was $0.3 million for the three months ended June 30, 2022, compared to $0.1 million in the corresponding period in 2021. The increase in interest income was due primarily to higher interest rates in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Our interest expense was $0.8 million for the three months ended June 30, 2022, compared to $0 million in the corresponding period in 2021. The increase in interest expense was as a result of the Loan Facility we entered into with Hercules during the second quarter of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and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six months ended June 30, 2022 and 2021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8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80" w:type="dxa"/>
            <w:vAlign w:val="bottom"/>
            <w:gridSpan w:val="5"/>
            <w:vMerge w:val="continue"/>
          </w:tcPr>
          <w:p>
            <w:pPr>
              <w:spacing w:after="0"/>
              <w:rPr>
                <w:sz w:val="15"/>
                <w:szCs w:val="15"/>
                <w:color w:val="auto"/>
              </w:rPr>
            </w:pPr>
          </w:p>
        </w:tc>
        <w:tc>
          <w:tcPr>
            <w:tcW w:w="15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$ 106,428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21,432</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17,319</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4,113</w:t>
            </w:r>
          </w:p>
        </w:tc>
        <w:tc>
          <w:tcPr>
            <w:tcW w:w="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780</w:t>
            </w:r>
          </w:p>
        </w:tc>
        <w:tc>
          <w:tcPr>
            <w:tcW w:w="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$ 128,248</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114,197</w:t>
            </w:r>
          </w:p>
        </w:tc>
        <w:tc>
          <w:tcPr>
            <w:tcW w:w="3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14,051</w:t>
            </w:r>
          </w:p>
        </w:tc>
        <w:tc>
          <w:tcPr>
            <w:tcW w:w="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had no revenue for the six months ended June 30, 2022 and 2021.</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were $106.4 million for the six months ended June 30, 2022, compared to $97.4 million in the corresponding period in 2021. Research and development expenses increased by $9.0 million in the 2022 period due primarily to the additional activities related to our Phase 3 clinical trials, an increase in head count, and an increase in stock compensation expense. We expect our research and development expenses to increase as we advance our clinical and preclinical development programs for resmetirom.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were $21.4 million for the six months ended June 30, 2022, compared to $17.3 million in the corresponding period in 2021. General and administrative expenses increased by $4.1 million in the 2022 period due primarily to increases in commercial preparation activities, including a corresponding increase in head count, and an increase in stock compensation expense. We believe our general and administrative expenses may increase over time as we advance our clinical and preclinical development programs for resmetirom, prepare for commercialization, and expand our operating activities, which will likely result in an increase in our headcount, consulting services, and related overhead needed to support those efforts.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Our net interest income was $0.4 million for the six months ended June 30, 2022, compared to $0.3 million in the corresponding period in 2021. The increase in interest income was due primarily to higher interest rates in 2022.</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82"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interest expense was $0.8 million for the six months ended June 30, 2022, compared to $0 million in the corresponding period in 2021. The increase in interest expense was as a result of the Loan Facility we entered into with Hercules during the second quarter of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debt, the issuance of shares of our common stock and shares of our preferred stock, and the proceeds from our 2016 merger transaction.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 We also are required to make repayments of interest and principal on our Loan Facility with Hercules, as described below.</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As of June 30, 2022, we had cash, cash equivalents and marketable securities totaling $211.8 million compared to $270.3 million as of December 31, 2021, with the decrease attributable to the funding of operations, partially offset by $50.0 million drawn at closing in May 2022 from the Loan Facility with Hercules.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 The Company believes that its cash, cash equivalents, marketable securities at June 30, 2022 will be sufficient to fund operations over the next twelve months.</w:t>
      </w:r>
    </w:p>
    <w:p>
      <w:pPr>
        <w:spacing w:after="0" w:line="18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June 30, 2022 will be sufficient to fund our operations past one year from the issuance of the financial statements contained herein, and this outlook takes into account circumstances that are currently reasonably foreseeable in connection with the COVID-19 pandemic. For a description of COVID-19 pandemic risks, including risks and uncertainties beyond our control, see Part I, Item 1A, “Risk Factors” of our Annual Report for the year ended December 31, 2021. Our future long-term liquidity requirements will be substantial and will depend on many factors. To meet future long-term liquidity requirements, we will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This includes, but is not limited to, the use of a $200 million at-the-market sales agreement entered into in June of 2021, with Cowen and Company, LLC (the “2021 Sales Agreement”), pursuant to which we may, from time to time, issue and sell shares of our common stock up to established limits. We may also draw on additional tranches of debt under our $250 million Loan Facility with Hercules based upon achievement of resmetirom clinical and regulatory milestones. Additional capital may not be available on terms acceptable to us, or at all. We also have the ability to delay certain research activities and related clinical expenses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additional debt financing may include covenants that restrict our business.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 Facility</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On May 9, 2022, we and our wholly-owned subsidiary, Canticle Pharmaceuticals, Inc., entered into the $250.0 million Loan Facility with the several banks and other financial institutions or entities party thereto (each, a “Lender” and collectively referred to as the “Lenders”), and Hercules, in its capacity as administrative agent and collateral agent for itself and the Lenders. Under the terms of the Loan Facility, the first $50.0 million tranche was drawn at closing. The Company may also draw up to an additional $125.0 million in two separate tranches upon achievement of certain resmetirom clinical and regulatory milestones. A fourth tranche of $75.0 million may be drawn by the Company, subject to the approval of Hercules.</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Loan Facility has a minimum interest rate of 7.45% and adjusts with changes in the prime rate. The Company will pay interest-only monthly payments of accrued interest under the Loan Facility for a period of 30 months, which period may be extended to 36, 48, and 60 months upon the successive achievement of certain clinical and regulatory milestones and if the Company maintains compliance with applicable financial covenants. The Loan Facility matures in May 2026 and may be extended an additional year upon the achievement of certain clinical and regulatory milestones.</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of June 30, 2022, the outstanding principal under the Loan Facility was $50.0 million. The interest rate as of June 30, 2022 was 8.70%. Please see “Note 6 – Long Term Debt” to the condensed consolidated financial statements included in this Quarterly Report on Form 10-Q for information on the Loan Facility.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(107,273)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(90,310)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75,162</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(60,789)</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49,114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130,635</w:t>
            </w:r>
          </w:p>
        </w:tc>
      </w:tr>
      <w:tr>
        <w:trPr>
          <w:trHeight w:val="228"/>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(20,464)</w:t>
            </w:r>
          </w:p>
        </w:tc>
        <w:tc>
          <w:tcPr>
            <w:tcW w:w="100" w:type="dxa"/>
            <w:vAlign w:val="bottom"/>
          </w:tcPr>
          <w:p>
            <w:pPr>
              <w:spacing w:after="0"/>
              <w:rPr>
                <w:sz w:val="19"/>
                <w:szCs w:val="19"/>
                <w:color w:val="auto"/>
              </w:rPr>
            </w:pPr>
          </w:p>
        </w:tc>
      </w:tr>
    </w:tbl>
    <w:p>
      <w:pPr>
        <w:spacing w:after="0" w:line="19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$107.3 million for the six months ended June 30, 2022, compared to $90.3 million for the corresponding period in 2021. The use of cash in these periods resulted primarily from our losses from operations, as adjusted for non-cash charges for stock-based compensation, and changes in our working capital accounts.</w:t>
      </w:r>
    </w:p>
    <w:p>
      <w:pPr>
        <w:spacing w:after="0" w:line="17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$75.2 million for the six months ended June 30, 2022, compared to $60.8 million used in for the corresponding period in 2021. Net cash provided by investing activities for the six months ended June 30, 2022 consisted of $191.9 million from sales and maturities of marketable securities, partially offset by $116.5 million used in purchases of marketable securities for our investment portfolio. Net cash used in for the corresponding period in 2021 consisted of $224.1 million of purchases of marketable securities for our investment portfolio, partially offset by $163.3 million from sales and maturities of marketable securities.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$49.1 million for the six months ended June 30, 2022, compared to $130.7 million for the corresponding period in 2021. Financing activities for the six months ended June 30,2022 consisted of $50.0 million from issuance of the Loan Facility, partially offset by $0.9 million of loan issuance costs. Net cash provided for the corresponding period in 2021 consisted of $130.2 million from net proceeds from issuances of common stock under an At The Market (ATM) sales agreement and $0.5 million from the exercise of stock options.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Except for the future minimum payments due on the Loan Facility with Hercules set forth in “Note 6 – Long Term Debt” to the condensed consolidated financial statements included in this Quarterly Report on Form 10-Q, no significant changes to contractual obligations and commitments occurred during the six months ended June 30, 2022, as compared to those disclosed in our Annual Report on Form 10-K for the fiscal year ended December 31, 2021 filed with the SEC on February 25,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exposure to market risk is confined to our cash, cash equivalents and marketable securities and loan facility. We regularly review our investments and monitor the financial markets. We invest in high-quality financial instruments, primarily money market funds, U.S. government and agency securities, government- 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8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In May 2022 we entered into a Loan Facility that has an interest rate that is linked to the prime rate. We do not believe that we have any material exposure to interest rate risk given the current principal amount of the loan.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We currently have no product revenues and depend on funds raised through other sources. One source of funding is through future debt or equity offerings. Our ability to raise funds in this manner depends upon, among other things, capital market forces affecting our stock price and the factors described in our “Cautionary Note Regarding Forward-Looking “Statements.” “Liquidity and Capital Resources” and “Risk Factors” disclosures included or referred to in this filing.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Disclosure Controls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83"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pending legal proceedings. From time to time, we may be involved in legal proceedings arising in the ordinary course of business.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detail in the “Risk Factors” sections appearing in Part I, Item 1A of our Annual Report on Form 10-K for the year ended December 31, 2021, filed with the SEC on February 22, 2022 (the “Annual Report”) as updated by Part II, Item 1A in our Quarterly Report on Form 10-Q for the quarter ended March 31, 2022 filed with the SEC on May 9, 2022.</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20"/>
          </w:cols>
          <w:pgMar w:left="320" w:top="482"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60"/>
          </w:cols>
          <w:pgMar w:left="320" w:top="482" w:right="8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360" w:type="dxa"/>
            <w:vAlign w:val="bottom"/>
            <w:gridSpan w:val="9"/>
          </w:tcPr>
          <w:p>
            <w:pPr>
              <w:ind w:left="13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8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360" w:type="dxa"/>
            <w:vAlign w:val="bottom"/>
            <w:gridSpan w:val="9"/>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0"/>
        </w:trPr>
        <w:tc>
          <w:tcPr>
            <w:tcW w:w="8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36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6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of Warrant Agreement, dated May 9, 2022, between Madrigal Pharmaceuticals, Inc. and</w:t>
            </w:r>
          </w:p>
        </w:tc>
        <w:tc>
          <w:tcPr>
            <w:tcW w:w="16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Hercules Capital, Inc. and affiliates.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6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Loan and Security Agreement, dated May 9, 2022, by and among Madrigal Pharmaceuticals,</w:t>
            </w:r>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Inc., Canticle Pharmaceuticals, Inc., the several banks and other financial institutions or entities</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8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from time to time party thereto and Hercules Capital, Inc.</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13a-14(a) or Rule 15d-14(a) of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9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of 1934, as adopted pursuant to Section 302 of the Sarbanes-Oxley Act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6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69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 13a-14(a) or Rule 15d-14(a) of 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5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9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of 1934, as adopted pursuant to Section 302 of the Sarbanes-Oxley Act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6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69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Certifications of Principal Executive Officer and Principal Financial Officer, pursuant to 18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5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 Sarbanes-Oxley Act of 2002.</w:t>
            </w:r>
          </w:p>
        </w:tc>
        <w:tc>
          <w:tcPr>
            <w:tcW w:w="0" w:type="dxa"/>
            <w:vAlign w:val="bottom"/>
          </w:tcPr>
          <w:p>
            <w:pPr>
              <w:spacing w:after="0"/>
              <w:rPr>
                <w:sz w:val="1"/>
                <w:szCs w:val="1"/>
                <w:color w:val="auto"/>
              </w:rPr>
            </w:pPr>
          </w:p>
        </w:tc>
      </w:tr>
      <w:tr>
        <w:trPr>
          <w:trHeight w:val="34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6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9"/>
              </w:rPr>
              <w:t>101.SCH</w:t>
            </w:r>
          </w:p>
        </w:tc>
        <w:tc>
          <w:tcPr>
            <w:tcW w:w="6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86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101.CAL</w:t>
            </w:r>
          </w:p>
        </w:tc>
        <w:tc>
          <w:tcPr>
            <w:tcW w:w="6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101.LAB</w:t>
            </w:r>
          </w:p>
        </w:tc>
        <w:tc>
          <w:tcPr>
            <w:tcW w:w="6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9"/>
              </w:rPr>
              <w:t>101.PRE</w:t>
            </w:r>
          </w:p>
        </w:tc>
        <w:tc>
          <w:tcPr>
            <w:tcW w:w="6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8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101.DEF</w:t>
            </w:r>
          </w:p>
        </w:tc>
        <w:tc>
          <w:tcPr>
            <w:tcW w:w="6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80" w:right="60" w:hanging="86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4"/>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File No.  Exhibit  Filing 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bl>
    <w:p>
      <w:pPr>
        <w:spacing w:after="0" w:line="28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792" w:lineRule="exact"/>
        <w:rPr>
          <w:sz w:val="20"/>
          <w:szCs w:val="20"/>
          <w:color w:val="auto"/>
        </w:rPr>
      </w:pPr>
    </w:p>
    <w:p>
      <w:pPr>
        <w:sectPr>
          <w:pgSz w:w="11900" w:h="16838" w:orient="portrait"/>
          <w:cols w:equalWidth="0" w:num="2">
            <w:col w:w="7920" w:space="220"/>
            <w:col w:w="3000"/>
          </w:cols>
          <w:pgMar w:left="320" w:top="482" w:right="439" w:bottom="1440" w:gutter="0" w:footer="0" w:header="0"/>
        </w:sect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601(b)(10)(iv) of Regulation S-K.</w:t>
      </w:r>
    </w:p>
    <w:p>
      <w:pPr>
        <w:spacing w:after="0" w:line="27" w:lineRule="exact"/>
        <w:rPr>
          <w:sz w:val="20"/>
          <w:szCs w:val="20"/>
          <w:color w:val="auto"/>
        </w:rPr>
      </w:pPr>
    </w:p>
    <w:p>
      <w:pPr>
        <w:ind w:left="540" w:right="60" w:hanging="424"/>
        <w:spacing w:after="0" w:line="253"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25"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Alex G. Howarth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380"/>
          </w:cols>
          <w:pgMar w:left="320" w:top="482" w:right="1199" w:bottom="1440" w:gutter="0" w:footer="0" w:header="0"/>
        </w:sectPr>
      </w:pPr>
    </w:p>
    <w:bookmarkStart w:id="31" w:name="page32"/>
    <w:bookmarkEnd w:id="31"/>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WARRANT AND THE SHARES ISSUABLE UPON EXERCISE HEREOF HAVE NOT BEEN REGISTERED UNDER THE SECURITIES ACT OF 1933, AS AMENDED, OR ANY STATE SECURITIES LAWS. THEY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SECURITIES ACT OF 1933, AS AMENDED, OR ANY APPLICABLE STATE SECURITIES LAWS.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Purchase Shares of the Common Stock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9, 2022 (the “</w:t>
      </w:r>
      <w:r>
        <w:rPr>
          <w:rFonts w:ascii="Times New Roman" w:cs="Times New Roman" w:eastAsia="Times New Roman" w:hAnsi="Times New Roman"/>
          <w:sz w:val="18"/>
          <w:szCs w:val="18"/>
          <w:u w:val="single" w:color="auto"/>
          <w:color w:val="auto"/>
        </w:rPr>
        <w:t>Effective Date”)</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Madrigal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entered into a Loan and Security Agreement of even date herewith (as amended and in effect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with Hercules Capital, Inc., a Maryland corporation (the “</w:t>
      </w:r>
      <w:r>
        <w:rPr>
          <w:rFonts w:ascii="Times New Roman" w:cs="Times New Roman" w:eastAsia="Times New Roman" w:hAnsi="Times New Roman"/>
          <w:sz w:val="18"/>
          <w:szCs w:val="18"/>
          <w:u w:val="single" w:color="auto"/>
          <w:color w:val="auto"/>
        </w:rPr>
        <w:t>Warrantholder</w:t>
      </w:r>
      <w:r>
        <w:rPr>
          <w:rFonts w:ascii="Times New Roman" w:cs="Times New Roman" w:eastAsia="Times New Roman" w:hAnsi="Times New Roman"/>
          <w:sz w:val="18"/>
          <w:szCs w:val="18"/>
          <w:color w:val="auto"/>
        </w:rPr>
        <w:t>”) and the other Lender parties thereto;</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grant to Warrantholder, in consideration for, among other things, the financial accommodations provided for in the Loan Agreement, the right to purchase shares of its Common Stock (as defined below) pursuant to this Warrant Agreement (this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contained herein, the Company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Warrantholder agree as follows: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GRANT OF THE RIGHT TO PURCHASE COMMON STOCK.</w:t>
      </w:r>
    </w:p>
    <w:p>
      <w:pPr>
        <w:spacing w:after="0" w:line="229" w:lineRule="exact"/>
        <w:rPr>
          <w:sz w:val="20"/>
          <w:szCs w:val="20"/>
          <w:color w:val="auto"/>
        </w:rPr>
      </w:pPr>
    </w:p>
    <w:p>
      <w:pPr>
        <w:ind w:right="100" w:firstLine="436"/>
        <w:spacing w:after="0" w:line="258"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value received, the Company hereby grants to the Warrantholder the right, and the Warrantholder is entitled, upon the terms and subject to the conditions hereinafter set forth, to subscribe for and purchase, from the Company, up to such number of fully paid and non-assessable shares of Common Stock determined pursuant to Section 1(b) below, at a purchase price per share equal to the Exercise Price (as defined below). The number of shares of Common Stock and the Exercise Price of such shares is subject to adjustment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As used herein, the following terms shall have the following meanings: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Acknowledgment of Exercise</w:t>
      </w:r>
      <w:r>
        <w:rPr>
          <w:rFonts w:ascii="Times New Roman" w:cs="Times New Roman" w:eastAsia="Times New Roman" w:hAnsi="Times New Roman"/>
          <w:sz w:val="18"/>
          <w:szCs w:val="18"/>
          <w:color w:val="auto"/>
        </w:rPr>
        <w:t xml:space="preserve">” has the meaning given to it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means the Securities Act of 1933, as amended, and as the same may be in effect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Company’s Certificate of Incorporation or other constitutional document, as the same may be amended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has the meaning given to it in </w:t>
      </w:r>
      <w:r>
        <w:rPr>
          <w:rFonts w:ascii="Times New Roman" w:cs="Times New Roman" w:eastAsia="Times New Roman" w:hAnsi="Times New Roman"/>
          <w:sz w:val="18"/>
          <w:szCs w:val="18"/>
          <w:u w:val="single" w:color="auto"/>
          <w:color w:val="auto"/>
        </w:rPr>
        <w:t>Section 12(p)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 $0.0001 par value per share, together with any securities of the Company into or for which such common stock may be converted, exchanged or substituted.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given to it in the preamble to this Warrant.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given to it in the preamble to this Warrant.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$67.12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given to it in the Loan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has the meaning given to it in the preamble to this Warrant.</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Event</w:t>
      </w:r>
      <w:r>
        <w:rPr>
          <w:rFonts w:ascii="Times New Roman" w:cs="Times New Roman" w:eastAsia="Times New Roman" w:hAnsi="Times New Roman"/>
          <w:sz w:val="18"/>
          <w:szCs w:val="18"/>
          <w:color w:val="auto"/>
        </w:rPr>
        <w:t>” means (a) a merger or consolidation involving the Company in which (i) the Company is not the surviving entity, or (ii) the outstanding shares of the Company’s capital stock are otherwise converted into or exchanged for shares of capital of another entity; or (b) the sale of all or substantially all of the assets of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Issuance</w:t>
      </w:r>
      <w:r>
        <w:rPr>
          <w:rFonts w:ascii="Times New Roman" w:cs="Times New Roman" w:eastAsia="Times New Roman" w:hAnsi="Times New Roman"/>
          <w:sz w:val="18"/>
          <w:szCs w:val="18"/>
          <w:color w:val="auto"/>
        </w:rPr>
        <w:t xml:space="preserve">” has the meaning given to it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has the meaning given to it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Acquisition</w:t>
      </w:r>
      <w:r>
        <w:rPr>
          <w:rFonts w:ascii="Times New Roman" w:cs="Times New Roman" w:eastAsia="Times New Roman" w:hAnsi="Times New Roman"/>
          <w:sz w:val="18"/>
          <w:szCs w:val="18"/>
          <w:color w:val="auto"/>
        </w:rPr>
        <w:t>” means any Merger Event which is effected such that (i) the holders of Common Stock shall be entitled to receive (A) cash and/or (B) shares of stock that are of a publicly traded company listed on a national market or exchange which may be resold without restrictions (other than restrictions to which Warrantholder may separately agree in writing) after the consummation of such Merger Event, and (ii) the Company’s stockholders own less than 50% of the voting securities of the surviving entity (or, if such Company stockholders beneficially own 50% or more of the outstanding voting power of the surviving or successor entity as of immediately after the consummation of such Merger Event, such surviving or successor entity is not the Company).</w:t>
      </w:r>
    </w:p>
    <w:p>
      <w:pPr>
        <w:spacing w:after="0" w:line="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with respect to any exercise of this Warrant, an amount equal to the Exercise Price as of the relevant time multiplied by the number of shares of Common Stock requested to be exercised under this Warrant pursuant to such exercise.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has the meaning given to it in </w:t>
      </w:r>
      <w:r>
        <w:rPr>
          <w:rFonts w:ascii="Times New Roman" w:cs="Times New Roman" w:eastAsia="Times New Roman" w:hAnsi="Times New Roman"/>
          <w:sz w:val="18"/>
          <w:szCs w:val="18"/>
          <w:u w:val="single" w:color="auto"/>
          <w:color w:val="auto"/>
        </w:rPr>
        <w:t>Section 12(q)</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xml:space="preserve">” has the meaning given to it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has the meaning given to it in the preamble to this Warrant.</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880" w:top="270" w:right="51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Warrant Term</w:t>
      </w:r>
      <w:r>
        <w:rPr>
          <w:rFonts w:ascii="Times New Roman" w:cs="Times New Roman" w:eastAsia="Times New Roman" w:hAnsi="Times New Roman"/>
          <w:sz w:val="18"/>
          <w:szCs w:val="18"/>
          <w:color w:val="auto"/>
        </w:rPr>
        <w:t xml:space="preserve">” has the meaning given to it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Warrantholder</w:t>
      </w:r>
      <w:r>
        <w:rPr>
          <w:rFonts w:ascii="Times New Roman" w:cs="Times New Roman" w:eastAsia="Times New Roman" w:hAnsi="Times New Roman"/>
          <w:sz w:val="18"/>
          <w:szCs w:val="18"/>
          <w:color w:val="auto"/>
        </w:rPr>
        <w:t>” has the meaning given to it in the preamble to this Warrant.</w:t>
      </w:r>
    </w:p>
    <w:p>
      <w:pPr>
        <w:spacing w:after="0" w:line="225" w:lineRule="exact"/>
        <w:rPr>
          <w:sz w:val="20"/>
          <w:szCs w:val="20"/>
          <w:color w:val="auto"/>
        </w:rPr>
      </w:pPr>
    </w:p>
    <w:p>
      <w:pPr>
        <w:ind w:right="140" w:firstLine="436"/>
        <w:spacing w:after="0" w:line="258"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(if any) of each Advance (as defined in the Loan Agreement) to the Company, this Warrant automatically shall become exercisable (cumulatively and collectively with all shares of Common Stock for which it shall previously have become exercisable in accordance with this Section 1(b)) for such number of shares of Common Stock as shall equal (i)(A) 0.02, multiplied by (B) the amount of such Advance funded by the Warrantholder (if any), divided by (ii) the then-effective Exercise Price, subject to adjustment thereafter from time to time in accordance with the provisions of this Warrant.</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color w:val="auto"/>
        </w:rPr>
        <w:t>TERM OF THE AGREEMENT.</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for herein, the term of this Warrant (the “</w:t>
      </w:r>
      <w:r>
        <w:rPr>
          <w:rFonts w:ascii="Times New Roman" w:cs="Times New Roman" w:eastAsia="Times New Roman" w:hAnsi="Times New Roman"/>
          <w:sz w:val="18"/>
          <w:szCs w:val="18"/>
          <w:u w:val="single" w:color="auto"/>
          <w:color w:val="auto"/>
        </w:rPr>
        <w:t>Warrant Term</w:t>
      </w:r>
      <w:r>
        <w:rPr>
          <w:rFonts w:ascii="Times New Roman" w:cs="Times New Roman" w:eastAsia="Times New Roman" w:hAnsi="Times New Roman"/>
          <w:sz w:val="18"/>
          <w:szCs w:val="18"/>
          <w:color w:val="auto"/>
        </w:rPr>
        <w:t>”) and the right to purchase Common Stock as granted herein shall commence on the Effective Date and shall be exercisable for a period ending upon the earlier to occur of (A) seven (7) years from the Effective Date or (B) the consummation of a Public Acquisition, with the Warrant expiring and terminating in its entirety upon the consummation of either of the foregoing events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color w:val="auto"/>
        </w:rPr>
        <w:t>EXERCISE OF THE PURCHASE RIGHTS.</w:t>
      </w:r>
    </w:p>
    <w:p>
      <w:pPr>
        <w:spacing w:after="0" w:line="121" w:lineRule="exact"/>
        <w:rPr>
          <w:sz w:val="20"/>
          <w:szCs w:val="20"/>
          <w:color w:val="auto"/>
        </w:rPr>
      </w:pPr>
    </w:p>
    <w:p>
      <w:pPr>
        <w:ind w:firstLine="436"/>
        <w:spacing w:after="0" w:line="255"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Subject to the terms and conditions hereof, the purchase rights set forth in this Warrant may be exercised, in whole or in part, at any time, or from time to time, during the Warrant Term, by tendering to the Company at its principal office a notice of exercise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duly completed and executed. Promptly upon receipt of the Notice of Exercise and the payment of the Purchase Price in accordance with the terms set forth below, and in no event later than three (3) business days thereafter, the Company shall issue to the Warrantholder a certificate or book entry shares representing the number of shares of Common Stock purchased and shall execute the acknowledgment of exercise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Acknowledgment of Exercise</w:t>
      </w:r>
      <w:r>
        <w:rPr>
          <w:rFonts w:ascii="Times New Roman" w:cs="Times New Roman" w:eastAsia="Times New Roman" w:hAnsi="Times New Roman"/>
          <w:sz w:val="18"/>
          <w:szCs w:val="18"/>
          <w:color w:val="auto"/>
        </w:rPr>
        <w:t>”) indicating the number of shares which remain subject to future purchases under this Warrant, if any.</w:t>
      </w:r>
    </w:p>
    <w:p>
      <w:pPr>
        <w:spacing w:after="0" w:line="189"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Purchase Price may be paid at the Warrantholder’s election either (i) by cash or check, or (ii) by surrender of all or a portion of the Warrant for shares of Common Stock to be exercised under this Warrant and, if applicable, an amended Warrant representing the remaining number of shares purchasable hereunder, as determined below (“</w:t>
      </w:r>
      <w:r>
        <w:rPr>
          <w:rFonts w:ascii="Times New Roman" w:cs="Times New Roman" w:eastAsia="Times New Roman" w:hAnsi="Times New Roman"/>
          <w:sz w:val="18"/>
          <w:szCs w:val="18"/>
          <w:u w:val="single" w:color="auto"/>
          <w:color w:val="auto"/>
        </w:rPr>
        <w:t>Net Issuance</w:t>
      </w:r>
      <w:r>
        <w:rPr>
          <w:rFonts w:ascii="Times New Roman" w:cs="Times New Roman" w:eastAsia="Times New Roman" w:hAnsi="Times New Roman"/>
          <w:sz w:val="18"/>
          <w:szCs w:val="18"/>
          <w:color w:val="auto"/>
        </w:rPr>
        <w:t>”). If the Warrantholder elects the Net Issuance method, the Company will issue Common Stock in accordance with the following formula:</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Y(A-B)</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w:t>
      </w:r>
    </w:p>
    <w:p>
      <w:pPr>
        <w:spacing w:after="0" w:line="27" w:lineRule="exact"/>
        <w:rPr>
          <w:sz w:val="20"/>
          <w:szCs w:val="20"/>
          <w:color w:val="auto"/>
        </w:rPr>
      </w:pPr>
    </w:p>
    <w:p>
      <w:pPr>
        <w:ind w:left="884" w:hanging="236"/>
        <w:spacing w:after="0"/>
        <w:tabs>
          <w:tab w:leader="none" w:pos="8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to be issued to the Warrantholder.</w:t>
      </w:r>
    </w:p>
    <w:p>
      <w:pPr>
        <w:spacing w:after="0" w:line="9"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2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the number of shares of Common Stock requested to be exercised under this Warrant.</w:t>
      </w:r>
    </w:p>
    <w:p>
      <w:pPr>
        <w:spacing w:after="0" w:line="22" w:lineRule="exact"/>
        <w:rPr>
          <w:rFonts w:ascii="Times New Roman" w:cs="Times New Roman" w:eastAsia="Times New Roman" w:hAnsi="Times New Roman"/>
          <w:sz w:val="18"/>
          <w:szCs w:val="18"/>
          <w:color w:val="auto"/>
        </w:rPr>
      </w:pPr>
    </w:p>
    <w:p>
      <w:pPr>
        <w:ind w:left="12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the fair market value of one (1) share of Common Stock at the time of issuance of such shares of Common Stock.</w:t>
      </w:r>
    </w:p>
    <w:p>
      <w:pPr>
        <w:spacing w:after="0" w:line="9"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p>
    <w:p>
      <w:pPr>
        <w:spacing w:after="0" w:line="9"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the above calculation, the fair market value of one (1) share of Common Stock shall mean:</w:t>
      </w:r>
    </w:p>
    <w:p>
      <w:pPr>
        <w:spacing w:after="0" w:line="117" w:lineRule="exact"/>
        <w:rPr>
          <w:sz w:val="20"/>
          <w:szCs w:val="20"/>
          <w:color w:val="auto"/>
        </w:rPr>
      </w:pPr>
    </w:p>
    <w:p>
      <w:pPr>
        <w:ind w:left="4" w:right="160" w:firstLine="436"/>
        <w:spacing w:after="0" w:line="261" w:lineRule="auto"/>
        <w:tabs>
          <w:tab w:leader="none" w:pos="65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traded on any exchange operated by the NASDAQ Stock Market, LLC or any other national securities exchange, the fair market value of one (1) share of Common Stock shall be deemed to be the volume-weighted average of the closing prices over the thirty</w:t>
      </w:r>
    </w:p>
    <w:p>
      <w:pPr>
        <w:ind w:left="344" w:hanging="344"/>
        <w:spacing w:after="0"/>
        <w:tabs>
          <w:tab w:leader="none" w:pos="3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two (2) trading days before the day the fair market value of one (1) share of Common Stock is being determined;</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4" w:firstLine="436"/>
        <w:spacing w:after="0" w:line="256" w:lineRule="auto"/>
        <w:tabs>
          <w:tab w:leader="none" w:pos="70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Common Stock is not listed on any securities exchange, the fair market value of one (1) share of Common Stock shall be the highest price per share which the Company could obtain from a willing buyer (not a current employee or director) for shares of Common Stock sold by the Company (based upon the valuation by the Board of Directors of all shares of Common Stock), from authorized but unissued shares, as determined in good faith by its Board of Directors, unless this Warrant is being exercised in connection with a Merger Event, in which case the fair market value of one (1) share of Common Stock shall be deemed to be the per share value received by the holders of the Common Stock on a Common Stock equivalent basis pursuant to such Merger Event.</w:t>
      </w:r>
    </w:p>
    <w:p>
      <w:pPr>
        <w:spacing w:after="0" w:line="187"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Upon partial exercise by either cash or Net Issuance and surrender of this Warrant, the Company shall promptly issue an agreement substantially in the form of the Warrant representing the remaining number of shares purchasable hereunder. All other terms and conditions of such agreement shall be identical to those contained herein, including, but not limited to the Effective Date hereof.</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35" w:name="page36"/>
    <w:bookmarkEnd w:id="35"/>
    <w:p>
      <w:pPr>
        <w:ind w:firstLine="436"/>
        <w:spacing w:after="0" w:line="255"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Prior to Expiration</w:t>
      </w:r>
      <w:r>
        <w:rPr>
          <w:rFonts w:ascii="Times New Roman" w:cs="Times New Roman" w:eastAsia="Times New Roman" w:hAnsi="Times New Roman"/>
          <w:sz w:val="18"/>
          <w:szCs w:val="18"/>
          <w:color w:val="auto"/>
        </w:rPr>
        <w:t xml:space="preserve">. To the extent that the Warrantholder has not exercised its purchase rights under this Warrant to all Common Stock subject hereto, and if the fair market value of one share of the Common Stock is greater than the Exercise Price then in effect, this Warrant shall be deemed automatically exercised in a Net Issuance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(even if not surrendered) immediately before the expiration of the Warrant Term. For purposes of such automatic exercise, the fair market value of one share of the Common Stock upon such expiration shall be determined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To the extent this Warrant or any portion thereof is deemed automatically exercised pursuant to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the Company agrees to promptly notify the Warrantholder of the number of shares of Common Stock, if any, the Warrantholder is to receive by reason of such automatic exercise.</w:t>
      </w:r>
    </w:p>
    <w:p>
      <w:pPr>
        <w:spacing w:after="0" w:line="80"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Each certificate or book entry shares for the shares of Common Stock purchased upon exercise of this Warrant shall bear the restrictive legend set forth on the first page of this Warrant. Such legend shall be removed and the Company shall, or shall instruct its transfer agent to, issue a certificate or book entry shares without such legend or any other legend to the holder of such shares (i) if such shares are sold or transferred pursuant to an effective registration statement under the Act covering the resale of such shares by the holder thereof, (ii) if such shares are sold or transferred pursuant to Rule 144 under the Act, (iii) if, upon advice of counsel to the Company, such shares are eligible for resale without any restrictions under Rule 144 under the Act, or (iv) upon the request of such holder if such request is accompanied (at such holder’s expense) by a written opinion of counsel reasonably satisfactory to the Company that registration is not required under the Act or any applicable state securities laws for the resale of the shares of Common Stock purchased upon exercise of this Warrant. The removal of such restrictive legend from any certificates or book entry shares representing the shares of Common Stock purchased upon exercise of this Warrant is predicated upon the Company’s reliance that the holder of such shares would sell, transfer, assign, pledge, hypothecate or otherwise dispose of such shares pursuant to either the registration requirements of the Act, including any applicable prospectus delivery requirements, or an exemption therefrom, and that if such shares are sold pursuant to a registration statement, they will be sold in compliance with the plan of distribution set forth therein.</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color w:val="auto"/>
        </w:rPr>
        <w:t>RESERVATION OF SHARES.</w:t>
      </w:r>
    </w:p>
    <w:p>
      <w:pPr>
        <w:spacing w:after="0" w:line="22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During the Warrant Term, the Company will at all times have authorized and reserved a sufficient number of shares of its Common Stock to provide for the exercise of the rights to purchase Common Stock as provided for herein.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color w:val="auto"/>
        </w:rPr>
        <w:t>NO FRACTIONAL SHARES OR SCRIP.</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this Warrant, but in lieu of such fractional shares the Company shall make a cash payment therefor upon the basis of the Exercise Price then in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6" w:name="page37"/>
    <w:bookmarkEnd w:id="36"/>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color w:val="auto"/>
        </w:rPr>
        <w:t>NO RIGHTS AS STOCKHOLDER.</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This Warrant does not entitle the Warrantholder to any voting rights or other rights as a stockholder of the Company prior to the exercise of this Warrant.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color w:val="auto"/>
        </w:rPr>
        <w:t>WARRANTHOLDER REGISTRY.</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shall maintain a registry showing the name and address of the registered holder of this Warrant. Warrantholder’s initial address, for purposes of such registry, is set forth in </w:t>
      </w:r>
      <w:r>
        <w:rPr>
          <w:rFonts w:ascii="Times New Roman" w:cs="Times New Roman" w:eastAsia="Times New Roman" w:hAnsi="Times New Roman"/>
          <w:sz w:val="18"/>
          <w:szCs w:val="18"/>
          <w:u w:val="single" w:color="auto"/>
          <w:color w:val="auto"/>
        </w:rPr>
        <w:t>Section 12(g)</w:t>
      </w:r>
      <w:r>
        <w:rPr>
          <w:rFonts w:ascii="Times New Roman" w:cs="Times New Roman" w:eastAsia="Times New Roman" w:hAnsi="Times New Roman"/>
          <w:sz w:val="18"/>
          <w:szCs w:val="18"/>
          <w:color w:val="auto"/>
        </w:rPr>
        <w:t>. Warrantholder may change such address by giving written notice of such changed address to the Company.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color w:val="auto"/>
        </w:rPr>
        <w:t>ADJUSTMENT RIGHTS.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Exercise Price and the number of shares of Common Stock purchasable hereunder are subject to adjustment, as follows:</w:t>
      </w:r>
    </w:p>
    <w:p>
      <w:pPr>
        <w:spacing w:after="0" w:line="225" w:lineRule="exact"/>
        <w:rPr>
          <w:sz w:val="20"/>
          <w:szCs w:val="20"/>
          <w:color w:val="auto"/>
        </w:rPr>
      </w:pPr>
    </w:p>
    <w:p>
      <w:pPr>
        <w:ind w:right="60" w:firstLine="436"/>
        <w:spacing w:after="0" w:line="25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Event</w:t>
      </w:r>
      <w:r>
        <w:rPr>
          <w:rFonts w:ascii="Times New Roman" w:cs="Times New Roman" w:eastAsia="Times New Roman" w:hAnsi="Times New Roman"/>
          <w:sz w:val="18"/>
          <w:szCs w:val="18"/>
          <w:color w:val="auto"/>
        </w:rPr>
        <w:t xml:space="preserve">. If at any time there shall be a Merger Event that is not a Public Acquisition, then, as a part of such Merger Event, lawful provision shall be made so that the Warrantholder shall thereafter be entitled to receive, upon exercise of this Warrant, the kind, amount and value of shares of Common Stock or other securities or property of the successor, surviving or purchasing corporation resulting from, or participating in, such Merger Event that would have been issuable if Warrantholder had exercised this Warrant immediately prior to such Merger Event. In any such case, appropriate adjustment (as determined in good faith by the Company’s Board of Directors) shall be made in the application of the provisions of this Warrant with respect to the rights and interests of the Warrantholder after such Merger Event to the end that the provisions of this Warrant (including adjustments of the Exercise Price) shall be applicable in their entirety, and to the greatest extent possible. Without limiting the foregoing, in connection with any Merger Event other than a Public Acquisition, upon the closing thereof, the successor, surviving or purchasing entity shall assume the obligations of this Warrant. The provisions of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shall similarly apply to successive Merger Events. In connection with a Merger Event that is a Public Acquisition and upon Warrantholder’s written election to the Company, the Company shall cause this Warrant to be exchanged for the consideration that Warrantholder would have received if Warrantholder chose to exercise its right to have shares issued pursuant to the Net Issuance provisions of this Warrant prior to the Merger Event without actually exercising such right, acquiring such shares and exchanging such shares for such consideration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66" w:right="539" w:bottom="1440" w:gutter="0" w:footer="0" w:header="0"/>
        </w:sectPr>
      </w:pPr>
    </w:p>
    <w:bookmarkStart w:id="37" w:name="page38"/>
    <w:bookmarkEnd w:id="37"/>
    <w:p>
      <w:pPr>
        <w:ind w:left="-436" w:right="40" w:firstLine="436"/>
        <w:spacing w:after="0" w:line="258"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Reclassification of Shares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if the Company at any time shall, by combination, reclassification, exchange or subdivision of securities or otherwise, change any of the securities as to which purchase rights under this Warrant exist into the same or a different number of securities of any other class or classes, this Warrant shall thereafter represent the right to acquire such number and kind of securities as would have been issuable as the result of such change with respect to the securities which were subject to the purchase rights under this Warrant immediately prior to such combination, reclassification, exchange, subdivision or other change.</w:t>
      </w:r>
    </w:p>
    <w:p>
      <w:pPr>
        <w:spacing w:after="0" w:line="75" w:lineRule="exact"/>
        <w:rPr>
          <w:rFonts w:ascii="Times New Roman" w:cs="Times New Roman" w:eastAsia="Times New Roman" w:hAnsi="Times New Roman"/>
          <w:sz w:val="18"/>
          <w:szCs w:val="18"/>
          <w:color w:val="auto"/>
        </w:rPr>
      </w:pPr>
    </w:p>
    <w:p>
      <w:pPr>
        <w:ind w:left="-436" w:right="40" w:firstLine="436"/>
        <w:spacing w:after="0" w:line="261"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or Combination of Shares</w:t>
      </w:r>
      <w:r>
        <w:rPr>
          <w:rFonts w:ascii="Times New Roman" w:cs="Times New Roman" w:eastAsia="Times New Roman" w:hAnsi="Times New Roman"/>
          <w:sz w:val="18"/>
          <w:szCs w:val="18"/>
          <w:color w:val="auto"/>
        </w:rPr>
        <w:t>. If the Company at any time shall combine or subdivide its Common Stock, (i) in the case of a subdivision, the Exercise Price shall be proportionately decreased, and the number of shares of Common Stock issuable upon exercise of this Warrant shall be proportionately increased, or (ii) in the case of a combination, the Exercise Price shall be proportionately increased, and the number of shares of Common Stock issuable upon the exercise of this Warrant shall be proportionately decreased.</w:t>
      </w:r>
    </w:p>
    <w:p>
      <w:pPr>
        <w:spacing w:after="0" w:line="7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w:t>
      </w:r>
      <w:r>
        <w:rPr>
          <w:rFonts w:ascii="Times New Roman" w:cs="Times New Roman" w:eastAsia="Times New Roman" w:hAnsi="Times New Roman"/>
          <w:sz w:val="18"/>
          <w:szCs w:val="18"/>
          <w:color w:val="auto"/>
        </w:rPr>
        <w:t>. If the Company at any time while this Warrant is outstanding and unexpired shall:</w:t>
      </w:r>
    </w:p>
    <w:p>
      <w:pPr>
        <w:spacing w:after="0" w:line="117"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 dividend with respect to the outstanding shares of Common Stock payable in additional shares of Common Stock, then the Exercise Price shall be adjusted, from and after the date of determination of stockholders entitled to receive such dividend or distribution,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or</w:t>
      </w:r>
    </w:p>
    <w:p>
      <w:pPr>
        <w:spacing w:after="0" w:line="75" w:lineRule="exact"/>
        <w:rPr>
          <w:rFonts w:ascii="Times New Roman" w:cs="Times New Roman" w:eastAsia="Times New Roman" w:hAnsi="Times New Roman"/>
          <w:sz w:val="18"/>
          <w:szCs w:val="18"/>
          <w:color w:val="auto"/>
        </w:rPr>
      </w:pPr>
    </w:p>
    <w:p>
      <w:pPr>
        <w:ind w:left="4" w:right="200" w:firstLine="419"/>
        <w:spacing w:after="0" w:line="261" w:lineRule="auto"/>
        <w:tabs>
          <w:tab w:leader="none" w:pos="6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other distribution with respect to the Common Stock, except any distribution specifically provided for in any other clause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then, in each such case, provision shall be made by the Company such that the Warrantholder shall receive upon exercise of this Warrant a proportionate share of any such distribution as though it were the holder of the Common Stock as of the record date fixed for the determination of the stockholders of the Company entitled to receive such distribution.</w:t>
      </w:r>
    </w:p>
    <w:p>
      <w:pPr>
        <w:spacing w:after="0" w:line="71" w:lineRule="exact"/>
        <w:rPr>
          <w:rFonts w:ascii="Times New Roman" w:cs="Times New Roman" w:eastAsia="Times New Roman" w:hAnsi="Times New Roman"/>
          <w:sz w:val="18"/>
          <w:szCs w:val="18"/>
          <w:color w:val="auto"/>
        </w:rPr>
      </w:pPr>
    </w:p>
    <w:p>
      <w:pPr>
        <w:ind w:left="-436" w:firstLine="436"/>
        <w:spacing w:after="0" w:line="256"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If: (i) the Company shall declare any dividend or distribution upon its Common Stock, whether in stock, cash, property or other securities (assuming Lender consents to a dividend involving cash, property or other securities under the Loan Agreement, if the consent of Lender is then required by the terms of the Loan Agreement); (ii) the Company shall offer for subscription pro rata to the holders of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notifies holders of shares of Common Stock thereof.</w:t>
      </w:r>
    </w:p>
    <w:p>
      <w:pPr>
        <w:sectPr>
          <w:pgSz w:w="11900" w:h="16838" w:orient="portrait"/>
          <w:cols w:equalWidth="0" w:num="1">
            <w:col w:w="10564"/>
          </w:cols>
          <w:pgMar w:left="876" w:top="270" w:right="459" w:bottom="1440" w:gutter="0" w:footer="0" w:header="0"/>
        </w:sectPr>
      </w:pPr>
    </w:p>
    <w:bookmarkStart w:id="38" w:name="page39"/>
    <w:bookmarkEnd w:id="38"/>
    <w:p>
      <w:pPr>
        <w:ind w:left="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color w:val="auto"/>
        </w:rPr>
        <w:t>REPRESENTATIONS, WARRANTIES AND COVENANTS OF THE COMPANY.</w:t>
      </w:r>
    </w:p>
    <w:p>
      <w:pPr>
        <w:spacing w:after="0" w:line="121" w:lineRule="exact"/>
        <w:rPr>
          <w:sz w:val="20"/>
          <w:szCs w:val="20"/>
          <w:color w:val="auto"/>
        </w:rPr>
      </w:pPr>
    </w:p>
    <w:p>
      <w:pPr>
        <w:ind w:left="-40" w:right="80" w:firstLine="436"/>
        <w:spacing w:after="0" w:line="254" w:lineRule="auto"/>
        <w:tabs>
          <w:tab w:leader="none" w:pos="6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xml:space="preserve">. The shares of Common Stock issuable upon exercise of the Warrantholder’s rights have been duly and validly reserved and, when issued in accordance with the provisions of this Warrant, will upon issuance be validly issued, fully paid and non-assessable, and will be free of any taxes, liens, charges or encumbrances of any nature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Common Stock issuable pursuant to this Warrant may be subject to restrictions on transfer under state and/or federal securities laws. The Company has made available to the Warrantholder publicly through the SEC’s EDGAR system true, correct and complete copies of its Charter and current bylaws. The issuance of certificates for shares of Common Stock upon exercise of this Warrant shall be made without charge to the Warrantholder for any issuance tax in respect thereof, or other cost incurred by the Company in connection with such exercise and the related issuance of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to pay any tax which may be payable in respect of any transfer and the issuance and delivery of any certificate in a name other than that of the Warrantholder.</w:t>
      </w:r>
    </w:p>
    <w:p>
      <w:pPr>
        <w:spacing w:after="0" w:line="80" w:lineRule="exact"/>
        <w:rPr>
          <w:rFonts w:ascii="Times New Roman" w:cs="Times New Roman" w:eastAsia="Times New Roman" w:hAnsi="Times New Roman"/>
          <w:sz w:val="18"/>
          <w:szCs w:val="18"/>
          <w:color w:val="auto"/>
        </w:rPr>
      </w:pPr>
    </w:p>
    <w:p>
      <w:pPr>
        <w:ind w:left="-40" w:firstLine="436"/>
        <w:spacing w:after="0" w:line="25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execution and delivery by the Company of this Warrant and the performance of all obligations of the Company hereunder, including the issuance to Warrantholder of the right to acquire the shares of Common Stock, have been duly authorized by all necessary corporate action on the part of the Company. This Warrant: (1) does not violate the Company’s Charter or current bylaws; (2) does not contravene any law or governmental rule, regulation or order applicable to it; and (3) does not and will not contravene any provision of, or constitute a default under, any indenture, mortgage, contract or other instrument to which it is a party or by which it is bound. This Warrant constitutes a legal, valid and binding agreement of the Company, enforceable in accordance with its terms, except as such enforceability may be limited by bankruptcy, insolvency, reorganization, fraudulent conveyance, moratorium or other laws affecting the enforcement of creditors’ rights in general, and except that the enforceability of this Warrant is subject to general principles of equity.</w:t>
      </w:r>
    </w:p>
    <w:p>
      <w:pPr>
        <w:spacing w:after="0" w:line="83" w:lineRule="exact"/>
        <w:rPr>
          <w:rFonts w:ascii="Times New Roman" w:cs="Times New Roman" w:eastAsia="Times New Roman" w:hAnsi="Times New Roman"/>
          <w:sz w:val="18"/>
          <w:szCs w:val="18"/>
          <w:color w:val="auto"/>
        </w:rPr>
      </w:pPr>
    </w:p>
    <w:p>
      <w:pPr>
        <w:ind w:left="-40" w:right="20" w:firstLine="436"/>
        <w:spacing w:after="0" w:line="261" w:lineRule="auto"/>
        <w:tabs>
          <w:tab w:leader="none" w:pos="6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No consent or approval of, giving of notice to, registration with, or taking of any other action in respect of any state, federal or other governmental authority or agency is required on the part of the Company with respect to the execution, delivery and performance by the Company of its obligations under this Warrant, except for the filing of notices pursuant to Regulation D under the Act and any filing required by applicable state securities law, which filings will be effective by the time required thereby.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80" w:top="266" w:right="479" w:bottom="1440" w:gutter="0" w:footer="0" w:header="0"/>
        </w:sectPr>
      </w:pPr>
    </w:p>
    <w:bookmarkStart w:id="39" w:name="page40"/>
    <w:bookmarkEnd w:id="39"/>
    <w:p>
      <w:pPr>
        <w:ind w:left="-60" w:right="160" w:firstLine="436"/>
        <w:spacing w:after="0" w:line="261"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Issued Securities</w:t>
      </w:r>
      <w:r>
        <w:rPr>
          <w:rFonts w:ascii="Times New Roman" w:cs="Times New Roman" w:eastAsia="Times New Roman" w:hAnsi="Times New Roman"/>
          <w:sz w:val="18"/>
          <w:szCs w:val="18"/>
          <w:color w:val="auto"/>
        </w:rPr>
        <w:t>. All issued and outstanding shares of Common Stock have been duly authorized and validly issued and are fully paid and non-assessable. All outstanding shares of Common Stock and any other Company securities were issued in compliance with all applicable federal and state securities laws in all material respects. In addition, as of the date immediately preceding the Effective Date, no stockholder of the Company has preemptive rights to purchase new issuances of the Company’s capital stock pursuant to the Charter or the Company’s bylaws.</w:t>
      </w:r>
    </w:p>
    <w:p>
      <w:pPr>
        <w:spacing w:after="0" w:line="71" w:lineRule="exact"/>
        <w:rPr>
          <w:rFonts w:ascii="Times New Roman" w:cs="Times New Roman" w:eastAsia="Times New Roman" w:hAnsi="Times New Roman"/>
          <w:sz w:val="18"/>
          <w:szCs w:val="18"/>
          <w:color w:val="auto"/>
        </w:rPr>
      </w:pPr>
    </w:p>
    <w:p>
      <w:pPr>
        <w:ind w:left="-60" w:right="280" w:firstLine="436"/>
        <w:spacing w:after="0" w:line="266" w:lineRule="auto"/>
        <w:tabs>
          <w:tab w:leader="none" w:pos="6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 Transaction</w:t>
      </w:r>
      <w:r>
        <w:rPr>
          <w:rFonts w:ascii="Times New Roman" w:cs="Times New Roman" w:eastAsia="Times New Roman" w:hAnsi="Times New Roman"/>
          <w:sz w:val="18"/>
          <w:szCs w:val="18"/>
          <w:color w:val="auto"/>
        </w:rPr>
        <w:t xml:space="preserve">. Subject to the accuracy of the Warrantholder’s representations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issuance of the Common Stock upon exercise of this Warrant will each constitute a transaction exempt from (i) the registration requirements of Section 5 of the Act, in reliance upon Section 4(a)(2) thereof, and (ii) the qualification requirements of the applicable state securities laws.</w:t>
      </w:r>
    </w:p>
    <w:p>
      <w:pPr>
        <w:spacing w:after="0" w:line="67" w:lineRule="exact"/>
        <w:rPr>
          <w:rFonts w:ascii="Times New Roman" w:cs="Times New Roman" w:eastAsia="Times New Roman" w:hAnsi="Times New Roman"/>
          <w:sz w:val="18"/>
          <w:szCs w:val="18"/>
          <w:color w:val="auto"/>
        </w:rPr>
      </w:pPr>
    </w:p>
    <w:p>
      <w:pPr>
        <w:ind w:left="-60" w:firstLine="436"/>
        <w:spacing w:after="0" w:line="256" w:lineRule="auto"/>
        <w:tabs>
          <w:tab w:leader="none" w:pos="6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Rule 144</w:t>
      </w:r>
      <w:r>
        <w:rPr>
          <w:rFonts w:ascii="Times New Roman" w:cs="Times New Roman" w:eastAsia="Times New Roman" w:hAnsi="Times New Roman"/>
          <w:sz w:val="18"/>
          <w:szCs w:val="18"/>
          <w:color w:val="auto"/>
        </w:rPr>
        <w:t>. If the Warrantholder proposes to sell Common Stock issuable upon the exercise of this Warrant in compliance with Rule 144 promulgated by the SEC, then, upon Warrantholder’s written request to the Company, the Company shall furnish to the Warrantholder, within five days after receipt of such request, a written statement confirming the Company’s compliance with the filing requirements of the SEC as set forth in such Rule, as such Rule may be amended from time to time, and shall, subject to such sale being in compliance with all of the conditions of Rule 144, issue appropriate instructions to its transfer agent to remove the restrictive legend from any certificates evidencing the Common Stock issuable upon the exercise of this Warrant.</w:t>
      </w:r>
    </w:p>
    <w:p>
      <w:pPr>
        <w:spacing w:after="0" w:line="79" w:lineRule="exact"/>
        <w:rPr>
          <w:rFonts w:ascii="Times New Roman" w:cs="Times New Roman" w:eastAsia="Times New Roman" w:hAnsi="Times New Roman"/>
          <w:sz w:val="18"/>
          <w:szCs w:val="18"/>
          <w:color w:val="auto"/>
        </w:rPr>
      </w:pPr>
    </w:p>
    <w:p>
      <w:pPr>
        <w:ind w:left="640" w:hanging="26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Shares</w:t>
      </w:r>
      <w:r>
        <w:rPr>
          <w:rFonts w:ascii="Times New Roman" w:cs="Times New Roman" w:eastAsia="Times New Roman" w:hAnsi="Times New Roman"/>
          <w:sz w:val="18"/>
          <w:szCs w:val="18"/>
          <w:color w:val="auto"/>
        </w:rPr>
        <w:t>. The Common Stock is listed for trading on the NASDAQ Stock Market LLC as of the Effective Date.</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color w:val="auto"/>
        </w:rPr>
        <w:t>REPRESENTATIONS AND COVENANTS OF THE WARRANTHOLDER.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Warrant has been entered into by the Company in reliance upon the following representations and covenants of the Warrantholder:</w:t>
      </w:r>
    </w:p>
    <w:p>
      <w:pPr>
        <w:spacing w:after="0" w:line="117" w:lineRule="exact"/>
        <w:rPr>
          <w:sz w:val="20"/>
          <w:szCs w:val="20"/>
          <w:color w:val="auto"/>
        </w:rPr>
      </w:pPr>
    </w:p>
    <w:p>
      <w:pPr>
        <w:ind w:left="-60" w:right="20" w:firstLine="436"/>
        <w:spacing w:after="0" w:line="258" w:lineRule="auto"/>
        <w:tabs>
          <w:tab w:leader="none" w:pos="6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right to acquire Common Stock or the Common Stock issuable upon exercise of the Warrantholder’s rights contained herein has been, and such shares will be, acquired for investment and not with a view to the sale or distribution of any part thereof, and the Warrantholder has no present intention of selling or engaging in any public distribution of the same except pursuant to a registration under the Act or an exemption from the registration requirements of the Act. Warrantholder is not a registered broker-dealer under Section 15 of the 1934 Act or an entity engaged in a business that would require it to be so registered as a broker-dealer.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70" w:right="499" w:bottom="1440" w:gutter="0" w:footer="0" w:header="0"/>
        </w:sectPr>
      </w:pPr>
    </w:p>
    <w:bookmarkStart w:id="40" w:name="page41"/>
    <w:bookmarkEnd w:id="40"/>
    <w:p>
      <w:pPr>
        <w:jc w:val="both"/>
        <w:ind w:firstLine="436"/>
        <w:spacing w:after="0" w:line="261"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Private Issue</w:t>
      </w:r>
      <w:r>
        <w:rPr>
          <w:rFonts w:ascii="Times New Roman" w:cs="Times New Roman" w:eastAsia="Times New Roman" w:hAnsi="Times New Roman"/>
          <w:sz w:val="18"/>
          <w:szCs w:val="18"/>
          <w:color w:val="auto"/>
        </w:rPr>
        <w:t xml:space="preserve">. The Warrantholder understands (i) that the Common Stock issuable upon exercise of this Warrant is not registered under the Act or qualified under applicable state securities laws on the ground that the issuance contemplated by this Warrant will be exempt from the registration and qualifications requirements thereof, and (ii) that the Company’s reliance on such exemption is predicated on the representations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300" w:firstLine="436"/>
        <w:spacing w:after="0" w:line="28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Risk</w:t>
      </w:r>
      <w:r>
        <w:rPr>
          <w:rFonts w:ascii="Times New Roman" w:cs="Times New Roman" w:eastAsia="Times New Roman" w:hAnsi="Times New Roman"/>
          <w:sz w:val="18"/>
          <w:szCs w:val="18"/>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53"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of No Registration</w:t>
      </w:r>
      <w:r>
        <w:rPr>
          <w:rFonts w:ascii="Times New Roman" w:cs="Times New Roman" w:eastAsia="Times New Roman" w:hAnsi="Times New Roman"/>
          <w:sz w:val="18"/>
          <w:szCs w:val="18"/>
          <w:color w:val="auto"/>
        </w:rPr>
        <w:t>. Without in any way limiting the Company’s obligations under this Warrant, the Warrantholder understands that if the Common Stock is not registered with the SEC pursuant to Section 12 of the 1934 Act or the Company is not required to file reports pursuant to Section 13(a) or Section 15(d) of the 1934 Act, or if a registration statement is not effective under the Act covering the resale of the shares of Common Stock issuable upon exercise of the Warrant when it desires to sell (i) the rights to purchase Common Stock pursuant to this Warrant or (ii) the Common Stock issuable upon exercise of the right to purchase, as applicable, it may be required to hold such securities for an indefinite period. The Warrantholder also understands that any sale of (A) its rights hereunder to purchase Common Stock or (B) Common Stock issued or issuable hereunder which might be made by it in reliance upon Rule 144 under the Act may be made only in accordance with the terms and conditions of that Rule.</w:t>
      </w:r>
    </w:p>
    <w:p>
      <w:pPr>
        <w:spacing w:after="0" w:line="80" w:lineRule="exact"/>
        <w:rPr>
          <w:rFonts w:ascii="Times New Roman" w:cs="Times New Roman" w:eastAsia="Times New Roman" w:hAnsi="Times New Roman"/>
          <w:sz w:val="18"/>
          <w:szCs w:val="18"/>
          <w:color w:val="auto"/>
        </w:rPr>
      </w:pPr>
    </w:p>
    <w:p>
      <w:pPr>
        <w:ind w:right="140" w:firstLine="436"/>
        <w:spacing w:after="0" w:line="28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Warrantholder is, and on each date on which it exercises any portion of this Warrant, it will be, an “accredited investor” within the meaning of the Securities and Exchange Rule 501 of Regulation D, as presently in effect.</w:t>
      </w:r>
    </w:p>
    <w:p>
      <w:pPr>
        <w:spacing w:after="0" w:line="53"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Warrantholder has not engaged, and will not engage, in “short sales” of the Common Stock of the Company at any time on or prior to the Effective Date and until the Termination Date. The term “short sale” shall mean any sale of a security which the seller does not own or any sale which is consummated by the delivery of a security borrowed by, or for the account of, the seller.</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color w:val="auto"/>
        </w:rPr>
        <w:t>TRANSFERS.</w:t>
      </w:r>
    </w:p>
    <w:p>
      <w:pPr>
        <w:spacing w:after="0" w:line="22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compliance with applicable federal and state securities laws, this Warrant and all rights hereunder are transferable, in whole or in part, without charge to the holder hereof (except for transfer taxes) upon surrender of this Warrant properly endorsed. Each taker and holder of this Warrant, by taking or holding the same, consents and agrees that this Warrant, when endorsed in blank, shall be deemed</w:t>
      </w:r>
    </w:p>
    <w:p>
      <w:pPr>
        <w:sectPr>
          <w:pgSz w:w="11900" w:h="16838" w:orient="portrait"/>
          <w:cols w:equalWidth="0" w:num="1">
            <w:col w:w="10940"/>
          </w:cols>
          <w:pgMar w:left="440" w:top="270" w:right="51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negotiable, and that the holder hereof, when this Warrant shall have been so endorsed and its transfer recorded on the Company’s books, shall be treated by the Company and all other persons dealing with this Warrant as the absolute owner hereof for any purpose and as the person entitled to exercise the rights represented by this Warrant. The transfer of this Warrant shall be recorded on the books of the Company upon receipt by the Company of a notice of transfer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Warrantholder of this Warrant (or any portion hereof or any interest herein) or of any shares of Common Stock issued upon any exercise hereof to an affiliate (as defined in Regulation D) of Warrantholder, provided that such affiliate is an “accredited investor” as defined in Regulation D. Upon a permitted transfer of this Warrant to another entity, references to “Warrantholder” herein shall, unless the context otherwise requires, refer to such permitted transferee.</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color w:val="auto"/>
        </w:rPr>
        <w:t>MISCELLANEOUS.</w:t>
      </w:r>
    </w:p>
    <w:p>
      <w:pPr>
        <w:spacing w:after="0" w:line="229" w:lineRule="exact"/>
        <w:rPr>
          <w:sz w:val="20"/>
          <w:szCs w:val="20"/>
          <w:color w:val="auto"/>
        </w:rPr>
      </w:pPr>
    </w:p>
    <w:p>
      <w:pPr>
        <w:ind w:right="380" w:firstLine="436"/>
        <w:spacing w:after="0" w:line="312" w:lineRule="auto"/>
        <w:tabs>
          <w:tab w:leader="none" w:pos="6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The provisions of this Warrant shall be construed and shall be given effect in all respects as if it had been executed and delivered by the Company on the date hereof. This Warrant shall be binding upon any successors or assigns of the Company and the Warrantholder.</w:t>
      </w:r>
    </w:p>
    <w:p>
      <w:pPr>
        <w:spacing w:after="0" w:line="139" w:lineRule="exact"/>
        <w:rPr>
          <w:rFonts w:ascii="Times New Roman" w:cs="Times New Roman" w:eastAsia="Times New Roman" w:hAnsi="Times New Roman"/>
          <w:sz w:val="17"/>
          <w:szCs w:val="17"/>
          <w:color w:val="auto"/>
        </w:rPr>
      </w:pPr>
    </w:p>
    <w:p>
      <w:pPr>
        <w:ind w:right="40" w:firstLine="436"/>
        <w:spacing w:after="0" w:line="258"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Warrantholder will not have an adequate remedy at law and where damages will not be readily ascertainable. The Company expressly agrees that it shall not oppose an application by the Warrantholder or any other person entitled to the benefit of this Warrant requiring specific performance of any or all provisions hereof or enjoining the Company from continuing to commit any such breach of this Warrant.</w:t>
      </w:r>
    </w:p>
    <w:p>
      <w:pPr>
        <w:spacing w:after="0" w:line="183" w:lineRule="exact"/>
        <w:rPr>
          <w:rFonts w:ascii="Times New Roman" w:cs="Times New Roman" w:eastAsia="Times New Roman" w:hAnsi="Times New Roman"/>
          <w:sz w:val="18"/>
          <w:szCs w:val="18"/>
          <w:color w:val="auto"/>
        </w:rPr>
      </w:pPr>
    </w:p>
    <w:p>
      <w:pPr>
        <w:ind w:right="40" w:firstLine="436"/>
        <w:spacing w:after="0" w:line="255"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 of Rights</w:t>
      </w:r>
      <w:r>
        <w:rPr>
          <w:rFonts w:ascii="Times New Roman" w:cs="Times New Roman" w:eastAsia="Times New Roman" w:hAnsi="Times New Roman"/>
          <w:sz w:val="18"/>
          <w:szCs w:val="18"/>
          <w:color w:val="auto"/>
        </w:rPr>
        <w:t>. The Company will not, by amendment of its Charter or through any other means, avoid or seek to avoid the observance or performance of any of the terms of this Warrant, but will at all times in good faith assist in the carrying out of all such terms and in the taking of all such actions as may be reasonably necessary or appropriate in order to protect the rights of the Warrantholder against impairment. Notwithstanding the foregoing, nothing in this Section 12(c) shall negate or otherwise restrict or impair the Company’s right to effect any changes to the rights, preferences, privileges or restrictions associated with the Common Stock so long as such changes do not adversely affect the rights, preferences, privileges or restrictions associated with the shares of Common Stock issuable upon exercise of this Warrant in a manner different from the effect that such changes have generally on the rights, preferences, privileges or restrictions associated with all other shares of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2" w:name="page43"/>
    <w:bookmarkEnd w:id="42"/>
    <w:p>
      <w:pPr>
        <w:ind w:right="12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Documents</w:t>
      </w:r>
      <w:r>
        <w:rPr>
          <w:rFonts w:ascii="Times New Roman" w:cs="Times New Roman" w:eastAsia="Times New Roman" w:hAnsi="Times New Roman"/>
          <w:sz w:val="18"/>
          <w:szCs w:val="18"/>
          <w:color w:val="auto"/>
        </w:rPr>
        <w:t xml:space="preserve">. The Company, upon execution of this Warrant, shall provide the Warrantholder with certified resolutions with respect to the representations and warranties set forth in the first sentence of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436"/>
        <w:spacing w:after="0" w:line="256"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xml:space="preserve">. In any litigation, arbitration or court proceeding between the Company and the Warrantholder relating hereto, the prevailing party shall be entitled to reasonable attorneys’ fees and expenses and all reasonable costs of proceedings incurred in enforcing this Warrant. For the purposes of this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 attorneys’ fees shall include without limitation reasonable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187" w:lineRule="exact"/>
        <w:rPr>
          <w:rFonts w:ascii="Times New Roman" w:cs="Times New Roman" w:eastAsia="Times New Roman" w:hAnsi="Times New Roman"/>
          <w:sz w:val="18"/>
          <w:szCs w:val="18"/>
          <w:color w:val="auto"/>
        </w:rPr>
      </w:pPr>
    </w:p>
    <w:p>
      <w:pPr>
        <w:ind w:right="120" w:firstLine="436"/>
        <w:spacing w:after="0" w:line="289" w:lineRule="auto"/>
        <w:tabs>
          <w:tab w:leader="none" w:pos="66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the event any one or more of the provisions of this Warrant shall for any reason be held invalid, illegal or unenforceable, the remaining provisions of this Warrant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57" w:lineRule="exact"/>
        <w:rPr>
          <w:rFonts w:ascii="Times New Roman" w:cs="Times New Roman" w:eastAsia="Times New Roman" w:hAnsi="Times New Roman"/>
          <w:sz w:val="17"/>
          <w:szCs w:val="17"/>
          <w:color w:val="auto"/>
        </w:rPr>
      </w:pPr>
    </w:p>
    <w:p>
      <w:pPr>
        <w:ind w:firstLine="436"/>
        <w:spacing w:after="0" w:line="255"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herein, any notice, demand, request, consent, approval, declaration, service of process or other communication that is required, contemplated, or permitted under this Warrant or with respect to the subject matter hereof shall be in writing, and shall be deemed to have been validly served, given, delivered, and received upon the earlier of: (i) the day of transmission by facsimile or hand delivery if transmission or delivery occurs on a business day at or before 5:00 pm in the time zone of the recipient, or, if transmission or delivery occurs on a non-business day or after such time, the first business day thereafter, or the first business day after deposit with an overnight express service or overnight mail delivery service; or (ii) the third calendar day after deposit in the United States mails, with proper first class postage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Advance Request shall not be deemed received until Lender’s actual receipt thereof), and shall be addressed to the party to be notified as follows:</w:t>
      </w:r>
    </w:p>
    <w:p>
      <w:pPr>
        <w:spacing w:after="0" w:line="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Warrantholder:</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HERCULES CAPITAL,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Legal Department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3" w:name="page44"/>
    <w:bookmarkEnd w:id="43"/>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Attention: Chief Legal Officer</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400 Hamilton Avenue, Suite 310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Chief Financial Officer (with a copy to General Counsel)</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Four Tower Bridge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200 Barr Harbor Drive, Suite 200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West Conshohocken, PA 19428</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each party may designate for itself by like notice.</w:t>
      </w:r>
    </w:p>
    <w:p>
      <w:pPr>
        <w:spacing w:after="0" w:line="225" w:lineRule="exact"/>
        <w:rPr>
          <w:sz w:val="20"/>
          <w:szCs w:val="20"/>
          <w:color w:val="auto"/>
        </w:rPr>
      </w:pPr>
    </w:p>
    <w:p>
      <w:pPr>
        <w:ind w:right="20" w:firstLine="436"/>
        <w:spacing w:after="0" w:line="261"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Warrant constitutes the entire agreement and understanding of the parties hereto in respect of the subject matter hereof, and supersede and replace in their entirety any prior proposals, term sheets, letters, negotiations or other documents or agreements, whether written or oral, with respect to the subject matter hereof (including Lender’s proposal letter dated March 29, 2022). None of the terms of this Warrant may be amended except by an instrument executed by each of the parties hereto.</w:t>
      </w:r>
    </w:p>
    <w:p>
      <w:pPr>
        <w:spacing w:after="0" w:line="179" w:lineRule="exact"/>
        <w:rPr>
          <w:rFonts w:ascii="Times New Roman" w:cs="Times New Roman" w:eastAsia="Times New Roman" w:hAnsi="Times New Roman"/>
          <w:sz w:val="18"/>
          <w:szCs w:val="18"/>
          <w:color w:val="auto"/>
        </w:rPr>
      </w:pPr>
    </w:p>
    <w:p>
      <w:pPr>
        <w:ind w:right="440" w:firstLine="436"/>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various headings in this Warrant are inserted for convenience only and shall not affect the meaning or interpretation of this Warrant or any provisions hereof.</w:t>
      </w:r>
    </w:p>
    <w:p>
      <w:pPr>
        <w:spacing w:after="0" w:line="161" w:lineRule="exact"/>
        <w:rPr>
          <w:rFonts w:ascii="Times New Roman" w:cs="Times New Roman" w:eastAsia="Times New Roman" w:hAnsi="Times New Roman"/>
          <w:sz w:val="18"/>
          <w:szCs w:val="18"/>
          <w:color w:val="auto"/>
        </w:rPr>
      </w:pPr>
    </w:p>
    <w:p>
      <w:pPr>
        <w:ind w:right="380" w:firstLine="436"/>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Advice of Counsel</w:t>
      </w:r>
      <w:r>
        <w:rPr>
          <w:rFonts w:ascii="Times New Roman" w:cs="Times New Roman" w:eastAsia="Times New Roman" w:hAnsi="Times New Roman"/>
          <w:sz w:val="18"/>
          <w:szCs w:val="18"/>
          <w:color w:val="auto"/>
        </w:rPr>
        <w:t xml:space="preserve">. Each of the parties represents to each other party hereto that it has discussed (or had an opportunity to discuss) with its counsel this Warrant and, specifically, the provisions of </w:t>
      </w:r>
      <w:r>
        <w:rPr>
          <w:rFonts w:ascii="Times New Roman" w:cs="Times New Roman" w:eastAsia="Times New Roman" w:hAnsi="Times New Roman"/>
          <w:sz w:val="18"/>
          <w:szCs w:val="18"/>
          <w:u w:val="single" w:color="auto"/>
          <w:color w:val="auto"/>
        </w:rPr>
        <w:t>Sections 12(n)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12(p)</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parties hereto have participated jointly in the negotiation and drafting of this Warrant. In the event an ambiguity or question of intent or interpretation arises, this Warrant shall be construed as if drafted jointly by the parties hereto and no presumption or burden of proof shall arise favoring or disfavoring any party by virtue of the authorship of any provisions of this Warrant.</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Except for the requirement that this Warrant be exercised (or be deemed exercised), if at all, during the Warrant Term, no omission or delay by either party hereto at any time to enforce any right or remedy reserved to it, or to require performance of any of the terms, covenants or provisions hereof by the other party hereto at any time designated, shall be a waiver of any such right or remedy to which such party is entitled, nor shall it in any way affect the right of such party to enforce such provisions thereafter.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4" w:name="page45"/>
    <w:bookmarkEnd w:id="44"/>
    <w:p>
      <w:pPr>
        <w:ind w:left="4" w:right="120" w:firstLine="436"/>
        <w:spacing w:after="0" w:line="266" w:lineRule="auto"/>
        <w:tabs>
          <w:tab w:leader="none" w:pos="74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Times New Roman" w:cs="Times New Roman" w:eastAsia="Times New Roman" w:hAnsi="Times New Roman"/>
          <w:sz w:val="18"/>
          <w:szCs w:val="18"/>
          <w:color w:val="auto"/>
        </w:rPr>
        <w:t>. All agreements, representations and warranties contained in this Warrant or in any document delivered pursuant hereto shall be for the benefit of Warrantholder and the Company, as the case may be, and shall survive the execution and delivery of this Warrant and the expiration or other termination of this Warrant.</w:t>
      </w:r>
    </w:p>
    <w:p>
      <w:pPr>
        <w:spacing w:after="0" w:line="175"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has been negotiated and delivered to Warrantholder in the State of California, and shall have been accepted by Warrantholder in the State of California. Delivery of Common Stock to Warrantholder by the Company under this Warrant is due in the State of California. This Warrant shall be governed by, and construed and enforced in accordance with, the laws of the State of New York, excluding conflict of laws principles that would cause the application of laws of any other jurisdiction.</w:t>
      </w:r>
    </w:p>
    <w:p>
      <w:pPr>
        <w:spacing w:after="0" w:line="179"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and Venue</w:t>
      </w:r>
      <w:r>
        <w:rPr>
          <w:rFonts w:ascii="Times New Roman" w:cs="Times New Roman" w:eastAsia="Times New Roman" w:hAnsi="Times New Roman"/>
          <w:sz w:val="18"/>
          <w:szCs w:val="18"/>
          <w:color w:val="auto"/>
        </w:rPr>
        <w:t>. All judicial proceedings arising in or under or related to this Warrant may be brought in any state or federal court of competent jurisdiction located in the State of California. By execution and delivery of this Warrant, each party hereto generally and unconditionally: (a) consents to personal jurisdiction in Santa Clara County, State of California; (b) waives any objection as to jurisdiction or venue in Santa Clara County, State of California; (c) agrees not to assert any defense based on lack of jurisdiction or venue in the aforesaid courts; and</w:t>
      </w:r>
    </w:p>
    <w:p>
      <w:pPr>
        <w:spacing w:after="0" w:line="2" w:lineRule="exact"/>
        <w:rPr>
          <w:rFonts w:ascii="Times New Roman" w:cs="Times New Roman" w:eastAsia="Times New Roman" w:hAnsi="Times New Roman"/>
          <w:sz w:val="18"/>
          <w:szCs w:val="18"/>
          <w:color w:val="auto"/>
        </w:rPr>
      </w:pPr>
    </w:p>
    <w:p>
      <w:pPr>
        <w:ind w:left="4" w:right="60" w:hanging="4"/>
        <w:spacing w:after="0" w:line="253"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agrees to be bound by any judgment rendered thereby in connection with this Warrant. Service of process on any party hereto in any action arising out of or relating to this Warrant shall be effective if given in accordance with the requirements for notice set forth in </w:t>
      </w:r>
      <w:r>
        <w:rPr>
          <w:rFonts w:ascii="Times New Roman" w:cs="Times New Roman" w:eastAsia="Times New Roman" w:hAnsi="Times New Roman"/>
          <w:sz w:val="18"/>
          <w:szCs w:val="18"/>
          <w:u w:val="single" w:color="auto"/>
          <w:color w:val="auto"/>
        </w:rPr>
        <w:t>Section 12(g)</w:t>
      </w:r>
      <w:r>
        <w:rPr>
          <w:rFonts w:ascii="Times New Roman" w:cs="Times New Roman" w:eastAsia="Times New Roman" w:hAnsi="Times New Roman"/>
          <w:sz w:val="18"/>
          <w:szCs w:val="18"/>
          <w:color w:val="auto"/>
        </w:rPr>
        <w:t xml:space="preserve">, and shall be deemed effective and received as set forth in </w:t>
      </w:r>
      <w:r>
        <w:rPr>
          <w:rFonts w:ascii="Times New Roman" w:cs="Times New Roman" w:eastAsia="Times New Roman" w:hAnsi="Times New Roman"/>
          <w:sz w:val="18"/>
          <w:szCs w:val="18"/>
          <w:u w:val="single" w:color="auto"/>
          <w:color w:val="auto"/>
        </w:rPr>
        <w:t>Section 12(g)</w:t>
      </w:r>
      <w:r>
        <w:rPr>
          <w:rFonts w:ascii="Times New Roman" w:cs="Times New Roman" w:eastAsia="Times New Roman" w:hAnsi="Times New Roman"/>
          <w:sz w:val="18"/>
          <w:szCs w:val="18"/>
          <w:color w:val="auto"/>
        </w:rPr>
        <w:t>. Nothing herein shall affect the right to serve process in any other manner permitted by law or shall limit the right of either party to bring proceedings in the courts of any other jurisdiction.</w:t>
      </w:r>
    </w:p>
    <w:p>
      <w:pPr>
        <w:spacing w:after="0" w:line="188"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out of this Warrant be resolved by a judge applying such applicable laws. EACH OF THE COMPANY AND WARRANTHOLDER SPECIFICALLY WAIVES ANY RIGHT IT MAY HAVE TO TRIAL BY JURY OF ANY CAUSE OF ACTION, CLAIM, CROSS-CLAIM, COUNTERCLAIM, THIRD PARTY CLAIM OR ANY OTHER CLAIM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ASSERTED BY THE COMPANY AGAINST WARRANTHOLDER OR ITS ASSIGNEE OR BY WARRANTHOLDER OR ITS ASSIGNEE AGAINST THE COMPANY RELATING TO THIS WARRANT. This waiver extends to all such Claims arising out of this Warrant, including Claims that involve persons other than the Company and Warrantholder, and any Claims for damages, breach of contract, specific performance, or any equitable or legal relief of any kind, arising out of this Warrant.</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45" w:name="page46"/>
    <w:bookmarkEnd w:id="45"/>
    <w:p>
      <w:pPr>
        <w:ind w:right="40" w:firstLine="436"/>
        <w:spacing w:after="0" w:line="256"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Arbitration</w:t>
      </w:r>
      <w:r>
        <w:rPr>
          <w:rFonts w:ascii="Times New Roman" w:cs="Times New Roman" w:eastAsia="Times New Roman" w:hAnsi="Times New Roman"/>
          <w:sz w:val="18"/>
          <w:szCs w:val="18"/>
          <w:color w:val="auto"/>
        </w:rPr>
        <w:t>. If the Mutual Waiver of Jury Trial set forth in Section 12(p) is ineffective or unenforceable, the parties agree that all Claims shall be submitted to binding arbitration in accordance with the commercial arbitration rules of JAMS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187" w:lineRule="exact"/>
        <w:rPr>
          <w:rFonts w:ascii="Times New Roman" w:cs="Times New Roman" w:eastAsia="Times New Roman" w:hAnsi="Times New Roman"/>
          <w:sz w:val="18"/>
          <w:szCs w:val="18"/>
          <w:color w:val="auto"/>
        </w:rPr>
      </w:pPr>
    </w:p>
    <w:p>
      <w:pPr>
        <w:ind w:right="20" w:firstLine="436"/>
        <w:spacing w:after="0" w:line="266" w:lineRule="auto"/>
        <w:tabs>
          <w:tab w:leader="none" w:pos="6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Pre-arbitration Relief</w:t>
      </w:r>
      <w:r>
        <w:rPr>
          <w:rFonts w:ascii="Times New Roman" w:cs="Times New Roman" w:eastAsia="Times New Roman" w:hAnsi="Times New Roman"/>
          <w:sz w:val="18"/>
          <w:szCs w:val="18"/>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Facsimile/Electronic Signatures</w:t>
      </w:r>
      <w:r>
        <w:rPr>
          <w:rFonts w:ascii="Times New Roman" w:cs="Times New Roman" w:eastAsia="Times New Roman" w:hAnsi="Times New Roman"/>
          <w:sz w:val="18"/>
          <w:szCs w:val="18"/>
          <w:color w:val="auto"/>
        </w:rPr>
        <w:t xml:space="preserve"> . This Warrant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 This Warrant may be executed by one or more of the parties hereto in any number of separate counterparts, all of which together shall constitute one and the same instrument. The Company, Warrantholder and any other party hereto may execute this Warrant by electronic means and each party hereto recognizes and accepts the use of electronic signatures and the keeping of records in electronic form by any 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as provided under applicable law, including, without limitation, any state law based on the Uniform Electronic Transactions Act. The fact that this Warrant is executed, signed, stored or delivered electronically shall not prevent the transfer by any Holder of this Warrant pursuant to Section 11 or the enforcement of the terms hereof.</w:t>
      </w:r>
    </w:p>
    <w:p>
      <w:pPr>
        <w:spacing w:after="0" w:line="194" w:lineRule="exact"/>
        <w:rPr>
          <w:rFonts w:ascii="Times New Roman" w:cs="Times New Roman" w:eastAsia="Times New Roman" w:hAnsi="Times New Roman"/>
          <w:sz w:val="18"/>
          <w:szCs w:val="18"/>
          <w:color w:val="auto"/>
        </w:rPr>
      </w:pPr>
    </w:p>
    <w:p>
      <w:pPr>
        <w:ind w:firstLine="436"/>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hereby declare that it is impossible to measure in money the damages which will accrue to a party hereto by reason of the other party’s failure to perform any of the obligations under this Warrant and agree that the terms of this Warrant shall be specifically enforceable by either party hereto. If a party hereto institutes any action or proceeding to specifically enforce the provisions hereof, any person against whom such action or proceeding is brought hereby waives the claim or defense therein that such party has an adequate remedy at law, and such person shall not offer in any such action or proceeding the claim or defense that such remedy at law exists.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6" w:name="page47"/>
    <w:bookmarkEnd w:id="46"/>
    <w:p>
      <w:pPr>
        <w:ind w:left="-436" w:firstLine="436"/>
        <w:spacing w:after="0" w:line="266"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Lost, Stolen, Mutilated or Destroyed Warrant</w:t>
      </w:r>
      <w:r>
        <w:rPr>
          <w:rFonts w:ascii="Times New Roman" w:cs="Times New Roman" w:eastAsia="Times New Roman" w:hAnsi="Times New Roman"/>
          <w:sz w:val="18"/>
          <w:szCs w:val="18"/>
          <w:color w:val="auto"/>
        </w:rPr>
        <w:t>. If this Warrant is lost, stolen, mutilated or destroyed, the Company may, upon receiving an agreement from the Holder as to indemnity or otherwise as it may reasonably require (which shall, in the case of a mutilated Warrant, include the surrender thereof), issue a new Warrant of like denomination and tenor as this Warrant so lost, stolen, mutilated or destroyed.</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[Remainder of page left blank intentionally; signature page follows]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24"/>
          </w:cols>
          <w:pgMar w:left="876" w:top="270" w:right="899" w:bottom="1440" w:gutter="0" w:footer="0" w:header="0"/>
        </w:sectPr>
      </w:pPr>
    </w:p>
    <w:bookmarkStart w:id="47" w:name="page48"/>
    <w:bookmarkEnd w:id="4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Warrant Agreement to be executed by their respective officers thereunto duly authorized as of the Effective Date.</w:t>
      </w:r>
    </w:p>
    <w:p>
      <w:pPr>
        <w:spacing w:after="0" w:line="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COMPANY: MADRIGAL PHARMACEUTICALS, INC.</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Brian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Brian J. Lynch</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SVP and General Counsel</w:t>
      </w: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WARRANTHOLDER: HERCULES CAPITAL, INC.</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Seth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Seth Meyer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CFO</w:t>
      </w:r>
    </w:p>
    <w:p>
      <w:pPr>
        <w:spacing w:after="0" w:line="1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00"/>
          </w:cols>
          <w:pgMar w:left="440" w:top="270" w:right="9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Warrant – Madrigal Pharmaceuticals, Inc./Hercules Capital, Inc.]</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9019"/>
          </w:cols>
          <w:pgMar w:left="1440" w:top="270" w:right="1440" w:bottom="1440" w:gutter="0" w:footer="0" w:header="0"/>
          <w:type w:val="continuous"/>
        </w:sectPr>
      </w:pPr>
    </w:p>
    <w:bookmarkStart w:id="49" w:name="page50"/>
    <w:bookmarkEnd w:id="49"/>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5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[____________________________]</w:t>
      </w:r>
    </w:p>
    <w:p>
      <w:pPr>
        <w:spacing w:after="0" w:line="252" w:lineRule="exact"/>
        <w:rPr>
          <w:sz w:val="20"/>
          <w:szCs w:val="20"/>
          <w:color w:val="auto"/>
        </w:rPr>
      </w:pPr>
    </w:p>
    <w:p>
      <w:pPr>
        <w:ind w:left="424" w:right="40" w:hanging="424"/>
        <w:spacing w:after="0" w:line="261"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Warrantholder hereby elects to purchase [_______] shares of the Common Stock of [_________________], pursuant to the terms of the Warrant Agreement dated the 9th day of May, 2022 (the “Agreement”) between Madrigal Pharmaceuticals, Inc., a Delaware corporation, and the Warrantholder, and [CASH PAYMENT: tenders herewith payment of the Purchase Price in full, together with all applicable transfer taxes, if any.] [NET ISSUANCE: elects pursuant to Section 3(a) of the Agreement to effect a Net Issuance.]</w:t>
      </w:r>
    </w:p>
    <w:p>
      <w:pPr>
        <w:spacing w:after="0" w:line="206"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a certificate or certificates representing said shares of Common Stock in the name of the undersigned or in such other name as is specified below.</w:t>
      </w:r>
    </w:p>
    <w:p>
      <w:pPr>
        <w:spacing w:after="0" w:line="200" w:lineRule="exact"/>
        <w:rPr>
          <w:sz w:val="20"/>
          <w:szCs w:val="20"/>
          <w:color w:val="auto"/>
        </w:rPr>
      </w:pP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48"/>
        </w:trPr>
        <w:tc>
          <w:tcPr>
            <w:tcW w:w="35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427"/>
        </w:trPr>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228"/>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4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WARRANTHOLDER:</w:t>
            </w:r>
          </w:p>
        </w:tc>
        <w:tc>
          <w:tcPr>
            <w:tcW w:w="25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HERCULES CAPITAL, INC.</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Maryland corporation</w:t>
            </w:r>
          </w:p>
        </w:tc>
      </w:tr>
      <w:tr>
        <w:trPr>
          <w:trHeight w:val="432"/>
        </w:trPr>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520" w:type="dxa"/>
            <w:vAlign w:val="bottom"/>
            <w:tcBorders>
              <w:top w:val="single" w:sz="8" w:color="auto"/>
            </w:tcBorders>
          </w:tcPr>
          <w:p>
            <w:pPr>
              <w:spacing w:after="0"/>
              <w:rPr>
                <w:sz w:val="17"/>
                <w:szCs w:val="17"/>
                <w:color w:val="auto"/>
              </w:rPr>
            </w:pP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364"/>
        </w:trPr>
        <w:tc>
          <w:tcPr>
            <w:tcW w:w="3520" w:type="dxa"/>
            <w:vAlign w:val="bottom"/>
          </w:tcPr>
          <w:p>
            <w:pPr>
              <w:spacing w:after="0"/>
              <w:rPr>
                <w:sz w:val="24"/>
                <w:szCs w:val="24"/>
                <w:color w:val="auto"/>
              </w:rPr>
            </w:pPr>
          </w:p>
        </w:tc>
        <w:tc>
          <w:tcPr>
            <w:tcW w:w="2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50" w:name="page51"/>
    <w:bookmarkEnd w:id="50"/>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ACKNOWLEDGMENT OF EXERCISE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as representative of Madrigal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acknowledges receipt of the “Notice of Exercise” from Hercules Capital, Inc. (the “</w:t>
      </w:r>
      <w:r>
        <w:rPr>
          <w:rFonts w:ascii="Times New Roman" w:cs="Times New Roman" w:eastAsia="Times New Roman" w:hAnsi="Times New Roman"/>
          <w:sz w:val="18"/>
          <w:szCs w:val="18"/>
          <w:u w:val="single" w:color="auto"/>
          <w:color w:val="auto"/>
        </w:rPr>
        <w:t>Warrantholder</w:t>
      </w:r>
      <w:r>
        <w:rPr>
          <w:rFonts w:ascii="Times New Roman" w:cs="Times New Roman" w:eastAsia="Times New Roman" w:hAnsi="Times New Roman"/>
          <w:sz w:val="18"/>
          <w:szCs w:val="18"/>
          <w:color w:val="auto"/>
        </w:rPr>
        <w:t>”), to purchase [ ] shares of the Common Stock of the Company, pursuant to the terms of that certain Warrant Agreement, dated as of May 9, 2022 between the Company and the Warrantholder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and further acknowledges that [ ] shares remain subject to purchase under the terms of the Warrant.</w:t>
      </w:r>
    </w:p>
    <w:p>
      <w:pPr>
        <w:spacing w:after="0" w:line="207" w:lineRule="exact"/>
        <w:rPr>
          <w:sz w:val="20"/>
          <w:szCs w:val="20"/>
          <w:color w:val="auto"/>
        </w:rPr>
      </w:pPr>
    </w:p>
    <w:p>
      <w:pPr>
        <w:spacing w:after="0"/>
        <w:tabs>
          <w:tab w:leader="none" w:pos="7160"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8"/>
          <w:szCs w:val="18"/>
          <w:color w:val="auto"/>
        </w:rPr>
        <w:t>MADRIGAL PHARMACEUTICALS, INC.</w:t>
      </w:r>
    </w:p>
    <w:p>
      <w:pPr>
        <w:spacing w:after="0" w:line="22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17145</wp:posOffset>
            </wp:positionV>
            <wp:extent cx="2091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17145</wp:posOffset>
            </wp:positionV>
            <wp:extent cx="2091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17145</wp:posOffset>
            </wp:positionV>
            <wp:extent cx="2091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40" w:top="270" w:right="559" w:bottom="1440" w:gutter="0" w:footer="0" w:header="0"/>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TRANSFER NOTICE</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VALUE RECEIVED, that certain Warrant Agreement, dated as of May 9, 2022, between Madrigal Pharmaceuticals, Inc., as the Company, and Hercules Capital, Inc., as the Warrantholder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and all rights evidenced thereby are hereby transferred and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17145</wp:posOffset>
            </wp:positionV>
            <wp:extent cx="58718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718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17145</wp:posOffset>
            </wp:positionV>
            <wp:extent cx="22885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5715</wp:posOffset>
            </wp:positionV>
            <wp:extent cx="22885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5715</wp:posOffset>
            </wp:positionV>
            <wp:extent cx="22885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228600</wp:posOffset>
            </wp:positionV>
            <wp:extent cx="2794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5715</wp:posOffset>
            </wp:positionV>
            <wp:extent cx="60090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signature to this Transfer Notice must correspond with the name as it appears on the face of the Warrant, without alteration or enlargement or any change whatever. Officers of corporations and those acting in a fiduciary or other representative capacity should file proper evidence of authority to assign the foregoing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NY:2361556</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70" w:right="5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16"/>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IN THIS EXHIBIT HAS BEEN OMITTED AND REPLACED WITH “[***]” BECAUSE IT IS NOT MATERIAL AND WOULD BE COMPETITIVELY HARMFUL IF PUBLICLY DISCLOSED.</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LOAN AND SECURITY AGREEMENT</w:t>
      </w:r>
    </w:p>
    <w:p>
      <w:pPr>
        <w:spacing w:after="0" w:line="22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THIS LOAN AND SECURITY AGREEMENT is made and dated as of May 9, 2022 and is entered into by and among MADRIGAL PHARMACEUTICALS, INC., a Delaware corporation (“Madrigal”), CANTICLE PHARMACEUTICALS, INC., a Delaware corporation (“Canticle”), and each of their respective Subsidiaries from time to time party hereto as borrower (individually or collectively, as the context may require, “Borrower”), the several banks and other financial institutions or entities from time to time parties to this Agreement (each, a “Lender” and collectively referred to as the “Lenders”) and HERCULES CAPITAL, INC., a Maryland corporation, in its capacity as administrative agent and collateral agent for itself and the Lenders (in such capacity, “Agent”).</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A. Borrower has requested the Lenders make available to Borrower one or more Advances in an aggregate principal amount of up to Two Hundred and Fifty Million Dollars ($250,000,000) (the “Term Loans”); and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 The Lenders are willing to make such Advances on the terms and conditions set forth in this Agreement.</w:t>
      </w:r>
    </w:p>
    <w:p>
      <w:pPr>
        <w:spacing w:after="0" w:line="200" w:lineRule="exact"/>
        <w:rPr>
          <w:sz w:val="20"/>
          <w:szCs w:val="20"/>
          <w:color w:val="auto"/>
        </w:rPr>
      </w:pPr>
    </w:p>
    <w:p>
      <w:pPr>
        <w:spacing w:after="0" w:line="23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Borrower, Agent and the Lenders agree as follows:</w:t>
      </w:r>
    </w:p>
    <w:p>
      <w:pPr>
        <w:spacing w:after="0" w:line="329" w:lineRule="exact"/>
        <w:rPr>
          <w:sz w:val="20"/>
          <w:szCs w:val="20"/>
          <w:color w:val="auto"/>
        </w:rPr>
      </w:pPr>
    </w:p>
    <w:p>
      <w:pPr>
        <w:ind w:left="2944"/>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DEFINITIONS AND RULES OF CONSTRUCTION</w:t>
      </w:r>
    </w:p>
    <w:p>
      <w:pPr>
        <w:spacing w:after="0" w:line="12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1.1 Unless otherwise defined herein, the following capitalized terms shall have the following meanings:</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“Account Control Agreement(s)” means any agreement entered into by and among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76"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“ACH Authorization” means the ACH Debit Authorization Agreement in substantially the form of Exhibit H, which account numbers shall be redacted for security purposes if and when filed publicly by Borrower.</w:t>
      </w:r>
    </w:p>
    <w:p>
      <w:pPr>
        <w:spacing w:after="0" w:line="162" w:lineRule="exact"/>
        <w:rPr>
          <w:sz w:val="20"/>
          <w:szCs w:val="20"/>
          <w:color w:val="auto"/>
        </w:rPr>
      </w:pPr>
    </w:p>
    <w:p>
      <w:pPr>
        <w:ind w:left="4" w:right="480" w:firstLine="991"/>
        <w:spacing w:after="0" w:line="276" w:lineRule="auto"/>
        <w:rPr>
          <w:sz w:val="20"/>
          <w:szCs w:val="20"/>
          <w:color w:val="auto"/>
        </w:rPr>
      </w:pPr>
      <w:r>
        <w:rPr>
          <w:rFonts w:ascii="Times New Roman" w:cs="Times New Roman" w:eastAsia="Times New Roman" w:hAnsi="Times New Roman"/>
          <w:sz w:val="17"/>
          <w:szCs w:val="17"/>
          <w:color w:val="auto"/>
        </w:rPr>
        <w:t>“Acquisition” means any transaction or series of related transactions for the purpose of or resulting, directly or indirectly, in (a) the acquisition of all or substantially all of the assets of a Person, or of any business, line of business or division or other unit of operation of a Person,</w:t>
      </w:r>
    </w:p>
    <w:p>
      <w:pPr>
        <w:spacing w:after="0" w:line="1" w:lineRule="exact"/>
        <w:rPr>
          <w:sz w:val="20"/>
          <w:szCs w:val="20"/>
          <w:color w:val="auto"/>
        </w:rPr>
      </w:pPr>
    </w:p>
    <w:p>
      <w:pPr>
        <w:ind w:left="4" w:right="280" w:hanging="4"/>
        <w:spacing w:after="0" w:line="253"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fifty percent (50%) or more of the Equity Interests of any Person, whether or not involving a merger, consolidation or similar transaction with such other Person, or otherwise causing any Person to become a Subsidiary of Borrower, or (c) the acquisition of, including the acquisition of the right to use, develop or sell (in each case, including through licensing), any product, product line or Intellectual Property of or from any other Person.</w:t>
      </w:r>
    </w:p>
    <w:p>
      <w:pPr>
        <w:sectPr>
          <w:pgSz w:w="11900" w:h="16838" w:orient="portrait"/>
          <w:cols w:equalWidth="0" w:num="1">
            <w:col w:w="11024"/>
          </w:cols>
          <w:pgMar w:left="436" w:top="117" w:right="439" w:bottom="1440" w:gutter="0" w:footer="0" w:header="0"/>
        </w:sectPr>
      </w:pPr>
    </w:p>
    <w:bookmarkStart w:id="53" w:name="page54"/>
    <w:bookmarkEnd w:id="53"/>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Deferred Payments” means, with respect to an Acquisition, any “earnouts,” holdbacks, performance based-milestones, royalties, purchase price adjustments, profit sharing arrangements, indemnifications, noncompetition agreements, incentive payments, and other similar payment obligations, and other contingent obligations and agreements consisting of the adjustment of purchase price or similar adjustments.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“Advance” means a Term Loan Advance.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“Advance Date” means the funding date of any Advance.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“Advance Request” means a request for an Advance submitted by Borrower to Agent in substantially the form of Exhibit A, which account numbers shall be redacted for security purposes if and when filed publicly by Borrower.</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“Affiliate” means (a) any Person that directly or indirectly controls, is controlled by, or is under common control with the Person in question, (b) any Person directly or indirectly owning, controlling or holding with power to vote thirty percent (30%) or more of the outstanding voting securities of another Person, or (c) any Person thirty percent (30%) or more of whose outstanding voting securities are directly or indirectly owned, controlled or held by another Person with power to vote such securities. As used in the defined term “Affiliate,” the term “control” means the possession, directly or indirectly, of the power to direct or cause the direction of the management and policies of a Person, whether through ownership of voting securities, by contract or otherwise.</w:t>
      </w:r>
    </w:p>
    <w:p>
      <w:pPr>
        <w:spacing w:after="0" w:line="18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“Agreement” means this Loan and Security Agreement, as amended, restated, amended and restated, supplemented or otherwise modified from time to time.</w:t>
      </w:r>
    </w:p>
    <w:p>
      <w:pPr>
        <w:spacing w:after="0" w:line="162" w:lineRule="exact"/>
        <w:rPr>
          <w:sz w:val="20"/>
          <w:szCs w:val="20"/>
          <w:color w:val="auto"/>
        </w:rPr>
      </w:pPr>
    </w:p>
    <w:p>
      <w:pPr>
        <w:ind w:right="520" w:firstLine="991"/>
        <w:spacing w:after="0" w:line="258" w:lineRule="auto"/>
        <w:rPr>
          <w:sz w:val="20"/>
          <w:szCs w:val="20"/>
          <w:color w:val="auto"/>
        </w:rPr>
      </w:pPr>
      <w:r>
        <w:rPr>
          <w:rFonts w:ascii="Times New Roman" w:cs="Times New Roman" w:eastAsia="Times New Roman" w:hAnsi="Times New Roman"/>
          <w:sz w:val="18"/>
          <w:szCs w:val="18"/>
          <w:color w:val="auto"/>
        </w:rPr>
        <w:t>“Amortization Date” means initially, November 1, 2024; provided however, that (a) if the Clinical Milestone is achieved prior to November 1, 2024, such date shall be extended to May 1, 2025, (b) if the Approval Milestone is achieved prior to May 1, 2025, such date shall be extended to May 1, 2026, and (c) if (i) the Revenue Milestone is achieved prior to May 1, 2026 and (ii) Borrower remains in compliance with Section 7.20, such date shall be extended to the earlier of (A) May 3, 2027 and (B) the first day of the fiscal month immediately following the occurrence of any default under Section 7.20 (but in no event earlier than forty-eight (48) months).</w:t>
      </w:r>
    </w:p>
    <w:p>
      <w:pPr>
        <w:spacing w:after="0" w:line="183"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“Anti-Corruption Laws” means all laws, rules, and regulations of any jurisdiction applicable to Borrower or any of its respective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“Anti-Terrorism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“Approval Milestone” means the satisfaction of each of the following events: (a) no default or Event of Default shall have occurred and be continuing, (b) the Clinical Milestone has been achieved, and (c) Borrower shall have delivered evidence satisfactory to Agent (as determined by Agent in its reasonable discretion) that the FDA shall have approved the sale and marketing of one dose of Resmetirom in the United States of America (including the grant of accelerated approval under 21 U.S.C. § 356) for the treatment of patients with NASH with a label claim that is generally consistent with what Borrower sought in its New Drug Application.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54" w:name="page55"/>
    <w:bookmarkEnd w:id="54"/>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83" w:lineRule="exact"/>
        <w:rPr>
          <w:sz w:val="20"/>
          <w:szCs w:val="20"/>
          <w:color w:val="auto"/>
        </w:rPr>
      </w:pPr>
    </w:p>
    <w:p>
      <w:pPr>
        <w:ind w:right="80" w:firstLine="991"/>
        <w:spacing w:after="0" w:line="289" w:lineRule="auto"/>
        <w:rPr>
          <w:sz w:val="20"/>
          <w:szCs w:val="20"/>
          <w:color w:val="auto"/>
        </w:rPr>
      </w:pPr>
      <w:r>
        <w:rPr>
          <w:rFonts w:ascii="Times New Roman" w:cs="Times New Roman" w:eastAsia="Times New Roman" w:hAnsi="Times New Roman"/>
          <w:sz w:val="17"/>
          <w:szCs w:val="17"/>
          <w:color w:val="auto"/>
        </w:rPr>
        <w:t>“Board” means, with respect to any Person that is a corporation, its board of directors; with respect to any Person that is a limited liability company, its board of managers, board of members or similar governing body; with respect to any other Person that is a legal entity, such Person’s governing body in accordance with its Organizational Documents; and with respect to each of the foregoing, any committee or subcommittee thereof.</w:t>
      </w:r>
    </w:p>
    <w:p>
      <w:pPr>
        <w:spacing w:after="0" w:line="158"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“Business Day” means any day other than Saturday, Sunday and any other day on which banking institutions in the State of California are closed for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“Cash” means all cash, Cash Equivalents and liquid funds.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“Cash Equivalents” means investments listed under clause (ii) of the definition of “Permitted Investments”.</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“Change in Control” means any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“Charter” means, with respect to any Person, such Person’s incorporation, formation or equivalent documents, as in effect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“Clinical Milestone” means the satisfaction of each of the following events: (a) no default or Event of Default shall have occurred and be continuing and (b) Borrower shall have announced and delivered supporting documentation satisfactory to Agent (as determined by Agent in its reasonable discretion) that Borrower has achieved a protocol specified primary endpoint for at least one dose from the Phase 3 MAESTRO-NASH (NCT03900429) trial, which taken together with the safety data from the Phase 3 MAESTRO-NAFLD-1 (NCT04197479) trial and the overall safety profile from both such trials, support the filing of a New Drug Application as the next immediate step in development (as determined by Borrower’s executive team and Board, subject to the Lenders’ reasonable verification).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55" w:name="page56"/>
    <w:bookmarkEnd w:id="5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Date” means the date of this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“Code” means the U.S. Internal Revenue Code of 1986, as amended.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“Common Stock” means the Common Stock, $0.0001 par value per share, of Madrigal.</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“Company IP” means any and all of the following, as they exist in and throughout the United States of America: (a) Current Company IP;</w:t>
      </w:r>
    </w:p>
    <w:p>
      <w:pPr>
        <w:spacing w:after="0" w:line="27" w:lineRule="exact"/>
        <w:rPr>
          <w:sz w:val="20"/>
          <w:szCs w:val="20"/>
          <w:color w:val="auto"/>
        </w:rPr>
      </w:pPr>
    </w:p>
    <w:p>
      <w:pPr>
        <w:ind w:left="4" w:hanging="4"/>
        <w:spacing w:after="0" w:line="251"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continuations, continuations-in-part, divisions, provisionals or any substitute applications, any Patent issued with respect to any of the Current Company IP, any Patent right claiming the composition of matter of, or the method of making or using, the Products in the United States of America,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Products; (d) any and all IP Ancillary Rights specifically relating to any of the foregoing; and (e) regulatory filings, submissions and approvals related to any research, development, manufacture, production, use, commercialization, marketing, importing, storage, transport, offer for sale, distribution or sale of the Products and all data provided in any of the foregoing.</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“Compliance Certificate” means a certificate in the form attached hereto as Exhibit E.</w:t>
      </w:r>
    </w:p>
    <w:p>
      <w:pPr>
        <w:spacing w:after="0" w:line="225"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w:t>
      </w:r>
    </w:p>
    <w:p>
      <w:pPr>
        <w:spacing w:after="0" w:line="3" w:lineRule="exact"/>
        <w:rPr>
          <w:sz w:val="20"/>
          <w:szCs w:val="20"/>
          <w:color w:val="auto"/>
        </w:rPr>
      </w:pPr>
    </w:p>
    <w:p>
      <w:pPr>
        <w:ind w:left="4" w:hanging="4"/>
        <w:spacing w:after="0" w:line="252" w:lineRule="auto"/>
        <w:tabs>
          <w:tab w:leader="none" w:pos="3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amount that would be required to be shown as a liability on a balance sheet prepared in accordance with GAAP; provided, however, that such amount shall not in any event exceed the maximum amount of the obligations under the guarantee or other support arrangement.</w:t>
      </w:r>
    </w:p>
    <w:p>
      <w:pPr>
        <w:spacing w:after="0" w:line="188"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t>“Copyright License” means any written agreement granting any right to use any Copyright or Copyright registration, now owned or hereafter acquired by any Loan Party or in which any Loan Party now holds or hereafter acquires any interest.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56" w:name="page57"/>
    <w:bookmarkEnd w:id="56"/>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“Copyrights” means all copyrights, whether registered or unregistered, held pursuant to the laws of the United States of America, any State thereof, or of any other country.</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“Deposit Accounts” means any “deposit accounts,” as such term is defined in the UCC, and includes any checking account, savings account, or certificate of deposit.</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“Domestic Subsidiary” means any Subsidiary organized under the laws of the United States of America, any State thereof, the District of Columbia, or any other jurisdiction within the United States of America.</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“Due Diligence Fee” means Sixty Five Thousand Dollars ($65,000), which fee has been paid to the Lenders prior to the Closing Date, and shall be deemed fully earned on such date regardless of the early termination of this Agreement.</w:t>
      </w:r>
    </w:p>
    <w:p>
      <w:pPr>
        <w:spacing w:after="0" w:line="162"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“Equity Interests” means, with respect to any Person, the capital stock, partnership or limited liability company interest, or other equity securities or equity ownership interests of such Person but excluding, for the avoidance of doubt, securities offered in connection with any Permitted Convertible Debt and any other Indebtedness that is convertible into or otherwise exchangeable for, Equity Interests.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“ERISA” means the Employee Retirement Income Security Act of 1974, as amended, and the regulations promulgated thereunder.</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“Excluded Account” means (a) any Deposit Account that is used solely as a payroll or payables account, the funds in which consist solely of funds held in trust for any director, officer, employee or former employee of such Borrower or Subsidiary for (i) salary accruals or (ii) amounts held under any employee benefit, deferred compensation or incentive compensation plan maintained by such Borrower or Subsidiary or funds representing earned or deferred compensation for the directors, employees and former employees of such Borrower or Subsidiary to be paid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across any payroll accounts under clause (i) above shall not exceed the amount needed for the then-next two (2) payroll cycles or in accordance with IRS requirements, (b) escrow accounts, Deposit Accounts and trust accounts, in each case used exclusively to maintain cash collateral pursuant to Section 7.5 and the definition of “Permitted Liens”, (c) any Deposit Account held by a Foreign Subsidiary or an Immaterial Subsidiary, (d) any Deposit Account or account holding Investment Property with a balance of no more than $250,000, or $750,000 in the aggregate for all such accounts and (e) any other Deposit Account approved by the Agent in writing.</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“FDA” means the U.S. Food and Drug Administration or any successor thereto.</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“FDA Good Manufacturing Practices” means the applicable requirements, standards and expectations for drug manufacturing activities set forth in the Food, Drug and Cosmetic Act (“FDCA”) and its implementing regulations (for example, for pharmaceuticals being used in Phase 2 or 3 studies, and commercial pharmaceuticals, 21 C.F.R. Parts 210 and 211) and relevant FDA guidance documents (for example, for pharmaceuticals in Phase 1, FDA guidance entitled “CGMP for Phase 1 Investigational Drugs”).</w:t>
      </w:r>
    </w:p>
    <w:p>
      <w:pPr>
        <w:spacing w:after="0" w:line="180"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“FDA Laws” means all applicable statutes, rules, regulations, standards, guidelines, policies and orders and Requirements of Law administered, implemented, enforced or issued by FDA or any comparable governmental authority.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57" w:name="page58"/>
    <w:bookmarkEnd w:id="57"/>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Health Care Program Laws” means collectively, federal Medicare or federal or state Medicaid statutes, Sections 1128, 1128A, 1128B, 1128C or 1877 of the Social Security Act (42 U.S.C. §§ 1320a-7, 1320a-7a, 1320a-7b, 1320a-7c, 1320a-7h and 1395nn), the federal TRICARE statute (10 U.S.C. § 1071 et seq.), the civil False Claims Act of 1863 (31 U.S.C. § 3729 et seq.), criminal false claims statutes (e.g., 18 U.S.C. §§ 287 and 1001), the Program Fraud Civil Remedies Act of 1986 (31 U.S.C. § 3801 et seq.), HIPAA, or related regulations or other Requirements of Law that directly or indirectly govern the health care industry, programs of governmental authorities related to healthcare, health care professionals or other health care participants, or relationships among health care providers, suppliers, distributors, manufacturers and patients, and the pricing, sale and reimbursement of health care items or services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spacing w:after="0" w:line="19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“Foreign Subsidiary” means a Subsidiary other than a Domestic Subsidiary and any Domestic Subsidiary if it has no material assets other than the Equity Interests of one or more Foreign Subsidiaries.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“GAAP” means generally accepted accounting principles in the United States of America,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“Guarantor” means any subsidiary of Borrower that enters into a Guaranty.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“Guaranty” means a guaranty with respect to the Secured Obligations, in form and substance satisfactory to Agent.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“Immaterial Subsidiary” means on any date, any Subsidiary of Borrower acquired or formed after the Closing Date that has less than 2.5% of the consolidated assets of Borrower and its Subsidiaries (or 5% of the consolidated assets of Borrowers and its Subsidiaries for all such Immaterial Subsidiaries) for the most recently ended period for which financial statements have been delivered (or required to have been delivered) pursuant to </w:t>
      </w:r>
      <w:r>
        <w:rPr>
          <w:rFonts w:ascii="Times New Roman" w:cs="Times New Roman" w:eastAsia="Times New Roman" w:hAnsi="Times New Roman"/>
          <w:sz w:val="18"/>
          <w:szCs w:val="18"/>
          <w:u w:val="single" w:color="auto"/>
          <w:color w:val="auto"/>
        </w:rPr>
        <w:t>Sections 7.1(a), (b) or (c)</w:t>
      </w:r>
      <w:r>
        <w:rPr>
          <w:rFonts w:ascii="Times New Roman" w:cs="Times New Roman" w:eastAsia="Times New Roman" w:hAnsi="Times New Roman"/>
          <w:sz w:val="18"/>
          <w:szCs w:val="18"/>
          <w:color w:val="auto"/>
        </w:rPr>
        <w:t xml:space="preserve"> prior to such date and designated as an “Immaterial Subsidiary” by Borrower in a written notice delivered to Agent (including any Compliance Certificate), provided that no Subsidiary of Borrower shall qualify as an “Immaterial Subsidiary” if such Subsidiary (a) holds material Intellectual Property, (b) is party to the Roche Agreement or (c) is party to any other Material Agreement.</w:t>
      </w:r>
    </w:p>
    <w:p>
      <w:pPr>
        <w:spacing w:after="0" w:line="187" w:lineRule="exact"/>
        <w:rPr>
          <w:sz w:val="20"/>
          <w:szCs w:val="20"/>
          <w:color w:val="auto"/>
        </w:rPr>
      </w:pPr>
    </w:p>
    <w:p>
      <w:pPr>
        <w:ind w:right="200" w:firstLine="991"/>
        <w:spacing w:after="0" w:line="271" w:lineRule="auto"/>
        <w:rPr>
          <w:sz w:val="20"/>
          <w:szCs w:val="20"/>
          <w:color w:val="auto"/>
        </w:rPr>
      </w:pPr>
      <w:r>
        <w:rPr>
          <w:rFonts w:ascii="Times New Roman" w:cs="Times New Roman" w:eastAsia="Times New Roman" w:hAnsi="Times New Roman"/>
          <w:sz w:val="17"/>
          <w:szCs w:val="17"/>
          <w:color w:val="auto"/>
        </w:rPr>
        <w:t>“Indebtedness” means indebtedness of any kind, including (a) all indebtedness for borrowed money or the deferred purchase price of property or services (excluding trade credit and incentive or deferred compensation authorized or entered into in the ordinary course of business),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in each case, only to the extent required to be reflected as a liability on a balance sheet prepared in accordance with GAAP, (f) [reserved], (g) non-contingent obligations to reimburse any bank or Person in respect of amounts paid under a letter of credit, banker’s acceptance or similar instrument, and (h) all Contingent Obligations. For the avoidance of doubt, any Permitted Equity Derivatives that do not give rise to any cash payment obligations shall not constitute Indebtedness.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8" w:name="page59"/>
    <w:bookmarkEnd w:id="58"/>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“Initial Facility Charge” means Three Hundred and Twenty-Five Thousand Dollars ($325,000), which is payable to the Lenders in accordance with Section 4.1(i).</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“Intellectual Property” means all of each Loan Party’s Copyrights; Trademarks; Patents; Licenses; trade secrets and inventions; mask works; each Loan Party’s applications therefor and reissues, extensions, or renewals thereof; and each Loan Party’s goodwill associated with any of the foregoing, together with each Loan Party’s rights to sue for past, present and future infringement of Intellectual Property and the goodwill associated therewith.</w:t>
      </w:r>
    </w:p>
    <w:p>
      <w:pPr>
        <w:spacing w:after="0" w:line="1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“Investment” means (a) any beneficial ownership (including stock, partnership interests, limited liability company interests, or other securities) of or in any Person, (b) any loan, advance or capital contribution to any Person or (c) any Acquisition.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“IP Ancillary Rights”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“IRS” means the U.S. Internal Revenue Service.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“Joinder Agreements” means for each Subsidiary, a completed and executed Joinder Agreement in substantially the form attached hereto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Exhibit F.</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“License” means any Copyright License, Patent License, Trademark License or other Intellectual Property license of rights or interests.</w:t>
      </w:r>
    </w:p>
    <w:p>
      <w:pPr>
        <w:spacing w:after="0" w:line="225"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“Loan” means the Advances made under this Agreement.</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“Loan Documents” means this Agreement, the promissory notes (if any), the ACH Authorization, the Account Control Agreements, the Joinder Agreements, all UCC Financing Statements, the Warrants, any Pledge Agreement, any Guaranty, and any other documents executed in connection with the Secured Obligations or the transactions contemplated hereby, as the same may from time to time be amended, modified, supplemented or restated.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59" w:name="page60"/>
    <w:bookmarkEnd w:id="5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Party” means Borrower and/or any Guarantor, as the context may require.</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“Market Capitalization” means, as of any date of determination, the product of (a) the number of outstanding shares of Common Stock publicly disclosed in the most recent filing of Madrigal with the Securities and Exchange Commission as outstanding as of such date of determination and (b) the most recent closing price of Madrigal’s Common Stock (as quoted on Bloomberg L.P.’s page or any successor page thereto of Bloomberg L.P. or if such page is not available, any other commercially available source).</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“Material Adverse Effect” 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80"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“Material Agreement” means (i) the Roche Agreement and (ii) any other license, agreement or other contractual arrangement, the termination of which could be reasonably expected to result in a Material Adverse Effect, individually or in the aggregate.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“Material Indebtedness” means any indebtedness having an aggregate principal amount of [***] or more.</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“Material Regulatory Liabilities” means (a)(i) any liabilities arising from the violation of Public Health Laws, Federal Health Care Program Laws, and other applicable comparable Requirements of Law, or from any non-routing terms, conditions of or requirements imposed relative to any Registrations (including costs of actions required under applicable Requirements of Law, including FDA Laws and Federal Health Care Program Laws, or necessary to remedy any violation of any terms or conditions applicable to any Registrations), including, but not limited to, withdrawal of approval, recall, revocation, suspension, import refusal and seizure of any Product, and (ii) any loss of recurring annual revenues as a result of any loss, suspension or limitation of any Registrations, which, in the case of each of clauses (i) and (ii), could reasonably be expected to result in a Material Adverse Effect.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“Maximum Term Loan Amount” means Two Hundred and Fifty Million Dollars ($250,000,000).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“NASH” means Non-Alcoholic SteatoHepatitis.</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“New Drug Application” means a new drug application submitted by Borrower to the FDA for authorization to market a product in the United States of America, as defined in the applicable laws and regulations.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“NIH” means the National Institutes of Health.</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“Non-Disclosure Agreement” means that certain Confidential Disclosure Agreement by and between Borrower and Agent dated as of January 5, 2022.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“OFAC” means the U.S. Department of Treasury Office of Foreign Assets Control.</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60" w:name="page61"/>
    <w:bookmarkEnd w:id="60"/>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“OFAC Lists”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“Organizational Documents” means with respect to any Person, such Person’s Charter and (a) if such Person is a corporation, its bylaws,</w:t>
      </w:r>
    </w:p>
    <w:p>
      <w:pPr>
        <w:spacing w:after="0" w:line="27" w:lineRule="exact"/>
        <w:rPr>
          <w:sz w:val="20"/>
          <w:szCs w:val="20"/>
          <w:color w:val="auto"/>
        </w:rPr>
      </w:pPr>
    </w:p>
    <w:p>
      <w:pPr>
        <w:ind w:left="4" w:right="140" w:hanging="4"/>
        <w:spacing w:after="0" w:line="260"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1"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“Patent License” means any written agreement granting any right with respect to any invention on which a Patent is in existence or a Patent application is pending, in which agreement any Loan Party now holds or hereafter acquires any interest.</w:t>
      </w:r>
    </w:p>
    <w:p>
      <w:pPr>
        <w:spacing w:after="0" w:line="162" w:lineRule="exact"/>
        <w:rPr>
          <w:sz w:val="20"/>
          <w:szCs w:val="20"/>
          <w:color w:val="auto"/>
        </w:rPr>
      </w:pPr>
    </w:p>
    <w:p>
      <w:pPr>
        <w:ind w:left="4" w:right="340" w:firstLine="991"/>
        <w:spacing w:after="0" w:line="266" w:lineRule="auto"/>
        <w:rPr>
          <w:sz w:val="20"/>
          <w:szCs w:val="20"/>
          <w:color w:val="auto"/>
        </w:rPr>
      </w:pPr>
      <w:r>
        <w:rPr>
          <w:rFonts w:ascii="Times New Roman" w:cs="Times New Roman" w:eastAsia="Times New Roman" w:hAnsi="Times New Roman"/>
          <w:sz w:val="18"/>
          <w:szCs w:val="18"/>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76"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“Permitted Acquisition” means any Acquisition (including by way of merger or in-licensing arrangement), in each case located principally within the United States of America, which is conducted in accordance with the following requirements:</w:t>
      </w:r>
    </w:p>
    <w:p>
      <w:pPr>
        <w:spacing w:after="0" w:line="54" w:lineRule="exact"/>
        <w:rPr>
          <w:sz w:val="20"/>
          <w:szCs w:val="20"/>
          <w:color w:val="auto"/>
        </w:rPr>
      </w:pPr>
    </w:p>
    <w:p>
      <w:pPr>
        <w:ind w:left="1084" w:hanging="221"/>
        <w:spacing w:after="0"/>
        <w:tabs>
          <w:tab w:leader="none" w:pos="10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business or Person or product engaged in a line of business related to that of Borrower or its Subsidiaries;</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89" w:lineRule="auto"/>
        <w:tabs>
          <w:tab w:leader="none" w:pos="113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agreed by Agent in its sole discretion, if such Acquisition is structured as a stock acquisition, then the Person so acquired shall either (A) become a wholly-owned Subsidiary of Borrower or of a Subsidiary and Borrower shall comply, or cause such Subsidiary to comply, with 7.13 hereof or (B) such Person shall be merged with and into a Loan Party (with such Loan Party being the surviving entity);</w:t>
      </w:r>
    </w:p>
    <w:p>
      <w:pPr>
        <w:spacing w:after="0" w:line="49" w:lineRule="exact"/>
        <w:rPr>
          <w:rFonts w:ascii="Times New Roman" w:cs="Times New Roman" w:eastAsia="Times New Roman" w:hAnsi="Times New Roman"/>
          <w:sz w:val="17"/>
          <w:szCs w:val="17"/>
          <w:color w:val="auto"/>
        </w:rPr>
      </w:pPr>
    </w:p>
    <w:p>
      <w:pPr>
        <w:ind w:left="444" w:right="180" w:firstLine="419"/>
        <w:spacing w:after="0" w:line="282" w:lineRule="auto"/>
        <w:tabs>
          <w:tab w:leader="none" w:pos="11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structured as the acquisition or in-licensing of assets, such assets shall be acquired by a Loan Party, and shall be free and clear of Liens other than Permitted Liens;</w:t>
      </w:r>
    </w:p>
    <w:p>
      <w:pPr>
        <w:spacing w:after="0" w:line="53" w:lineRule="exact"/>
        <w:rPr>
          <w:rFonts w:ascii="Times New Roman" w:cs="Times New Roman" w:eastAsia="Times New Roman" w:hAnsi="Times New Roman"/>
          <w:sz w:val="18"/>
          <w:szCs w:val="18"/>
          <w:color w:val="auto"/>
        </w:rPr>
      </w:pPr>
    </w:p>
    <w:p>
      <w:pPr>
        <w:ind w:left="444" w:right="100" w:firstLine="419"/>
        <w:spacing w:after="0" w:line="258" w:lineRule="auto"/>
        <w:tabs>
          <w:tab w:leader="none" w:pos="11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delivered to the Lenders not less than seven (7) nor more than forty five (45) days prior to the date of such Acquisition, notice of such Acquisition together with pro forma projected financial information, copies of then-current drafts of all available material documents relating to such acquisition, and available historical financial statements for such acquired entity, division or line of business, in each case in form and substance satisfactory to the Lenders and demonstrating compliance with the covenants set forth in Section 7.20 hereof on a pro forma basis as if the Acquisition occurred on the first day of the most recent measurement period;</w:t>
      </w:r>
    </w:p>
    <w:p>
      <w:pPr>
        <w:spacing w:after="0" w:line="75"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after such Acquisition no Default or Event of Default shall have occurred and be continuing; and</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61" w:name="page62"/>
    <w:bookmarkEnd w:id="61"/>
    <w:p>
      <w:pPr>
        <w:ind w:left="444" w:right="120" w:firstLine="419"/>
        <w:spacing w:after="0" w:line="254" w:lineRule="auto"/>
        <w:tabs>
          <w:tab w:leader="none" w:pos="11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sum of the purchase price of such proposed new Acquisition, computed on the basis of total acquisition consideration paid or incurred, or to be paid or incurred, by Borrower with respect thereto (excluding for such purpose any unpaid Acquisition Deferred Payments; but including the amount of Permitted Indebtedness assumed or to which such assets, businesses or business or ownership interest or shares, or any Person so acquired, is subject)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sum of the purchase price shall not be greater than (1) [***] for any single Acquisition or group of related Acquisitions or (2) [***] for all such Acquisitions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(x) that acquisition consideration funded by proceeds from the sale and issuance of Borrower’s Equity Interests in a transaction not resulting in a Change in Control, which sale and issuance is consummated prior to, but no more than three (3) months prior to the consummation of such Acquisition, shall be disregarded in determining compliance with this clause (vi) and (y) for any Acquisition in which the consideration consists of Equity Interest of Borrower, in whole or in part, the value of such Equity Interests shall be disregarded in determining compliance with this clause (vi).</w:t>
      </w:r>
    </w:p>
    <w:p>
      <w:pPr>
        <w:spacing w:after="0" w:line="188"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“Permitted Convertible Debt” means issuance by Borrower of convertible notes in an aggregate principal amount of not more than Four Hundred Million Dollars ($400,000,000); provided that such convertible notes shall (a) not require any scheduled amortization or otherwise require payment of principal prior to, or have a scheduled maturity date, earlier than, one hundred eighty (180) days after the Term Loan Maturity Date (other than in the case of a fundamental change, or such other similar term, as defined in the definitive documents governing such Permitted Convertible Debt),</w:t>
      </w:r>
    </w:p>
    <w:p>
      <w:pPr>
        <w:spacing w:after="0" w:line="3" w:lineRule="exact"/>
        <w:rPr>
          <w:sz w:val="20"/>
          <w:szCs w:val="20"/>
          <w:color w:val="auto"/>
        </w:rPr>
      </w:pPr>
    </w:p>
    <w:p>
      <w:pPr>
        <w:jc w:val="both"/>
        <w:ind w:left="4" w:right="20" w:hanging="4"/>
        <w:spacing w:after="0" w:line="253"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unsecured or secured, (c) not be guaranteed by any Subsidiary of Borrower that is not a Loan Party, (d) if secured, contain usual and customary subordination terms for underwritten offerings of senior subordinated convertible notes and (e) if secured, shall specifically designate this Agreement and all Secured Obligations as “designated senior indebtedness” or similar term so that the subordination terms referred to in clause (d) of this definition specifically refer to such notes as being subordinated to the Secured Obligations pursuant to such subordination terms.</w:t>
      </w:r>
    </w:p>
    <w:p>
      <w:pPr>
        <w:spacing w:after="0" w:line="189"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“Permitted Equity Derivatives” means any forward purchase, accelerated share purchase, call option, warrant transaction or other equity derivative transactions entered into in connection with the Permitted Convertible Debt.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“Permitted Indebtedness” means:</w:t>
      </w:r>
    </w:p>
    <w:p>
      <w:pPr>
        <w:spacing w:after="0" w:line="117" w:lineRule="exact"/>
        <w:rPr>
          <w:sz w:val="20"/>
          <w:szCs w:val="20"/>
          <w:color w:val="auto"/>
        </w:rPr>
      </w:pPr>
    </w:p>
    <w:p>
      <w:pPr>
        <w:ind w:left="1604" w:hanging="212"/>
        <w:spacing w:after="0"/>
        <w:tabs>
          <w:tab w:leader="none" w:pos="16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Borrower in favor of the Lenders or Agent arising under this Agreement or any other Loan Document;</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Closing Date which is disclosed in Schedule 1A;</w:t>
      </w:r>
    </w:p>
    <w:p>
      <w:pPr>
        <w:spacing w:after="0" w:line="117" w:lineRule="exact"/>
        <w:rPr>
          <w:rFonts w:ascii="Times New Roman" w:cs="Times New Roman" w:eastAsia="Times New Roman" w:hAnsi="Times New Roman"/>
          <w:sz w:val="18"/>
          <w:szCs w:val="18"/>
          <w:color w:val="auto"/>
        </w:rPr>
      </w:pPr>
    </w:p>
    <w:p>
      <w:pPr>
        <w:ind w:left="984" w:right="660" w:firstLine="408"/>
        <w:spacing w:after="0" w:line="282" w:lineRule="auto"/>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up to $1,000,000 outstanding at any time secured by a Lien described in clause (vii) of the defined term “Permitted Liens,” provided such Indebtedness does not exceed the cost of the Equipment financed with such Indebtedness;</w:t>
      </w:r>
    </w:p>
    <w:p>
      <w:pPr>
        <w:spacing w:after="0" w:line="53" w:lineRule="exact"/>
        <w:rPr>
          <w:rFonts w:ascii="Times New Roman" w:cs="Times New Roman" w:eastAsia="Times New Roman" w:hAnsi="Times New Roman"/>
          <w:sz w:val="18"/>
          <w:szCs w:val="18"/>
          <w:color w:val="auto"/>
        </w:rPr>
      </w:pPr>
    </w:p>
    <w:p>
      <w:pPr>
        <w:ind w:left="984" w:right="460" w:firstLine="408"/>
        <w:spacing w:after="0" w:line="282" w:lineRule="auto"/>
        <w:tabs>
          <w:tab w:leader="none" w:pos="16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to trade creditors incurred in the ordinary course of business and (b) Indebtedness incurred in the ordinary course of business with corporate credit cards in an amount not to exceed $1,000,000 at any time outstanding;</w:t>
      </w:r>
    </w:p>
    <w:p>
      <w:pPr>
        <w:spacing w:after="0" w:line="5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also constitutes a Permitted Investment;</w:t>
      </w:r>
    </w:p>
    <w:p>
      <w:pPr>
        <w:spacing w:after="0" w:line="11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Indebtedness;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62" w:name="page63"/>
    <w:bookmarkEnd w:id="62"/>
    <w:p>
      <w:pPr>
        <w:ind w:right="260" w:firstLine="408"/>
        <w:spacing w:after="0" w:line="282" w:lineRule="auto"/>
        <w:tabs>
          <w:tab w:leader="none" w:pos="7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 obligations in connection with letters of credit that are secured by Cash and issued on behalf of Borrower or a Subsidiary thereof in an amount not to exceed $750,000 at any time outstanding,</w:t>
      </w:r>
    </w:p>
    <w:p>
      <w:pPr>
        <w:spacing w:after="0" w:line="53"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 an amount not to exceed $1,000,000 at any time outstanding,</w:t>
      </w:r>
    </w:p>
    <w:p>
      <w:pPr>
        <w:spacing w:after="0" w:line="117" w:lineRule="exact"/>
        <w:rPr>
          <w:rFonts w:ascii="Times New Roman" w:cs="Times New Roman" w:eastAsia="Times New Roman" w:hAnsi="Times New Roman"/>
          <w:sz w:val="18"/>
          <w:szCs w:val="18"/>
          <w:color w:val="auto"/>
        </w:rPr>
      </w:pPr>
    </w:p>
    <w:p>
      <w:pPr>
        <w:ind w:right="760" w:firstLine="408"/>
        <w:spacing w:after="0" w:line="312" w:lineRule="auto"/>
        <w:tabs>
          <w:tab w:leader="none" w:pos="70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Indebtedness as long as either (A) each of the Subsidiary obligor and the Subsidiary obligee under such Indebtedness is a Subsidiary that has executed a Joinder Agreement or (B) such indebtedness constitutes a Permitted Investment;</w:t>
      </w:r>
    </w:p>
    <w:p>
      <w:pPr>
        <w:spacing w:after="0" w:line="31" w:lineRule="exact"/>
        <w:rPr>
          <w:rFonts w:ascii="Times New Roman" w:cs="Times New Roman" w:eastAsia="Times New Roman" w:hAnsi="Times New Roman"/>
          <w:sz w:val="17"/>
          <w:szCs w:val="17"/>
          <w:color w:val="auto"/>
        </w:rPr>
      </w:pPr>
    </w:p>
    <w:p>
      <w:pPr>
        <w:ind w:left="660" w:hanging="2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Convertible Debt;</w:t>
      </w:r>
    </w:p>
    <w:p>
      <w:pPr>
        <w:spacing w:after="0" w:line="117"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of insurance premiums in the ordinary course of business;</w:t>
      </w:r>
    </w:p>
    <w:p>
      <w:pPr>
        <w:spacing w:after="0" w:line="117" w:lineRule="exact"/>
        <w:rPr>
          <w:rFonts w:ascii="Times New Roman" w:cs="Times New Roman" w:eastAsia="Times New Roman" w:hAnsi="Times New Roman"/>
          <w:sz w:val="18"/>
          <w:szCs w:val="18"/>
          <w:color w:val="auto"/>
        </w:rPr>
      </w:pPr>
    </w:p>
    <w:p>
      <w:pPr>
        <w:ind w:right="480" w:firstLine="408"/>
        <w:spacing w:after="0" w:line="282" w:lineRule="auto"/>
        <w:tabs>
          <w:tab w:leader="none" w:pos="7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and appeal bonds, performance bonds, customs bonds and other obligations of a like nature incurred in the ordinary course of business;</w:t>
      </w:r>
    </w:p>
    <w:p>
      <w:pPr>
        <w:spacing w:after="0" w:line="53"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Acquisition Deferred Payments incurred in connection with Permitted Investments;</w:t>
      </w:r>
    </w:p>
    <w:p>
      <w:pPr>
        <w:spacing w:after="0" w:line="117"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with respect to any Permitted Royalty Transaction; and</w:t>
      </w:r>
    </w:p>
    <w:p>
      <w:pPr>
        <w:spacing w:after="0" w:line="117" w:lineRule="exact"/>
        <w:rPr>
          <w:rFonts w:ascii="Times New Roman" w:cs="Times New Roman" w:eastAsia="Times New Roman" w:hAnsi="Times New Roman"/>
          <w:sz w:val="18"/>
          <w:szCs w:val="18"/>
          <w:color w:val="auto"/>
        </w:rPr>
      </w:pPr>
    </w:p>
    <w:p>
      <w:pPr>
        <w:ind w:right="320" w:firstLine="408"/>
        <w:spacing w:after="0" w:line="266" w:lineRule="auto"/>
        <w:tabs>
          <w:tab w:leader="none" w:pos="7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and renewals of any items of Permitted Indebtedness, provided that the principal amount is not increased or the terms modified to impose materially more burdensome terms upon Borrower or its Subsidiary, as the case may be, and subject to any limitations on aggregate amount of such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Investment” means:</w:t>
      </w:r>
    </w:p>
    <w:p>
      <w:pPr>
        <w:spacing w:after="0" w:line="117" w:lineRule="exact"/>
        <w:rPr>
          <w:sz w:val="20"/>
          <w:szCs w:val="20"/>
          <w:color w:val="auto"/>
        </w:rPr>
      </w:pPr>
    </w:p>
    <w:p>
      <w:pPr>
        <w:ind w:left="620" w:hanging="212"/>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existing or pending on the Closing Date which are disclosed in Schedule 1B;</w:t>
      </w:r>
    </w:p>
    <w:p>
      <w:pPr>
        <w:spacing w:after="0" w:line="117" w:lineRule="exact"/>
        <w:rPr>
          <w:rFonts w:ascii="Times New Roman" w:cs="Times New Roman" w:eastAsia="Times New Roman" w:hAnsi="Times New Roman"/>
          <w:sz w:val="18"/>
          <w:szCs w:val="18"/>
          <w:color w:val="auto"/>
        </w:rPr>
      </w:pPr>
    </w:p>
    <w:p>
      <w:pPr>
        <w:ind w:firstLine="408"/>
        <w:spacing w:after="0" w:line="256" w:lineRule="auto"/>
        <w:tabs>
          <w:tab w:leader="none" w:pos="6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$500,000,000 maturing no more than one year from the date of investment therein, and (d) money market accounts;</w:t>
      </w:r>
    </w:p>
    <w:p>
      <w:pPr>
        <w:spacing w:after="0" w:line="79"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740" w:firstLine="408"/>
        <w:spacing w:after="0" w:line="282" w:lineRule="auto"/>
        <w:tabs>
          <w:tab w:leader="none" w:pos="7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pursuant to Borrower’s investment policy that has been provided to Agent prior to the Closing Date or any investment policy that has been approved in writing by Agent in its reasonable discretion;</w:t>
      </w:r>
    </w:p>
    <w:p>
      <w:pPr>
        <w:spacing w:after="0" w:line="53"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accepted in connection with Permitted Transfers;</w:t>
      </w:r>
    </w:p>
    <w:p>
      <w:pPr>
        <w:spacing w:after="0" w:line="1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40"/>
          </w:cols>
          <w:pgMar w:left="1420" w:top="270" w:right="439" w:bottom="1440" w:gutter="0" w:footer="0" w:header="0"/>
        </w:sectPr>
      </w:pPr>
    </w:p>
    <w:bookmarkStart w:id="63" w:name="page64"/>
    <w:bookmarkEnd w:id="63"/>
    <w:p>
      <w:pPr>
        <w:ind w:right="60" w:firstLine="408"/>
        <w:spacing w:after="0" w:line="261" w:lineRule="auto"/>
        <w:tabs>
          <w:tab w:leader="none" w:pos="7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(including debt obligations) (A) received in connection with the bankruptcy or reorganization of customers or suppliers and in settlement of delinquent or doubtful obligations of, and other disputes with, customers or suppliers arising in the ordinary course of business and (B) consisting of the endorsement of negotiable instruments for deposit or collection or similar transactions in the ordinary course of business;</w:t>
      </w:r>
    </w:p>
    <w:p>
      <w:pPr>
        <w:spacing w:after="0" w:line="71" w:lineRule="exact"/>
        <w:rPr>
          <w:rFonts w:ascii="Times New Roman" w:cs="Times New Roman" w:eastAsia="Times New Roman" w:hAnsi="Times New Roman"/>
          <w:sz w:val="18"/>
          <w:szCs w:val="18"/>
          <w:color w:val="auto"/>
        </w:rPr>
      </w:pPr>
    </w:p>
    <w:p>
      <w:pPr>
        <w:ind w:firstLine="408"/>
        <w:spacing w:after="0" w:line="266" w:lineRule="auto"/>
        <w:tabs>
          <w:tab w:leader="none" w:pos="7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who are not Affiliates, in the ordinary course of business, provided that this subparagraph (vii) shall not apply to Investments of any Loan Party in any Subsidiary of a Loan Party;</w:t>
      </w:r>
    </w:p>
    <w:p>
      <w:pPr>
        <w:spacing w:after="0" w:line="67" w:lineRule="exact"/>
        <w:rPr>
          <w:rFonts w:ascii="Times New Roman" w:cs="Times New Roman" w:eastAsia="Times New Roman" w:hAnsi="Times New Roman"/>
          <w:sz w:val="18"/>
          <w:szCs w:val="18"/>
          <w:color w:val="auto"/>
        </w:rPr>
      </w:pPr>
    </w:p>
    <w:p>
      <w:pPr>
        <w:ind w:right="40" w:firstLine="408"/>
        <w:spacing w:after="0" w:line="261" w:lineRule="auto"/>
        <w:tabs>
          <w:tab w:leader="none" w:pos="8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(A)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 (B) other loans to employees, officers or directors in an amount not to exceed $500,000 per fiscal year;</w:t>
      </w:r>
    </w:p>
    <w:p>
      <w:pPr>
        <w:spacing w:after="0" w:line="71"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travel advances in the ordinary course of business;</w:t>
      </w:r>
    </w:p>
    <w:p>
      <w:pPr>
        <w:spacing w:after="0" w:line="117" w:lineRule="exact"/>
        <w:rPr>
          <w:rFonts w:ascii="Times New Roman" w:cs="Times New Roman" w:eastAsia="Times New Roman" w:hAnsi="Times New Roman"/>
          <w:sz w:val="18"/>
          <w:szCs w:val="18"/>
          <w:color w:val="auto"/>
        </w:rPr>
      </w:pPr>
    </w:p>
    <w:p>
      <w:pPr>
        <w:ind w:right="100" w:firstLine="408"/>
        <w:spacing w:after="0" w:line="266" w:lineRule="auto"/>
        <w:tabs>
          <w:tab w:leader="none" w:pos="6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Investments by a Loan Party in any other Loan Party and (B) Investments in newly-formed Domestic Subsidiaries, provided that each such Domestic Subsidiary enters into a Joinder Agreement promptly after its formation and executes such other documents as shall be reasonably requested by Agent;</w:t>
      </w:r>
    </w:p>
    <w:p>
      <w:pPr>
        <w:spacing w:after="0" w:line="67" w:lineRule="exact"/>
        <w:rPr>
          <w:rFonts w:ascii="Times New Roman" w:cs="Times New Roman" w:eastAsia="Times New Roman" w:hAnsi="Times New Roman"/>
          <w:sz w:val="18"/>
          <w:szCs w:val="18"/>
          <w:color w:val="auto"/>
        </w:rPr>
      </w:pPr>
    </w:p>
    <w:p>
      <w:pPr>
        <w:ind w:right="240" w:firstLine="408"/>
        <w:spacing w:after="0" w:line="282" w:lineRule="auto"/>
        <w:tabs>
          <w:tab w:leader="none" w:pos="7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Foreign Subsidiaries that are not Borrowers or Guarantors that do not exceed $500,000 in the aggregate in any fiscal year;</w:t>
      </w:r>
    </w:p>
    <w:p>
      <w:pPr>
        <w:spacing w:after="0" w:line="53" w:lineRule="exact"/>
        <w:rPr>
          <w:rFonts w:ascii="Times New Roman" w:cs="Times New Roman" w:eastAsia="Times New Roman" w:hAnsi="Times New Roman"/>
          <w:sz w:val="18"/>
          <w:szCs w:val="18"/>
          <w:color w:val="auto"/>
        </w:rPr>
      </w:pPr>
    </w:p>
    <w:p>
      <w:pPr>
        <w:ind w:right="140" w:firstLine="408"/>
        <w:spacing w:after="0" w:line="266" w:lineRule="auto"/>
        <w:tabs>
          <w:tab w:leader="none" w:pos="7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strategic alliances in the ordinary course of Borrower’s business consisting of the non-exclusive licensing of technology, the development of technology or the providing of technical support, provided that cash Investments (if any) by Borrower or the applicable Subsidiary do not exceed $500,000 in the aggregate in any fiscal year;</w:t>
      </w:r>
    </w:p>
    <w:p>
      <w:pPr>
        <w:spacing w:after="0" w:line="67"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Loan Party in or to other Loan Parties;</w:t>
      </w:r>
    </w:p>
    <w:p>
      <w:pPr>
        <w:spacing w:after="0" w:line="117"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Permitted Acquisitions;</w:t>
      </w:r>
    </w:p>
    <w:p>
      <w:pPr>
        <w:spacing w:after="0" w:line="117"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Equity Derivatives; and</w:t>
      </w:r>
    </w:p>
    <w:p>
      <w:pPr>
        <w:spacing w:after="0" w:line="117" w:lineRule="exact"/>
        <w:rPr>
          <w:rFonts w:ascii="Times New Roman" w:cs="Times New Roman" w:eastAsia="Times New Roman" w:hAnsi="Times New Roman"/>
          <w:sz w:val="18"/>
          <w:szCs w:val="18"/>
          <w:color w:val="auto"/>
        </w:rPr>
      </w:pPr>
    </w:p>
    <w:p>
      <w:pPr>
        <w:ind w:left="800" w:hanging="392"/>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that do not exceed $1,000,000 in the aggregate.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117" w:lineRule="exact"/>
        <w:rPr>
          <w:sz w:val="20"/>
          <w:szCs w:val="20"/>
          <w:color w:val="auto"/>
        </w:rPr>
      </w:pPr>
    </w:p>
    <w:p>
      <w:pPr>
        <w:ind w:left="620" w:hanging="2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Agent or the Lenders;</w:t>
      </w:r>
    </w:p>
    <w:p>
      <w:pPr>
        <w:spacing w:after="0" w:line="117"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Closing Date which are disclosed in Schedule 1C;</w:t>
      </w:r>
    </w:p>
    <w:p>
      <w:pPr>
        <w:spacing w:after="0" w:line="117" w:lineRule="exact"/>
        <w:rPr>
          <w:rFonts w:ascii="Times New Roman" w:cs="Times New Roman" w:eastAsia="Times New Roman" w:hAnsi="Times New Roman"/>
          <w:sz w:val="18"/>
          <w:szCs w:val="18"/>
          <w:color w:val="auto"/>
        </w:rPr>
      </w:pPr>
    </w:p>
    <w:p>
      <w:pPr>
        <w:ind w:right="80" w:firstLine="408"/>
        <w:spacing w:after="0" w:line="266" w:lineRule="auto"/>
        <w:tabs>
          <w:tab w:leader="none" w:pos="7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governmental charges or levies, either not yet due or being contested in good faith by appropriate proceedings diligently conducted; provided, that Borrower maintains adequate reserves therefor on Borrower’s Books in accordance with GAAP (to the extent required thereby);</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00"/>
          </w:cols>
          <w:pgMar w:left="1420" w:top="270" w:right="479" w:bottom="1440" w:gutter="0" w:footer="0" w:header="0"/>
        </w:sectPr>
      </w:pPr>
    </w:p>
    <w:bookmarkStart w:id="64" w:name="page65"/>
    <w:bookmarkEnd w:id="64"/>
    <w:p>
      <w:pPr>
        <w:jc w:val="both"/>
        <w:ind w:left="-20" w:right="40" w:firstLine="408"/>
        <w:spacing w:after="0" w:line="266" w:lineRule="auto"/>
        <w:tabs>
          <w:tab w:leader="none" w:pos="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 claims or demands of materialmen, artisans, mechanics, carriers, warehousemen, landlords and other like Persons arising in the ordinary course of Borrower’s business and imposed without action of such parties; provided, that the payment thereof is not yet required;</w:t>
      </w:r>
    </w:p>
    <w:p>
      <w:pPr>
        <w:spacing w:after="0" w:line="6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judgments, decrees or attachments in circumstances which do not constitute an Event of Default hereunder;</w:t>
      </w:r>
    </w:p>
    <w:p>
      <w:pPr>
        <w:spacing w:after="0" w:line="117" w:lineRule="exact"/>
        <w:rPr>
          <w:rFonts w:ascii="Times New Roman" w:cs="Times New Roman" w:eastAsia="Times New Roman" w:hAnsi="Times New Roman"/>
          <w:sz w:val="18"/>
          <w:szCs w:val="18"/>
          <w:color w:val="auto"/>
        </w:rPr>
      </w:pPr>
    </w:p>
    <w:p>
      <w:pPr>
        <w:ind w:left="-20" w:firstLine="408"/>
        <w:spacing w:after="0" w:line="255" w:lineRule="auto"/>
        <w:tabs>
          <w:tab w:leader="none" w:pos="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deposits to secure the performance of obligations (including by way deposits to secure letters of credit issued to secure the same) under commercial supply and/or manufacturing agreements arising in the ordinary course of Borrower’s business and (B)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80" w:lineRule="exact"/>
        <w:rPr>
          <w:rFonts w:ascii="Times New Roman" w:cs="Times New Roman" w:eastAsia="Times New Roman" w:hAnsi="Times New Roman"/>
          <w:sz w:val="18"/>
          <w:szCs w:val="18"/>
          <w:color w:val="auto"/>
        </w:rPr>
      </w:pPr>
    </w:p>
    <w:p>
      <w:pPr>
        <w:ind w:left="-20" w:right="440" w:firstLine="408"/>
        <w:spacing w:after="0" w:line="282" w:lineRule="auto"/>
        <w:tabs>
          <w:tab w:leader="none" w:pos="7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Equipment, software or other intellectual property or other assets and the proceeds thereof constituting purchase money Liens and Liens in connection with capital leases securing Indebtedness permitted in clause (iii) of “Permitted Indebtedness”;</w:t>
      </w:r>
    </w:p>
    <w:p>
      <w:pPr>
        <w:spacing w:after="0" w:line="53" w:lineRule="exact"/>
        <w:rPr>
          <w:rFonts w:ascii="Times New Roman" w:cs="Times New Roman" w:eastAsia="Times New Roman" w:hAnsi="Times New Roman"/>
          <w:sz w:val="18"/>
          <w:szCs w:val="18"/>
          <w:color w:val="auto"/>
        </w:rPr>
      </w:pPr>
    </w:p>
    <w:p>
      <w:pPr>
        <w:ind w:left="800" w:hanging="412"/>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Subordinated Indebtedness;</w:t>
      </w:r>
    </w:p>
    <w:p>
      <w:pPr>
        <w:spacing w:after="0" w:line="117" w:lineRule="exact"/>
        <w:rPr>
          <w:rFonts w:ascii="Times New Roman" w:cs="Times New Roman" w:eastAsia="Times New Roman" w:hAnsi="Times New Roman"/>
          <w:sz w:val="18"/>
          <w:szCs w:val="18"/>
          <w:color w:val="auto"/>
        </w:rPr>
      </w:pPr>
    </w:p>
    <w:p>
      <w:pPr>
        <w:ind w:left="-20" w:right="560" w:firstLine="408"/>
        <w:spacing w:after="0" w:line="282" w:lineRule="auto"/>
        <w:tabs>
          <w:tab w:leader="none" w:pos="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interests in leases or subleases and licenses granted in the ordinary course of business and not interfering in any material respect with the business of the licensor, including licenses permitted by clause (ii) of “Permitted Transfers”;</w:t>
      </w:r>
    </w:p>
    <w:p>
      <w:pPr>
        <w:spacing w:after="0" w:line="53" w:lineRule="exact"/>
        <w:rPr>
          <w:rFonts w:ascii="Times New Roman" w:cs="Times New Roman" w:eastAsia="Times New Roman" w:hAnsi="Times New Roman"/>
          <w:sz w:val="18"/>
          <w:szCs w:val="18"/>
          <w:color w:val="auto"/>
        </w:rPr>
      </w:pPr>
    </w:p>
    <w:p>
      <w:pPr>
        <w:ind w:left="-20" w:right="60" w:firstLine="408"/>
        <w:spacing w:after="0" w:line="282" w:lineRule="auto"/>
        <w:tabs>
          <w:tab w:leader="none" w:pos="6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 duties that are promptly paid on or before the date they become due;</w:t>
      </w:r>
    </w:p>
    <w:p>
      <w:pPr>
        <w:spacing w:after="0" w:line="53" w:lineRule="exact"/>
        <w:rPr>
          <w:rFonts w:ascii="Times New Roman" w:cs="Times New Roman" w:eastAsia="Times New Roman" w:hAnsi="Times New Roman"/>
          <w:sz w:val="18"/>
          <w:szCs w:val="18"/>
          <w:color w:val="auto"/>
        </w:rPr>
      </w:pPr>
    </w:p>
    <w:p>
      <w:pPr>
        <w:ind w:left="-20" w:right="140" w:firstLine="408"/>
        <w:spacing w:after="0" w:line="282" w:lineRule="auto"/>
        <w:tabs>
          <w:tab w:leader="none" w:pos="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53" w:lineRule="exact"/>
        <w:rPr>
          <w:rFonts w:ascii="Times New Roman" w:cs="Times New Roman" w:eastAsia="Times New Roman" w:hAnsi="Times New Roman"/>
          <w:sz w:val="18"/>
          <w:szCs w:val="18"/>
          <w:color w:val="auto"/>
        </w:rPr>
      </w:pPr>
    </w:p>
    <w:p>
      <w:pPr>
        <w:ind w:left="-20" w:right="140" w:firstLine="408"/>
        <w:spacing w:after="0" w:line="282" w:lineRule="auto"/>
        <w:tabs>
          <w:tab w:leader="none" w:pos="7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common law rights of set-off and other similar rights as to deposits of cash and securities in favor of banks, other depository institutions and brokerage firms;</w:t>
      </w:r>
    </w:p>
    <w:p>
      <w:pPr>
        <w:spacing w:after="0" w:line="53" w:lineRule="exact"/>
        <w:rPr>
          <w:rFonts w:ascii="Times New Roman" w:cs="Times New Roman" w:eastAsia="Times New Roman" w:hAnsi="Times New Roman"/>
          <w:sz w:val="18"/>
          <w:szCs w:val="18"/>
          <w:color w:val="auto"/>
        </w:rPr>
      </w:pPr>
    </w:p>
    <w:p>
      <w:pPr>
        <w:ind w:left="-20" w:right="500" w:firstLine="408"/>
        <w:spacing w:after="0" w:line="282" w:lineRule="auto"/>
        <w:tabs>
          <w:tab w:leader="none" w:pos="7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and similar encumbrances on real property imposed by law or arising in the ordinary course of business so long as they do not materially impair the value or marketability of the related property;</w:t>
      </w:r>
    </w:p>
    <w:p>
      <w:pPr>
        <w:spacing w:after="0" w:line="53" w:lineRule="exact"/>
        <w:rPr>
          <w:rFonts w:ascii="Times New Roman" w:cs="Times New Roman" w:eastAsia="Times New Roman" w:hAnsi="Times New Roman"/>
          <w:sz w:val="18"/>
          <w:szCs w:val="18"/>
          <w:color w:val="auto"/>
        </w:rPr>
      </w:pPr>
    </w:p>
    <w:p>
      <w:pPr>
        <w:ind w:left="-20" w:right="160" w:firstLine="408"/>
        <w:spacing w:after="0" w:line="266" w:lineRule="auto"/>
        <w:tabs>
          <w:tab w:leader="none" w:pos="7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on Cash securing obligations permitted under clauses (vii) and (iv)(b) of the defined term “Permitted Indebtedness” and (B) security deposits in connection with real property leases, the combination of (A) and (B) in an aggregate amount not to exceed $1,250,000 at any time;</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00"/>
          </w:cols>
          <w:pgMar w:left="1440" w:top="270" w:right="459" w:bottom="1440" w:gutter="0" w:footer="0" w:header="0"/>
        </w:sectPr>
      </w:pPr>
    </w:p>
    <w:bookmarkStart w:id="65" w:name="page66"/>
    <w:bookmarkEnd w:id="65"/>
    <w:p>
      <w:pPr>
        <w:ind w:left="980" w:right="80" w:firstLine="408"/>
        <w:spacing w:after="0" w:line="266" w:lineRule="auto"/>
        <w:tabs>
          <w:tab w:leader="none" w:pos="17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 obligations under a Permitted Royalty Transaction to the extent that such Lien solely encumbers the royalty interest purchased pursuant to such Permitted Royalty Transaction or a pledge of the stock of a special purpose entity contemplated under the definition of “Permitted Royalty Transaction”; and</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61" w:lineRule="auto"/>
        <w:tabs>
          <w:tab w:leader="none" w:pos="17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the extension, renewal or refinancing of the Indebtedness secured by Liens of the type described in clauses (i) through (x)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“Permitted Royalty Transaction” means any royalty or revenue interest financing whereby Madrigal or any other Loan Party receives upfront Unrestricted Cash (including, not subject to any redemption, clawback, escrow or similar encumbrance or restriction) in exchange for rights to receive future payments based on net sales or revenue, as applicable, of Resmetirom in an amount not to exceed, in the aggregate for all such Permitted Royalty Transactions, the Specified Percentage (as set forth in Schedule 1D) of worldwide net sales or revenue, as applicable, in any calendar year; provided that such royalty or revenue interest financing shall be on terms and conditions, and with a purchaser, in each case consented to in writing by Agent and (a) if structured as Indebtedness, not have a scheduled maturity date earlier than one hundred eighty (180) days after the Term Loan Maturity Date, (b) if secured, not be secured by any Lien or other security interest on any Intellectual Property unless subject to an intercreditor agreement reasonably satisfactory to Agent, and (c) not result in a transfer of ownership of any Intellectual Property other than in accordance with such intercreditor agreement or as set forth below. Notwithstanding anything herein to the contrary, subject to such consent in writing by Agent, a Permitted Royalty Transaction may be structured on a non-recourse basis (other than customary securitization undertakings and/or a pledge of special purpose entity stock) with a special purpose entity that is a wholly-owned Subsidiary of a Loan Party, and in such case Agent and Lenders shall enter into further amendments to the Loan Documents as are reasonably requested by the Company to give effect to such Permitted Royalty Transactions.</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“Permitted Transfers” means:</w:t>
      </w:r>
    </w:p>
    <w:p>
      <w:pPr>
        <w:spacing w:after="0" w:line="117" w:lineRule="exact"/>
        <w:rPr>
          <w:sz w:val="20"/>
          <w:szCs w:val="20"/>
          <w:color w:val="auto"/>
        </w:rPr>
      </w:pPr>
    </w:p>
    <w:p>
      <w:pPr>
        <w:ind w:left="1600" w:hanging="212"/>
        <w:spacing w:after="0"/>
        <w:tabs>
          <w:tab w:leader="none" w:pos="1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Inventory in the ordinary course of business,</w:t>
      </w:r>
    </w:p>
    <w:p>
      <w:pPr>
        <w:spacing w:after="0" w:line="117" w:lineRule="exact"/>
        <w:rPr>
          <w:rFonts w:ascii="Times New Roman" w:cs="Times New Roman" w:eastAsia="Times New Roman" w:hAnsi="Times New Roman"/>
          <w:sz w:val="18"/>
          <w:szCs w:val="18"/>
          <w:color w:val="auto"/>
        </w:rPr>
      </w:pPr>
    </w:p>
    <w:p>
      <w:pPr>
        <w:ind w:left="980" w:firstLine="408"/>
        <w:spacing w:after="0" w:line="261" w:lineRule="auto"/>
        <w:tabs>
          <w:tab w:leader="none" w:pos="16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similar arrangements for the use of Intellectual Property in the ordinary course of business on arm’s length terms, that could not result in a legal transfer of title of the licensed property and that may be exclusive in respects other than territory or may be exclusive or non-exclusive as to region or territory but only as to discrete geographical areas outside of the United States of America in the ordinary course of business,</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worn-out, obsolete or surplus Equipment at fair market value in the ordinary course of business, and</w:t>
      </w:r>
    </w:p>
    <w:p>
      <w:pPr>
        <w:spacing w:after="0" w:line="117"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transfers of assets to any Loan Party and (B) transfers of assets from any Subsidiary that is not a Loan Party to another Subsidiary that is not a Loan Party;</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settlement or termination of any obligations under or in respect of any Permitted Equity Derivatives;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66" w:name="page67"/>
    <w:bookmarkEnd w:id="66"/>
    <w:p>
      <w:pPr>
        <w:ind w:left="1700" w:hanging="312"/>
        <w:spacing w:after="0"/>
        <w:tabs>
          <w:tab w:leader="none" w:pos="1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Cash in the ordinary course of business, subject to the limitations set forth in the Loan Documents;</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7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settlement, forgiveness or discounting, in the ordinary course of business, of past due or doubtful accounts in connection with the collection or compromise thereof or in connection with the bankruptcy or reorganization of suppliers or customers;</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7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abandonment or other disposition of Intellectual Property that is, in the reasonable good faith judgment of Borrower or a Subsidiary, no longer economically practicable or commercially desirable to maintain or useful in the conduct of the business of Borrower and its Subsidiaries;</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made in connection with the Permitted Royalty Transaction;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Transfers of assets having a fair market value of not more than $1,000,000 in the aggregate in any fiscal year.</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“Person” means any individual, sole proprietorship, partnership, joint venture, trust, unincorporated organization, association, corporation, limited liability company, institution, other entity or government.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“Pledge Agreement” means (i) the Pledge Agreement dated as of the Closing Date between Borrower and Agent, as the same may from time to time be amended, restated, amended and restated, supplemented or otherwise modified and (ii) any other pledge agreement entered into to secure the Secured Obligations, as the same may from time to time be amended, restated, amended and restated, supplemented or otherwise modified.</w:t>
      </w:r>
    </w:p>
    <w:p>
      <w:pPr>
        <w:spacing w:after="0" w:line="17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“Public Health Laws” means all Requirements of Law relating to the procurement, development, clinical and non-clinical evaluation, product approval or licensure, manufacture, production, analysis, distribution, dispensing,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and all applicable regulations promulgated by the NIH and codified at Title 42 of the Code of Federal Regulations, and guidance, compliance, guides, and other policies issued by the FDA, the NIH and other comparable governmental authorities.</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“Products” means all products, software, service offerings, technical data or technology currently being designed, manufactured or sold by Borrower or any of its Subsidiaries or which Borrower or any of its Subsidiaries intends to sell, license, or distribute in the future including any products or service offerings under development, collectively, together with all products, software, service offerings, technical data or technology that have been sold, licensed or distributed by Borrower or such Subsidiary since formation.</w:t>
      </w:r>
    </w:p>
    <w:p>
      <w:pPr>
        <w:spacing w:after="0" w:line="180"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“Register” has the meaning specified in Section 11.7.</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67" w:name="page68"/>
    <w:bookmarkEnd w:id="67"/>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“Registrations” means authorizations, approvals, licenses, permits, certificates, registrations, listings, certificates, or exemptions of or issued by any governmental authority (including marketing approvals, investigational new drug applications, product recertifications, drug manufacturing establishment registration and product listing, pricing and reimbursement approvals, labeling approvals or their foreign equivalent) that are required for the research, development, manufacture, commercialization, distribution, marketing, storage, transportation, pricing, governmental authority reimbursement, use and sale of Products.</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“Regulatory Action” means an administrative or regulatory enforcement action, proceeding or investigation, warning letter, untitled letter, Form 483 or similar inspectional observations, other notice of violation letter, recall, seizure, Section 305 notice or other similar written communication, or consent decree, issued or required by the FDA or under the Public Health Laws, the NIH or a comparable governmental authority in any other regulatory jurisdiction.</w:t>
      </w:r>
    </w:p>
    <w:p>
      <w:pPr>
        <w:spacing w:after="0" w:line="180"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“Required Lenders” means at any time, the holders of more than 50% of the sum of the aggregate unpaid principal amount of the Term Loans then outstanding.</w:t>
      </w:r>
    </w:p>
    <w:p>
      <w:pPr>
        <w:spacing w:after="0" w:line="162"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“Requirements of Law”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“Resmetirom” means Borower’s resmetirom product candidate for NASH and non-alcoholic fatty liver disease.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“Responsible Officer” means any of the Chief Executive Officer, General Counsel (or Chief Legal Officer) and Chief Financial Officer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“Revenue Milestone” means satisfaction of each of the following events: (a) no default or Event of Default shall have occurred and be continuing, (b) the Approval Milestone has been achieved, and (c) Borrower shall have delivered evidence satisfactory to Agent (as determined by Agent in its sole discretion) that after the Closing Date and prior to January 31, 2026, Borrower has achieved at least [***] in T3M Net Product Revenue.</w:t>
      </w:r>
    </w:p>
    <w:p>
      <w:pPr>
        <w:spacing w:after="0" w:line="180"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“Roche Agreement” means that certain Research, Development and Commercialization Agreement, dated as of December 18, 2008, by and between Madrigal (as successor in interest to VIA Pharmaceuticals, Inc.), Hoffman-La Roche Inc. and F. Hoffmann-La Roche Ltd, as amended, restated, amended and restated, supplemented or otherwise modified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“Sanctioned Country” means, at any time, a country or territory which is the subject or target of any Sanctions.</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68" w:name="page69"/>
    <w:bookmarkEnd w:id="68"/>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“Secured Obligations” means Borrower’s obligations under this Agreement and any Loan Document (other than the Warrants), including any obligation to pay any amount now owing or later arising.</w:t>
      </w:r>
    </w:p>
    <w:p>
      <w:pPr>
        <w:spacing w:after="0" w:line="162" w:lineRule="exact"/>
        <w:rPr>
          <w:sz w:val="20"/>
          <w:szCs w:val="20"/>
          <w:color w:val="auto"/>
        </w:rPr>
      </w:pPr>
    </w:p>
    <w:p>
      <w:pPr>
        <w:ind w:right="300" w:firstLine="991"/>
        <w:spacing w:after="0" w:line="312" w:lineRule="auto"/>
        <w:rPr>
          <w:sz w:val="20"/>
          <w:szCs w:val="20"/>
          <w:color w:val="auto"/>
        </w:rPr>
      </w:pPr>
      <w:r>
        <w:rPr>
          <w:rFonts w:ascii="Times New Roman" w:cs="Times New Roman" w:eastAsia="Times New Roman" w:hAnsi="Times New Roman"/>
          <w:sz w:val="17"/>
          <w:szCs w:val="17"/>
          <w:color w:val="auto"/>
        </w:rPr>
        <w:t>“Subordinated Indebtedness” means Indebtedness subordinated to the Secured Obligations in amounts and on terms and conditions satisfactory to Agent in its sole discretion and subject to a subordination agreement in form and substance satisfactory to Agent in its sole discretion.</w:t>
      </w:r>
    </w:p>
    <w:p>
      <w:pPr>
        <w:spacing w:after="0" w:line="14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“Subsequent Financing” means the closing of any Madrigal financing involving the sale and issuance of Madrigal’s Equity Interests that is broadly marketed to multiple investors and which becomes effective after the Closing Date.</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“Subsidiary” means an entity, whether a corporation, partnership, limited liability company, joint venture or otherwise, in which Borrower owns or controls 50% or more of the outstanding voting securities, directly or indirectly. If not otherwise specified, a Subsidiary shall mean a direct or indirect Subsidiary of Borrower, including each entity listed on Schedule 1 hereto.</w:t>
      </w:r>
    </w:p>
    <w:p>
      <w:pPr>
        <w:spacing w:after="0" w:line="176"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“T3M Net Product Revenue” means the net product revenue of Borrower and its Subsidiaries, as determined in accordance with GAAP, from the sale of Resmetirom (which, for the avoidance of doubt, may include royalty or profit sharing revenue recognized in accordance with GAAP, but which shall not include any upfront or milestone-based payments under business development or licensing transactions) in the United States of America, measured on a trailing three-month basis as of the date of the most recently delivered monthly financial statements in accordance with Section 7.1(a).</w:t>
      </w:r>
    </w:p>
    <w:p>
      <w:pPr>
        <w:spacing w:after="0" w:line="18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right="480" w:firstLine="991"/>
        <w:spacing w:after="0" w:line="312" w:lineRule="auto"/>
        <w:rPr>
          <w:sz w:val="20"/>
          <w:szCs w:val="20"/>
          <w:color w:val="auto"/>
        </w:rPr>
      </w:pPr>
      <w:r>
        <w:rPr>
          <w:rFonts w:ascii="Times New Roman" w:cs="Times New Roman" w:eastAsia="Times New Roman" w:hAnsi="Times New Roman"/>
          <w:sz w:val="17"/>
          <w:szCs w:val="17"/>
          <w:color w:val="auto"/>
        </w:rPr>
        <w:t>“Term Commitment” means as to any Lender, the obligation of such Lender, if any, to make a Term Loan Advance to Borrower in a principal amount not to exceed the amount set forth under the heading “Term Commitment” opposite such Lender’s name on Schedule 1.1 hereto.</w:t>
      </w:r>
    </w:p>
    <w:p>
      <w:pPr>
        <w:spacing w:after="0" w:line="14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“Term Loan Advance” means each Tranche 1 Advance, Tranche 2 Advance, Tranche 3 Advance, Tranche 4 Advance and any other Term Loan funds advanced under this Agreement.</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“Term Loan Interest Rate” means for any day a per annum rate of interest equal to the greater of either (i) the prime rate as reported in The Wall Street Journal plus 3.95%, and (ii) 7.45%.</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“Term Loan Maturity Date” means May 1, 2026; provided, however, if the Approval Milestone is achieved, then May 3, 2027; provided further, that if such day is not a Business Day, the Term Loan Maturity Date shall be the immediately preceding Business Day.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69" w:name="page70"/>
    <w:bookmarkEnd w:id="69"/>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“Trademark License” means any written agreement granting any right to use any Trademark or Trademark registration, now owned or hereafter acquired by any Loan Party or in which any Loan Party now holds or hereafter acquires any interest.</w:t>
      </w:r>
    </w:p>
    <w:p>
      <w:pPr>
        <w:spacing w:after="0" w:line="162"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“Tranche 1” means the Advances pursuant to Section 2.2(a).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“Tranche 2” means the Advances pursuant to Section 2.2(b).</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“Tranche 2 Facility Charge” means zero point five percent (0.50%) of each Tranche 2 Advance, which is payable to the Lenders in accordance with Section 4.2(d).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“Tranche 3” means the Advances pursuant to Section 2.2(c).</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“Tranche 3 Facility Charge” means zero point five percent (0.50%) of each Tranche 3 Advance, which is payable to the Lenders in accordance with Section 4.2(e).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“Tranche 4” means the Advances pursuant to Section 2.2(d).</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“Tranche 4 Facility Charge” means zero point five percent (0.50%) of each Tranche 4 Advance, which is payable to the Lenders in accordance with Section 4.2(f).</w:t>
      </w:r>
    </w:p>
    <w:p>
      <w:pPr>
        <w:spacing w:after="0" w:line="162"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68"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“Unrestricted Cash” means unrestricted Cash of Borrower maintained in Deposit Accounts or other accounts in Borrower’s name subject to an Account Control Agreement in favor of Agent, subject to any post-closing period provided under this Agreement to deliver Account Control Agreements.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“U.S. Person” means any Person that is a “United States person” as defined in Section 7701(a)(30) of the Code.</w:t>
      </w:r>
    </w:p>
    <w:p>
      <w:pPr>
        <w:spacing w:after="0" w:line="225" w:lineRule="exact"/>
        <w:rPr>
          <w:sz w:val="20"/>
          <w:szCs w:val="20"/>
          <w:color w:val="auto"/>
        </w:rPr>
      </w:pPr>
    </w:p>
    <w:p>
      <w:pPr>
        <w:jc w:val="center"/>
        <w:ind w:left="960" w:right="460"/>
        <w:spacing w:after="0" w:line="454" w:lineRule="auto"/>
        <w:rPr>
          <w:sz w:val="20"/>
          <w:szCs w:val="20"/>
          <w:color w:val="auto"/>
        </w:rPr>
      </w:pPr>
      <w:r>
        <w:rPr>
          <w:rFonts w:ascii="Times New Roman" w:cs="Times New Roman" w:eastAsia="Times New Roman" w:hAnsi="Times New Roman"/>
          <w:sz w:val="18"/>
          <w:szCs w:val="18"/>
          <w:color w:val="auto"/>
        </w:rPr>
        <w:t>“Warrant” means any warrant entered into in connection with the Loan, as may be amended, restated or modified from time to time. 18</w:t>
      </w:r>
    </w:p>
    <w:p>
      <w:pPr>
        <w:sectPr>
          <w:pgSz w:w="11900" w:h="16838" w:orient="portrait"/>
          <w:cols w:equalWidth="0" w:num="1">
            <w:col w:w="10940"/>
          </w:cols>
          <w:pgMar w:left="440" w:top="270" w:right="51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 The following terms are defined in the Sections or subsections referenced opposite such terms:</w:t>
      </w:r>
    </w:p>
    <w:p>
      <w:pPr>
        <w:spacing w:after="0" w:line="246" w:lineRule="exact"/>
        <w:rPr>
          <w:sz w:val="20"/>
          <w:szCs w:val="20"/>
          <w:color w:val="auto"/>
        </w:rPr>
      </w:pPr>
    </w:p>
    <w:tbl>
      <w:tblPr>
        <w:tblLayout w:type="fixed"/>
        <w:tblInd w:w="2740" w:type="dxa"/>
        <w:tblCellMar>
          <w:top w:w="0" w:type="dxa"/>
          <w:left w:w="0" w:type="dxa"/>
          <w:bottom w:w="0" w:type="dxa"/>
          <w:right w:w="0" w:type="dxa"/>
        </w:tblCellMar>
      </w:tblPr>
      <w:tr>
        <w:trPr>
          <w:trHeight w:val="173"/>
        </w:trPr>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Defined Term</w:t>
            </w:r>
          </w:p>
        </w:tc>
        <w:tc>
          <w:tcPr>
            <w:tcW w:w="204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460" w:type="dxa"/>
            <w:vAlign w:val="bottom"/>
          </w:tcPr>
          <w:p>
            <w:pPr>
              <w:spacing w:after="0"/>
              <w:rPr>
                <w:sz w:val="15"/>
                <w:szCs w:val="15"/>
                <w:color w:val="auto"/>
              </w:rPr>
            </w:pPr>
          </w:p>
        </w:tc>
      </w:tr>
      <w:tr>
        <w:trPr>
          <w:trHeight w:val="187"/>
        </w:trPr>
        <w:tc>
          <w:tcPr>
            <w:tcW w:w="8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Agent</w:t>
            </w:r>
          </w:p>
        </w:tc>
        <w:tc>
          <w:tcPr>
            <w:tcW w:w="2040" w:type="dxa"/>
            <w:vAlign w:val="bottom"/>
          </w:tcPr>
          <w:p>
            <w:pPr>
              <w:spacing w:after="0"/>
              <w:rPr>
                <w:sz w:val="16"/>
                <w:szCs w:val="16"/>
                <w:color w:val="auto"/>
              </w:rPr>
            </w:pPr>
          </w:p>
        </w:tc>
        <w:tc>
          <w:tcPr>
            <w:tcW w:w="9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Assignee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11.14</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Claims</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11.11</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Confidential Information</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11.13</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Confidentiality Agreement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11.13</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Company IP</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5.10(a)</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 of Term Charge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Event of Default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Indemnified Person</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Maximum Rate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 Register</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Test Date</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7.20(b)</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Prepayment Charge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Publicity Materials</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11.19</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Rights to Payment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8"/>
                <w:szCs w:val="18"/>
                <w:color w:val="auto"/>
              </w:rPr>
            </w:pP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Disputes</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5.10(g)</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Percentage</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Schedule 1D</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Third Party IP</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5.10(i)</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Tranche 1 Advance</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Tranche 2 Advance</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2.2(b)</w:t>
            </w:r>
          </w:p>
        </w:tc>
      </w:tr>
      <w:tr>
        <w:trPr>
          <w:trHeight w:val="21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Tranche 3 Advance</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2.2(c)</w:t>
            </w:r>
          </w:p>
        </w:tc>
      </w:tr>
      <w:tr>
        <w:trPr>
          <w:trHeight w:val="23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Tranche 4 Advance</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2.2(d)</w:t>
            </w:r>
          </w:p>
        </w:tc>
      </w:tr>
    </w:tbl>
    <w:p>
      <w:pPr>
        <w:spacing w:after="0" w:line="19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1.3 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provided that, no effect shall be given to Accounting Standards Codification 842, Leases (or any other Accounting Standards Codification having similar result or effect) (and related interpretations) to the extent any lease (or similar arrangement) would be required to be treated as a capital lease thereunder where such lease (or arrangement) would have been treated as an operating lease under GAAP as in effect immediately prior to the effectiveness of such Accounting Standards Codification.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71" w:name="page72"/>
    <w:bookmarkEnd w:id="71"/>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b w:val="1"/>
          <w:bCs w:val="1"/>
          <w:u w:val="single" w:color="auto"/>
          <w:color w:val="auto"/>
        </w:rPr>
        <w:t>THE LOAN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 [Reserved].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 Term Loan Advances.</w:t>
      </w:r>
    </w:p>
    <w:p>
      <w:pPr>
        <w:spacing w:after="0" w:line="117" w:lineRule="exact"/>
        <w:rPr>
          <w:sz w:val="20"/>
          <w:szCs w:val="20"/>
          <w:color w:val="auto"/>
        </w:rPr>
      </w:pPr>
    </w:p>
    <w:p>
      <w:pPr>
        <w:ind w:right="340" w:firstLine="419"/>
        <w:spacing w:after="0" w:line="266" w:lineRule="auto"/>
        <w:tabs>
          <w:tab w:leader="none" w:pos="6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Advance. Subject to the terms and conditions of this Agreement, on the Closing Date, the Lenders shall severally (and not jointly) make in an amount not to exceed their respective Term Commitments, and Borrower agrees to draw, a Term Loan Advance in an aggregate principal amount equal to Fifty Million Dollars ($50,000,000) (the “Tranche 1 Advance”).</w:t>
      </w:r>
    </w:p>
    <w:p>
      <w:pPr>
        <w:spacing w:after="0" w:line="67"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Advance. Subject to the terms and conditions of this Agreement and the achievement of the Clinical Milestone, on or prior to the earlier of June 30, 2023 or ninety (90) days following the achievement of the Clinical Milestone, Borrower may request, and the Lenders shall severally (and not jointly) make, additional Term Loan Advances in an aggregate principal amount up to Fifty Million Dollars ($50,000,000), in minimum draws of at least Ten Million Dollars ($10,000,000) (or if less than Ten Million Dollars ($10,000,000), the remaining amount of Term Loan Advances available to be drawn pursuant to this Section 2.2(b)) (each, a “Tranche 2 Advance”); provided that Borrower shall not be permitted to request more than two (2) Tranche 2 Advances in total.</w:t>
      </w:r>
    </w:p>
    <w:p>
      <w:pPr>
        <w:spacing w:after="0" w:line="79" w:lineRule="exact"/>
        <w:rPr>
          <w:rFonts w:ascii="Times New Roman" w:cs="Times New Roman" w:eastAsia="Times New Roman" w:hAnsi="Times New Roman"/>
          <w:sz w:val="18"/>
          <w:szCs w:val="18"/>
          <w:color w:val="auto"/>
        </w:rPr>
      </w:pPr>
    </w:p>
    <w:p>
      <w:pPr>
        <w:ind w:firstLine="419"/>
        <w:spacing w:after="0" w:line="256" w:lineRule="auto"/>
        <w:tabs>
          <w:tab w:leader="none" w:pos="6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Advance. Subject to the terms and conditions of this Agreement and the achievement of the Approval Milestone, on or prior to the earlier of June 30, 2024 or ninety (90) days following the achievement of the Approval Milestone, Borrower may request, and the Lenders shall severally (and not jointly) make, additional Term Loan Advances in an aggregate principal amount up to Seventy-Five Million Dollars ($75,000,000), in minimum draws of at least Ten Million Dollars ($10,000,000) (or if less than Ten Million Dollars ($10,000,000), the remaining amount of Term Loan Advances available to be drawn pursuant to this Section 2.2(c)) (each, a “Tranche 3 Advance”); provided that Borrower shall not be permitted to request more than two (2) Tranche 3 Advances in total.</w:t>
      </w:r>
    </w:p>
    <w:p>
      <w:pPr>
        <w:spacing w:after="0" w:line="79" w:lineRule="exact"/>
        <w:rPr>
          <w:rFonts w:ascii="Times New Roman" w:cs="Times New Roman" w:eastAsia="Times New Roman" w:hAnsi="Times New Roman"/>
          <w:sz w:val="18"/>
          <w:szCs w:val="18"/>
          <w:color w:val="auto"/>
        </w:rPr>
      </w:pPr>
    </w:p>
    <w:p>
      <w:pPr>
        <w:ind w:right="120" w:firstLine="419"/>
        <w:spacing w:after="0" w:line="256"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Trance 4 Advance. Subject to the terms and conditions of this Agreement and conditioned on approval by the Lenders’ respective investment committees in their sole and unfettered discretion, prior to the Amortization Date, Borrower may request, and the Lenders shall severally (and not jointly) make, additional Term Loan Advances in an aggregate principal amount of up to Seventy-Five Million Dollars ($75,000,000), in minimum draws of at least Ten Million Dollars ($10,000,000) (or if less than Ten Million Dollars ($10,000,000), the remaining amount of Term Loan Advances available to be drawn pursuant to this Section 2.2(d)) (each, a “Tranche 4 Advance”); provided that Borrower shall not be permitted to request more than two (2) Tranche 4 Advances in total.</w:t>
      </w:r>
    </w:p>
    <w:p>
      <w:pPr>
        <w:spacing w:after="0" w:line="79" w:lineRule="exact"/>
        <w:rPr>
          <w:sz w:val="20"/>
          <w:szCs w:val="20"/>
          <w:color w:val="auto"/>
        </w:rPr>
      </w:pPr>
    </w:p>
    <w:p>
      <w:pPr>
        <w:ind w:right="360" w:firstLine="423"/>
        <w:spacing w:after="0" w:line="282" w:lineRule="auto"/>
        <w:rPr>
          <w:sz w:val="20"/>
          <w:szCs w:val="20"/>
          <w:color w:val="auto"/>
        </w:rPr>
      </w:pPr>
      <w:r>
        <w:rPr>
          <w:rFonts w:ascii="Times New Roman" w:cs="Times New Roman" w:eastAsia="Times New Roman" w:hAnsi="Times New Roman"/>
          <w:sz w:val="18"/>
          <w:szCs w:val="18"/>
          <w:color w:val="auto"/>
        </w:rPr>
        <w:t>The aggregate outstanding Term Loan Advances shall not exceed the Maximum Term Loan Amount. Each Term Loan Advance of each Lender shall not exceed its respective Term Commitment.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66" w:right="459" w:bottom="1440" w:gutter="0" w:footer="0" w:header="0"/>
        </w:sectPr>
      </w:pPr>
    </w:p>
    <w:bookmarkStart w:id="72" w:name="page73"/>
    <w:bookmarkEnd w:id="72"/>
    <w:p>
      <w:pPr>
        <w:ind w:left="664" w:hanging="241"/>
        <w:spacing w:after="0"/>
        <w:tabs>
          <w:tab w:leader="none" w:pos="6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 Request. To obtain a Term Loan Advance, Borrower shall complete, sign and deliver an Advance Request (at least one</w:t>
      </w:r>
    </w:p>
    <w:p>
      <w:pPr>
        <w:spacing w:after="0" w:line="27" w:lineRule="exact"/>
        <w:rPr>
          <w:rFonts w:ascii="Times New Roman" w:cs="Times New Roman" w:eastAsia="Times New Roman" w:hAnsi="Times New Roman"/>
          <w:sz w:val="18"/>
          <w:szCs w:val="18"/>
          <w:color w:val="auto"/>
        </w:rPr>
      </w:pPr>
    </w:p>
    <w:p>
      <w:pPr>
        <w:ind w:left="4" w:right="20" w:hanging="4"/>
        <w:spacing w:after="0" w:line="255" w:lineRule="auto"/>
        <w:tabs>
          <w:tab w:leader="none" w:pos="2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before the Closing Date and at least five (5) Business Days before each Advance Date other than the Closing Date to Agent. The Lenders shall fund the Term Loan Advance in the manner requested by the Advance Request provided that each of the conditions precedent to such Term Loan Advance set forth in Section 4 is satisfied as of the requested Advance Date.</w:t>
      </w:r>
    </w:p>
    <w:p>
      <w:pPr>
        <w:spacing w:after="0" w:line="7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17" w:lineRule="exact"/>
        <w:rPr>
          <w:rFonts w:ascii="Times New Roman" w:cs="Times New Roman" w:eastAsia="Times New Roman" w:hAnsi="Times New Roman"/>
          <w:sz w:val="18"/>
          <w:szCs w:val="18"/>
          <w:color w:val="auto"/>
        </w:rPr>
      </w:pPr>
    </w:p>
    <w:p>
      <w:pPr>
        <w:ind w:left="544" w:right="160" w:firstLine="408"/>
        <w:spacing w:after="0" w:line="261" w:lineRule="auto"/>
        <w:tabs>
          <w:tab w:leader="none" w:pos="1159"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Interest Rate. The principal balance of each Term Loan Advance shall bear interest thereon from such Advance Date in an amount equal to the product of the outstanding Term Loan principal balance multiplied by the Term Loan Interest Rate based on a year consisting of 360 days, with interest computed daily based on the actual number of days elapsed. The Term Loan Interest Rate will float and change on the day the prime rate changes from time to time.</w:t>
      </w:r>
    </w:p>
    <w:p>
      <w:pPr>
        <w:spacing w:after="0" w:line="71" w:lineRule="exact"/>
        <w:rPr>
          <w:rFonts w:ascii="Times New Roman" w:cs="Times New Roman" w:eastAsia="Times New Roman" w:hAnsi="Times New Roman"/>
          <w:sz w:val="18"/>
          <w:szCs w:val="18"/>
          <w:color w:val="auto"/>
        </w:rPr>
      </w:pPr>
    </w:p>
    <w:p>
      <w:pPr>
        <w:ind w:left="4" w:firstLine="419"/>
        <w:spacing w:after="0" w:line="266" w:lineRule="auto"/>
        <w:tabs>
          <w:tab w:leader="none" w:pos="68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Borrower will pay interest on each Term Loan Advance on the first Business Day of each month, beginning the month after the Advance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The entire Term Loan principal balance and all accrued but unpaid interest hereunder, shall be due and payable on the Term Loan Maturity Date. Borrower shall make all payments under this Agreement without setoff, recoupment or deduction (except as provided in Addendum 1) and regardless of any counterclaim or defense. If a payment hereunder becomes due and payable on a day that is not a Business Day, the due date thereof shall be the immediately preceding Business Day. Agent, for the benefit of the Lenders, will initiate debit entries to Borrower’s account as authorized on the ACH Authorization (i) on each payment date of all periodic obligations payable to the Lenders under each Term Loan Advance and (ii) reasonable and documented out-of-pocket legal fees and costs incurred by Agent or the Lenders in connection with Section 11.12 of this Agreement; provided that, with respect to clause (i) above, in the event that Agent informs Borrower that Agent will not initiate a debit entry to Borrower’s account for a certain amount of the periodic obligations due on a specific payment date, Borrower shall pay to Agent, for the ratable benefit of the Lenders, such amount of periodic obligations in full in immediately available funds on such payment date; provided, further, that, with respect to clause</w:t>
      </w:r>
    </w:p>
    <w:p>
      <w:pPr>
        <w:spacing w:after="0" w:line="9" w:lineRule="exact"/>
        <w:rPr>
          <w:rFonts w:ascii="Times New Roman" w:cs="Times New Roman" w:eastAsia="Times New Roman" w:hAnsi="Times New Roman"/>
          <w:sz w:val="17"/>
          <w:szCs w:val="17"/>
          <w:color w:val="auto"/>
        </w:rPr>
      </w:pPr>
    </w:p>
    <w:p>
      <w:pPr>
        <w:ind w:left="4"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above, if Agent informs Borrower that Agent will not initiate a debit entry as described above later than the date that is three (3) Business Days prior to such payment date, Borrower shall pay to Agent, for the ratable benefit of the Lenders, such amount of periodic obligations in full in immediately available funds on the date that is three (3) Business Days after the date on which Agent notifies Borrower thereof; provided, further, that, with respect to clause (ii) above, in the event that Agent informs Borrower that Agent will not initiate a debit entry to Borrower’s account for certain amounts of such out-of-pocket legal fees and costs incurred by Agent or the Lenders, Borrower shall pay to Agent such amounts in full in immediately available funds within three (3) Business Days.</w:t>
      </w:r>
    </w:p>
    <w:p>
      <w:pPr>
        <w:spacing w:after="0" w:line="82" w:lineRule="exact"/>
        <w:rPr>
          <w:sz w:val="20"/>
          <w:szCs w:val="20"/>
          <w:color w:val="auto"/>
        </w:rPr>
      </w:pPr>
    </w:p>
    <w:p>
      <w:pPr>
        <w:ind w:left="4" w:right="20" w:firstLine="423"/>
        <w:spacing w:after="0" w:line="261" w:lineRule="auto"/>
        <w:rPr>
          <w:sz w:val="20"/>
          <w:szCs w:val="20"/>
          <w:color w:val="auto"/>
        </w:rPr>
      </w:pPr>
      <w:r>
        <w:rPr>
          <w:rFonts w:ascii="Times New Roman" w:cs="Times New Roman" w:eastAsia="Times New Roman" w:hAnsi="Times New Roman"/>
          <w:sz w:val="18"/>
          <w:szCs w:val="18"/>
          <w:color w:val="auto"/>
        </w:rPr>
        <w:t>2.3 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73" w:name="page74"/>
    <w:bookmarkEnd w:id="73"/>
    <w:p>
      <w:pPr>
        <w:ind w:righ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75"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t>2.4 Default Interest. In the event any payment is not paid on the scheduled payment date (other than a failure to pay due solely to an administrative or operational error of Agent or the Lenders or Borrower’s bank if Borrower had the funds to make the payment when due and makes the payment within three (3) Business Days following Borrower’s knowledge of such failure to pay), an amount equal to four percent (4%)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2.2(f), plus four percent (4%) per annum. In the event any interest is not paid when due hereunder, delinquent interest shall be added to principal and shall bear interest on interest, compounded at the rate set forth in Section 2.2(f) or this Section 2.4, as applicable.</w:t>
      </w:r>
    </w:p>
    <w:p>
      <w:pPr>
        <w:spacing w:after="0" w:line="84"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7"/>
          <w:szCs w:val="17"/>
          <w:color w:val="auto"/>
        </w:rPr>
        <w:t>2.5 Prepayment. At its option upon at least seven (7) Business Days prior written notice (which such notice may be conditioned upon the consummation of a transaction constituting a Change in Control, other transformative transaction or a refinancing of the Loans) to Agent, Borrower may at any time prepay all or a portion of the outstanding Advances by paying the entire principal balance (or such portion thereof), all accrued and unpaid interest thereon, together with a prepayment charge equal to the following percentage of the principal amount of the Advance being prepaid: with respect to each Advance, if the principal amount of such Advance is prepaid in any of the first twelve (12) months following the Closing Date, two percent (2.0%); after twelve (12) months but on or prior to twenty four (24) months, one point five percent (1.5%); after twenty four (24) months but on or prior to thirty six (36) months, zero point five percent (0.5%); and thereafter, zero percent (0%) (each, a “Prepayment Charge”).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any prepayment hereunder; provided that, for the avoidance of doubt, no Prepayment Charge shall be due if Borrower prepays all of the outstanding Advances in connection with the occurrence of a Change in Control. Notwithstanding the foregoing, Agent and the Lenders agree to waive the Prepayment Charge if Agent and the Lenders (in their sole and absolute discretion) or their respective Affiliates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For the avoidance of doubt, if a payment hereunder becomes due and payable on a day that is not a Business Day, the due date thereof shall be the immediately preceding Business Day.</w:t>
      </w:r>
    </w:p>
    <w:p>
      <w:pPr>
        <w:spacing w:after="0" w:line="3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880" w:top="270" w:right="439" w:bottom="1440" w:gutter="0" w:footer="0" w:header="0"/>
        </w:sectPr>
      </w:pPr>
    </w:p>
    <w:bookmarkStart w:id="74" w:name="page75"/>
    <w:bookmarkEnd w:id="7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 End of Term Charge.</w:t>
      </w:r>
    </w:p>
    <w:p>
      <w:pPr>
        <w:spacing w:after="0" w:line="117" w:lineRule="exact"/>
        <w:rPr>
          <w:sz w:val="20"/>
          <w:szCs w:val="20"/>
          <w:color w:val="auto"/>
        </w:rPr>
      </w:pPr>
    </w:p>
    <w:p>
      <w:pPr>
        <w:ind w:left="660" w:hanging="241"/>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earliest to occur of (i) the Term Loan Maturity Date, (ii) the date that Borrower prepays in full the outstanding Secured</w:t>
      </w:r>
    </w:p>
    <w:p>
      <w:pPr>
        <w:spacing w:after="0" w:line="27"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(other than any inchoate indemnity obligations and any other obligations which, by their terms, are to survive the termination of this Agreement), or (iii) the date that the Secured Obligations become due and payable (including by acceleration of the Secured Obligations during an Event of Default) pursuant to the terms of this Agreement, Borrower shall pay the Lenders a charge of five point three five percent (5.35%) of the aggregate original principal amount of the Term Loan Advances made hereunder (including, for the avoidance of doubt, the principal amount of any partial prepayments of Term Loan Advances made pursuant to Section 2.5) (the “End of Term Charge”).</w:t>
      </w:r>
    </w:p>
    <w:p>
      <w:pPr>
        <w:spacing w:after="0" w:line="78" w:lineRule="exact"/>
        <w:rPr>
          <w:rFonts w:ascii="Times New Roman" w:cs="Times New Roman" w:eastAsia="Times New Roman" w:hAnsi="Times New Roman"/>
          <w:sz w:val="18"/>
          <w:szCs w:val="18"/>
          <w:color w:val="auto"/>
        </w:rPr>
      </w:pPr>
    </w:p>
    <w:p>
      <w:pPr>
        <w:jc w:val="both"/>
        <w:ind w:right="40" w:firstLine="419"/>
        <w:spacing w:after="0" w:line="266" w:lineRule="auto"/>
        <w:tabs>
          <w:tab w:leader="none" w:pos="6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required payment date of such End of Term Charge, the applicable pro rata portion of the End of Term Charge shall be deemed earned by the Lenders as of each date a Term Loan Advance is made. For the avoidance of doubt, if a payment hereunder becomes due and payable on a day that is not a Business Day, the due date thereof shall be the immediately preceding Business Day.</w:t>
      </w:r>
    </w:p>
    <w:p>
      <w:pPr>
        <w:spacing w:after="0" w:line="68"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2.7 Pro Rata Treatment. Each payment (including prepayment) on account of any fee and any reduction of the Term Loans shall be made pro rata according to the Term Commitments of the relevant Lenders.</w:t>
      </w:r>
    </w:p>
    <w:p>
      <w:pPr>
        <w:spacing w:after="0" w:line="54" w:lineRule="exact"/>
        <w:rPr>
          <w:sz w:val="20"/>
          <w:szCs w:val="20"/>
          <w:color w:val="auto"/>
        </w:rPr>
      </w:pPr>
    </w:p>
    <w:p>
      <w:pPr>
        <w:ind w:right="540" w:firstLine="423"/>
        <w:spacing w:after="0" w:line="282" w:lineRule="auto"/>
        <w:rPr>
          <w:sz w:val="20"/>
          <w:szCs w:val="20"/>
          <w:color w:val="auto"/>
        </w:rPr>
      </w:pPr>
      <w:r>
        <w:rPr>
          <w:rFonts w:ascii="Times New Roman" w:cs="Times New Roman" w:eastAsia="Times New Roman" w:hAnsi="Times New Roman"/>
          <w:sz w:val="18"/>
          <w:szCs w:val="18"/>
          <w:color w:val="auto"/>
        </w:rPr>
        <w:t>2.8 Taxes; Increased Costs. Borrower, Agent and the Lenders each hereby agree to the terms and conditions set forth on Addendum 1 attached hereto.</w:t>
      </w:r>
    </w:p>
    <w:p>
      <w:pPr>
        <w:spacing w:after="0" w:line="54"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2.9 Treatment of Prepayment Charge and End of Term Charge.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paragraph. Borrower expressly acknowledges that their agreement to pay each of the Prepayment Charge and the End of Term Charge to the Lenders as herein described was on the Closing Date and continues to be a material inducement to the Lenders to provide the Term Loans.</w:t>
      </w:r>
    </w:p>
    <w:p>
      <w:pPr>
        <w:spacing w:after="0" w:line="3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SECURITY INTEREST</w:t>
      </w:r>
    </w:p>
    <w:p>
      <w:pPr>
        <w:spacing w:after="0" w:line="121" w:lineRule="exact"/>
        <w:rPr>
          <w:sz w:val="20"/>
          <w:szCs w:val="20"/>
          <w:color w:val="auto"/>
        </w:rPr>
      </w:pPr>
    </w:p>
    <w:p>
      <w:pPr>
        <w:ind w:right="180" w:firstLine="423"/>
        <w:spacing w:after="0" w:line="261" w:lineRule="auto"/>
        <w:rPr>
          <w:sz w:val="20"/>
          <w:szCs w:val="20"/>
          <w:color w:val="auto"/>
        </w:rPr>
      </w:pPr>
      <w:r>
        <w:rPr>
          <w:rFonts w:ascii="Times New Roman" w:cs="Times New Roman" w:eastAsia="Times New Roman" w:hAnsi="Times New Roman"/>
          <w:sz w:val="18"/>
          <w:szCs w:val="18"/>
          <w:color w:val="auto"/>
        </w:rPr>
        <w:t>3.1 Grant of Security Interest. As security for the prompt and complete payment when due (whether on the payment dates or otherwise) of all the Secured Obligations, Borrower grants to Agent a security interest in all of Borrower’s right, title, and interest in and to the following property whether now owned or hereafter acquired (collectively, the “Collateral”): (a) Receivables; (b) Equipment; (c) Fixtures; (d) General Intangibles (other than Intellectual Property); (e)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75" w:name="page76"/>
    <w:bookmarkEnd w:id="75"/>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Inventory; (f) Investment Property; (g) Deposit Accounts; (h) Cash; (i) Goods; and (j) all other tangible and intangible personal property of Borrower whether now or hereafter owned or existing,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Collateral shall include all Accounts and General Intangibles that consist of rights to payment and proceeds from the sale, licensing or disposition of all or any part, or rights in, the Intellectual Property (the “Rights to 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p>
    <w:p>
      <w:pPr>
        <w:spacing w:after="0" w:line="80"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3.2 Excluded Collateral. Notwithstanding the broad grant of the security interest set forth in Section 3.1, above, the Collateral shall not include (a) subject to the last sentence of Section 3.1, any Intellectual Property, (b) licenses or contracts, including without limitation any licenses described in clause (b) of the defined term “Permitted Transfers,” the terms of which prohibit the transfer, assignment or pledge thereof or require the consent of the licensor thereof or another party (but only to the extent such prohibition on transfer, assignment or pledge is enforceable under applicable law, including, without limitation, Sections 9406, 9407 and 9408 of the UCC); provided further, that upon the termination of such prohibition or such consent being provided with respect to any license or contract, such license or contract shall automatically be included in the Collateral, (c) more than 65% of the presently existing and hereafter arising issued and outstanding Equity Interests owned by Borrower or any other Loan Party of any Foreign Subsidiary which Equity Interests entitle the holder thereof to vote for directors or any other matter, (d) any Excluded Accounts, (e) any property, right or asset held by any Loan Party to the extent that a grant of a security interest therein is prohibited by applicable law, (f) the assets of any non-wholly owned subsidiary pursuant to customary restrictions and conditions contained in agreements governing joint ventures or strategic alliances that constitute Permitted Investments, provided that the applicable Loan Party has exercised its good faith best efforts to not agree to (or to remove) such customary restrictions and conditions, and (g) interests in joint ventures that constitute Permitted Investments pursuant to customary restrictions and conditions contained in agreements governing such joint ventures.</w:t>
      </w:r>
    </w:p>
    <w:p>
      <w:pPr>
        <w:spacing w:after="0" w:line="29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CONDITIONS PRECEDENT TO LOAN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the Lenders to make the Loan hereunder are subject to the satisfaction by Borrower of the following conditions: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4.1 Initial Advance. On or prior to the Closing Date, Borrower shall have delivered to Agent the following:</w:t>
      </w:r>
    </w:p>
    <w:p>
      <w:pPr>
        <w:spacing w:after="0" w:line="117" w:lineRule="exact"/>
        <w:rPr>
          <w:sz w:val="20"/>
          <w:szCs w:val="20"/>
          <w:color w:val="auto"/>
        </w:rPr>
      </w:pPr>
    </w:p>
    <w:p>
      <w:pPr>
        <w:ind w:right="80" w:firstLine="419"/>
        <w:spacing w:after="0" w:line="266"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copies of the Loan Documents (other than the Warrants, which shall be an original),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76" w:name="page77"/>
    <w:bookmarkEnd w:id="76"/>
    <w:p>
      <w:pPr>
        <w:ind w:left="680" w:hanging="26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legal opinion of Borrower’s counsel in form and substance reasonably acceptable to Agent;</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resolutions of Borrower’s Board evidencing approval of (i) the Loan and other transactions evidenced by the Loan Documents, and (ii) the Warrants and transactions evidenced thereby, certified by an officer of Borrower;</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Charter of Borrower, certified by the Secretary of State of the applicable jurisdiction of organization and the other Organizational Documents,, as amended through the Closing Date, of Borrower, certified by an officer of Borrower;</w:t>
      </w:r>
    </w:p>
    <w:p>
      <w:pPr>
        <w:spacing w:after="0" w:line="53" w:lineRule="exact"/>
        <w:rPr>
          <w:rFonts w:ascii="Times New Roman" w:cs="Times New Roman" w:eastAsia="Times New Roman" w:hAnsi="Times New Roman"/>
          <w:sz w:val="18"/>
          <w:szCs w:val="18"/>
          <w:color w:val="auto"/>
        </w:rPr>
      </w:pPr>
    </w:p>
    <w:p>
      <w:pPr>
        <w:ind w:right="600" w:firstLine="419"/>
        <w:spacing w:after="0" w:line="282" w:lineRule="auto"/>
        <w:tabs>
          <w:tab w:leader="none" w:pos="6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for Borrower from the applicable jurisdiction of organization and similar certificates from all other jurisdictions in which Borrower does business and where the failure to be qualified could have a Material Adverse Effect;</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perfection certificate of Borrower, together with duly executed signatures thereto;</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dated as of a recent date, of searches for financing statements filed in the central filing office of the State of Delaware;</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searches with respect to Borrower;</w:t>
      </w:r>
    </w:p>
    <w:p>
      <w:pPr>
        <w:spacing w:after="0" w:line="117" w:lineRule="exact"/>
        <w:rPr>
          <w:rFonts w:ascii="Times New Roman" w:cs="Times New Roman" w:eastAsia="Times New Roman" w:hAnsi="Times New Roman"/>
          <w:sz w:val="18"/>
          <w:szCs w:val="18"/>
          <w:color w:val="auto"/>
        </w:rPr>
      </w:pPr>
    </w:p>
    <w:p>
      <w:pPr>
        <w:ind w:right="40" w:firstLine="419"/>
        <w:spacing w:after="0" w:line="282" w:lineRule="auto"/>
        <w:tabs>
          <w:tab w:leader="none" w:pos="6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Due Diligence Fee (which has been paid prior to the Closing Date), Initial Facility Charge and reimbursement of Agent’s and the Lenders’ current expenses reimbursable pursuant to this Agreement, which amounts may be deducted from the initial Advance;</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of insurance, endorsements, and copies of each insurance policy required pursuant to Section 6.2; and</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Agent may reasonably request.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4.2 All Advances. On each Advance Date:</w:t>
      </w:r>
    </w:p>
    <w:p>
      <w:pPr>
        <w:spacing w:after="0" w:line="117" w:lineRule="exact"/>
        <w:rPr>
          <w:sz w:val="20"/>
          <w:szCs w:val="20"/>
          <w:color w:val="auto"/>
        </w:rPr>
      </w:pPr>
    </w:p>
    <w:p>
      <w:pPr>
        <w:ind w:right="860" w:firstLine="419"/>
        <w:spacing w:after="0" w:line="282" w:lineRule="auto"/>
        <w:tabs>
          <w:tab w:leader="none" w:pos="6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(i) an Advance Request for the relevant Advance as required by Section 2.2(e), duly executed by a Responsible Officer, and (ii) any other documents Agent may reasonably request.</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67" w:lineRule="exact"/>
        <w:rPr>
          <w:rFonts w:ascii="Times New Roman" w:cs="Times New Roman" w:eastAsia="Times New Roman" w:hAnsi="Times New Roman"/>
          <w:sz w:val="18"/>
          <w:szCs w:val="18"/>
          <w:color w:val="auto"/>
        </w:rPr>
      </w:pPr>
    </w:p>
    <w:p>
      <w:pPr>
        <w:ind w:right="320" w:firstLine="419"/>
        <w:spacing w:after="0" w:line="282" w:lineRule="auto"/>
        <w:tabs>
          <w:tab w:leader="none" w:pos="6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Tranche 2 Advance, the Loan Parties shall have paid the Tranche 2 Facility Charge;</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20"/>
          </w:cols>
          <w:pgMar w:left="880" w:top="270" w:right="499" w:bottom="1440" w:gutter="0" w:footer="0" w:header="0"/>
        </w:sectPr>
      </w:pPr>
    </w:p>
    <w:bookmarkStart w:id="77" w:name="page78"/>
    <w:bookmarkEnd w:id="77"/>
    <w:p>
      <w:pPr>
        <w:ind w:left="660" w:hanging="241"/>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Tranche 3 Advance, the Loan Parties shall have paid the Tranche 3 Facility Charge;</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Tranche 4 Advance, the Loan Parties shall have paid the Tranche 4 Facility Charge;</w:t>
      </w:r>
    </w:p>
    <w:p>
      <w:pPr>
        <w:spacing w:after="0" w:line="117"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Advance Request shall be deemed to constitute a representation and warranty by Borrower on the relevant Advance Date as to the matters specified in subsections (b) and (c) of this Section 4.2 and as to the matters set forth in the Advance Request.</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4.3 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68" w:lineRule="exact"/>
        <w:rPr>
          <w:sz w:val="20"/>
          <w:szCs w:val="20"/>
          <w:color w:val="auto"/>
        </w:rPr>
      </w:pPr>
    </w:p>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t>4.4 Post-Closing Deliveries. The Loan Parties shall deliver the documents or satisfy the conditions, as applicable, in accordance with Schedule 4.4 hereto.</w:t>
      </w:r>
    </w:p>
    <w:p>
      <w:pPr>
        <w:spacing w:after="0" w:line="266" w:lineRule="exact"/>
        <w:rPr>
          <w:sz w:val="20"/>
          <w:szCs w:val="20"/>
          <w:color w:val="auto"/>
        </w:rPr>
      </w:pPr>
    </w:p>
    <w:p>
      <w:pPr>
        <w:ind w:right="2480" w:firstLine="2114"/>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REPRESENTATIONS AND WARRANTIES OF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represents and warrants that:</w:t>
      </w:r>
    </w:p>
    <w:p>
      <w:pPr>
        <w:ind w:firstLine="423"/>
        <w:spacing w:after="0" w:line="255" w:lineRule="auto"/>
        <w:rPr>
          <w:sz w:val="20"/>
          <w:szCs w:val="20"/>
          <w:color w:val="auto"/>
        </w:rPr>
      </w:pPr>
      <w:r>
        <w:rPr>
          <w:rFonts w:ascii="Times New Roman" w:cs="Times New Roman" w:eastAsia="Times New Roman" w:hAnsi="Times New Roman"/>
          <w:sz w:val="18"/>
          <w:szCs w:val="18"/>
          <w:color w:val="auto"/>
        </w:rPr>
        <w:t>5.1 Organizational Status. Each Loan Party is a corporation or limited liability company, as applicable, duly organized, legally existing and in good standing under the laws of its jurisdiction of organization, and is duly qualified as a foreign corporation, limited liability company or partnership, as the case may be, in all jurisdictions in which the nature of its business or location of its properties require such qualifications and where the failure to be qualified could reasonably be expected to have a Material Adverse Effect. Each Loan Party’s present name, former names (if any), locations, place of formation, tax identification number, organizational identification number and other information are correctly set forth in Exhibit B, as may be updated by Borrower in a written notice (including any Compliance Certificate) provided to Agent after the Closing Date in accordance with this Agreement.</w:t>
      </w:r>
    </w:p>
    <w:p>
      <w:pPr>
        <w:spacing w:after="0" w:line="81" w:lineRule="exact"/>
        <w:rPr>
          <w:sz w:val="20"/>
          <w:szCs w:val="20"/>
          <w:color w:val="auto"/>
        </w:rPr>
      </w:pPr>
    </w:p>
    <w:p>
      <w:pPr>
        <w:ind w:right="140" w:firstLine="423"/>
        <w:spacing w:after="0" w:line="266" w:lineRule="auto"/>
        <w:rPr>
          <w:sz w:val="20"/>
          <w:szCs w:val="20"/>
          <w:color w:val="auto"/>
        </w:rPr>
      </w:pPr>
      <w:r>
        <w:rPr>
          <w:rFonts w:ascii="Times New Roman" w:cs="Times New Roman" w:eastAsia="Times New Roman" w:hAnsi="Times New Roman"/>
          <w:sz w:val="18"/>
          <w:szCs w:val="18"/>
          <w:color w:val="auto"/>
        </w:rPr>
        <w:t>5.2 Collateral. Each Loan Party owns the Collateral and the Current Company IP (other than any in-licensed Intellectual Property), free of all Liens, except for Permitted Liens. Each Loan Party has the power and authority to grant to Agent a Lien in the Collateral as security for the Secured Obligations.</w:t>
      </w:r>
    </w:p>
    <w:p>
      <w:pPr>
        <w:spacing w:after="0" w:line="68"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5.3 Consents. Each Loan Party’s execution, delivery and performance of this Agreement and all other Loan Documents to which it is party, and Borrower’s execution of the Warrants, (i) have been duly authorized by all necessary action in accordance with such Loan Party’s Organizational Documents and applicable law, (ii) will not result in the creation or imposition of any Lien upon the Collateral, other than Permitted Liens, (iii) do not violate (A) any provisions of such Loan Party’s Organizational Documents, or (B) any law, regulation, order, injunction, judgment, decree or writ to which Borrower is subject, and (iv) except as described on Schedule 5.3, do not violate any Material Agreement or require the consent or approval of any other Person which has not already been obtained. The individual or individuals executing the Loan Documents on behalf of each Loan Party and the Warrants on behalf of Borrower are duly authorized to do so.</w:t>
      </w:r>
    </w:p>
    <w:p>
      <w:pPr>
        <w:spacing w:after="0" w:line="1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00"/>
          </w:cols>
          <w:pgMar w:left="880" w:top="270" w:right="519" w:bottom="1440" w:gutter="0" w:footer="0" w:header="0"/>
        </w:sectPr>
      </w:pPr>
    </w:p>
    <w:bookmarkStart w:id="78" w:name="page79"/>
    <w:bookmarkEnd w:id="78"/>
    <w:p>
      <w:pPr>
        <w:ind w:left="4"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5.4 Material Adverse Effect. Since December 31, 2021, no event that has had or could reasonably be expected to have a Material Adverse Effect has occurred and is continuing, and no Loan Party is aware of any event or circumstance likely to occur that is reasonably expected to result in a Material Adverse Effect.</w:t>
      </w:r>
    </w:p>
    <w:p>
      <w:pPr>
        <w:spacing w:after="0" w:line="68" w:lineRule="exact"/>
        <w:rPr>
          <w:sz w:val="20"/>
          <w:szCs w:val="20"/>
          <w:color w:val="auto"/>
        </w:rPr>
      </w:pPr>
    </w:p>
    <w:p>
      <w:pPr>
        <w:ind w:left="4" w:right="660" w:firstLine="423"/>
        <w:spacing w:after="0" w:line="266" w:lineRule="auto"/>
        <w:rPr>
          <w:sz w:val="20"/>
          <w:szCs w:val="20"/>
          <w:color w:val="auto"/>
        </w:rPr>
      </w:pPr>
      <w:r>
        <w:rPr>
          <w:rFonts w:ascii="Times New Roman" w:cs="Times New Roman" w:eastAsia="Times New Roman" w:hAnsi="Times New Roman"/>
          <w:sz w:val="18"/>
          <w:szCs w:val="18"/>
          <w:color w:val="auto"/>
        </w:rPr>
        <w:t>5.5 Actions Before Governmental Authorities. There are no actions, suits or proceedings at law or in equity or by or before any governmental authority now pending or, to the knowledge of any Loan Party, threatened in writing against or affecting a Loan Party or its property, that is reasonably expected to result in a Material Adverse Effect.</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5.6 Laws.</w:t>
      </w:r>
    </w:p>
    <w:p>
      <w:pPr>
        <w:spacing w:after="0" w:line="117" w:lineRule="exact"/>
        <w:rPr>
          <w:sz w:val="20"/>
          <w:szCs w:val="20"/>
          <w:color w:val="auto"/>
        </w:rPr>
      </w:pPr>
    </w:p>
    <w:p>
      <w:pPr>
        <w:ind w:left="4" w:firstLine="419"/>
        <w:spacing w:after="0" w:line="272" w:lineRule="auto"/>
        <w:tabs>
          <w:tab w:leader="none" w:pos="67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under any (i) agreement or instrument evidencing Material Indebtedness to which it is a party or by which it is bound,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Agreement or (iii) any other agreement to which default is reasonably expected to result in a Material Adverse Effect.</w:t>
      </w:r>
    </w:p>
    <w:p>
      <w:pPr>
        <w:spacing w:after="0" w:line="98" w:lineRule="exact"/>
        <w:rPr>
          <w:rFonts w:ascii="Times New Roman" w:cs="Times New Roman" w:eastAsia="Times New Roman" w:hAnsi="Times New Roman"/>
          <w:sz w:val="18"/>
          <w:szCs w:val="18"/>
          <w:color w:val="auto"/>
        </w:rPr>
      </w:pPr>
    </w:p>
    <w:p>
      <w:pPr>
        <w:ind w:left="4" w:right="60" w:firstLine="419"/>
        <w:spacing w:after="0" w:line="253" w:lineRule="auto"/>
        <w:tabs>
          <w:tab w:leader="none" w:pos="6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86"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any of its Subsidiaries, or, to Borrower’s knowledge,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70" w:right="459" w:bottom="1440" w:gutter="0" w:footer="0" w:header="0"/>
        </w:sectPr>
      </w:pPr>
    </w:p>
    <w:bookmarkStart w:id="79" w:name="page80"/>
    <w:bookmarkEnd w:id="7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bribery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68" w:lineRule="exact"/>
        <w:rPr>
          <w:sz w:val="20"/>
          <w:szCs w:val="20"/>
          <w:color w:val="auto"/>
        </w:rPr>
      </w:pPr>
    </w:p>
    <w:p>
      <w:pPr>
        <w:ind w:right="40" w:firstLine="423"/>
        <w:spacing w:after="0" w:line="253" w:lineRule="auto"/>
        <w:rPr>
          <w:sz w:val="20"/>
          <w:szCs w:val="20"/>
          <w:color w:val="auto"/>
        </w:rPr>
      </w:pPr>
      <w:r>
        <w:rPr>
          <w:rFonts w:ascii="Times New Roman" w:cs="Times New Roman" w:eastAsia="Times New Roman" w:hAnsi="Times New Roman"/>
          <w:sz w:val="18"/>
          <w:szCs w:val="18"/>
          <w:color w:val="auto"/>
        </w:rPr>
        <w:t>5.7 Information Correct and Current. No information, report, Advance Request, financial statement, exhibit or schedule furnished (in each case, other than forecasts, projections and other forward looking statements and information), by or on behalf of any Loan Party to Agent in connection with any Loan Document or included therein or delivered pursuant thereto contained, or, when taken as a whole, contains any material misstatement of fact or, when taken together with all other such information or documents, omitted or omits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forecasts or forward-looking statements provided by any Loan Party to Agent, whether prior to or after the Closing Date, shall be (i) provided in good faith and based on the most current data and information available to such Loan Party, and (ii) the most current of such projections provided to such Loan Party’s Board (it being understood that such matters are subject to significant uncertainties and contingencies, many of which are beyond the control of Borrower, that no assurance is given that any particular matters will be realized and that actual results may differ).</w:t>
      </w:r>
    </w:p>
    <w:p>
      <w:pPr>
        <w:spacing w:after="0" w:line="86"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t>5.8 Tax Matters. Except as described on Schedule 5.8 or in the most recently delivered Compliance Certificate in accordance with Section 7.1(d) (provided that such disclosure made in such Compliance Certificate shall not apply to a period covered by a prior Compliance Certificate and shall not cure any default arising from any false or misleading misrepresentations and warranties when made or when deemed made),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in the case of clause (a) and this clause (b), that relate to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80"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5.9 Intellectual Property Claims. Each Loan Party is the sole owner of, or otherwise has the right to use, the Intellectual Property material to such Loan Party’s business. Except as described on Schedule 5.9 and as may be updated by Borrower in a written notice (including any Compliance Certificate) provided from time to time after the Closing Date, (i) each of the material Copyrights, Trademarks and Patents (other than patent applications) is valid and enforceable, (ii) no material part of the Intellectual Property has been judged invalid or unenforceable, in whole or in part, and (iii) except as set forth in the most recently delivered Compliance Certificate in accordance with Section 7.1(d), no claim has been made in writing to any Loan Party that any material part of the Intellectual Property violates the rights of any third party. Exhibit C (and as may be updated by Borrower in a written notice provided from time to time after the Closing Date) is a true, correct and complete list of each of each Loan Party’s registered Patents and filed Patent applications, registered Trademarks, registered Copyrights, and Material Agreements under which such Loan Party licenses Intellectual Property from third parties (other than shrink-wrap software licenses, licenses that are commercially available to the public, open source licenses, licenses disclosed in writing to Agent as required under this Agreement and immaterial Intellectual</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0"/>
          </w:cols>
          <w:pgMar w:left="880" w:top="270" w:right="459" w:bottom="1440" w:gutter="0" w:footer="0" w:header="0"/>
        </w:sectPr>
      </w:pPr>
    </w:p>
    <w:bookmarkStart w:id="80" w:name="page81"/>
    <w:bookmarkEnd w:id="80"/>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licensed to Borrower in the ordinary course of business), together with application or registration numbers, as applicable, owned by such Loan Party or any Subsidiary, in each case as of the Closing Date. No Loan Party is in material breach of, nor has any Loan Party failed to perform any material obligations under, any of the foregoing contracts, licenses or agreements and, to each Loan Party’s knowledge, no third party to any such contract, license or agreement is in material breach thereof or has failed to perform any material obligations thereunder.</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5.10 Intellectual Property.</w:t>
      </w:r>
    </w:p>
    <w:p>
      <w:pPr>
        <w:spacing w:after="0" w:line="117" w:lineRule="exact"/>
        <w:rPr>
          <w:sz w:val="20"/>
          <w:szCs w:val="20"/>
          <w:color w:val="auto"/>
        </w:rPr>
      </w:pPr>
    </w:p>
    <w:p>
      <w:pPr>
        <w:ind w:right="140" w:firstLine="419"/>
        <w:spacing w:after="0" w:line="266" w:lineRule="auto"/>
        <w:tabs>
          <w:tab w:leader="none" w:pos="66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true, correct and complete list of each pending, registered or in-licensed Intellectual Property that, individually or taken together with any other such Intellectual Property, is material to the business of Borrower and its Subsidiaries, taken as a whole, relating to the research, development, manufacture, production, use, commercialization, marketing, importing, storage, transport, offer for sale, distribution or sale of the Products, and is owned or co-owned by or exclusively licensed to Borrower or any of its Subsidiaries (collectively, the “Current Company IP”), including its name/title, current owner or co-owners (including ownership interest), registration, patent or application number, and registration or application date, issued or filed in the United States of America, is set forth on Schedule 5.10(a) or in the most recently delivered Compliance Certificate in accordance with Section 7.1(d) (provided that such disclosure made in such Compliance Certificate shall not apply to a period covered by a prior Compliance Certificate and shall not cure any default arising from any false or misleading misrepresentations and warranties when made or when deemed made). Except as set forth on Schedule 5.10(a), (i) (A) each item of owned Current Company IP is valid, subsisting and (other than with respect to Patent applications)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and (ii) (A) each such item of Current Company IP which is exclusively licensed from another Person is valid, subsisting and enforceable and no such item of Current Company IP has lapsed, expired, been canceled or invalidated, or become abandoned or unenforceable, and (B) no written notice has been received challenging the inventorship or ownership, or relating to any lapse, expiration, invalidation, abandonment or unenforceability, of any such item of Current Company IP. To the knowledge of any Loan Party, there are no published Patents, Patent applications, articles or prior art references that would reasonably be expected to materially adversely affect the exploitation of the Products. Except as set forth on Schedule</w:t>
      </w:r>
    </w:p>
    <w:p>
      <w:pPr>
        <w:spacing w:after="0" w:line="7"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5.10(a) or in the most recently delivered Compliance Certificate in accordance with Section 7.1(d) (provided that such disclosure made in such Compliance Certificate shall not apply to a period covered by a prior Compliance Certificate and shall not cure any default arising from any false or misleading misrepresentations and warranties when made or when deemed made), (x) each Person who has or has had any rights in or to owned Current Company IP or any trade secrets owned by Borrower or any of its Subsidiaries, including each inventor named on the Patents within such owned Current Company IP filed by Borrower or any of its Subsidiaries has executed an agreement assigning his, her or its entire right, title and interest in and to such owned Current Company IP and such trade secrets, and the inventions, improvements, discoveries, writings, works of authorship, information and other intellectual property embodied, described or claimed therein, to the stated owner thereof, and (y) no such Person has any contractual or other obligation that would preclude or conflict with such assignment or the exploitation of the Products or entitle such Person to ongoing payments.</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70" w:right="459" w:bottom="1440" w:gutter="0" w:footer="0" w:header="0"/>
        </w:sectPr>
      </w:pPr>
    </w:p>
    <w:bookmarkStart w:id="81" w:name="page82"/>
    <w:bookmarkEnd w:id="81"/>
    <w:p>
      <w:pPr>
        <w:ind w:right="100" w:firstLine="419"/>
        <w:spacing w:after="0" w:line="282" w:lineRule="auto"/>
        <w:tabs>
          <w:tab w:leader="none" w:pos="6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Borrower or any of its Subsidiaries possesses valid title to the Current Company IP for which it is listed as the owner or co-owner, as applicable, on Schedule 5.10(a); and (ii) there are no Liens on any Current Company IP (other than Permitted Liens).</w:t>
      </w:r>
    </w:p>
    <w:p>
      <w:pPr>
        <w:spacing w:after="0" w:line="53" w:lineRule="exact"/>
        <w:rPr>
          <w:rFonts w:ascii="Times New Roman" w:cs="Times New Roman" w:eastAsia="Times New Roman" w:hAnsi="Times New Roman"/>
          <w:sz w:val="18"/>
          <w:szCs w:val="18"/>
          <w:color w:val="auto"/>
        </w:rPr>
      </w:pPr>
    </w:p>
    <w:p>
      <w:pPr>
        <w:ind w:right="220" w:firstLine="419"/>
        <w:spacing w:after="0" w:line="258" w:lineRule="auto"/>
        <w:tabs>
          <w:tab w:leader="none" w:pos="6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maintenance, annuity or renewal fees that are currently overdue beyond their allotted grace period for any of the Current Company IP which is owned or exclusively licensed to Borrower or any of its Subsidiaries, nor have any applications or registrations therefore lapsed or become abandoned, been cancelled or expired. There are no material maintenance, annuity or renewal fees that are currently overdue beyond their allotted grace period for any of the Current Company IP which is non-exclusively licensed to Borrower or any of its Subsidiaries, nor have any applications or registrations therefor lapsed or become abandoned, been canceled or expired.</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unpaid fees or royalties under any Material Agreements that have become due, or are expected to become overdue.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Except as set forth on Schedule 5.10(d), neither Borrower nor any of its Subsidiaries, as applicable, is in breach of or default in any manner that could reasonably be expected to materially affect the Products under any Material Agreement to which it is a party or may otherwise be bound, and to the knowledge of each Loan Party no circumstances or grounds exist that would give rise to a claim of breach or right of rescission, termination, non-renewal, revision or amendment of any of the Material Agreements, including the execution, delivery and performance of this Agreement and the other Loan Documents.</w:t>
      </w:r>
    </w:p>
    <w:p>
      <w:pPr>
        <w:spacing w:after="0" w:line="83" w:lineRule="exact"/>
        <w:rPr>
          <w:rFonts w:ascii="Times New Roman" w:cs="Times New Roman" w:eastAsia="Times New Roman" w:hAnsi="Times New Roman"/>
          <w:sz w:val="18"/>
          <w:szCs w:val="18"/>
          <w:color w:val="auto"/>
        </w:rPr>
      </w:pPr>
    </w:p>
    <w:p>
      <w:pPr>
        <w:ind w:right="200" w:firstLine="419"/>
        <w:spacing w:after="0" w:line="266" w:lineRule="auto"/>
        <w:tabs>
          <w:tab w:leader="none" w:pos="6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by Borrower or any of its Subsidiaries are due to any other Person in respect of the Current Company IP, other than pursuant to the Material Agreements and those fees payable to patent offices in connection with the prosecution and maintenance of the Current Company IP, any applicable taxes and associated attorney fees.</w:t>
      </w:r>
    </w:p>
    <w:p>
      <w:pPr>
        <w:spacing w:after="0" w:line="67" w:lineRule="exact"/>
        <w:rPr>
          <w:rFonts w:ascii="Times New Roman" w:cs="Times New Roman" w:eastAsia="Times New Roman" w:hAnsi="Times New Roman"/>
          <w:sz w:val="18"/>
          <w:szCs w:val="18"/>
          <w:color w:val="auto"/>
        </w:rPr>
      </w:pPr>
    </w:p>
    <w:p>
      <w:pPr>
        <w:ind w:right="20" w:firstLine="419"/>
        <w:spacing w:after="0" w:line="258"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has undertaken or omitted to undertake any acts, and to the knowledge of each Loan Party no circumstance or grounds exist that would invalidate or reduce, in whole or in part, the enforceability or scope of (i) the Current Company IP in any manner that could reasonably be expected to materially adversely affect the Products, or (ii) in the case of Current Company IP owned or co-owned or exclusively or non-exclusively licensed by Borrower or any of its Subsidiaries, except as set forth on Schedule 5.10(f), Borrower’s or Subsidiary’s entitlement to own or license and exploit such Current Company IP.</w:t>
      </w:r>
    </w:p>
    <w:p>
      <w:pPr>
        <w:spacing w:after="0" w:line="75"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on Schedule 5.9 or in the most recently delivered Compliance Certificate in accordance with Section 7.1(d),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 Subsidiaries (collectively referred to hereinafter as “Specified Disputes”), nor to the knowledge of any Loan Party, has any such Specified Dispute been threatened in writing, in each case challenging the legality, validity, enforceability or ownership of any Current Company IP, in each case that would have a material adverse effect on the Products.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82" w:name="page83"/>
    <w:bookmarkEnd w:id="82"/>
    <w:p>
      <w:pPr>
        <w:ind w:right="340" w:firstLine="419"/>
        <w:spacing w:after="0" w:line="282" w:lineRule="auto"/>
        <w:tabs>
          <w:tab w:leader="none" w:pos="6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where an issued Patent within the Current Company IP is owned or co-owned by Borrower or any of its Subsidiaries by assignment, the assignment has been duly recorded with the U.S. Patent and Trademark Office.</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5.10(i) or in the most recently delivered Compliance Certificate in accordance with Section 7.1(d) (provided that such disclosure made in such Compliance Certificate shall not apply to a period covered by a prior Compliance Certificate and shall not cure any default arising from any false or misleading misrepresentations and warranties when made or when deemed made), there are no pending or, to the knowledge of any Loan Party, threatened (in writing) claims against Borrower or any of its Subsidiaries alleging (i) that any research, development, manufacture, production, use, commercialization, marketing, importing, storage, transport, offer for sale, distribution or sale of the Products in the United States of America infringes or violates (or in the past infringed or violated) the rights of any third parties in or to any Intellectual Property (“Third Party IP”) or constitutes a misappropriation of (or in the past constituted a misappropriation of) any Third Party IP, or (ii) that any Current Company IP is invalid or unenforceable.</w:t>
      </w:r>
    </w:p>
    <w:p>
      <w:pPr>
        <w:spacing w:after="0" w:line="83" w:lineRule="exact"/>
        <w:rPr>
          <w:rFonts w:ascii="Times New Roman" w:cs="Times New Roman" w:eastAsia="Times New Roman" w:hAnsi="Times New Roman"/>
          <w:sz w:val="18"/>
          <w:szCs w:val="18"/>
          <w:color w:val="auto"/>
        </w:rPr>
      </w:pPr>
    </w:p>
    <w:p>
      <w:pPr>
        <w:ind w:right="180" w:firstLine="419"/>
        <w:spacing w:after="0" w:line="266" w:lineRule="auto"/>
        <w:tabs>
          <w:tab w:leader="none" w:pos="6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5.10(j), the manufacture, production, use, commercialization, marketing, importing, storage, transport, offer for sale, distribution or sale of the Products does not, to the knowledge of any Loan Party, infringe or violate any issued or registered Third Party IP (including any issued Patent within the Third Party IP) or constitute a misappropriation of any Third Party IP.</w:t>
      </w:r>
    </w:p>
    <w:p>
      <w:pPr>
        <w:spacing w:after="0" w:line="67" w:lineRule="exact"/>
        <w:rPr>
          <w:rFonts w:ascii="Times New Roman" w:cs="Times New Roman" w:eastAsia="Times New Roman" w:hAnsi="Times New Roman"/>
          <w:sz w:val="18"/>
          <w:szCs w:val="18"/>
          <w:color w:val="auto"/>
        </w:rPr>
      </w:pPr>
    </w:p>
    <w:p>
      <w:pPr>
        <w:ind w:right="40" w:firstLine="419"/>
        <w:spacing w:after="0" w:line="261" w:lineRule="auto"/>
        <w:tabs>
          <w:tab w:leader="none" w:pos="6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5.10(k), there are no settlements, covenants not to sue, consents, judgments, orders or similar obligations which: (i) restrict the rights of Borrower or any of its Subsidiaries to use any Intellectual Property relating to the research, development, manufacture, production, use, commercialization, marketing, importing, storage, transport, offer for sale, distribution or sale of the Products (in order to accommodate any Third Party IP or otherwise), or (ii) permit any third parties to use any Company IP.</w:t>
      </w:r>
    </w:p>
    <w:p>
      <w:pPr>
        <w:spacing w:after="0" w:line="71" w:lineRule="exact"/>
        <w:rPr>
          <w:rFonts w:ascii="Times New Roman" w:cs="Times New Roman" w:eastAsia="Times New Roman" w:hAnsi="Times New Roman"/>
          <w:sz w:val="18"/>
          <w:szCs w:val="18"/>
          <w:color w:val="auto"/>
        </w:rPr>
      </w:pPr>
    </w:p>
    <w:p>
      <w:pPr>
        <w:ind w:right="40" w:firstLine="419"/>
        <w:spacing w:after="0" w:line="282" w:lineRule="auto"/>
        <w:tabs>
          <w:tab w:leader="none" w:pos="6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5.10(l), to the knowledge of any Loan Party (i) there is no infringement or violation by any Person of any of the Company IP or the rights therein, and (ii) there is no misappropriation by any Person of any Company IP or the subject matter thereof.</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7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have taken all commercially reasonable measures customary in the biopharmaceutical industry to protect the confidentiality and value of all trade secrets owned by Borrower or any of its Subsidiaries or used or held for use by Borrower or any of its Subsidiaries, in each case relating to the research, development, manufacture, production, use, commercialization, marketing, importing, storage, transport, offer for sale, distribution or sale of the Products.</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460" w:firstLine="419"/>
        <w:spacing w:after="0" w:line="312" w:lineRule="auto"/>
        <w:tabs>
          <w:tab w:leader="none" w:pos="67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described on Schedule 5.10(o), each Loan Party has all material rights with respect to Intellectual Property necessary or material in the operation or conduct of such Loan Party’s business as currently conducted and proposed to be conducted by such Loan Party.</w:t>
      </w:r>
    </w:p>
    <w:p>
      <w:pPr>
        <w:spacing w:after="0" w:line="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83" w:name="page84"/>
    <w:bookmarkEnd w:id="8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foregoing, and in the case of Licenses, except for restrictions that are unenforceable under Division 9 of the UCC, each Loan Party has the right, to the extent required to operate such Loan Party’s business, to freely transfer, license or assign Intellectual Property owned by such Loan Party and necessary or material in the operation or conduct of such Loan Party’s business as currently conducted and proposed to be conducted by such Loan Party, without condition, restriction or payment of any kind (other than license payments in the ordinary course of business) to any third party. Each Loan Party owns or has the right to use, pursuant to valid licenses, all software development tools, library functions, compilers and all other third-party software and other items that are material to such Loan Party’s business and used in the design, development, promotion, sale, license, manufacture, import, export, use or distribution of Products that are material to such Loan Party’s business, in each case, except customary covenants in inbound license agreements and equipment leases where such Loan Party is the licensee or lessee.</w:t>
      </w:r>
    </w:p>
    <w:p>
      <w:pPr>
        <w:spacing w:after="0" w:line="80" w:lineRule="exact"/>
        <w:rPr>
          <w:sz w:val="20"/>
          <w:szCs w:val="20"/>
          <w:color w:val="auto"/>
        </w:rPr>
      </w:pPr>
    </w:p>
    <w:p>
      <w:pPr>
        <w:ind w:left="4" w:right="20" w:firstLine="419"/>
        <w:spacing w:after="0" w:line="258" w:lineRule="auto"/>
        <w:tabs>
          <w:tab w:leader="none" w:pos="6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software or other materials used by any Loan Party or any of their Subsidiaries (or used in any Products) are subject to an open-source or similar license (including but not limited to the General Public License, Lesser General Public License, Mozilla Public License, or Affero License)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requires disclosure or distribution in source code form.</w:t>
      </w:r>
    </w:p>
    <w:p>
      <w:pPr>
        <w:spacing w:after="0" w:line="75" w:lineRule="exact"/>
        <w:rPr>
          <w:sz w:val="20"/>
          <w:szCs w:val="20"/>
          <w:color w:val="auto"/>
        </w:rPr>
      </w:pPr>
    </w:p>
    <w:p>
      <w:pPr>
        <w:ind w:left="4" w:right="40" w:firstLine="423"/>
        <w:spacing w:after="0" w:line="266" w:lineRule="auto"/>
        <w:rPr>
          <w:sz w:val="20"/>
          <w:szCs w:val="20"/>
          <w:color w:val="auto"/>
        </w:rPr>
      </w:pPr>
      <w:r>
        <w:rPr>
          <w:rFonts w:ascii="Times New Roman" w:cs="Times New Roman" w:eastAsia="Times New Roman" w:hAnsi="Times New Roman"/>
          <w:sz w:val="18"/>
          <w:szCs w:val="18"/>
          <w:color w:val="auto"/>
        </w:rPr>
        <w:t>5.11 Products. Except as set forth on Schedule 5.11, at the time of any shipment of Products in the United States of America occurring prior to the Closing Date, the units thereof so shipped complied with their relevant specifications and were manufactured in all material respects in accordance with the current FDA Good Manufacturing Practices.</w:t>
      </w:r>
    </w:p>
    <w:p>
      <w:pPr>
        <w:spacing w:after="0" w:line="68" w:lineRule="exact"/>
        <w:rPr>
          <w:sz w:val="20"/>
          <w:szCs w:val="20"/>
          <w:color w:val="auto"/>
        </w:rPr>
      </w:pPr>
    </w:p>
    <w:p>
      <w:pPr>
        <w:ind w:left="4" w:right="140" w:firstLine="423"/>
        <w:spacing w:after="0" w:line="276" w:lineRule="auto"/>
        <w:rPr>
          <w:sz w:val="20"/>
          <w:szCs w:val="20"/>
          <w:color w:val="auto"/>
        </w:rPr>
      </w:pPr>
      <w:r>
        <w:rPr>
          <w:rFonts w:ascii="Times New Roman" w:cs="Times New Roman" w:eastAsia="Times New Roman" w:hAnsi="Times New Roman"/>
          <w:sz w:val="17"/>
          <w:szCs w:val="17"/>
          <w:color w:val="auto"/>
        </w:rPr>
        <w:t>5.12 Financial Accounts. Exhibit D, as may be updated by Borrower in a written notice provided to Agent after the Closing Date, is a true, correct and complete list of (a) all banks and other financial institutions at which Borrower or any Subsidiary maintains Deposit Accounts and</w:t>
      </w:r>
    </w:p>
    <w:p>
      <w:pPr>
        <w:spacing w:after="0" w:line="1" w:lineRule="exact"/>
        <w:rPr>
          <w:sz w:val="20"/>
          <w:szCs w:val="20"/>
          <w:color w:val="auto"/>
        </w:rPr>
      </w:pPr>
    </w:p>
    <w:p>
      <w:pPr>
        <w:jc w:val="both"/>
        <w:ind w:left="4" w:right="160" w:hanging="4"/>
        <w:spacing w:after="0" w:line="255" w:lineRule="auto"/>
        <w:tabs>
          <w:tab w:leader="none" w:pos="2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78" w:lineRule="exact"/>
        <w:rPr>
          <w:sz w:val="20"/>
          <w:szCs w:val="20"/>
          <w:color w:val="auto"/>
        </w:rPr>
      </w:pPr>
    </w:p>
    <w:p>
      <w:pPr>
        <w:ind w:left="4" w:right="160" w:firstLine="423"/>
        <w:spacing w:after="0" w:line="266" w:lineRule="auto"/>
        <w:rPr>
          <w:sz w:val="20"/>
          <w:szCs w:val="20"/>
          <w:color w:val="auto"/>
        </w:rPr>
      </w:pPr>
      <w:r>
        <w:rPr>
          <w:rFonts w:ascii="Times New Roman" w:cs="Times New Roman" w:eastAsia="Times New Roman" w:hAnsi="Times New Roman"/>
          <w:sz w:val="18"/>
          <w:szCs w:val="18"/>
          <w:color w:val="auto"/>
        </w:rPr>
        <w:t>5.13 Employee Loans. Except for Permitted Investments, no Loan Party has outstanding loans to any employee, officer or director of such Loan Party nor has any Loan Party guaranteed the payment of any loan made to an employee, officer or director of such Loan Party by a third party.</w:t>
      </w:r>
    </w:p>
    <w:p>
      <w:pPr>
        <w:spacing w:after="0" w:line="68" w:lineRule="exact"/>
        <w:rPr>
          <w:sz w:val="20"/>
          <w:szCs w:val="20"/>
          <w:color w:val="auto"/>
        </w:rPr>
      </w:pPr>
    </w:p>
    <w:p>
      <w:pPr>
        <w:ind w:left="4" w:right="60" w:firstLine="423"/>
        <w:spacing w:after="0" w:line="261" w:lineRule="auto"/>
        <w:rPr>
          <w:sz w:val="20"/>
          <w:szCs w:val="20"/>
          <w:color w:val="auto"/>
        </w:rPr>
      </w:pPr>
      <w:r>
        <w:rPr>
          <w:rFonts w:ascii="Times New Roman" w:cs="Times New Roman" w:eastAsia="Times New Roman" w:hAnsi="Times New Roman"/>
          <w:sz w:val="18"/>
          <w:szCs w:val="18"/>
          <w:color w:val="auto"/>
        </w:rPr>
        <w:t>5.14 Capitalization and Subsidiaries. The capitalization of each Subsidiary as of the Closing Date is set forth on Schedule 5.14 annexed hereto. No Loan Party owns any stock, partnership interest or other securities of any Person, except for Permitted Investments. Attached as Schedule 5.14, as may be updated by the Loan Parties in a written notice provided after the Closing Date (including any Compliance Certificate), is a true, correct and complete list of each Subsidiary.</w:t>
      </w:r>
    </w:p>
    <w:p>
      <w:pPr>
        <w:spacing w:after="0" w:line="112"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24"/>
          </w:cols>
          <w:pgMar w:left="876" w:top="270" w:right="499" w:bottom="1440" w:gutter="0" w:footer="0" w:header="0"/>
        </w:sectPr>
      </w:pPr>
    </w:p>
    <w:bookmarkStart w:id="84" w:name="page85"/>
    <w:bookmarkEnd w:id="84"/>
    <w:p>
      <w:pPr>
        <w:ind w:left="3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b w:val="1"/>
          <w:bCs w:val="1"/>
          <w:u w:val="single" w:color="auto"/>
          <w:color w:val="auto"/>
        </w:rPr>
        <w:t>INSURANCE; INDEMNIFICATION</w:t>
      </w:r>
    </w:p>
    <w:p>
      <w:pPr>
        <w:spacing w:after="0" w:line="229" w:lineRule="exact"/>
        <w:rPr>
          <w:sz w:val="20"/>
          <w:szCs w:val="20"/>
          <w:color w:val="auto"/>
        </w:rPr>
      </w:pPr>
    </w:p>
    <w:p>
      <w:pPr>
        <w:ind w:right="40" w:firstLine="423"/>
        <w:spacing w:after="0" w:line="252" w:lineRule="auto"/>
        <w:rPr>
          <w:sz w:val="20"/>
          <w:szCs w:val="20"/>
          <w:color w:val="auto"/>
        </w:rPr>
      </w:pPr>
      <w:r>
        <w:rPr>
          <w:rFonts w:ascii="Times New Roman" w:cs="Times New Roman" w:eastAsia="Times New Roman" w:hAnsi="Times New Roman"/>
          <w:sz w:val="18"/>
          <w:szCs w:val="18"/>
          <w:color w:val="auto"/>
        </w:rPr>
        <w:t>6.1 Coverage. Borrower shall cause to be carried and maintained commercial general liability insurance covering Borrower and each of its Subsidiaries,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$1,000,000 of commercial general liability insurance for each occurrence. Borrower has and agrees to maintain a minimum of $2,000,000 of directors’ and officers’ insurance for each occurrence and $5,000,000 in the aggregate. So long as there are any Secured Obligations outstanding, but subject to the post-Closing period set forth in Section 4.4,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6.2 Certificates. Borrower shall deliver to Agent certificates of insurance that evidence compliance with its insurance obligations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6.1 (subject to Section 4.4) and the obligations contained in this Section 6.2. Borrower’s insurance certificate shall reflect Agent (shown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“Hercules Capital, Inc., as Agent”, and its successors and/or assigns) as an additional insured for commercial general liability, a lenders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for all risk property damage insurance, subject to the insurer’s approval, and a lenders loss payable for property insurance and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insured for any future liability insurance that Borrower may acquire from such insurer. Attached to the certificates of insurance will be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insured endorsements for liability and lender’s loss payable endorsements for all risk property damage insurance. All certificates of insurance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for a minimum of thirty (30) days’ advance written notice to Agent of cancellation (other than cancellation for non-payment of premiums,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which ten (10) days’ advance written notice shall be sufficient) or any other change adverse to Agent’s interests. Any failure of Agent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scrutinize such insurance certificates for compliance is not a waiver of any of Agent’s rights, all of which are reserved. Borrower shall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with copies of each insurance policy, and upon entering or amending any insurance policy required hereunder, Borrower shall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with copies of such policies and shall promptly deliver to Agent updated insurance certificates with respect to such policies.</w:t>
      </w:r>
    </w:p>
    <w:p>
      <w:pPr>
        <w:spacing w:after="0" w:line="99"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6.3 Indemnity. Each Loan Party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and documented out-of-pocket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80"/>
          </w:cols>
          <w:pgMar w:left="880" w:top="266" w:right="439" w:bottom="1440" w:gutter="0" w:footer="0" w:header="0"/>
        </w:sectPr>
      </w:pPr>
    </w:p>
    <w:bookmarkStart w:id="85" w:name="page86"/>
    <w:bookmarkEnd w:id="8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w:t>
      </w:r>
    </w:p>
    <w:p>
      <w:pPr>
        <w:spacing w:after="0" w:line="3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agrees as follows: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7.1 Financial Reports. Borrower shall furnish to Agent the financial statements and reports listed hereinafter (the “Financial Statements”):</w:t>
      </w:r>
    </w:p>
    <w:p>
      <w:pPr>
        <w:spacing w:after="0" w:line="117" w:lineRule="exact"/>
        <w:rPr>
          <w:sz w:val="20"/>
          <w:szCs w:val="20"/>
          <w:color w:val="auto"/>
        </w:rPr>
      </w:pPr>
    </w:p>
    <w:p>
      <w:pPr>
        <w:ind w:right="100" w:firstLine="419"/>
        <w:spacing w:after="0" w:line="281" w:lineRule="auto"/>
        <w:tabs>
          <w:tab w:leader="none" w:pos="66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thirty (30) days after the end of each month (other than the third month of any calendar quarter), a management report containing a balance sheet and related statement of income, all certified by a Responsible Officer to the effect that they have been prepared in accordance with GAAP, except (i) for the absence of footnotes, (ii) that they are subject to normal year-end or quarter-end adjustments, and (iii) they do not contain certain non-cash items or other related adjustments that are customarily included in quarterly and annual financial statements;</w:t>
      </w:r>
    </w:p>
    <w:p>
      <w:pPr>
        <w:spacing w:after="0" w:line="56" w:lineRule="exact"/>
        <w:rPr>
          <w:rFonts w:ascii="Times New Roman" w:cs="Times New Roman" w:eastAsia="Times New Roman" w:hAnsi="Times New Roman"/>
          <w:sz w:val="17"/>
          <w:szCs w:val="17"/>
          <w:color w:val="auto"/>
        </w:rPr>
      </w:pPr>
    </w:p>
    <w:p>
      <w:pPr>
        <w:ind w:firstLine="419"/>
        <w:spacing w:after="0" w:line="258"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calendar quarter, unaudited interim and year-to-date financial statements as of the end of such calendar quarter (prepared on a consolidated basis), including balance sheet and related statements of income and cash flows accompanied by a report detailing any material litigation by or against Borrower in the form attached as Exhibit K, certified by a Responsible Officer to the effect that they have been prepared in accordance with GAAP, except (i) for the absence of footnotes, and (ii) that they are subject to normal year-end adjustments;</w:t>
      </w:r>
    </w:p>
    <w:p>
      <w:pPr>
        <w:spacing w:after="0" w:line="75" w:lineRule="exact"/>
        <w:rPr>
          <w:rFonts w:ascii="Times New Roman" w:cs="Times New Roman" w:eastAsia="Times New Roman" w:hAnsi="Times New Roman"/>
          <w:sz w:val="18"/>
          <w:szCs w:val="18"/>
          <w:color w:val="auto"/>
        </w:rPr>
      </w:pPr>
    </w:p>
    <w:p>
      <w:pPr>
        <w:ind w:right="60" w:firstLine="419"/>
        <w:spacing w:after="0" w:line="256" w:lineRule="auto"/>
        <w:tabs>
          <w:tab w:leader="none" w:pos="6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after the end of each fiscal year, unqualified (other than as to going concern qualification) audited financial statements as of the end of such year (prepared on a consolidated basis),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(it being understood that PricewaterhouseCoopers LLP or any other firm of national standing is acceptable to Agent), accompanied by (i) any management report from such accountants and (ii) a report detailing any material litigation by or against Borrower in the form attached as Schedule 7.1(b);</w:t>
      </w:r>
    </w:p>
    <w:p>
      <w:pPr>
        <w:spacing w:after="0" w:line="79"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furnish to Agent concurrently with the delivery of financial statements pursuant to subsections (a), (b) and (c) of this Section 7.1, a Compliance Certificate in the form of Exhibit E;</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60"/>
          </w:cols>
          <w:pgMar w:left="880" w:top="270" w:right="459" w:bottom="1440" w:gutter="0" w:footer="0" w:header="0"/>
        </w:sectPr>
      </w:pPr>
    </w:p>
    <w:bookmarkStart w:id="86" w:name="page87"/>
    <w:bookmarkEnd w:id="86"/>
    <w:p>
      <w:pPr>
        <w:ind w:left="4" w:right="60" w:firstLine="419"/>
        <w:spacing w:after="0" w:line="261" w:lineRule="auto"/>
        <w:tabs>
          <w:tab w:leader="none" w:pos="6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the sending or filing thereof, as the case may be, copies of any proxy statements, financial statements or reports that Borrower has made available to holders of its preferred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71"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100" w:firstLine="419"/>
        <w:spacing w:after="0" w:line="312" w:lineRule="auto"/>
        <w:tabs>
          <w:tab w:leader="none" w:pos="68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and business projections within sixty (60) days following the end of Borrower’s fiscal year, as well as budgets, operating plans (which shall include T3M Net Product Revenue projections of such fiscal year) and other financial information reasonably requested by Agent;</w:t>
      </w:r>
    </w:p>
    <w:p>
      <w:pPr>
        <w:spacing w:after="0" w:line="31" w:lineRule="exact"/>
        <w:rPr>
          <w:rFonts w:ascii="Times New Roman" w:cs="Times New Roman" w:eastAsia="Times New Roman" w:hAnsi="Times New Roman"/>
          <w:sz w:val="17"/>
          <w:szCs w:val="17"/>
          <w:color w:val="auto"/>
        </w:rPr>
      </w:pPr>
    </w:p>
    <w:p>
      <w:pPr>
        <w:ind w:left="4" w:right="260" w:firstLine="419"/>
        <w:spacing w:after="0" w:line="266" w:lineRule="auto"/>
        <w:tabs>
          <w:tab w:leader="none" w:pos="6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 (and in any event within three (3) Business Days) notice if Borrower or any Subsidiary has knowledge that Borrower, or any Subsidiary or Affiliate of Borrower, is listed on the OFAC Lists or (a) is convicted on, (b) pleads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(c) is indicted on, or (d) is arraigned and held over on charges involving money laundering or predicate crimes to money laundering;</w:t>
      </w:r>
    </w:p>
    <w:p>
      <w:pPr>
        <w:spacing w:after="0" w:line="67" w:lineRule="exact"/>
        <w:rPr>
          <w:rFonts w:ascii="Times New Roman" w:cs="Times New Roman" w:eastAsia="Times New Roman" w:hAnsi="Times New Roman"/>
          <w:sz w:val="18"/>
          <w:szCs w:val="18"/>
          <w:color w:val="auto"/>
        </w:rPr>
      </w:pPr>
    </w:p>
    <w:p>
      <w:pPr>
        <w:ind w:left="4" w:right="840" w:firstLine="419"/>
        <w:spacing w:after="0" w:line="282" w:lineRule="auto"/>
        <w:tabs>
          <w:tab w:leader="none" w:pos="6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renewal statements, annually or otherwise promptly upon renewal of insurance policies required to be maintained in accordance with Section 6.1; and</w:t>
      </w:r>
    </w:p>
    <w:p>
      <w:pPr>
        <w:spacing w:after="0" w:line="53" w:lineRule="exact"/>
        <w:rPr>
          <w:rFonts w:ascii="Times New Roman" w:cs="Times New Roman" w:eastAsia="Times New Roman" w:hAnsi="Times New Roman"/>
          <w:sz w:val="18"/>
          <w:szCs w:val="18"/>
          <w:color w:val="auto"/>
        </w:rPr>
      </w:pPr>
    </w:p>
    <w:p>
      <w:pPr>
        <w:ind w:left="4" w:right="480" w:firstLine="419"/>
        <w:spacing w:after="0" w:line="312" w:lineRule="auto"/>
        <w:tabs>
          <w:tab w:leader="none" w:pos="68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the preparation of any proposed, definitive investment policy, or upon the preparation of any update to any existing investment policy, Borrower will furnish to Agent a copy of such investment policy or such update to any existing investment policy.</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Borrower shall not (without the consent of Agent, such consent not to be unreasonably withheld or delayed), make any change in its</w:t>
      </w:r>
    </w:p>
    <w:p>
      <w:pPr>
        <w:spacing w:after="0" w:line="27" w:lineRule="exact"/>
        <w:rPr>
          <w:sz w:val="20"/>
          <w:szCs w:val="20"/>
          <w:color w:val="auto"/>
        </w:rPr>
      </w:pPr>
    </w:p>
    <w:p>
      <w:pPr>
        <w:ind w:left="4" w:hanging="4"/>
        <w:spacing w:after="0" w:line="260" w:lineRule="auto"/>
        <w:tabs>
          <w:tab w:leader="none" w:pos="2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policies or reporting practices, except as required by GAAP or pursuant to applicable securities laws or regulations of the Securities and Exchange Commission or (b) fiscal years or fiscal quarters. The fiscal year of Borrower shall end on December 31.</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executed Compliance Certificate and all Financial Statements or other information required to be delivered pursuant to clauses (a), (b),</w:t>
      </w:r>
    </w:p>
    <w:p>
      <w:pPr>
        <w:spacing w:after="0" w:line="27" w:lineRule="exact"/>
        <w:rPr>
          <w:sz w:val="20"/>
          <w:szCs w:val="20"/>
          <w:color w:val="auto"/>
        </w:rPr>
      </w:pPr>
    </w:p>
    <w:p>
      <w:pPr>
        <w:ind w:left="4" w:right="40" w:hanging="4"/>
        <w:spacing w:after="0" w:line="290" w:lineRule="auto"/>
        <w:tabs>
          <w:tab w:leader="none" w:pos="24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(d) above may be sent via e-mail to [***] with a copy to [***], [***] and [***], provided, that if e-mail is not available or sending such Financial Statements via e-mail is not possible, they shall be faxed to Agent at: [***], attention Account Manager: Madrigal Pharmaceuticals, Inc.</w:t>
      </w:r>
    </w:p>
    <w:p>
      <w:pPr>
        <w:spacing w:after="0" w:line="15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Notwithstanding the foregoing, documents required to be delivered under Sections 7.1(a), (b), (c) or (f) above (to the extent any such documents are included in materials otherwise filed with the SEC) may be delivered electronically and if so delivered, shall be deemed to have been delivered on the date on which Borrower makes such documents or materials publicly available.</w:t>
      </w:r>
    </w:p>
    <w:p>
      <w:pPr>
        <w:spacing w:after="0" w:line="68" w:lineRule="exact"/>
        <w:rPr>
          <w:sz w:val="20"/>
          <w:szCs w:val="20"/>
          <w:color w:val="auto"/>
        </w:rPr>
      </w:pPr>
    </w:p>
    <w:p>
      <w:pPr>
        <w:ind w:left="4" w:right="120" w:firstLine="423"/>
        <w:spacing w:after="0" w:line="255" w:lineRule="auto"/>
        <w:rPr>
          <w:sz w:val="20"/>
          <w:szCs w:val="20"/>
          <w:color w:val="auto"/>
        </w:rPr>
      </w:pPr>
      <w:r>
        <w:rPr>
          <w:rFonts w:ascii="Times New Roman" w:cs="Times New Roman" w:eastAsia="Times New Roman" w:hAnsi="Times New Roman"/>
          <w:sz w:val="18"/>
          <w:szCs w:val="18"/>
          <w:color w:val="auto"/>
        </w:rPr>
        <w:t xml:space="preserve">7.2 Management Rights.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at reasonable times and upon reasonable notice. In addition, Agent or the Lenders shall be entitled at reasonable times and intervals, and upon reasonable notice, to consult with and advise the management and officers of Borrower concerning significant business issues affecting Borrower.</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4"/>
          </w:cols>
          <w:pgMar w:left="876" w:top="270" w:right="459" w:bottom="1440" w:gutter="0" w:footer="0" w:header="0"/>
        </w:sectPr>
      </w:pPr>
    </w:p>
    <w:bookmarkStart w:id="87" w:name="page88"/>
    <w:bookmarkEnd w:id="87"/>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consultations shall not unreasonably interfere with Borrower’s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72" w:lineRule="exact"/>
        <w:rPr>
          <w:sz w:val="20"/>
          <w:szCs w:val="20"/>
          <w:color w:val="auto"/>
        </w:rPr>
      </w:pPr>
    </w:p>
    <w:p>
      <w:pPr>
        <w:ind w:left="4" w:firstLine="423"/>
        <w:spacing w:after="0" w:line="253" w:lineRule="auto"/>
        <w:rPr>
          <w:sz w:val="20"/>
          <w:szCs w:val="20"/>
          <w:color w:val="auto"/>
        </w:rPr>
      </w:pPr>
      <w:r>
        <w:rPr>
          <w:rFonts w:ascii="Times New Roman" w:cs="Times New Roman" w:eastAsia="Times New Roman" w:hAnsi="Times New Roman"/>
          <w:sz w:val="18"/>
          <w:szCs w:val="18"/>
          <w:color w:val="auto"/>
        </w:rPr>
        <w:t>7.3 Further Assurances. Borrower shall, and shall cause each other Loan Party to, from time to time execute, deliver and file, alone or with Agent, any financing statements, security agreements, collateral assignments, notices, control agreements, promissory notes or other documents to perfect, give the highest priority to Agent’s Lien on the Collateral (subject to Permitted Liens) or otherwise evidence Agent’s rights herein, in each case, as requested by Agent. Borrower shall from time to time procure any instruments or documents as may be reasonably requested by Agent, and take all further action that may be necessary, or that Agent may reasonably request, to perfect and protect the Liens granted hereby or pursuant to applicable Loan Documents.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without the signature of Borrower either in Agent’s name or in the name of Agent as agent and attorney-in-fact for Borrower. Borrower shall, and shall cause each other Loan Party to, reasonably protect and defend its title to the Collateral and Agent’s Lien thereon against all Persons claiming any interest adverse to Borrower or Agent other than Permitted Liens.</w:t>
      </w:r>
    </w:p>
    <w:p>
      <w:pPr>
        <w:spacing w:after="0" w:line="86" w:lineRule="exact"/>
        <w:rPr>
          <w:sz w:val="20"/>
          <w:szCs w:val="20"/>
          <w:color w:val="auto"/>
        </w:rPr>
      </w:pPr>
    </w:p>
    <w:p>
      <w:pPr>
        <w:ind w:left="4" w:right="140" w:firstLine="423"/>
        <w:spacing w:after="0" w:line="255" w:lineRule="auto"/>
        <w:rPr>
          <w:sz w:val="20"/>
          <w:szCs w:val="20"/>
          <w:color w:val="auto"/>
        </w:rPr>
      </w:pPr>
      <w:r>
        <w:rPr>
          <w:rFonts w:ascii="Times New Roman" w:cs="Times New Roman" w:eastAsia="Times New Roman" w:hAnsi="Times New Roman"/>
          <w:sz w:val="18"/>
          <w:szCs w:val="18"/>
          <w:color w:val="auto"/>
        </w:rPr>
        <w:t>7.4 Indebtedness. Borrower shall not create, incur, assume, guarantee or be or remain liable with respect to any Indebtedness, and shall not permit any Subsidiary to do so,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purchase money Indebtedness pursuant to its then applicable payment schedule,</w:t>
      </w:r>
    </w:p>
    <w:p>
      <w:pPr>
        <w:spacing w:after="0" w:line="3" w:lineRule="exact"/>
        <w:rPr>
          <w:sz w:val="20"/>
          <w:szCs w:val="20"/>
          <w:color w:val="auto"/>
        </w:rPr>
      </w:pPr>
    </w:p>
    <w:p>
      <w:pPr>
        <w:ind w:left="4" w:right="80" w:hanging="4"/>
        <w:spacing w:after="0" w:line="253" w:lineRule="auto"/>
        <w:tabs>
          <w:tab w:leader="none" w:pos="2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(i) by any Loan Party or Subsidiary of intercompany Indebtedness owed to Borrower, or (ii) by any Subsidiary that is not a Loan Party of intercompany Indebtedness owed by such Subsidiary to another Subsidiary that is not a Loan Party, (d) Indebtedness to trade creditors in the ordinary course of business, (e) refinancings or replacements of Indebtedness described in clause (xv) of the defined term “Permitted Indebtedness”, (f) Indebtedness owed under corporate credit cards to the extent constituting Permitted Indebtedness, or (g) as otherwise permitted hereunder or approved in writing by Agent.</w:t>
      </w:r>
    </w:p>
    <w:p>
      <w:pPr>
        <w:spacing w:after="0" w:line="79" w:lineRule="exact"/>
        <w:rPr>
          <w:sz w:val="20"/>
          <w:szCs w:val="20"/>
          <w:color w:val="auto"/>
        </w:rPr>
      </w:pPr>
    </w:p>
    <w:p>
      <w:pPr>
        <w:ind w:left="4" w:right="20" w:firstLine="423"/>
        <w:spacing w:after="0" w:line="254" w:lineRule="auto"/>
        <w:rPr>
          <w:sz w:val="20"/>
          <w:szCs w:val="20"/>
          <w:color w:val="auto"/>
        </w:rPr>
      </w:pPr>
      <w:r>
        <w:rPr>
          <w:rFonts w:ascii="Times New Roman" w:cs="Times New Roman" w:eastAsia="Times New Roman" w:hAnsi="Times New Roman"/>
          <w:sz w:val="18"/>
          <w:szCs w:val="18"/>
          <w:color w:val="auto"/>
        </w:rPr>
        <w:t>7.5 Collateral. Borrower shall, and shall cause each other Loan Party to, at all times keep the Collateral, the Intellectual Property and all other property and assets used in Borrower’s or any Loan Party’s business or in which Borrower or any Loan Party now or hereafter holds any interest free and clear from any Liens whatsoever (except for Permitted Liens), and shall give Agent prompt written notice of any legal process affecting the Collateral, the Intellectual Property, such other property or assets, or any Liens thereon, provided however, that the Collateral and such other property or assets may be subject to Permitted Liens. Without limiting the next sentence, Borrower shall not, and shall cause each other Loan Party not to, agree with any Person other than Agent or the Lenders not to encumber its property. Borrower shall not, and shall cause each other Loan Party not to, enter into or suffer to exist or become effective any agreement that prohibits or limits the ability of Borrower or any Loan Party to create, incur, assume or suffer to exist any Lien upon any of its property (including Intellectual Property), whether now owned or hereafter</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4"/>
          </w:cols>
          <w:pgMar w:left="876" w:top="270" w:right="459" w:bottom="1440" w:gutter="0" w:footer="0" w:header="0"/>
        </w:sectPr>
      </w:pPr>
    </w:p>
    <w:bookmarkStart w:id="88" w:name="page89"/>
    <w:bookmarkEnd w:id="8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acquired, to secure its obligations under the Loan Documents to which it is a party other than (a) this Agreement and the other Loan Documents,</w:t>
      </w:r>
    </w:p>
    <w:p>
      <w:pPr>
        <w:spacing w:after="0" w:line="27" w:lineRule="exact"/>
        <w:rPr>
          <w:sz w:val="20"/>
          <w:szCs w:val="20"/>
          <w:color w:val="auto"/>
        </w:rPr>
      </w:pPr>
    </w:p>
    <w:p>
      <w:pPr>
        <w:ind w:left="4" w:hanging="4"/>
        <w:spacing w:after="0" w:line="251" w:lineRule="auto"/>
        <w:tabs>
          <w:tab w:leader="none" w:pos="2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any agreements governing accounts described in clauses (i) and (ii) of the definition of Excluded Accounts and the assets contained therein and (e) any agreements governing Permitted Royalty Transactions so long as such prohibitions and limitations are limited solely to clause (xv) of the defined term “Permitted Liens”. Borrower and each Loan Party shall cause each of their Subsidiaries to reasonably protect and defend such Subsidiary’s title to its assets from and against all Persons claiming any interest adverse to such Subsidiary, and Borrower and each Loan Party shall cause each of their Subsidiaries at all times to keep such Subsidiary’s property and assets free and clear from any Liens whatsoever (except for Permitted Liens), and shall give Agent prompt written notice of any judicial proceeding affecting such Subsidiary’s assets to the extent such judicial proceeding is reasonably likely to result in damages, expenses or liabilities in excess of [***].</w:t>
      </w:r>
    </w:p>
    <w:p>
      <w:pPr>
        <w:spacing w:after="0" w:line="85" w:lineRule="exact"/>
        <w:rPr>
          <w:sz w:val="20"/>
          <w:szCs w:val="20"/>
          <w:color w:val="auto"/>
        </w:rPr>
      </w:pPr>
    </w:p>
    <w:p>
      <w:pPr>
        <w:ind w:left="4" w:right="180" w:firstLine="423"/>
        <w:spacing w:after="0" w:line="282" w:lineRule="auto"/>
        <w:rPr>
          <w:sz w:val="20"/>
          <w:szCs w:val="20"/>
          <w:color w:val="auto"/>
        </w:rPr>
      </w:pPr>
      <w:r>
        <w:rPr>
          <w:rFonts w:ascii="Times New Roman" w:cs="Times New Roman" w:eastAsia="Times New Roman" w:hAnsi="Times New Roman"/>
          <w:sz w:val="18"/>
          <w:szCs w:val="18"/>
          <w:color w:val="auto"/>
        </w:rPr>
        <w:t>7.6 Investments. Borrower shall not directly or indirectly acquire or own, or make any Investment in or to any Person, or permit any of its Subsidiaries to do so, other than Permitted Investments.</w:t>
      </w:r>
    </w:p>
    <w:p>
      <w:pPr>
        <w:spacing w:after="0" w:line="54" w:lineRule="exact"/>
        <w:rPr>
          <w:sz w:val="20"/>
          <w:szCs w:val="20"/>
          <w:color w:val="auto"/>
        </w:rPr>
      </w:pPr>
    </w:p>
    <w:p>
      <w:pPr>
        <w:ind w:left="4" w:right="100" w:firstLine="423"/>
        <w:spacing w:after="0" w:line="253" w:lineRule="auto"/>
        <w:rPr>
          <w:sz w:val="20"/>
          <w:szCs w:val="20"/>
          <w:color w:val="auto"/>
        </w:rPr>
      </w:pPr>
      <w:r>
        <w:rPr>
          <w:rFonts w:ascii="Times New Roman" w:cs="Times New Roman" w:eastAsia="Times New Roman" w:hAnsi="Times New Roman"/>
          <w:sz w:val="18"/>
          <w:szCs w:val="18"/>
          <w:color w:val="auto"/>
        </w:rPr>
        <w:t>7.7 Distributions. Borrower shall not, nor shall it permit any Subsidiary to, (a) repurchase or redeem any class of shares, stock or other Equity Interest other than (i) repurchases of stock of Borrower from former employees, directors, or consultants of Borrower under the terms of applicable repurchase agreements at the original issuance price of such securities in an aggregate amount not to exceed $500,000 in any fiscal year, provided that no Event of Default has occurred, is continuing or could exist after giving effect to the repurchases, or (ii) the conversion of any of its convertible securities into other securities pursuant to the terms of such convertible securities or otherwise in exchange thereof, including the delivery of the conversion consideration in connection therewith in the form of common stock of Madrigal and cash in lieu of fractional shares; (b) declare or pay any cash dividend or make a cash distribution on any class of stock or other Equity Interest, except that a Subsidiary of Borrower may pay dividends or make distributions to Borrower or a Subsidiary of Borrower; (c) except for Permitted Investments, lend money to any employees, officers or directors or guarantee the payment of any such loans granted by a third party in excess of $100,000 in the aggregate; or (d) waive, release or forgive any Indebtedness owed by any employees, officers or directors in excess of $100,000 in the aggregate.</w:t>
      </w:r>
    </w:p>
    <w:p>
      <w:pPr>
        <w:spacing w:after="0" w:line="84" w:lineRule="exact"/>
        <w:rPr>
          <w:sz w:val="20"/>
          <w:szCs w:val="20"/>
          <w:color w:val="auto"/>
        </w:rPr>
      </w:pPr>
    </w:p>
    <w:p>
      <w:pPr>
        <w:ind w:left="4" w:right="420" w:firstLine="423"/>
        <w:spacing w:after="0" w:line="266" w:lineRule="auto"/>
        <w:rPr>
          <w:sz w:val="20"/>
          <w:szCs w:val="20"/>
          <w:color w:val="auto"/>
        </w:rPr>
      </w:pPr>
      <w:r>
        <w:rPr>
          <w:rFonts w:ascii="Times New Roman" w:cs="Times New Roman" w:eastAsia="Times New Roman" w:hAnsi="Times New Roman"/>
          <w:sz w:val="18"/>
          <w:szCs w:val="18"/>
          <w:color w:val="auto"/>
        </w:rPr>
        <w:t>7.8 Transfers. Except for Permitted Transfers, Borrower shall not, and shall not permit any Subsidiary to, voluntarily or involuntarily transfer, sell, lease, license, lend or in any other manner convey any equitable, beneficial or legal interest in any material portion of its assets (including Cash).</w:t>
      </w:r>
    </w:p>
    <w:p>
      <w:pPr>
        <w:spacing w:after="0" w:line="68" w:lineRule="exact"/>
        <w:rPr>
          <w:sz w:val="20"/>
          <w:szCs w:val="20"/>
          <w:color w:val="auto"/>
        </w:rPr>
      </w:pPr>
    </w:p>
    <w:p>
      <w:pPr>
        <w:ind w:left="4" w:right="40" w:firstLine="423"/>
        <w:spacing w:after="0" w:line="256" w:lineRule="auto"/>
        <w:rPr>
          <w:sz w:val="20"/>
          <w:szCs w:val="20"/>
          <w:color w:val="auto"/>
        </w:rPr>
      </w:pPr>
      <w:r>
        <w:rPr>
          <w:rFonts w:ascii="Times New Roman" w:cs="Times New Roman" w:eastAsia="Times New Roman" w:hAnsi="Times New Roman"/>
          <w:sz w:val="18"/>
          <w:szCs w:val="18"/>
          <w:color w:val="auto"/>
        </w:rPr>
        <w:t>7.9 Mergers and Consolidations. Borrower shall not (a) merge or consolidate, nor permit any of its Subsidiaries to merge or consolidate, with or into any other business organization, other than mergers or consolidations of (i) a Subsidiary which is not a Loan Party into another Subsidiary or into a Loan Party, or (ii) a Loan Party into another Loan Party (provided that Borrower shall be the surviving entity in any transaction involving Borrower) or (b) except for Permitted Investments, acquire, or permit any of its Subsidiaries to acquire, in each case including for the avoidance of doubt through a merger, purchase, in-licensing arrangement or any similar transaction, all or substantially all of the capital stock or property of another Person; provided however, that Borrower shall be permitted to enter into Permitted Acquisitions.</w:t>
      </w:r>
    </w:p>
    <w:p>
      <w:pPr>
        <w:spacing w:after="0" w:line="12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24"/>
          </w:cols>
          <w:pgMar w:left="876" w:top="270" w:right="499" w:bottom="1440" w:gutter="0" w:footer="0" w:header="0"/>
        </w:sectPr>
      </w:pPr>
    </w:p>
    <w:bookmarkStart w:id="89" w:name="page90"/>
    <w:bookmarkEnd w:id="89"/>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7.10 Taxes. Borrower shall, and shall cause each of its Subsidiaries to, pay when due all material Taxes of any nature whatsoever now or hereafter imposed or assessed against Borrower or such Subsidiary or the Collateral or upon Borrower’s (or such Subsidiary’s) ownership, possession, use, operation or disposition thereof or upon Borrower’s (or such Subsidiary’s)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81"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7.11 Certain Changes. Neither Borrower nor any Subsidiary shall change its jurisdiction of organization, organizational form or legal name without twenty (20) days’ prior written notice to Agent. Neither Borrower nor any Subsidiary shall suffer a Change in Control. Neither Borrower nor any Domestic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(w) transfers of Inventory within the supply chain and to and from clinical sites, in each case, in the ordinary course of business, (x) distribution and sales of Inventory in the ordinary course of business, (y) relocations of purchased Fibroscan Equipment to and from clinical sites or other Equipment having an aggregate value of up to $150,000 in any fiscal year, and (z) relocations of Collateral from a location described on Exhibit B to another location described on Exhibit B) unless (i) it has provided prompt written notice to Agent, (ii) such relocation is within the continental United States of America and, (iii) if such relocation is to a third party bailee, it has delivered a bailee agreement in form and substance reasonably acceptable to Agent.</w:t>
      </w:r>
    </w:p>
    <w:p>
      <w:pPr>
        <w:spacing w:after="0" w:line="86" w:lineRule="exact"/>
        <w:rPr>
          <w:sz w:val="20"/>
          <w:szCs w:val="20"/>
          <w:color w:val="auto"/>
        </w:rPr>
      </w:pPr>
    </w:p>
    <w:p>
      <w:pPr>
        <w:ind w:right="100" w:firstLine="423"/>
        <w:spacing w:after="0" w:line="261" w:lineRule="auto"/>
        <w:rPr>
          <w:sz w:val="20"/>
          <w:szCs w:val="20"/>
          <w:color w:val="auto"/>
        </w:rPr>
      </w:pPr>
      <w:r>
        <w:rPr>
          <w:rFonts w:ascii="Times New Roman" w:cs="Times New Roman" w:eastAsia="Times New Roman" w:hAnsi="Times New Roman"/>
          <w:sz w:val="18"/>
          <w:szCs w:val="18"/>
          <w:color w:val="auto"/>
        </w:rPr>
        <w:t>7.12 Deposit Accounts. Neither Borrower nor any Subsidiary shall maintain any Deposit Accounts, or accounts holding Investment Property, except (i) with respect to which Agent has an Account Control Agreement and (ii) any Excluded Accounts, provided that no Deposit Accounts held by a Foreign Subsidiary or an Immaterial Subsidiary shall have balance in excess of $250,000, or $750,000 in the aggregate for all such Excluded Accounts.</w:t>
      </w:r>
    </w:p>
    <w:p>
      <w:pPr>
        <w:spacing w:after="0" w:line="72"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t>7.13 Joinder of Subsidiaries. Borrower shall notify Agent of each Subsidiary formed or acquired subsequent to the Closing Date and, within twenty (20) days of formation or acquisition, shall cause any such Subsidiary which is not a Foreign Subsidiary to execute and deliver to Agent a Joinder Agreement or, if requested by Agent, a Guaranty and appropriate collateral security documents to secure the obligations pursuant to such Guaranty; provided, however, that such joinder shall not be required (i) of any Immaterial Subsidiary, (ii) of any Domestic Subsidiary which is not wholly-owned directly or indirectly by Borrower or one or more Domestic Subsidiaries, or (iii) if Agent determines (in its sole discretion) that the benefit from the entry into such Joinder Agreement is outweighed by the undue burden and expense to Borrower. For the avoidance of doubt, Borrower may, at its option, cause any Foreign Subsidiary to execute and deliver to Agent a Joinder Agreement or, if requested by Agent in connection with Borrower’s election of such option, a Guaranty and appropriate collateral security documents to secure obligations pursuant to such Guaranty.</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60"/>
          </w:cols>
          <w:pgMar w:left="880" w:top="270" w:right="459" w:bottom="1440" w:gutter="0" w:footer="0" w:header="0"/>
        </w:sectPr>
      </w:pPr>
    </w:p>
    <w:bookmarkStart w:id="90" w:name="page91"/>
    <w:bookmarkEnd w:id="9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7.14 [RESERVED]</w:t>
      </w:r>
    </w:p>
    <w:p>
      <w:pPr>
        <w:spacing w:after="0" w:line="117"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7.15 Notification of Event of Default. Borrower shall notify Agent promptly (and in any event within two (2) Business Days) after becoming aware of the occurrence of any Event of Default.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7.16 Regulatory and Product Notices. Borrower shall within three (3) Business Days after the receipt or occurrence thereof notify Agent of:</w:t>
      </w:r>
    </w:p>
    <w:p>
      <w:pPr>
        <w:spacing w:after="0" w:line="117" w:lineRule="exact"/>
        <w:rPr>
          <w:sz w:val="20"/>
          <w:szCs w:val="20"/>
          <w:color w:val="auto"/>
        </w:rPr>
      </w:pPr>
    </w:p>
    <w:p>
      <w:pPr>
        <w:ind w:right="180" w:firstLine="419"/>
        <w:spacing w:after="0" w:line="282" w:lineRule="auto"/>
        <w:tabs>
          <w:tab w:leader="none" w:pos="6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from a governmental authority received by Borrower or its Subsidiaries alleging potential or actual violations of any Public Health Law by Borrower or its Subsidiaries;</w:t>
      </w:r>
    </w:p>
    <w:p>
      <w:pPr>
        <w:spacing w:after="0" w:line="53" w:lineRule="exact"/>
        <w:rPr>
          <w:rFonts w:ascii="Times New Roman" w:cs="Times New Roman" w:eastAsia="Times New Roman" w:hAnsi="Times New Roman"/>
          <w:sz w:val="18"/>
          <w:szCs w:val="18"/>
          <w:color w:val="auto"/>
        </w:rPr>
      </w:pPr>
    </w:p>
    <w:p>
      <w:pPr>
        <w:ind w:right="420" w:firstLine="419"/>
        <w:spacing w:after="0" w:line="282" w:lineRule="auto"/>
        <w:tabs>
          <w:tab w:leader="none" w:pos="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from a governmental authority that the FDA (or international equivalent) is limiting, suspending or revoking any Registration (including, but not limited to, by the issuance of a clinical hold);</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from a governmental authority that Borrower or its Subsidiaries has become subject to any Regulatory Action;</w:t>
      </w:r>
    </w:p>
    <w:p>
      <w:pPr>
        <w:spacing w:after="0" w:line="117" w:lineRule="exact"/>
        <w:rPr>
          <w:rFonts w:ascii="Times New Roman" w:cs="Times New Roman" w:eastAsia="Times New Roman" w:hAnsi="Times New Roman"/>
          <w:sz w:val="18"/>
          <w:szCs w:val="18"/>
          <w:color w:val="auto"/>
        </w:rPr>
      </w:pPr>
    </w:p>
    <w:p>
      <w:pPr>
        <w:ind w:right="560" w:firstLine="419"/>
        <w:spacing w:after="0" w:line="282" w:lineRule="auto"/>
        <w:tabs>
          <w:tab w:leader="none" w:pos="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or debarment from any governmental healthcare program or debarment or disqualification by FDA (or international equivalent) of Borrower or its Subsidiaries or its or their authorized officers;</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6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from a governmental authority that Borrower or any Subsidiary, or any of their licensees or sublicensees (including licensees or sublicensees under any Material Agreement), is being investigated or is the subject of any allegation of potential or actual violations of any Federal Health Care Program Laws;</w:t>
      </w:r>
    </w:p>
    <w:p>
      <w:pPr>
        <w:spacing w:after="0" w:line="67" w:lineRule="exact"/>
        <w:rPr>
          <w:rFonts w:ascii="Times New Roman" w:cs="Times New Roman" w:eastAsia="Times New Roman" w:hAnsi="Times New Roman"/>
          <w:sz w:val="18"/>
          <w:szCs w:val="18"/>
          <w:color w:val="auto"/>
        </w:rPr>
      </w:pPr>
    </w:p>
    <w:p>
      <w:pPr>
        <w:ind w:right="160" w:firstLine="419"/>
        <w:spacing w:after="0" w:line="261" w:lineRule="auto"/>
        <w:tabs>
          <w:tab w:leader="none" w:pos="64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from a governmental authority that any product of Borrower or its Subsidiaries has been seized, withdrawn, recalled, detained, or subject to a suspension of manufacturing, or the commencement of any proceedings in the United States of America or any other jurisdiction seeking the withdrawal, recall, suspension, import detention, or seizure of any Product are pending or threatened in writing against Borrower or its Subsidiaries; or</w:t>
      </w:r>
    </w:p>
    <w:p>
      <w:pPr>
        <w:spacing w:after="0" w:line="71" w:lineRule="exact"/>
        <w:rPr>
          <w:rFonts w:ascii="Times New Roman" w:cs="Times New Roman" w:eastAsia="Times New Roman" w:hAnsi="Times New Roman"/>
          <w:sz w:val="18"/>
          <w:szCs w:val="18"/>
          <w:color w:val="auto"/>
        </w:rPr>
      </w:pPr>
    </w:p>
    <w:p>
      <w:pPr>
        <w:ind w:firstLine="419"/>
        <w:spacing w:after="0" w:line="289" w:lineRule="auto"/>
        <w:tabs>
          <w:tab w:leader="none" w:pos="67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narrowing or limiting the scope of marketing authorization or the labeling of the Products of Borrower and its Subsidiaries under any such Registration, it being understood that the Approval Milestone is contingent on a label claim that is generally consistent with or generally as favorable as what Borrower sought for one dose of Resmetirom in its New Drug Application (as determined by Agent in its reasonable discretion).</w:t>
      </w:r>
    </w:p>
    <w:p>
      <w:pPr>
        <w:spacing w:after="0" w:line="5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in each case of (a) through (g) above, where such action would not reasonably be expected to have, either individually or in the aggregate, Material Regulatory Liabilities.</w:t>
      </w:r>
    </w:p>
    <w:p>
      <w:pPr>
        <w:spacing w:after="0" w:line="54" w:lineRule="exact"/>
        <w:rPr>
          <w:sz w:val="20"/>
          <w:szCs w:val="20"/>
          <w:color w:val="auto"/>
        </w:rPr>
      </w:pPr>
    </w:p>
    <w:p>
      <w:pPr>
        <w:ind w:right="300" w:firstLine="423"/>
        <w:spacing w:after="0" w:line="266" w:lineRule="auto"/>
        <w:rPr>
          <w:sz w:val="20"/>
          <w:szCs w:val="20"/>
          <w:color w:val="auto"/>
        </w:rPr>
      </w:pPr>
      <w:r>
        <w:rPr>
          <w:rFonts w:ascii="Times New Roman" w:cs="Times New Roman" w:eastAsia="Times New Roman" w:hAnsi="Times New Roman"/>
          <w:sz w:val="18"/>
          <w:szCs w:val="18"/>
          <w:color w:val="auto"/>
        </w:rPr>
        <w:t>7.17 Use of Proceeds.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70" w:right="459" w:bottom="1440" w:gutter="0" w:footer="0" w:header="0"/>
        </w:sectPr>
      </w:pPr>
    </w:p>
    <w:bookmarkStart w:id="91" w:name="page92"/>
    <w:bookmarkEnd w:id="91"/>
    <w:p>
      <w:pPr>
        <w:ind w:right="18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7.18 Material Agreement. Borrower shall not, without the consent of Agent, terminate, or amend in a manner materially adverse to the Lenders, the Roche Agreement. Borrower shall give prompt written notice to Agent of entering into a Material Agreement or terminating or amending in a manner materially adverse to the Lenders a Material Agreement. Notwithstanding the foregoing, any notices required to be delivered under this Section 7.18 (to the extent any such documents are included in materials otherwise filed with the Securities and Exchange Commission) may be delivered electronically and if so delivered, shall be deemed to have been delivered on the date on which Borrower makes such documents or materials publicly available.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7.19 Compliance with Laws.</w:t>
      </w:r>
    </w:p>
    <w:p>
      <w:pPr>
        <w:spacing w:after="0" w:line="117" w:lineRule="exact"/>
        <w:rPr>
          <w:sz w:val="20"/>
          <w:szCs w:val="20"/>
          <w:color w:val="auto"/>
        </w:rPr>
      </w:pPr>
    </w:p>
    <w:p>
      <w:pPr>
        <w:ind w:firstLine="419"/>
        <w:spacing w:after="0" w:line="255" w:lineRule="auto"/>
        <w:tabs>
          <w:tab w:leader="none" w:pos="6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maintain, and shall cause each of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 Borrower shall not become an “investment company” or a company controlled by an “investment company”, under the Investment Company Act of 1940, as amended, or undertake as one of its important activities extending credit to purchase or carry margin stock (as defined in Regulation X, T and U of the Federal Reserve Board of Governors).</w:t>
      </w:r>
    </w:p>
    <w:p>
      <w:pPr>
        <w:spacing w:after="0" w:line="80"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shall, nor shall Borrower or any of its Subsidiaries 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8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implemented and shall maintain in effect policies and procedures designed to ensure compliance by Borrower, its</w:t>
      </w:r>
    </w:p>
    <w:p>
      <w:pPr>
        <w:spacing w:after="0" w:line="27"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77" w:lineRule="exact"/>
        <w:rPr>
          <w:rFonts w:ascii="Times New Roman" w:cs="Times New Roman" w:eastAsia="Times New Roman" w:hAnsi="Times New Roman"/>
          <w:sz w:val="18"/>
          <w:szCs w:val="18"/>
          <w:color w:val="auto"/>
        </w:rPr>
      </w:pPr>
    </w:p>
    <w:p>
      <w:pPr>
        <w:ind w:right="380" w:firstLine="419"/>
        <w:spacing w:after="0" w:line="261" w:lineRule="auto"/>
        <w:tabs>
          <w:tab w:leader="none" w:pos="6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nor any of their respective directors, officers or employees, or to the knowledge of Borrower, any agent for Borrower or any of its Subsidiaries that shall act in any capacity in connection with or benefit from the credit facility established hereby, is a Sanctioned Person. No Loan, use of proceeds or other transaction contemplated by this Agreement shall violate Anti-Corruption Laws or applicable Sanctions.</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40"/>
          </w:cols>
          <w:pgMar w:left="880" w:top="270" w:right="479" w:bottom="1440" w:gutter="0" w:footer="0" w:header="0"/>
        </w:sectPr>
      </w:pPr>
    </w:p>
    <w:bookmarkStart w:id="92" w:name="page93"/>
    <w:bookmarkEnd w:id="92"/>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7.20 Financial Covenants.</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 Minimum Cash. Beginning on January 1, 2023, Borrower shall at all times maintain Unrestricted Cash in an amount not less than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$35,000,000; provided that, upon (i) achievement of the Approval Milestone and (ii) the effectiveness of the covenant set forth in Section 7.20(b),</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Borrower shall at all times maintain Unrestricted Cash in an amount not less than the greater of (A) $25,000,000 and (B) 20% of the aggregate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outstanding principal amount of the Term Loans (it being understood that in no event shall the dollar amount in this clause (B) be greater than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$35,000,000).</w:t>
      </w:r>
    </w:p>
    <w:p>
      <w:pPr>
        <w:spacing w:after="0" w:line="99" w:lineRule="exact"/>
        <w:rPr>
          <w:sz w:val="20"/>
          <w:szCs w:val="20"/>
          <w:color w:val="auto"/>
        </w:rPr>
      </w:pPr>
    </w:p>
    <w:p>
      <w:pPr>
        <w:ind w:left="4" w:firstLine="419"/>
        <w:spacing w:after="0" w:line="253" w:lineRule="auto"/>
        <w:tabs>
          <w:tab w:leader="none" w:pos="68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Covenant. Beginning on the date upon which financial statements pursuant to Section 7.1(a) are required to be delivered for the period ending September 30, 2024, tested on a monthly basis from and after such date, Borrower’s T3M Net Product Revenue shall be [***]. Notwithstanding the foregoing, this Section 7.20(b) shall be waived for any particular month to the extent that Borrower maintains either (x) a Market Capitalization (measured on an average basis for the five (5) market trading days prior to the end of such month) of at least $1,200,000,000 or (y) Unrestricted Cash in an amount not less than 75% of the aggregate outstanding principal amount of the Term Loans at all times during the maintenance period beginning on the first day of such month through and including the date that is five (5) Business Days prior to the date on which Borrower has delivered the financial statements and the Compliance Certificate for such month in accordance with Sections 7.1(a), (b) and (d) to Agent. For the avoidance of doubt, if Borrower fails to so maintain either the Market Capitalization or Unrestricted Cash in the amounts required pursuant to the preceding sentence, then Borrower shall be required to comply with the minimum net product revenue requirements of this Section 7.20(b) for such month).</w:t>
      </w:r>
    </w:p>
    <w:p>
      <w:pPr>
        <w:spacing w:after="0" w:line="86" w:lineRule="exact"/>
        <w:rPr>
          <w:sz w:val="20"/>
          <w:szCs w:val="20"/>
          <w:color w:val="auto"/>
        </w:rPr>
      </w:pPr>
    </w:p>
    <w:p>
      <w:pPr>
        <w:ind w:left="4" w:right="40" w:firstLine="423"/>
        <w:spacing w:after="0" w:line="261" w:lineRule="auto"/>
        <w:rPr>
          <w:sz w:val="20"/>
          <w:szCs w:val="20"/>
          <w:color w:val="auto"/>
        </w:rPr>
      </w:pPr>
      <w:r>
        <w:rPr>
          <w:rFonts w:ascii="Times New Roman" w:cs="Times New Roman" w:eastAsia="Times New Roman" w:hAnsi="Times New Roman"/>
          <w:sz w:val="18"/>
          <w:szCs w:val="18"/>
          <w:color w:val="auto"/>
        </w:rPr>
        <w:t>7.21 Intellectual Property. Borrower shall, and shall cause each other Loan Party to, (i) reasonably protect, defend and maintain the validity and enforceability of the Company IP material to Borrowers’ business; (ii) promptly upon a Responsible Officer having actual knowledge thereof, advise Agent in writing of material infringements of Company IP; and (iii) not allow any Company IP material to Borrowers’ business to be abandoned, forfeited or dedicated to the public (other than Permitted Transfers) without Agent’s written consent.</w:t>
      </w:r>
    </w:p>
    <w:p>
      <w:pPr>
        <w:spacing w:after="0" w:line="72" w:lineRule="exact"/>
        <w:rPr>
          <w:sz w:val="20"/>
          <w:szCs w:val="20"/>
          <w:color w:val="auto"/>
        </w:rPr>
      </w:pPr>
    </w:p>
    <w:p>
      <w:pPr>
        <w:ind w:left="4" w:right="80" w:firstLine="423"/>
        <w:spacing w:after="0" w:line="256" w:lineRule="auto"/>
        <w:rPr>
          <w:sz w:val="20"/>
          <w:szCs w:val="20"/>
          <w:color w:val="auto"/>
        </w:rPr>
      </w:pPr>
      <w:r>
        <w:rPr>
          <w:rFonts w:ascii="Times New Roman" w:cs="Times New Roman" w:eastAsia="Times New Roman" w:hAnsi="Times New Roman"/>
          <w:sz w:val="18"/>
          <w:szCs w:val="18"/>
          <w:color w:val="auto"/>
        </w:rPr>
        <w:t>7.22 Transactions with Affiliates.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 other than (i) consulting payments (excluding board and committee fees and equity compensation as publicly disclosed or approved by the Board) to members of Borrower’s Board in an amount not to exceed $60,000 in any fiscal year and (ii) transactions between Borrower and its Subsidiaries.</w:t>
      </w:r>
    </w:p>
    <w:p>
      <w:pPr>
        <w:spacing w:after="0" w:line="399" w:lineRule="exact"/>
        <w:rPr>
          <w:sz w:val="20"/>
          <w:szCs w:val="20"/>
          <w:color w:val="auto"/>
        </w:rPr>
      </w:pPr>
    </w:p>
    <w:p>
      <w:pPr>
        <w:ind w:left="3744"/>
        <w:spacing w:after="0"/>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RIGHT TO INVEST</w:t>
      </w:r>
    </w:p>
    <w:p>
      <w:pPr>
        <w:spacing w:after="0" w:line="229" w:lineRule="exact"/>
        <w:rPr>
          <w:sz w:val="20"/>
          <w:szCs w:val="20"/>
          <w:color w:val="auto"/>
        </w:rPr>
      </w:pPr>
    </w:p>
    <w:p>
      <w:pPr>
        <w:ind w:left="4" w:firstLine="423"/>
        <w:spacing w:after="0" w:line="269" w:lineRule="auto"/>
        <w:rPr>
          <w:sz w:val="20"/>
          <w:szCs w:val="20"/>
          <w:color w:val="auto"/>
        </w:rPr>
      </w:pPr>
      <w:r>
        <w:rPr>
          <w:rFonts w:ascii="Times New Roman" w:cs="Times New Roman" w:eastAsia="Times New Roman" w:hAnsi="Times New Roman"/>
          <w:sz w:val="17"/>
          <w:szCs w:val="17"/>
          <w:color w:val="auto"/>
        </w:rPr>
        <w:t>8.1 Borrower shall give timely prior written notice to Agent of each Subsequent Financing and shall use commercially reasonable efforts to permit the Lenders or their Affiliates, or the assignees or nominees of the Lenders or their Affiliates, to participate in such Subsequent Financings in an aggregate amount of up to Five Million Dollars ($5,000,000) (with respect to all such Subsequent Financings) on substantially the same terms, conditions and pricing afforded to others participating in any such Subsequent Financing (subject to compliance with applicable securities laws and regulations). This Section 8.1, and all rights and obligations granted hereunder, shall automatically terminate upon the earliest to occur of</w:t>
      </w:r>
    </w:p>
    <w:p>
      <w:pPr>
        <w:spacing w:after="0" w:line="3" w:lineRule="exact"/>
        <w:rPr>
          <w:sz w:val="20"/>
          <w:szCs w:val="20"/>
          <w:color w:val="auto"/>
        </w:rPr>
      </w:pPr>
    </w:p>
    <w:p>
      <w:pPr>
        <w:jc w:val="both"/>
        <w:ind w:left="4" w:right="160" w:hanging="4"/>
        <w:spacing w:after="0" w:line="253" w:lineRule="auto"/>
        <w:tabs>
          <w:tab w:leader="none" w:pos="2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security interest granted pursuant to Section 3.1 of this Agreement, (b) such time that the Lenders or their Affiliates, or the assignees or nominees of the Lenders or their Affiliates, have purchased Five Million Dollars ($5,000,000) of Madrigal’s Equity Interests in the aggregate pursuant to the preceding sentence in prior Subsequent Financings, and (c) Borrower has previously extended two (2) such offers to permit the Lenders or their Affiliates, or the assignees or nominees of the Lenders or their Affiliates, to participate in Subsequent Financings.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64"/>
          </w:cols>
          <w:pgMar w:left="876" w:top="270" w:right="459" w:bottom="1440" w:gutter="0" w:footer="0" w:header="0"/>
        </w:sectPr>
      </w:pPr>
    </w:p>
    <w:bookmarkStart w:id="93" w:name="page94"/>
    <w:bookmarkEnd w:id="93"/>
    <w:p>
      <w:pPr>
        <w:ind w:left="3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b w:val="1"/>
          <w:bCs w:val="1"/>
          <w:u w:val="single" w:color="auto"/>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one or more of the following events shall be an event of default (each, an “Event of Default”):</w:t>
      </w:r>
    </w:p>
    <w:p>
      <w:pPr>
        <w:spacing w:after="0" w:line="117" w:lineRule="exact"/>
        <w:rPr>
          <w:sz w:val="20"/>
          <w:szCs w:val="20"/>
          <w:color w:val="auto"/>
        </w:rPr>
      </w:pPr>
    </w:p>
    <w:p>
      <w:pPr>
        <w:ind w:right="60" w:firstLine="423"/>
        <w:spacing w:after="0" w:line="257" w:lineRule="auto"/>
        <w:rPr>
          <w:sz w:val="20"/>
          <w:szCs w:val="20"/>
          <w:color w:val="auto"/>
        </w:rPr>
      </w:pPr>
      <w:r>
        <w:rPr>
          <w:rFonts w:ascii="Times New Roman" w:cs="Times New Roman" w:eastAsia="Times New Roman" w:hAnsi="Times New Roman"/>
          <w:sz w:val="18"/>
          <w:szCs w:val="18"/>
          <w:color w:val="auto"/>
        </w:rPr>
        <w:t>9.1 Payments. A Loan Party fails to pay any amount due under this Agreement or any of the other Loan Documents on the applicable due date; provided, however, that an Event of Default shall not occur on account of a failure to pay due solely to an administrative or operational error of Agent or the Lenders or Borrower’s bank if Borrower had the funds to make the payment when due and makes the payment within three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Business Days following Borrower’s knowledge of such failure to pay; or</w:t>
      </w:r>
    </w:p>
    <w:p>
      <w:pPr>
        <w:spacing w:after="0" w:line="99"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9.2 Covenants. A Loan Party breaches or defaults in the performance of any covenant or Secured Obligation under this Agreement, or any of the other Loan Documents or any other agreement among any Loan Party, Agent and the Lenders, and (a) with respect to a default under any covenant under this Agreement (other than under Sections 6 and 7), any other Loan Document, or any other agreement among Borrower, Agent and the Lenders, such default continues for more than fifteen (15) days after the earlier of the date on which (i) Agent or the Lenders has given notice of such default to Borrower and (ii) Borrower has actual knowledge of such default or (b) with respect to a default under any of Sections 6 and 7, the occurrence of such default; or</w:t>
      </w:r>
    </w:p>
    <w:p>
      <w:pPr>
        <w:spacing w:after="0" w:line="79" w:lineRule="exact"/>
        <w:rPr>
          <w:sz w:val="20"/>
          <w:szCs w:val="20"/>
          <w:color w:val="auto"/>
        </w:rPr>
      </w:pPr>
    </w:p>
    <w:p>
      <w:pPr>
        <w:ind w:right="280" w:firstLine="423"/>
        <w:spacing w:after="0" w:line="266" w:lineRule="auto"/>
        <w:rPr>
          <w:sz w:val="20"/>
          <w:szCs w:val="20"/>
          <w:color w:val="auto"/>
        </w:rPr>
      </w:pPr>
      <w:r>
        <w:rPr>
          <w:rFonts w:ascii="Times New Roman" w:cs="Times New Roman" w:eastAsia="Times New Roman" w:hAnsi="Times New Roman"/>
          <w:sz w:val="18"/>
          <w:szCs w:val="18"/>
          <w:color w:val="auto"/>
        </w:rPr>
        <w:t>9.3 Material Adverse Effect. A circumstance has occurred that could reasonably be expected to have a Material Adverse Effect; provided that, solely for purposes of this Section 9.3, the failure to achieve the Clinical Milestone or the Approval Milestone shall not in and of itself constitute a Material Adverse Effect under this Section 9.3; or</w:t>
      </w:r>
    </w:p>
    <w:p>
      <w:pPr>
        <w:spacing w:after="0" w:line="68"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9.4 Representations. Any representation or warranty made by any Loan Party in any Loan Document shall have been false or misleading in any material respect when made or when deemed made; or</w:t>
      </w:r>
    </w:p>
    <w:p>
      <w:pPr>
        <w:spacing w:after="0" w:line="54"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9.5 Insolvency. (a) Any Loan Party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any Loan Party or of all or any substantial part (i.e., 33-1/3% or more) of the assets or property of any Loan Party; or (vi) shall cease operations of its business as its business has normally been conducted, or terminate substantially all of its employees; or (b) any Loan Party or its directors or a majority of the holders of its Equity Interests shall take any action initiating any of the foregoing actions described in clauses (a)(i) through (a)(vi); or (c) either (i) forty-five consecutive (45) days shall have expired after the commencement of an involuntary action against any Loan Party seeking reorganization, arrangement, composition, readjustment, liquidation, dissolution or similar relief under any present or future statute, law or regulation, without such action being dismissed or</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0"/>
          </w:cols>
          <w:pgMar w:left="880" w:top="266" w:right="459" w:bottom="1440" w:gutter="0" w:footer="0" w:header="0"/>
        </w:sectPr>
      </w:pPr>
    </w:p>
    <w:bookmarkStart w:id="94" w:name="page95"/>
    <w:bookmarkEnd w:id="94"/>
    <w:p>
      <w:pPr>
        <w:ind w:left="4"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orders or proceedings thereunder affecting the operations or the business of any Loan Party being stayed; or (ii) a stay of any such order or proceedings shall thereafter be set aside and the action setting it aside shall not be timely appealed; or (iii) any Loan Party shall file any answer admitting or not contesting the material allegations of a petition filed against such Loan Party in any such proceedings; or (iv) the court in which such proceedings are pending shall enter a decree or order granting the relief sought in any such proceedings; or (v) forty-five consecutive</w:t>
      </w:r>
    </w:p>
    <w:p>
      <w:pPr>
        <w:spacing w:after="0" w:line="3" w:lineRule="exact"/>
        <w:rPr>
          <w:sz w:val="20"/>
          <w:szCs w:val="20"/>
          <w:color w:val="auto"/>
        </w:rPr>
      </w:pPr>
    </w:p>
    <w:p>
      <w:pPr>
        <w:ind w:left="4" w:right="40" w:hanging="4"/>
        <w:spacing w:after="0" w:line="260" w:lineRule="auto"/>
        <w:tabs>
          <w:tab w:leader="none" w:pos="3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shall have expired after the appointment, without the consent or acquiescence of any Loan Party, of any trustee, receiver or liquidator of such Loan Party or of all or any substantial part of the properties of such Loan Party without such appointment being vacated; or</w:t>
      </w:r>
    </w:p>
    <w:p>
      <w:pPr>
        <w:spacing w:after="0" w:line="73" w:lineRule="exact"/>
        <w:rPr>
          <w:sz w:val="20"/>
          <w:szCs w:val="20"/>
          <w:color w:val="auto"/>
        </w:rPr>
      </w:pPr>
    </w:p>
    <w:p>
      <w:pPr>
        <w:ind w:left="4" w:right="120" w:firstLine="423"/>
        <w:spacing w:after="0" w:line="261" w:lineRule="auto"/>
        <w:rPr>
          <w:sz w:val="20"/>
          <w:szCs w:val="20"/>
          <w:color w:val="auto"/>
        </w:rPr>
      </w:pPr>
      <w:r>
        <w:rPr>
          <w:rFonts w:ascii="Times New Roman" w:cs="Times New Roman" w:eastAsia="Times New Roman" w:hAnsi="Times New Roman"/>
          <w:sz w:val="18"/>
          <w:szCs w:val="18"/>
          <w:color w:val="auto"/>
        </w:rPr>
        <w:t>9.6 Attachments; Judgments. Any portion of any Loan Party’s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 or any Loan Party is enjoined or in any way prevented by court order from conducting any part of its business; or</w:t>
      </w:r>
    </w:p>
    <w:p>
      <w:pPr>
        <w:spacing w:after="0" w:line="7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9.7 Other Obligations.</w:t>
      </w:r>
    </w:p>
    <w:p>
      <w:pPr>
        <w:spacing w:after="0" w:line="117" w:lineRule="exact"/>
        <w:rPr>
          <w:sz w:val="20"/>
          <w:szCs w:val="20"/>
          <w:color w:val="auto"/>
        </w:rPr>
      </w:pPr>
    </w:p>
    <w:p>
      <w:pPr>
        <w:ind w:left="4" w:right="320" w:firstLine="419"/>
        <w:spacing w:after="0" w:line="282" w:lineRule="auto"/>
        <w:tabs>
          <w:tab w:leader="none" w:pos="6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in the payment of any Indebtedness (other than amounts owing under the Loan Documents) under any agreement or obligation of any Loan Party involving Indebtedness in excess of [***]; or</w:t>
      </w:r>
    </w:p>
    <w:p>
      <w:pPr>
        <w:spacing w:after="0" w:line="53" w:lineRule="exact"/>
        <w:rPr>
          <w:rFonts w:ascii="Times New Roman" w:cs="Times New Roman" w:eastAsia="Times New Roman" w:hAnsi="Times New Roman"/>
          <w:sz w:val="18"/>
          <w:szCs w:val="18"/>
          <w:color w:val="auto"/>
        </w:rPr>
      </w:pPr>
    </w:p>
    <w:p>
      <w:pPr>
        <w:jc w:val="both"/>
        <w:ind w:left="4" w:right="300" w:firstLine="419"/>
        <w:spacing w:after="0" w:line="266" w:lineRule="auto"/>
        <w:tabs>
          <w:tab w:leader="none" w:pos="68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under any agreement to which any Loan Party is a party with a third party or parties, any default resulting in a right by such third party or parties, whether or not exercised, to accelerate the maturity of any Indebtedness in an amount individually or in the aggregate in excess of [***]; or</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9.8 The occurrence of any default under (i) the Roche Agreement that permits the counterparty thereto to terminate the Roche Agreement or</w:t>
      </w:r>
    </w:p>
    <w:p>
      <w:pPr>
        <w:spacing w:after="0" w:line="27" w:lineRule="exact"/>
        <w:rPr>
          <w:sz w:val="20"/>
          <w:szCs w:val="20"/>
          <w:color w:val="auto"/>
        </w:rPr>
      </w:pPr>
    </w:p>
    <w:p>
      <w:pPr>
        <w:ind w:left="4" w:right="540" w:hanging="4"/>
        <w:spacing w:after="0" w:line="260" w:lineRule="auto"/>
        <w:tabs>
          <w:tab w:leader="none" w:pos="2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Agreement that permits the counterparty thereto to terminate such Material Agreement or accelerate payments owed thereunder in excess of the amount set forth on Schedule 9.8.</w:t>
      </w:r>
    </w:p>
    <w:p>
      <w:pPr>
        <w:spacing w:after="0" w:line="39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REMEDIES</w:t>
      </w:r>
    </w:p>
    <w:p>
      <w:pPr>
        <w:spacing w:after="0" w:line="229" w:lineRule="exact"/>
        <w:rPr>
          <w:sz w:val="20"/>
          <w:szCs w:val="20"/>
          <w:color w:val="auto"/>
        </w:rPr>
      </w:pPr>
    </w:p>
    <w:p>
      <w:pPr>
        <w:ind w:left="4" w:firstLine="423"/>
        <w:spacing w:after="0" w:line="253" w:lineRule="auto"/>
        <w:rPr>
          <w:sz w:val="20"/>
          <w:szCs w:val="20"/>
          <w:color w:val="auto"/>
        </w:rPr>
      </w:pPr>
      <w:r>
        <w:rPr>
          <w:rFonts w:ascii="Times New Roman" w:cs="Times New Roman" w:eastAsia="Times New Roman" w:hAnsi="Times New Roman"/>
          <w:sz w:val="18"/>
          <w:szCs w:val="18"/>
          <w:color w:val="auto"/>
        </w:rPr>
        <w:t>10.1 General. Upon the occurrence and during the continuation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and continuation of an Event of Default of the type described in Section 9.5,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exercisable following the occurrence and during the continuation of an Event of Default, (i) sign Borrower’s name on any invoice or bill of lading for any account or drafts against account debtors or endorse Borrower’s name on any checks, payment instruments, or other forms of payment or security;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w:t>
      </w:r>
    </w:p>
    <w:p>
      <w:pPr>
        <w:spacing w:after="0" w:line="12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44"/>
          </w:cols>
          <w:pgMar w:left="876" w:top="270" w:right="479" w:bottom="1440" w:gutter="0" w:footer="0" w:header="0"/>
        </w:sectPr>
      </w:pPr>
    </w:p>
    <w:bookmarkStart w:id="95" w:name="page96"/>
    <w:bookmarkEnd w:id="95"/>
    <w:p>
      <w:pPr>
        <w:ind w:left="44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(vi) receive, open and dispose of mail addressed to Borrower and (vii)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(other than any inchoate indemnity obligations and any other obligations which, by their terms, are to survive the termination of this Agreement) have been satisfied in full and the Loan Documents (other than the Warrants) have been terminated. Agent’s foregoing appointment as Borrower’s attorney in fact, and all of Agent’s rights and powers, coupled with an interest, are irrevocable until all Secured Obligations (other than any inchoate indemnity obligations and any other obligations which, by their terms, are to survive the termination of this Agreement) have been fully repaid and performed and the Loan Documents (other than the Warrants) have been terminated. Upon the occurrence and during the continuation of an Event of Default,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88"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10.2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81" w:lineRule="exact"/>
        <w:rPr>
          <w:sz w:val="20"/>
          <w:szCs w:val="20"/>
          <w:color w:val="auto"/>
        </w:rPr>
      </w:pPr>
    </w:p>
    <w:p>
      <w:pPr>
        <w:ind w:left="440" w:right="480" w:firstLine="423"/>
        <w:spacing w:after="0" w:line="282" w:lineRule="auto"/>
        <w:rPr>
          <w:sz w:val="20"/>
          <w:szCs w:val="20"/>
          <w:color w:val="auto"/>
        </w:rPr>
      </w:pPr>
      <w:r>
        <w:rPr>
          <w:rFonts w:ascii="Times New Roman" w:cs="Times New Roman" w:eastAsia="Times New Roman" w:hAnsi="Times New Roman"/>
          <w:sz w:val="18"/>
          <w:szCs w:val="18"/>
          <w:color w:val="auto"/>
        </w:rPr>
        <w:t>First, to Agent and the Lenders in an amount sufficient to pay in full Agent’s and the Lenders’ reasonable costs and professionals’ and advisors’ fees and expenses as described in Section 11.12;</w:t>
      </w:r>
    </w:p>
    <w:p>
      <w:pPr>
        <w:spacing w:after="0" w:line="54" w:lineRule="exact"/>
        <w:rPr>
          <w:sz w:val="20"/>
          <w:szCs w:val="20"/>
          <w:color w:val="auto"/>
        </w:rPr>
      </w:pPr>
    </w:p>
    <w:p>
      <w:pPr>
        <w:jc w:val="both"/>
        <w:ind w:left="440" w:right="140" w:firstLine="423"/>
        <w:spacing w:after="0" w:line="266" w:lineRule="auto"/>
        <w:rPr>
          <w:sz w:val="20"/>
          <w:szCs w:val="20"/>
          <w:color w:val="auto"/>
        </w:rPr>
      </w:pPr>
      <w:r>
        <w:rPr>
          <w:rFonts w:ascii="Times New Roman" w:cs="Times New Roman" w:eastAsia="Times New Roman" w:hAnsi="Times New Roman"/>
          <w:sz w:val="18"/>
          <w:szCs w:val="18"/>
          <w:color w:val="auto"/>
        </w:rPr>
        <w:t>Second, to the Lenders, ratably, in an amount equal to the then unpaid amount of the Secured Obligations (including principal and interest, including, for the avoidance of doubt, any interest required to be paid pursuant to Section 2.4), in such order and priority as Agent may choose in its sole discretion; and</w:t>
      </w:r>
    </w:p>
    <w:p>
      <w:pPr>
        <w:spacing w:after="0" w:line="68" w:lineRule="exact"/>
        <w:rPr>
          <w:sz w:val="20"/>
          <w:szCs w:val="20"/>
          <w:color w:val="auto"/>
        </w:rPr>
      </w:pPr>
    </w:p>
    <w:p>
      <w:pPr>
        <w:ind w:left="440" w:right="100" w:firstLine="423"/>
        <w:spacing w:after="0" w:line="282" w:lineRule="auto"/>
        <w:rPr>
          <w:sz w:val="20"/>
          <w:szCs w:val="20"/>
          <w:color w:val="auto"/>
        </w:rPr>
      </w:pPr>
      <w:r>
        <w:rPr>
          <w:rFonts w:ascii="Times New Roman" w:cs="Times New Roman" w:eastAsia="Times New Roman" w:hAnsi="Times New Roman"/>
          <w:sz w:val="18"/>
          <w:szCs w:val="18"/>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Agent shall be deemed to have acted reasonably in the custody, preservation and disposition of any of the Collateral if it complies with the obligations of a secured party under the UCC.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96" w:name="page97"/>
    <w:bookmarkEnd w:id="96"/>
    <w:p>
      <w:pPr>
        <w:ind w:right="32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10.3 No Waiver. Agent shall be under no obligation to marshal any of the Collateral for the benefit of Borrower or any other Person, and Borrower expressly waives all rights, if any, to require Agent to marshal any Collateral.</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10.4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28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120" w:firstLine="423"/>
        <w:spacing w:after="0" w:line="261" w:lineRule="auto"/>
        <w:rPr>
          <w:sz w:val="20"/>
          <w:szCs w:val="20"/>
          <w:color w:val="auto"/>
        </w:rPr>
      </w:pPr>
      <w:r>
        <w:rPr>
          <w:rFonts w:ascii="Times New Roman" w:cs="Times New Roman" w:eastAsia="Times New Roman" w:hAnsi="Times New Roman"/>
          <w:sz w:val="18"/>
          <w:szCs w:val="18"/>
          <w:color w:val="auto"/>
        </w:rPr>
        <w:t>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72" w:lineRule="exact"/>
        <w:rPr>
          <w:sz w:val="20"/>
          <w:szCs w:val="20"/>
          <w:color w:val="auto"/>
        </w:rPr>
      </w:pPr>
    </w:p>
    <w:p>
      <w:pPr>
        <w:ind w:right="200" w:firstLine="423"/>
        <w:spacing w:after="0" w:line="256" w:lineRule="auto"/>
        <w:rPr>
          <w:sz w:val="20"/>
          <w:szCs w:val="20"/>
          <w:color w:val="auto"/>
        </w:rPr>
      </w:pPr>
      <w:r>
        <w:rPr>
          <w:rFonts w:ascii="Times New Roman" w:cs="Times New Roman" w:eastAsia="Times New Roman" w:hAnsi="Times New Roman"/>
          <w:sz w:val="18"/>
          <w:szCs w:val="18"/>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93" w:lineRule="exact"/>
        <w:rPr>
          <w:sz w:val="20"/>
          <w:szCs w:val="20"/>
          <w:color w:val="auto"/>
        </w:rPr>
      </w:pPr>
    </w:p>
    <w:p>
      <w:pPr>
        <w:ind w:left="980" w:hanging="439"/>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Agent:</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HERCULES CAPITAL,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Legal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Legal Officer and Bryan Jadot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400 Hamilton Avenue, Suite 310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w:t>
      </w:r>
    </w:p>
    <w:p>
      <w:pPr>
        <w:spacing w:after="0" w:line="234" w:lineRule="exact"/>
        <w:rPr>
          <w:sz w:val="20"/>
          <w:szCs w:val="20"/>
          <w:color w:val="auto"/>
        </w:rPr>
      </w:pPr>
    </w:p>
    <w:p>
      <w:pPr>
        <w:ind w:left="980" w:hanging="439"/>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Lenders:</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HERCULES CAPITAL, INC.</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HERCULES PRIVATE CREDIT FUND 1 L.P.</w:t>
      </w:r>
    </w:p>
    <w:p>
      <w:pPr>
        <w:spacing w:after="0" w:line="9" w:lineRule="exact"/>
        <w:rPr>
          <w:rFonts w:ascii="Times New Roman" w:cs="Times New Roman" w:eastAsia="Times New Roman" w:hAnsi="Times New Roman"/>
          <w:sz w:val="18"/>
          <w:szCs w:val="18"/>
          <w:color w:val="auto"/>
        </w:rPr>
      </w:pPr>
    </w:p>
    <w:p>
      <w:pPr>
        <w:ind w:left="980" w:right="4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HERCULES PRIVATE GLOBAL VENTURE GROWTH FUND I L.P. Legal Department</w:t>
      </w:r>
    </w:p>
    <w:p>
      <w:pPr>
        <w:ind w:left="980" w:right="6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Legal Officer and Bryan Jadot 400 Hamilton Avenue, Suite 310</w:t>
      </w:r>
    </w:p>
    <w:p>
      <w:pPr>
        <w:ind w:left="980" w:right="80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Palo Alto, CA 94301 email: [***] Telephone: [***]</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60"/>
          </w:cols>
          <w:pgMar w:left="880" w:top="270" w:right="459" w:bottom="1440" w:gutter="0" w:footer="0" w:header="0"/>
        </w:sectPr>
      </w:pPr>
    </w:p>
    <w:bookmarkStart w:id="97" w:name="page98"/>
    <w:bookmarkEnd w:id="97"/>
    <w:p>
      <w:pPr>
        <w:ind w:left="980" w:hanging="439"/>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Borrower:</w:t>
      </w:r>
    </w:p>
    <w:p>
      <w:pPr>
        <w:spacing w:after="0" w:line="117" w:lineRule="exact"/>
        <w:rPr>
          <w:rFonts w:ascii="Times New Roman" w:cs="Times New Roman" w:eastAsia="Times New Roman" w:hAnsi="Times New Roman"/>
          <w:sz w:val="18"/>
          <w:szCs w:val="18"/>
          <w:color w:val="auto"/>
        </w:rPr>
      </w:pPr>
    </w:p>
    <w:p>
      <w:pPr>
        <w:ind w:left="980" w:right="66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Madrigal Pharmaceuticals, Inc. Attention: Brian Lynch, General Counsel Four Tower Bridge</w:t>
      </w:r>
    </w:p>
    <w:p>
      <w:pPr>
        <w:spacing w:after="0" w:line="1" w:lineRule="exact"/>
        <w:rPr>
          <w:rFonts w:ascii="Times New Roman" w:cs="Times New Roman" w:eastAsia="Times New Roman" w:hAnsi="Times New Roman"/>
          <w:sz w:val="18"/>
          <w:szCs w:val="18"/>
          <w:color w:val="auto"/>
        </w:rPr>
      </w:pPr>
    </w:p>
    <w:p>
      <w:pPr>
        <w:ind w:left="980" w:right="7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Barr Harbor Drive, Suite 200 West Conshohocken, PA 19428 email: [***]</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each party may designate for itself by like notice.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11.3 Entire Agreement; Amendments.</w:t>
      </w:r>
    </w:p>
    <w:p>
      <w:pPr>
        <w:spacing w:after="0" w:line="117" w:lineRule="exact"/>
        <w:rPr>
          <w:sz w:val="20"/>
          <w:szCs w:val="20"/>
          <w:color w:val="auto"/>
        </w:rPr>
      </w:pPr>
    </w:p>
    <w:p>
      <w:pPr>
        <w:ind w:right="160" w:firstLine="419"/>
        <w:spacing w:after="0" w:line="261" w:lineRule="auto"/>
        <w:tabs>
          <w:tab w:leader="none" w:pos="6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March 29, 2022 and the Non-Disclosure Agreement).</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any other Loan Document (other than the Warrants, which are subject to the amendment provisions set forth therein), nor any terms hereof or thereof may be amended, supplemented or modified except in accordance with the provisions of this Section 11.3(b). The Required Lenders and the Loan Parties party to the relevant Loan Document may, or, with the written consent of the Required Lenders, Agent and the Loan Parties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defined term “Required Lenders”, consent to the assignment or transfer by the Loan Parties of any of its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Section 11.18 or Addendum 3 without the written consent of Agent. Any such waiver and any such amendment, supplement or modification shall apply equally to each Lender and shall be binding upon the applicable Loan Parties, the Lenders, Agent and all future holders of the Loans.</w:t>
      </w:r>
    </w:p>
    <w:p>
      <w:pPr>
        <w:spacing w:after="0" w:line="85" w:lineRule="exact"/>
        <w:rPr>
          <w:sz w:val="20"/>
          <w:szCs w:val="20"/>
          <w:color w:val="auto"/>
        </w:rPr>
      </w:pPr>
    </w:p>
    <w:p>
      <w:pPr>
        <w:ind w:right="260" w:firstLine="423"/>
        <w:spacing w:after="0" w:line="266" w:lineRule="auto"/>
        <w:rPr>
          <w:sz w:val="20"/>
          <w:szCs w:val="20"/>
          <w:color w:val="auto"/>
        </w:rPr>
      </w:pPr>
      <w:r>
        <w:rPr>
          <w:rFonts w:ascii="Times New Roman" w:cs="Times New Roman" w:eastAsia="Times New Roman" w:hAnsi="Times New Roman"/>
          <w:sz w:val="18"/>
          <w:szCs w:val="18"/>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60"/>
          </w:cols>
          <w:pgMar w:left="880" w:top="270" w:right="459" w:bottom="1440" w:gutter="0" w:footer="0" w:header="0"/>
        </w:sectPr>
      </w:pPr>
    </w:p>
    <w:bookmarkStart w:id="98" w:name="page99"/>
    <w:bookmarkEnd w:id="98"/>
    <w:p>
      <w:pPr>
        <w:ind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 No Waiver. The powers conferred upon Agent and the Lenders by this Agreement are solely to protect their rights hereunder and under the other Loan Documents and its interest in the Collateral and shall not impose any duty upon Agent or the Lenders to exercise any such powers. No omission or delay by Agent or the Lenders at any time to enforce any right or remedy reserved to them,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75"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11.6 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11.9, 11.10, 11.11, 11.15 and 11.18 shall survive the termination of this Agreement.</w:t>
      </w:r>
    </w:p>
    <w:p>
      <w:pPr>
        <w:spacing w:after="0" w:line="68" w:lineRule="exact"/>
        <w:rPr>
          <w:sz w:val="20"/>
          <w:szCs w:val="20"/>
          <w:color w:val="auto"/>
        </w:rPr>
      </w:pPr>
    </w:p>
    <w:p>
      <w:pPr>
        <w:ind w:right="20" w:firstLine="423"/>
        <w:spacing w:after="0" w:line="267" w:lineRule="auto"/>
        <w:rPr>
          <w:sz w:val="20"/>
          <w:szCs w:val="20"/>
          <w:color w:val="auto"/>
        </w:rPr>
      </w:pPr>
      <w:r>
        <w:rPr>
          <w:rFonts w:ascii="Times New Roman" w:cs="Times New Roman" w:eastAsia="Times New Roman" w:hAnsi="Times New Roman"/>
          <w:sz w:val="17"/>
          <w:szCs w:val="17"/>
          <w:color w:val="auto"/>
        </w:rPr>
        <w:t>11.7 Successors and Assigns. The provisions of this Agreement and the other Loan Documents shall inure to the benefit of and be binding on Borrower and its permitted assigns (if any). No Loan Party shall assign its obligations under this Agreement or any of the other Loan Documents without Agent’s express prior written consent, and any such attempted assignment shall be void and of no effect. Agent and the Lenders may assign, transfer, or endorse their rights and obligations hereunder and under the other Loan Documents without prior notice to Borrower, and all of such rights and obligations shall inure to the benefit of, and become obligations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(as reasonably determined by Agent),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Agent, acting solely for this purpose as a non-fiduciary agent of Borrower, shall maintain at one of its offices in the United States of America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Borrower, Agent and the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3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0"/>
          </w:cols>
          <w:pgMar w:left="880" w:top="270" w:right="459" w:bottom="1440" w:gutter="0" w:footer="0" w:header="0"/>
        </w:sectPr>
      </w:pPr>
    </w:p>
    <w:bookmarkStart w:id="99" w:name="page100"/>
    <w:bookmarkEnd w:id="99"/>
    <w:p>
      <w:pPr>
        <w:ind w:firstLine="42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 Participations.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87" w:lineRule="exact"/>
        <w:rPr>
          <w:sz w:val="20"/>
          <w:szCs w:val="20"/>
          <w:color w:val="auto"/>
        </w:rPr>
      </w:pPr>
    </w:p>
    <w:p>
      <w:pPr>
        <w:ind w:right="220" w:firstLine="423"/>
        <w:spacing w:after="0" w:line="258" w:lineRule="auto"/>
        <w:rPr>
          <w:sz w:val="20"/>
          <w:szCs w:val="20"/>
          <w:color w:val="auto"/>
        </w:rPr>
      </w:pPr>
      <w:r>
        <w:rPr>
          <w:rFonts w:ascii="Times New Roman" w:cs="Times New Roman" w:eastAsia="Times New Roman" w:hAnsi="Times New Roman"/>
          <w:sz w:val="18"/>
          <w:szCs w:val="18"/>
          <w:color w:val="auto"/>
        </w:rPr>
        <w:t>11.9 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shall be governed by, and construed and enforced in accordance with, the laws of the State of New York, excluding conflict of laws principles that would cause the application of laws of any other jurisdiction.</w:t>
      </w:r>
    </w:p>
    <w:p>
      <w:pPr>
        <w:spacing w:after="0" w:line="75" w:lineRule="exact"/>
        <w:rPr>
          <w:sz w:val="20"/>
          <w:szCs w:val="20"/>
          <w:color w:val="auto"/>
        </w:rPr>
      </w:pPr>
    </w:p>
    <w:p>
      <w:pPr>
        <w:ind w:right="80" w:firstLine="423"/>
        <w:spacing w:after="0" w:line="271" w:lineRule="auto"/>
        <w:rPr>
          <w:sz w:val="20"/>
          <w:szCs w:val="20"/>
          <w:color w:val="auto"/>
        </w:rPr>
      </w:pPr>
      <w:r>
        <w:rPr>
          <w:rFonts w:ascii="Times New Roman" w:cs="Times New Roman" w:eastAsia="Times New Roman" w:hAnsi="Times New Roman"/>
          <w:sz w:val="17"/>
          <w:szCs w:val="17"/>
          <w:color w:val="auto"/>
        </w:rPr>
        <w:t>11.10 Consent to Jurisdiction and Venue.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60"/>
          </w:cols>
          <w:pgMar w:left="880" w:top="270" w:right="459" w:bottom="1440" w:gutter="0" w:footer="0" w:header="0"/>
        </w:sectPr>
      </w:pPr>
    </w:p>
    <w:bookmarkStart w:id="100" w:name="page101"/>
    <w:bookmarkEnd w:id="100"/>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11.11 Mutual Waiver of Jury Trial / Judicial Reference.</w:t>
      </w:r>
    </w:p>
    <w:p>
      <w:pPr>
        <w:spacing w:after="0" w:line="117" w:lineRule="exact"/>
        <w:rPr>
          <w:sz w:val="20"/>
          <w:szCs w:val="20"/>
          <w:color w:val="auto"/>
        </w:rPr>
      </w:pPr>
    </w:p>
    <w:p>
      <w:pPr>
        <w:ind w:left="4" w:firstLine="419"/>
        <w:spacing w:after="0" w:line="271" w:lineRule="auto"/>
        <w:tabs>
          <w:tab w:leader="none" w:pos="671"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or any other Loan Document.</w:t>
      </w:r>
    </w:p>
    <w:p>
      <w:pPr>
        <w:spacing w:after="0" w:line="65" w:lineRule="exact"/>
        <w:rPr>
          <w:rFonts w:ascii="Times New Roman" w:cs="Times New Roman" w:eastAsia="Times New Roman" w:hAnsi="Times New Roman"/>
          <w:sz w:val="17"/>
          <w:szCs w:val="17"/>
          <w:color w:val="auto"/>
        </w:rPr>
      </w:pPr>
    </w:p>
    <w:p>
      <w:pPr>
        <w:jc w:val="both"/>
        <w:ind w:left="4" w:right="140" w:firstLine="419"/>
        <w:spacing w:after="0" w:line="261" w:lineRule="auto"/>
        <w:tabs>
          <w:tab w:leader="none" w:pos="68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71" w:lineRule="exact"/>
        <w:rPr>
          <w:rFonts w:ascii="Times New Roman" w:cs="Times New Roman" w:eastAsia="Times New Roman" w:hAnsi="Times New Roman"/>
          <w:sz w:val="18"/>
          <w:szCs w:val="18"/>
          <w:color w:val="auto"/>
        </w:rPr>
      </w:pPr>
    </w:p>
    <w:p>
      <w:pPr>
        <w:ind w:left="4" w:right="600" w:firstLine="419"/>
        <w:spacing w:after="0" w:line="266" w:lineRule="auto"/>
        <w:tabs>
          <w:tab w:leader="none" w:pos="67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p>
    <w:p>
      <w:pPr>
        <w:spacing w:after="0" w:line="68" w:lineRule="exact"/>
        <w:rPr>
          <w:sz w:val="20"/>
          <w:szCs w:val="20"/>
          <w:color w:val="auto"/>
        </w:rPr>
      </w:pPr>
    </w:p>
    <w:p>
      <w:pPr>
        <w:ind w:left="4" w:right="200" w:firstLine="423"/>
        <w:spacing w:after="0" w:line="269" w:lineRule="auto"/>
        <w:rPr>
          <w:sz w:val="20"/>
          <w:szCs w:val="20"/>
          <w:color w:val="auto"/>
        </w:rPr>
      </w:pPr>
      <w:r>
        <w:rPr>
          <w:rFonts w:ascii="Times New Roman" w:cs="Times New Roman" w:eastAsia="Times New Roman" w:hAnsi="Times New Roman"/>
          <w:sz w:val="17"/>
          <w:szCs w:val="17"/>
          <w:color w:val="auto"/>
        </w:rPr>
        <w:t>11.12 Professional Fees. Each Loan Party promises to pay Agent’s and the Lenders’ fees and expenses necessary to finalize the loan documentation, including but not limited to reasonable and documented attorneys’ fees, UCC searches, filing costs, and other miscellaneous expenses. In addition, Borrower promises to pay any and all reasonable attorneys’ and other professionals’ fees and expenses incurred by Agent and the Lenders after the Closing Date in connection with or related to: (a) the Loan; (b) the administration, collection, or enforcement of the Loan; (c) the amendment or modification of the Loan Documents; (d) any waiver, consent, release, or termination under the Loan Documents;</w:t>
      </w:r>
    </w:p>
    <w:p>
      <w:pPr>
        <w:spacing w:after="0" w:line="3" w:lineRule="exact"/>
        <w:rPr>
          <w:sz w:val="20"/>
          <w:szCs w:val="20"/>
          <w:color w:val="auto"/>
        </w:rPr>
      </w:pPr>
    </w:p>
    <w:p>
      <w:pPr>
        <w:ind w:left="4" w:right="60" w:hanging="4"/>
        <w:spacing w:after="0" w:line="253" w:lineRule="auto"/>
        <w:tabs>
          <w:tab w:leader="none" w:pos="2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79" w:lineRule="exact"/>
        <w:rPr>
          <w:sz w:val="20"/>
          <w:szCs w:val="20"/>
          <w:color w:val="auto"/>
        </w:rPr>
      </w:pPr>
    </w:p>
    <w:p>
      <w:pPr>
        <w:ind w:left="4" w:right="320" w:firstLine="423"/>
        <w:spacing w:after="0" w:line="261" w:lineRule="auto"/>
        <w:rPr>
          <w:sz w:val="20"/>
          <w:szCs w:val="20"/>
          <w:color w:val="auto"/>
        </w:rPr>
      </w:pPr>
      <w:r>
        <w:rPr>
          <w:rFonts w:ascii="Times New Roman" w:cs="Times New Roman" w:eastAsia="Times New Roman" w:hAnsi="Times New Roman"/>
          <w:sz w:val="18"/>
          <w:szCs w:val="18"/>
          <w:color w:val="auto"/>
        </w:rPr>
        <w:t>11.13 Confidentiality. Agent and the Lenders acknowledge that certain items of Collateral and information provided to Agent and the Lenders by Borrower are confidential and proprietary information of Borrower, if and to the extent such information either (i) is marked as confidential by Borrower at the time of disclosure, or (ii) should reasonably be understood to be confidential (the “Confidential Information”). Accordingly, Agent and the Lenders agree that any</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4"/>
          </w:cols>
          <w:pgMar w:left="876" w:top="270" w:right="459" w:bottom="1440" w:gutter="0" w:footer="0" w:header="0"/>
        </w:sectPr>
      </w:pPr>
    </w:p>
    <w:bookmarkStart w:id="101" w:name="page102"/>
    <w:bookmarkEnd w:id="101"/>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reasonable discretion determine that any such party should have access to such information in connection with or associated with the performance Agent or the Lenders’ responsibilities in connection with the Loan or this Agreement and, provided that such recipient of such Confidential Information either (i) agrees to be bound by the confidentiality provisions of this paragraph or (ii) is otherwise subject to confidentiality restrictions as protective as the terms hereof and that reasonably protect against the disclosure and use of Confidential Information pursuant to similar terms;</w:t>
      </w:r>
    </w:p>
    <w:p>
      <w:pPr>
        <w:ind w:left="4" w:right="20" w:hanging="4"/>
        <w:spacing w:after="0" w:line="251" w:lineRule="auto"/>
        <w:tabs>
          <w:tab w:leader="none" w:pos="2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Borrower and not in violation of any confidentiality obligations known to Agent or such Lender;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confidentiality restrictions that reasonably protect against the disclosure of Confidential Information; (h) to any investor or potential investor (and each of their respective Affiliates or clients) in Agent or the Lenders (or each of their respective Affiliates); provided that such investor, potential investor, Affiliate or client is subject to confidentiality obligations with respect to the Confidential Information as is consistent with clause (a) (ii) above); (i) otherwise to the extent consisting of general portfolio information that does not identify Borrower; or (j)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82" w:lineRule="exact"/>
        <w:rPr>
          <w:sz w:val="20"/>
          <w:szCs w:val="20"/>
          <w:color w:val="auto"/>
        </w:rPr>
      </w:pPr>
    </w:p>
    <w:p>
      <w:pPr>
        <w:ind w:left="4" w:right="100" w:firstLine="423"/>
        <w:spacing w:after="0" w:line="254" w:lineRule="auto"/>
        <w:rPr>
          <w:sz w:val="20"/>
          <w:szCs w:val="20"/>
          <w:color w:val="auto"/>
        </w:rPr>
      </w:pPr>
      <w:r>
        <w:rPr>
          <w:rFonts w:ascii="Times New Roman" w:cs="Times New Roman" w:eastAsia="Times New Roman" w:hAnsi="Times New Roman"/>
          <w:sz w:val="18"/>
          <w:szCs w:val="18"/>
          <w:color w:val="auto"/>
        </w:rPr>
        <w:t>11.14 Assignment of Rights. Borrower acknowledges and understands that Agent or the Lenders may, subject to Section 11.7,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The Lenders agree that in the event of any transfer by it of any promissory notes, it will endorse thereon a notation as to the portion of the principal of such promissory notes, which shall have been paid at the time of such transfer and as to the date to which interest shall have been last paid thereon.</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64"/>
          </w:cols>
          <w:pgMar w:left="876" w:top="270" w:right="459" w:bottom="1440" w:gutter="0" w:footer="0" w:header="0"/>
        </w:sectPr>
      </w:pPr>
    </w:p>
    <w:bookmarkStart w:id="102" w:name="page103"/>
    <w:bookmarkEnd w:id="102"/>
    <w:p>
      <w:pPr>
        <w:ind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11.15 Revival of Secured Obligations; Termination. Other than as set forth in Section 11.6, this Agreement and the other Loan Documents shall terminate on the payment in full in cash of the Secured Obligations (other than any obligations that expressly survive termination). Notwithstanding the preceding sentence,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(other than obligations that expressly survive termination)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79" w:lineRule="exact"/>
        <w:rPr>
          <w:sz w:val="20"/>
          <w:szCs w:val="20"/>
          <w:color w:val="auto"/>
        </w:rPr>
      </w:pPr>
    </w:p>
    <w:p>
      <w:pPr>
        <w:jc w:val="both"/>
        <w:ind w:right="400" w:firstLine="423"/>
        <w:spacing w:after="0" w:line="266" w:lineRule="auto"/>
        <w:rPr>
          <w:sz w:val="20"/>
          <w:szCs w:val="20"/>
          <w:color w:val="auto"/>
        </w:rPr>
      </w:pPr>
      <w:r>
        <w:rPr>
          <w:rFonts w:ascii="Times New Roman" w:cs="Times New Roman" w:eastAsia="Times New Roman" w:hAnsi="Times New Roman"/>
          <w:sz w:val="18"/>
          <w:szCs w:val="18"/>
          <w:color w:val="auto"/>
        </w:rPr>
        <w:t>11.16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68" w:lineRule="exact"/>
        <w:rPr>
          <w:sz w:val="20"/>
          <w:szCs w:val="20"/>
          <w:color w:val="auto"/>
        </w:rPr>
      </w:pPr>
    </w:p>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t>11.17 No Third 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Loan Parties which are a party thereto.</w:t>
      </w:r>
    </w:p>
    <w:p>
      <w:pPr>
        <w:spacing w:after="0" w:line="72" w:lineRule="exact"/>
        <w:rPr>
          <w:sz w:val="20"/>
          <w:szCs w:val="20"/>
          <w:color w:val="auto"/>
        </w:rPr>
      </w:pPr>
    </w:p>
    <w:p>
      <w:pPr>
        <w:ind w:right="640" w:firstLine="423"/>
        <w:spacing w:after="0" w:line="282" w:lineRule="auto"/>
        <w:rPr>
          <w:sz w:val="20"/>
          <w:szCs w:val="20"/>
          <w:color w:val="auto"/>
        </w:rPr>
      </w:pPr>
      <w:r>
        <w:rPr>
          <w:rFonts w:ascii="Times New Roman" w:cs="Times New Roman" w:eastAsia="Times New Roman" w:hAnsi="Times New Roman"/>
          <w:sz w:val="18"/>
          <w:szCs w:val="18"/>
          <w:color w:val="auto"/>
        </w:rPr>
        <w:t>11.18 Agency. Agent and each Lender hereby agree to the terms and conditions set forth on Addendum 3 attached hereto. Borrower acknowledges and agrees to the terms and conditions set forth on Addendum 3 attached hereto.</w:t>
      </w:r>
    </w:p>
    <w:p>
      <w:pPr>
        <w:spacing w:after="0" w:line="54"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t>11.19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40"/>
          </w:cols>
          <w:pgMar w:left="880" w:top="270" w:right="479" w:bottom="1440" w:gutter="0" w:footer="0" w:header="0"/>
        </w:sectPr>
      </w:pPr>
    </w:p>
    <w:bookmarkStart w:id="103" w:name="page104"/>
    <w:bookmarkEnd w:id="10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11.20 Multiple Borrowers. Each Borrower hereby agrees to the terms and conditions set forth on Addendum 4 attached hereto.</w:t>
      </w:r>
    </w:p>
    <w:p>
      <w:pPr>
        <w:spacing w:after="0" w:line="11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11.21 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19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(SIGNATURES TO FOLLOW)</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40"/>
          </w:cols>
          <w:pgMar w:left="880" w:top="270" w:right="479" w:bottom="1440" w:gutter="0" w:footer="0" w:header="0"/>
        </w:sectPr>
      </w:pPr>
    </w:p>
    <w:bookmarkStart w:id="104" w:name="page105"/>
    <w:bookmarkEnd w:id="10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Borrower, Agent and the Lenders have duly executed and delivered this Loan and Security Agreement as of the date set forth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BORROWERS: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CANTICLE PHARMACEUTICALS,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ectPr>
          <w:pgSz w:w="11900" w:h="16838" w:orient="portrait"/>
          <w:cols w:equalWidth="0" w:num="1">
            <w:col w:w="10820"/>
          </w:cols>
          <w:pgMar w:left="440" w:top="270" w:right="6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in Palo Alto, California:</w:t>
      </w: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HERCULES CAPITAL,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HERCULES CAPITAL,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HERCULES PRIVATE CREDIT FUND 1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Hercules Adviser LLC, its Investment Adviser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HERCULES PRIVATE GLOBAL VENTURE GROWTH</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FUND I L.P.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Hercules Adviser LLC, its Investment Adviser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ectPr>
          <w:pgSz w:w="11900" w:h="16838" w:orient="portrait"/>
          <w:cols w:equalWidth="0" w:num="1">
            <w:col w:w="10800"/>
          </w:cols>
          <w:pgMar w:left="440" w:top="270" w:right="6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Addenda, Exhibits and Schedules</w:t>
      </w:r>
    </w:p>
    <w:p>
      <w:pPr>
        <w:sectPr>
          <w:pgSz w:w="11900" w:h="16838" w:orient="portrait"/>
          <w:cols w:equalWidth="0" w:num="1">
            <w:col w:w="10960"/>
          </w:cols>
          <w:pgMar w:left="440" w:top="270" w:right="499" w:bottom="1440" w:gutter="0" w:footer="0" w:header="0"/>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Addendum 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Taxes; Increased Costs</w:t>
      </w:r>
    </w:p>
    <w:p>
      <w:pPr>
        <w:spacing w:after="0" w:line="129"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Addendum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[Reserved]</w:t>
      </w:r>
    </w:p>
    <w:p>
      <w:pPr>
        <w:spacing w:after="0" w:line="129"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Addendum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Agent and Lender Terms</w:t>
      </w:r>
    </w:p>
    <w:p>
      <w:pPr>
        <w:spacing w:after="0" w:line="129"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Addendum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Multiple Borrower Terms</w:t>
      </w:r>
    </w:p>
    <w:p>
      <w:pPr>
        <w:spacing w:after="0" w:line="129"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Advance Request</w:t>
      </w:r>
    </w:p>
    <w:p>
      <w:pPr>
        <w:spacing w:after="0" w:line="128"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7"/>
          <w:szCs w:val="17"/>
          <w:color w:val="auto"/>
        </w:rPr>
        <w:t>Attachment to Advance Request</w:t>
      </w:r>
    </w:p>
    <w:p>
      <w:pPr>
        <w:sectPr>
          <w:pgSz w:w="11900" w:h="16838" w:orient="portrait"/>
          <w:cols w:equalWidth="0" w:num="1">
            <w:col w:w="10960"/>
          </w:cols>
          <w:pgMar w:left="440" w:top="270" w:right="49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B:</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Locations, and Other Information</w:t>
      </w:r>
    </w:p>
    <w:p>
      <w:pPr>
        <w:spacing w:after="0" w:line="117"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Patents, Trademarks, Copyrights and Licenses</w:t>
      </w:r>
    </w:p>
    <w:p>
      <w:pPr>
        <w:spacing w:after="0" w:line="129"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Deposit Accounts and Investment Accounts</w:t>
      </w:r>
    </w:p>
    <w:p>
      <w:pPr>
        <w:spacing w:after="0" w:line="128"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Compliance Certificate</w:t>
      </w:r>
    </w:p>
    <w:p>
      <w:pPr>
        <w:spacing w:after="0" w:line="128"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Exhibit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Joinder Agreement</w:t>
      </w:r>
    </w:p>
    <w:p>
      <w:pPr>
        <w:spacing w:after="0" w:line="129"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[Reserved]</w:t>
      </w:r>
    </w:p>
    <w:p>
      <w:pPr>
        <w:spacing w:after="0" w:line="128"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ACH Debit Authorization Agreement</w:t>
      </w:r>
    </w:p>
    <w:p>
      <w:pPr>
        <w:spacing w:after="0" w:line="128"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Exhibit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[Reserved]</w:t>
      </w:r>
    </w:p>
    <w:p>
      <w:pPr>
        <w:spacing w:after="0" w:line="129"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Exhibit J-1:</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Form of U.S. Tax Compliance Certificate (For Foreign Lenders That Are Not Partnerships For U.S. Federal Income Tax Purposes)</w:t>
      </w:r>
    </w:p>
    <w:p>
      <w:pPr>
        <w:spacing w:after="0" w:line="54"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Exhibit J-2:</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Form of U.S. Tax Compliance Certificate (For Foreign Participants That Are Not Partnerships For U.S. Federal Income Tax Purposes)</w:t>
      </w:r>
    </w:p>
    <w:p>
      <w:pPr>
        <w:spacing w:after="0" w:line="54"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Exhibit J-3:</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Form of U.S. Tax Compliance Certificate (For Foreign Participants That Are Partnerships For U.S. Federal Income Tax Purposes)</w:t>
      </w:r>
    </w:p>
    <w:p>
      <w:pPr>
        <w:spacing w:after="0" w:line="54"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Exhibit J-4: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Form of U.S. Tax Compliance Certificate (For Foreign Lenders That Are Partnerships For U.S. Federal Income Tax Purposes)</w:t>
      </w:r>
    </w:p>
    <w:p>
      <w:pPr>
        <w:spacing w:after="0" w:line="129" w:lineRule="exact"/>
        <w:rPr>
          <w:sz w:val="20"/>
          <w:szCs w:val="20"/>
          <w:color w:val="auto"/>
        </w:rPr>
      </w:pPr>
    </w:p>
    <w:p>
      <w:pPr>
        <w:sectPr>
          <w:pgSz w:w="11900" w:h="16838" w:orient="portrait"/>
          <w:cols w:equalWidth="0" w:num="2">
            <w:col w:w="1160" w:space="720"/>
            <w:col w:w="9080"/>
          </w:cols>
          <w:pgMar w:left="440" w:top="270" w:right="499" w:bottom="1440" w:gutter="0" w:footer="0" w:header="0"/>
          <w:type w:val="continuous"/>
        </w:sectPr>
      </w:pPr>
    </w:p>
    <w:p>
      <w:pPr>
        <w:spacing w:after="0" w:line="269" w:lineRule="auto"/>
        <w:rPr>
          <w:sz w:val="20"/>
          <w:szCs w:val="20"/>
          <w:color w:val="auto"/>
        </w:rPr>
      </w:pPr>
      <w:r>
        <w:rPr>
          <w:rFonts w:ascii="Times New Roman" w:cs="Times New Roman" w:eastAsia="Times New Roman" w:hAnsi="Times New Roman"/>
          <w:sz w:val="17"/>
          <w:szCs w:val="17"/>
          <w:color w:val="auto"/>
        </w:rPr>
        <w:t>Schedule 1.1 Schedule 1 Schedule 1A Schedule 1B Schedule 1C Schedule 1D Schedule 4.4 Schedule 5.3 Schedule 5.8 Schedule 5.9 Schedule 5.10(a) Schedule 5.10(d)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Permitted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Permitted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Percentage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Post-Closing Deliveries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Consents, 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Company 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Matters Relating to Current Material Agreements</w:t>
      </w:r>
    </w:p>
    <w:p>
      <w:pPr>
        <w:sectPr>
          <w:pgSz w:w="11900" w:h="16838" w:orient="portrait"/>
          <w:cols w:equalWidth="0" w:num="2">
            <w:col w:w="1220" w:space="660"/>
            <w:col w:w="9080"/>
          </w:cols>
          <w:pgMar w:left="440" w:top="270" w:right="499" w:bottom="1440" w:gutter="0" w:footer="0" w:header="0"/>
          <w:type w:val="continuous"/>
        </w:sectPr>
      </w:pPr>
    </w:p>
    <w:bookmarkStart w:id="107" w:name="page108"/>
    <w:bookmarkEnd w:id="107"/>
    <w:p>
      <w:pPr>
        <w:spacing w:after="0" w:line="270" w:lineRule="auto"/>
        <w:rPr>
          <w:sz w:val="20"/>
          <w:szCs w:val="20"/>
          <w:color w:val="auto"/>
        </w:rPr>
      </w:pPr>
      <w:r>
        <w:rPr>
          <w:rFonts w:ascii="Times New Roman" w:cs="Times New Roman" w:eastAsia="Times New Roman" w:hAnsi="Times New Roman"/>
          <w:sz w:val="17"/>
          <w:szCs w:val="17"/>
          <w:color w:val="auto"/>
        </w:rPr>
        <w:t>Schedule 5.10(f) Schedule 5.10(i) Schedule 5.10(j) Schedule 5.10(k) Schedule 5.10(l) Schedule 5.10(o) Schedule 5.11 Schedule 5.14 Schedule 7.20(b) Schedule 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Enforceability, Entitlement and Exploitation of Current Company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-206375</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of Infringement on Third Party IP by Current Company 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Infringement on Third Party IP by Current Company 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Relating to Company 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Infringements of Company 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Covenant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Cross-Default</w:t>
      </w:r>
    </w:p>
    <w:p>
      <w:pPr>
        <w:sectPr>
          <w:pgSz w:w="11900" w:h="16838" w:orient="portrait"/>
          <w:cols w:equalWidth="0" w:num="2">
            <w:col w:w="1220" w:space="660"/>
            <w:col w:w="8139"/>
          </w:cols>
          <w:pgMar w:left="440" w:top="270" w:right="144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Friedman, M.D., certify that:</w:t>
      </w:r>
    </w:p>
    <w:p>
      <w:pPr>
        <w:spacing w:after="0" w:line="131" w:lineRule="exact"/>
        <w:rPr>
          <w:sz w:val="20"/>
          <w:szCs w:val="20"/>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12" w:lineRule="exact"/>
        <w:rPr>
          <w:sz w:val="20"/>
          <w:szCs w:val="20"/>
          <w:color w:val="auto"/>
        </w:rPr>
      </w:pPr>
    </w:p>
    <w:p>
      <w:pPr>
        <w:ind w:left="960" w:right="20" w:hanging="532"/>
        <w:spacing w:after="0" w:line="266"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0" w:right="320" w:hanging="532"/>
        <w:spacing w:after="0" w:line="282"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sz w:val="20"/>
          <w:szCs w:val="20"/>
          <w:color w:val="auto"/>
        </w:rPr>
      </w:pPr>
    </w:p>
    <w:p>
      <w:pPr>
        <w:ind w:left="960" w:right="260" w:hanging="532"/>
        <w:spacing w:after="0" w:line="266"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left="960" w:right="560" w:hanging="532"/>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ectPr>
          <w:pgSz w:w="11900" w:h="16838" w:orient="portrait"/>
          <w:cols w:equalWidth="0" w:num="1">
            <w:col w:w="11020"/>
          </w:cols>
          <w:pgMar w:left="440" w:top="117" w:right="4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G. Howarth, certify that:</w:t>
      </w:r>
    </w:p>
    <w:p>
      <w:pPr>
        <w:spacing w:after="0" w:line="131" w:lineRule="exact"/>
        <w:rPr>
          <w:sz w:val="20"/>
          <w:szCs w:val="20"/>
          <w:color w:val="auto"/>
        </w:rPr>
      </w:pPr>
    </w:p>
    <w:p>
      <w:pPr>
        <w:ind w:left="960" w:hanging="532"/>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12" w:lineRule="exact"/>
        <w:rPr>
          <w:sz w:val="20"/>
          <w:szCs w:val="20"/>
          <w:color w:val="auto"/>
        </w:rPr>
      </w:pPr>
    </w:p>
    <w:p>
      <w:pPr>
        <w:ind w:left="960" w:right="20" w:hanging="532"/>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0" w:right="320" w:hanging="532"/>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sz w:val="20"/>
          <w:szCs w:val="20"/>
          <w:color w:val="auto"/>
        </w:rPr>
      </w:pPr>
    </w:p>
    <w:p>
      <w:pPr>
        <w:ind w:left="960" w:right="260" w:hanging="532"/>
        <w:spacing w:after="0" w:line="266"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left="960" w:right="560" w:hanging="532"/>
        <w:spacing w:after="0" w:line="282"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G. Howarth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ectPr>
          <w:pgSz w:w="11900" w:h="16838" w:orient="portrait"/>
          <w:cols w:equalWidth="0" w:num="1">
            <w:col w:w="11020"/>
          </w:cols>
          <w:pgMar w:left="440" w:top="117" w:right="4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quarterly period ended June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August 4, 2022</w:t>
      </w:r>
      <w:r>
        <w:rPr>
          <w:sz w:val="20"/>
          <w:szCs w:val="20"/>
          <w:color w:val="auto"/>
        </w:rPr>
        <w:tab/>
      </w:r>
      <w:r>
        <w:rPr>
          <w:rFonts w:ascii="Times New Roman" w:cs="Times New Roman" w:eastAsia="Times New Roman" w:hAnsi="Times New Roman"/>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August 4, 2022</w:t>
      </w:r>
      <w:r>
        <w:rPr>
          <w:sz w:val="20"/>
          <w:szCs w:val="20"/>
          <w:color w:val="auto"/>
        </w:rPr>
        <w:tab/>
      </w:r>
      <w:r>
        <w:rPr>
          <w:rFonts w:ascii="Times New Roman" w:cs="Times New Roman" w:eastAsia="Times New Roman" w:hAnsi="Times New Roman"/>
          <w:sz w:val="17"/>
          <w:szCs w:val="17"/>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Alex G. Howarth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2"/>
    </w:lvl>
  </w:abstractNum>
  <w:abstractNum w:abstractNumId="4">
    <w:nsid w:val="7644A45C"/>
    <w:multiLevelType w:val="hybridMultilevel"/>
    <w:lvl w:ilvl="0">
      <w:lvlJc w:val="left"/>
      <w:lvlText w:val="%1."/>
      <w:numFmt w:val="decimal"/>
      <w:start w:val="7"/>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1"/>
      <w:numFmt w:val="decimal"/>
      <w:start w:val="104"/>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lowerLetter"/>
      <w:start w:val="1"/>
    </w:lvl>
  </w:abstractNum>
  <w:abstractNum w:abstractNumId="12">
    <w:nsid w:val="75C6C33A"/>
    <w:multiLevelType w:val="hybridMultilevel"/>
    <w:lvl w:ilvl="0">
      <w:lvlJc w:val="left"/>
      <w:lvlText w:val="(%1)"/>
      <w:numFmt w:val="lowerLetter"/>
      <w:start w:val="2"/>
    </w:lvl>
  </w:abstractNum>
  <w:abstractNum w:abstractNumId="13">
    <w:nsid w:val="12E685FB"/>
    <w:multiLevelType w:val="hybridMultilevel"/>
    <w:lvl w:ilvl="0">
      <w:lvlJc w:val="left"/>
      <w:lvlText w:val="(%1)"/>
      <w:numFmt w:val="lowerLetter"/>
      <w:start w:val="1"/>
    </w:lvl>
  </w:abstractNum>
  <w:abstractNum w:abstractNumId="14">
    <w:nsid w:val="70C6A529"/>
    <w:multiLevelType w:val="hybridMultilevel"/>
    <w:lvl w:ilvl="0">
      <w:lvlJc w:val="left"/>
      <w:lvlText w:val="X"/>
      <w:numFmt w:val="bullet"/>
      <w:start w:val="1"/>
    </w:lvl>
  </w:abstractNum>
  <w:abstractNum w:abstractNumId="15">
    <w:nsid w:val="520EEDD1"/>
    <w:multiLevelType w:val="hybridMultilevel"/>
    <w:lvl w:ilvl="0">
      <w:lvlJc w:val="left"/>
      <w:lvlText w:val="%1"/>
      <w:numFmt w:val="decimal"/>
      <w:start w:val="1"/>
    </w:lvl>
    <w:lvl w:ilvl="1">
      <w:lvlJc w:val="left"/>
      <w:lvlText w:val="(%2)"/>
      <w:numFmt w:val="lowerRoman"/>
      <w:start w:val="1"/>
    </w:lvl>
  </w:abstractNum>
  <w:abstractNum w:abstractNumId="16">
    <w:nsid w:val="374A3FE6"/>
    <w:multiLevelType w:val="hybridMultilevel"/>
    <w:lvl w:ilvl="0">
      <w:lvlJc w:val="left"/>
      <w:lvlText w:val="(%1)"/>
      <w:numFmt w:val="decimal"/>
      <w:start w:val="30"/>
    </w:lvl>
    <w:lvl w:ilvl="1">
      <w:lvlJc w:val="left"/>
      <w:lvlText w:val="(%2)"/>
      <w:numFmt w:val="lowerRoman"/>
      <w:start w:val="2"/>
    </w:lvl>
  </w:abstractNum>
  <w:abstractNum w:abstractNumId="17">
    <w:nsid w:val="4F4EF005"/>
    <w:multiLevelType w:val="hybridMultilevel"/>
    <w:lvl w:ilvl="0">
      <w:lvlJc w:val="left"/>
      <w:lvlText w:val="(%1)"/>
      <w:numFmt w:val="lowerLetter"/>
      <w:start w:val="2"/>
    </w:lvl>
  </w:abstractNum>
  <w:abstractNum w:abstractNumId="18">
    <w:nsid w:val="23F9C13C"/>
    <w:multiLevelType w:val="hybridMultilevel"/>
    <w:lvl w:ilvl="0">
      <w:lvlJc w:val="left"/>
      <w:lvlText w:val="(%1)"/>
      <w:numFmt w:val="lowerLetter"/>
      <w:start w:val="1"/>
    </w:lvl>
  </w:abstractNum>
  <w:abstractNum w:abstractNumId="19">
    <w:nsid w:val="649BB77C"/>
    <w:multiLevelType w:val="hybridMultilevel"/>
    <w:lvl w:ilvl="0">
      <w:lvlJc w:val="left"/>
      <w:lvlText w:val="(%1)"/>
      <w:numFmt w:val="lowerLetter"/>
      <w:start w:val="2"/>
    </w:lvl>
    <w:lvl w:ilvl="1">
      <w:lvlJc w:val="left"/>
      <w:lvlText w:val="(%2)"/>
      <w:numFmt w:val="lowerRoman"/>
      <w:start w:val="1"/>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1)"/>
      <w:numFmt w:val="lowerLetter"/>
      <w:start w:val="4"/>
    </w:lvl>
  </w:abstractNum>
  <w:abstractNum w:abstractNumId="22">
    <w:nsid w:val="1CF10FD8"/>
    <w:multiLevelType w:val="hybridMultilevel"/>
    <w:lvl w:ilvl="0">
      <w:lvlJc w:val="left"/>
      <w:lvlText w:val="(%1)"/>
      <w:numFmt w:val="lowerLetter"/>
      <w:start w:val="1"/>
    </w:lvl>
  </w:abstractNum>
  <w:abstractNum w:abstractNumId="23">
    <w:nsid w:val="180115BE"/>
    <w:multiLevelType w:val="hybridMultilevel"/>
    <w:lvl w:ilvl="0">
      <w:lvlJc w:val="left"/>
      <w:lvlText w:val="(%1)"/>
      <w:numFmt w:val="lowerLetter"/>
      <w:start w:val="2"/>
    </w:lvl>
  </w:abstractNum>
  <w:abstractNum w:abstractNumId="24">
    <w:nsid w:val="235BA861"/>
    <w:multiLevelType w:val="hybridMultilevel"/>
    <w:lvl w:ilvl="0">
      <w:lvlJc w:val="left"/>
      <w:lvlText w:val="(%1)"/>
      <w:numFmt w:val="lowerLetter"/>
      <w:start w:val="1"/>
    </w:lvl>
  </w:abstractNum>
  <w:abstractNum w:abstractNumId="25">
    <w:nsid w:val="47398C89"/>
    <w:multiLevelType w:val="hybridMultilevel"/>
    <w:lvl w:ilvl="0">
      <w:lvlJc w:val="left"/>
      <w:lvlText w:val="(%1)"/>
      <w:numFmt w:val="lowerLetter"/>
      <w:start w:val="4"/>
    </w:lvl>
  </w:abstractNum>
  <w:abstractNum w:abstractNumId="26">
    <w:nsid w:val="354FE9F9"/>
    <w:multiLevelType w:val="hybridMultilevel"/>
    <w:lvl w:ilvl="0">
      <w:lvlJc w:val="left"/>
      <w:lvlText w:val="(%1)"/>
      <w:numFmt w:val="lowerLetter"/>
      <w:start w:val="8"/>
    </w:lvl>
  </w:abstractNum>
  <w:abstractNum w:abstractNumId="27">
    <w:nsid w:val="15B5AF5C"/>
    <w:multiLevelType w:val="hybridMultilevel"/>
    <w:lvl w:ilvl="0">
      <w:lvlJc w:val="left"/>
      <w:lvlText w:val="%1"/>
      <w:numFmt w:val="lowerLetter"/>
      <w:start w:val="1"/>
    </w:lvl>
    <w:lvl w:ilvl="1">
      <w:lvlJc w:val="left"/>
      <w:lvlText w:val="(%2)"/>
      <w:numFmt w:val="lowerLetter"/>
      <w:start w:val="13"/>
    </w:lvl>
  </w:abstractNum>
  <w:abstractNum w:abstractNumId="28">
    <w:nsid w:val="741226BB"/>
    <w:multiLevelType w:val="hybridMultilevel"/>
    <w:lvl w:ilvl="0">
      <w:lvlJc w:val="left"/>
      <w:lvlText w:val="(%1)"/>
      <w:numFmt w:val="lowerLetter"/>
      <w:start w:val="4"/>
    </w:lvl>
    <w:lvl w:ilvl="1">
      <w:lvlJc w:val="left"/>
      <w:lvlText w:val="(%2)"/>
      <w:numFmt w:val="lowerLetter"/>
      <w:start w:val="16"/>
    </w:lvl>
  </w:abstractNum>
  <w:abstractNum w:abstractNumId="29">
    <w:nsid w:val="D34B6A8"/>
    <w:multiLevelType w:val="hybridMultilevel"/>
    <w:lvl w:ilvl="0">
      <w:lvlJc w:val="left"/>
      <w:lvlText w:val="(%1)"/>
      <w:numFmt w:val="lowerLetter"/>
      <w:start w:val="17"/>
    </w:lvl>
  </w:abstractNum>
  <w:abstractNum w:abstractNumId="30">
    <w:nsid w:val="10233C99"/>
    <w:multiLevelType w:val="hybridMultilevel"/>
    <w:lvl w:ilvl="0">
      <w:lvlJc w:val="left"/>
      <w:lvlText w:val="(%1)"/>
      <w:numFmt w:val="lowerLetter"/>
      <w:start w:val="21"/>
    </w:lvl>
  </w:abstractNum>
  <w:abstractNum w:abstractNumId="31">
    <w:nsid w:val="3F6AB60F"/>
    <w:multiLevelType w:val="hybridMultilevel"/>
    <w:lvl w:ilvl="0">
      <w:lvlJc w:val="left"/>
      <w:lvlText w:val="(%1)"/>
      <w:numFmt w:val="decimal"/>
      <w:start w:val="1"/>
    </w:lvl>
  </w:abstractNum>
  <w:abstractNum w:abstractNumId="32">
    <w:nsid w:val="61574095"/>
    <w:multiLevelType w:val="hybridMultilevel"/>
    <w:lvl w:ilvl="0">
      <w:lvlJc w:val="left"/>
      <w:lvlText w:val="(%1)"/>
      <w:numFmt w:val="lowerLetter"/>
      <w:start w:val="2"/>
    </w:lvl>
  </w:abstractNum>
  <w:abstractNum w:abstractNumId="33">
    <w:nsid w:val="7E0C57B1"/>
    <w:multiLevelType w:val="hybridMultilevel"/>
    <w:lvl w:ilvl="0">
      <w:lvlJc w:val="left"/>
      <w:lvlText w:val="(%1)"/>
      <w:numFmt w:val="lowerLetter"/>
      <w:start w:val="2"/>
    </w:lvl>
  </w:abstractNum>
  <w:abstractNum w:abstractNumId="34">
    <w:nsid w:val="77AE35EB"/>
    <w:multiLevelType w:val="hybridMultilevel"/>
    <w:lvl w:ilvl="0">
      <w:lvlJc w:val="left"/>
      <w:lvlText w:val="(%1)"/>
      <w:numFmt w:val="lowerRoman"/>
      <w:start w:val="3"/>
    </w:lvl>
  </w:abstractNum>
  <w:abstractNum w:abstractNumId="35">
    <w:nsid w:val="579BE4F1"/>
    <w:multiLevelType w:val="hybridMultilevel"/>
    <w:lvl w:ilvl="0">
      <w:lvlJc w:val="left"/>
      <w:lvlText w:val="(%1)"/>
      <w:numFmt w:val="lowerLetter"/>
      <w:start w:val="2"/>
    </w:lvl>
  </w:abstractNum>
  <w:abstractNum w:abstractNumId="36">
    <w:nsid w:val="310C50B3"/>
    <w:multiLevelType w:val="hybridMultilevel"/>
    <w:lvl w:ilvl="0">
      <w:lvlJc w:val="left"/>
      <w:lvlText w:val="(%1)"/>
      <w:numFmt w:val="lowerRoman"/>
      <w:start w:val="1"/>
    </w:lvl>
  </w:abstractNum>
  <w:abstractNum w:abstractNumId="37">
    <w:nsid w:val="5FF87E05"/>
    <w:multiLevelType w:val="hybridMultilevel"/>
    <w:lvl w:ilvl="0">
      <w:lvlJc w:val="left"/>
      <w:lvlText w:val="(%1)"/>
      <w:numFmt w:val="lowerRoman"/>
      <w:start w:val="6"/>
    </w:lvl>
  </w:abstractNum>
  <w:abstractNum w:abstractNumId="38">
    <w:nsid w:val="2F305DEF"/>
    <w:multiLevelType w:val="hybridMultilevel"/>
    <w:lvl w:ilvl="0">
      <w:lvlJc w:val="left"/>
      <w:lvlText w:val="(%1)"/>
      <w:numFmt w:val="lowerLetter"/>
      <w:start w:val="2"/>
    </w:lvl>
  </w:abstractNum>
  <w:abstractNum w:abstractNumId="39">
    <w:nsid w:val="25A70BF7"/>
    <w:multiLevelType w:val="hybridMultilevel"/>
    <w:lvl w:ilvl="0">
      <w:lvlJc w:val="left"/>
      <w:lvlText w:val="(%1)"/>
      <w:numFmt w:val="lowerRoman"/>
      <w:start w:val="1"/>
    </w:lvl>
  </w:abstractNum>
  <w:abstractNum w:abstractNumId="40">
    <w:nsid w:val="1DBABF00"/>
    <w:multiLevelType w:val="hybridMultilevel"/>
    <w:lvl w:ilvl="0">
      <w:lvlJc w:val="left"/>
      <w:lvlText w:val="(%1)"/>
      <w:numFmt w:val="lowerRoman"/>
      <w:start w:val="7"/>
    </w:lvl>
  </w:abstractNum>
  <w:abstractNum w:abstractNumId="41">
    <w:nsid w:val="4AD084E9"/>
    <w:multiLevelType w:val="hybridMultilevel"/>
    <w:lvl w:ilvl="0">
      <w:lvlJc w:val="left"/>
      <w:lvlText w:val="(%1)"/>
      <w:numFmt w:val="lowerRoman"/>
      <w:start w:val="1"/>
    </w:lvl>
  </w:abstractNum>
  <w:abstractNum w:abstractNumId="42">
    <w:nsid w:val="1F48EAA1"/>
    <w:multiLevelType w:val="hybridMultilevel"/>
    <w:lvl w:ilvl="0">
      <w:lvlJc w:val="left"/>
      <w:lvlText w:val="(%1)"/>
      <w:numFmt w:val="lowerRoman"/>
      <w:start w:val="6"/>
    </w:lvl>
  </w:abstractNum>
  <w:abstractNum w:abstractNumId="43">
    <w:nsid w:val="1381823A"/>
    <w:multiLevelType w:val="hybridMultilevel"/>
    <w:lvl w:ilvl="0">
      <w:lvlJc w:val="left"/>
      <w:lvlText w:val="(%1)"/>
      <w:numFmt w:val="lowerRoman"/>
      <w:start w:val="1"/>
    </w:lvl>
  </w:abstractNum>
  <w:abstractNum w:abstractNumId="44">
    <w:nsid w:val="5DB70AE5"/>
    <w:multiLevelType w:val="hybridMultilevel"/>
    <w:lvl w:ilvl="0">
      <w:lvlJc w:val="left"/>
      <w:lvlText w:val="(%1)"/>
      <w:numFmt w:val="lowerRoman"/>
      <w:start w:val="4"/>
    </w:lvl>
  </w:abstractNum>
  <w:abstractNum w:abstractNumId="45">
    <w:nsid w:val="100F8FCA"/>
    <w:multiLevelType w:val="hybridMultilevel"/>
    <w:lvl w:ilvl="0">
      <w:lvlJc w:val="left"/>
      <w:lvlText w:val="(%1)"/>
      <w:numFmt w:val="lowerRoman"/>
      <w:start w:val="15"/>
    </w:lvl>
  </w:abstractNum>
  <w:abstractNum w:abstractNumId="46">
    <w:nsid w:val="6590700B"/>
    <w:multiLevelType w:val="hybridMultilevel"/>
    <w:lvl w:ilvl="0">
      <w:lvlJc w:val="left"/>
      <w:lvlText w:val="(%1)"/>
      <w:numFmt w:val="lowerRoman"/>
      <w:start w:val="1"/>
    </w:lvl>
  </w:abstractNum>
  <w:abstractNum w:abstractNumId="47">
    <w:nsid w:val="15014ACB"/>
    <w:multiLevelType w:val="hybridMultilevel"/>
    <w:lvl w:ilvl="0">
      <w:lvlJc w:val="left"/>
      <w:lvlText w:val="(%1)"/>
      <w:numFmt w:val="lowerRoman"/>
      <w:start w:val="6"/>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0">
    <w:nsid w:val="799D0247"/>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9"/>
    </w:lvl>
  </w:abstractNum>
  <w:abstractNum w:abstractNumId="51">
    <w:nsid w:val="6B94764"/>
    <w:multiLevelType w:val="hybridMultilevel"/>
    <w:lvl w:ilvl="0">
      <w:lvlJc w:val="left"/>
      <w:lvlText w:val="(%1)"/>
      <w:numFmt w:val="lowerLetter"/>
      <w:start w:val="1"/>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2"/>
    </w:lvl>
  </w:abstractNum>
  <w:abstractNum w:abstractNumId="54">
    <w:nsid w:val="1EBA5D23"/>
    <w:multiLevelType w:val="hybridMultilevel"/>
    <w:lvl w:ilvl="0">
      <w:lvlJc w:val="left"/>
      <w:lvlText w:val="(%1)"/>
      <w:numFmt w:val="lowerLetter"/>
      <w:start w:val="1"/>
    </w:lvl>
  </w:abstractNum>
  <w:abstractNum w:abstractNumId="55">
    <w:nsid w:val="661E3F1E"/>
    <w:multiLevelType w:val="hybridMultilevel"/>
    <w:lvl w:ilvl="0">
      <w:lvlJc w:val="left"/>
      <w:lvlText w:val="(%1)"/>
      <w:numFmt w:val="lowerLetter"/>
      <w:start w:val="5"/>
    </w:lvl>
  </w:abstractNum>
  <w:abstractNum w:abstractNumId="56">
    <w:nsid w:val="5DC79EA8"/>
    <w:multiLevelType w:val="hybridMultilevel"/>
    <w:lvl w:ilvl="0">
      <w:lvlJc w:val="left"/>
      <w:lvlText w:val="%1"/>
      <w:numFmt w:val="lowerLetter"/>
      <w:start w:val="1"/>
    </w:lvl>
    <w:lvl w:ilvl="1">
      <w:lvlJc w:val="left"/>
      <w:lvlText w:val="(%2)"/>
      <w:numFmt w:val="lowerLetter"/>
      <w:start w:val="1"/>
    </w:lvl>
  </w:abstractNum>
  <w:abstractNum w:abstractNumId="57">
    <w:nsid w:val="540A471C"/>
    <w:multiLevelType w:val="hybridMultilevel"/>
    <w:lvl w:ilvl="0">
      <w:lvlJc w:val="left"/>
      <w:lvlText w:val="(%1)"/>
      <w:numFmt w:val="lowerLetter"/>
      <w:start w:val="35"/>
    </w:lvl>
    <w:lvl w:ilvl="1">
      <w:lvlJc w:val="left"/>
      <w:lvlText w:val="(%2)"/>
      <w:numFmt w:val="lowerLetter"/>
      <w:start w:val="2"/>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lowerLetter"/>
      <w:start w:val="2"/>
    </w:lvl>
  </w:abstractNum>
  <w:abstractNum w:abstractNumId="60">
    <w:nsid w:val="613EFDC5"/>
    <w:multiLevelType w:val="hybridMultilevel"/>
    <w:lvl w:ilvl="0">
      <w:lvlJc w:val="left"/>
      <w:lvlText w:val="(%1)"/>
      <w:numFmt w:val="lowerLetter"/>
      <w:start w:val="8"/>
    </w:lvl>
  </w:abstractNum>
  <w:abstractNum w:abstractNumId="61">
    <w:nsid w:val="BF72B14"/>
    <w:multiLevelType w:val="hybridMultilevel"/>
    <w:lvl w:ilvl="0">
      <w:lvlJc w:val="left"/>
      <w:lvlText w:val="(%1)"/>
      <w:numFmt w:val="lowerLetter"/>
      <w:start w:val="16"/>
    </w:lvl>
  </w:abstractNum>
  <w:abstractNum w:abstractNumId="62">
    <w:nsid w:val="11447B73"/>
    <w:multiLevelType w:val="hybridMultilevel"/>
    <w:lvl w:ilvl="0">
      <w:lvlJc w:val="left"/>
      <w:lvlText w:val="(%1)"/>
      <w:numFmt w:val="lowerLetter"/>
      <w:start w:val="2"/>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lowerLetter"/>
      <w:start w:val="6"/>
    </w:lvl>
  </w:abstractNum>
  <w:abstractNum w:abstractNumId="65">
    <w:nsid w:val="8F2B15E"/>
    <w:multiLevelType w:val="hybridMultilevel"/>
    <w:lvl w:ilvl="0">
      <w:lvlJc w:val="left"/>
      <w:lvlText w:val="(%1)"/>
      <w:numFmt w:val="lowerLetter"/>
      <w:start w:val="1"/>
    </w:lvl>
  </w:abstractNum>
  <w:abstractNum w:abstractNumId="66">
    <w:nsid w:val="1A32234B"/>
    <w:multiLevelType w:val="hybridMultilevel"/>
    <w:lvl w:ilvl="0">
      <w:lvlJc w:val="left"/>
      <w:lvlText w:val="(%1)"/>
      <w:numFmt w:val="lowerLetter"/>
      <w:start w:val="3"/>
    </w:lvl>
  </w:abstractNum>
  <w:abstractNum w:abstractNumId="67">
    <w:nsid w:val="3B0FD379"/>
    <w:multiLevelType w:val="hybridMultilevel"/>
    <w:lvl w:ilvl="0">
      <w:lvlJc w:val="left"/>
      <w:lvlText w:val="(%1)"/>
      <w:numFmt w:val="lowerLetter"/>
      <w:start w:val="3"/>
    </w:lvl>
  </w:abstractNum>
  <w:abstractNum w:abstractNumId="68">
    <w:nsid w:val="68EB2F63"/>
    <w:multiLevelType w:val="hybridMultilevel"/>
    <w:lvl w:ilvl="0">
      <w:lvlJc w:val="left"/>
      <w:lvlText w:val="(%1)"/>
      <w:numFmt w:val="lowerLetter"/>
      <w:start w:val="2"/>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lowerLetter"/>
      <w:start w:val="2"/>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decimal"/>
      <w:start w:val="45"/>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Roman"/>
      <w:start w:val="2"/>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2"/>
    </w:lvl>
  </w:abstractNum>
  <w:abstractNum w:abstractNumId="78">
    <w:nsid w:val="6EB5BD4"/>
    <w:multiLevelType w:val="hybridMultilevel"/>
    <w:lvl w:ilvl="0">
      <w:lvlJc w:val="left"/>
      <w:lvlText w:val="(%1)"/>
      <w:numFmt w:val="lowerLetter"/>
      <w:start w:val="3"/>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lowerLetter"/>
      <w:start w:val="5"/>
    </w:lvl>
  </w:abstractNum>
  <w:abstractNum w:abstractNumId="82">
    <w:nsid w:val="76272110"/>
    <w:multiLevelType w:val="hybridMultilevel"/>
    <w:lvl w:ilvl="0">
      <w:lvlJc w:val="left"/>
      <w:lvlText w:val="(%1)"/>
      <w:numFmt w:val="lowerLetter"/>
      <w:start w:val="2"/>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decimal"/>
      <w:start w:val="5"/>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decimal"/>
      <w:start w:val="5"/>
    </w:lvl>
  </w:abstractNum>
  <w:abstractNum w:abstractNumId="90">
    <w:nsid w:val="46B7D4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2022-08-04T05:34:57Z</dcterms:created>
  <dcterms:modified xsi:type="dcterms:W3CDTF">2022-08-04T05:34:57Z</dcterms:modified>
</cp:coreProperties>
</file>