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ind w:left="3324"/>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324"/>
        <w:spacing w:after="0"/>
        <w:tabs>
          <w:tab w:leader="none" w:pos="658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3588385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44"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9"/>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4"/>
          </w:cols>
          <w:pgMar w:left="436" w:top="368" w:right="439" w:bottom="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6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July 30, 2021, the registrant had 16,600,047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2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280" w:type="dxa"/>
            <w:vAlign w:val="bottom"/>
            <w:tcBorders>
              <w:top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9480" w:type="dxa"/>
            <w:vAlign w:val="bottom"/>
            <w:gridSpan w:val="21"/>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36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r>
      <w:tr>
        <w:trPr>
          <w:trHeight w:val="20"/>
        </w:trPr>
        <w:tc>
          <w:tcPr>
            <w:tcW w:w="11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4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0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2021 and December 31, 2020</w:t>
              </w:r>
            </w:hyperlink>
          </w:p>
        </w:tc>
        <w:tc>
          <w:tcPr>
            <w:tcW w:w="35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0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and Six Months Ended June 30, 2021 and 2020</w:t>
              </w:r>
            </w:hyperlink>
          </w:p>
        </w:tc>
        <w:tc>
          <w:tcPr>
            <w:tcW w:w="78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21"/>
          </w:tcPr>
          <w:p>
            <w:pPr>
              <w:ind w:left="20"/>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and Six Months Ended June 30, 2021 and 2020</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Months and Six Months Ended June 30, 2021 and 2020</w:t>
              </w:r>
            </w:hyperlink>
          </w:p>
        </w:tc>
        <w:tc>
          <w:tcPr>
            <w:tcW w:w="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21"/>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Six Months Ended June 30, 2021 and 2020</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38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10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1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80" w:type="dxa"/>
            <w:vAlign w:val="bottom"/>
            <w:gridSpan w:val="21"/>
          </w:tcPr>
          <w:p>
            <w:pPr>
              <w:ind w:left="2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ind w:left="20"/>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0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6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21"/>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86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62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14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Mine Safety Disclosures</w:t>
              </w:r>
            </w:hyperlink>
          </w:p>
        </w:tc>
        <w:tc>
          <w:tcPr>
            <w:tcW w:w="770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80" w:type="dxa"/>
            <w:vAlign w:val="bottom"/>
            <w:gridSpan w:val="21"/>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16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80" w:type="dxa"/>
            <w:vAlign w:val="bottom"/>
            <w:gridSpan w:val="21"/>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85"/>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80" w:type="dxa"/>
            <w:vAlign w:val="bottom"/>
            <w:gridSpan w:val="13"/>
          </w:tcPr>
          <w:p>
            <w:pPr>
              <w:jc w:val="right"/>
              <w:ind w:right="15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960"/>
          </w:cols>
          <w:pgMar w:left="440" w:top="297"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290,306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230,145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326,067</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327,955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45,222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56,710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 term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57,304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Preferred stock, par value $0.0001 per share authorized: 5,000,000 shares at June 30, 2021 and December 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1,969,797 shares issued and outstanding at June 30, 2021 and December 31, 2020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stock, par value $0.0001 per share authorized: 200,000,000 at June 30, 2021 and December 31, 2020;</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w w:val="93"/>
              </w:rPr>
              <w:t>16,599,522 and 15,508,146 shares issued and outstanding at June 30, 2021 and December 31, 2020, respectively</w:t>
            </w: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810,295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665,385</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(539,661)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(425,464)</w:t>
            </w:r>
          </w:p>
        </w:tc>
        <w:tc>
          <w:tcPr>
            <w:tcW w:w="0" w:type="dxa"/>
            <w:vAlign w:val="bottom"/>
          </w:tcPr>
          <w:p>
            <w:pPr>
              <w:spacing w:after="0"/>
              <w:rPr>
                <w:sz w:val="1"/>
                <w:szCs w:val="1"/>
                <w:color w:val="auto"/>
              </w:rPr>
            </w:pPr>
          </w:p>
        </w:tc>
      </w:tr>
      <w:tr>
        <w:trPr>
          <w:trHeight w:val="230"/>
        </w:trPr>
        <w:tc>
          <w:tcPr>
            <w:tcW w:w="89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270,651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327,955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214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55"/>
        </w:trPr>
        <w:tc>
          <w:tcPr>
            <w:tcW w:w="6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51,632</w:t>
            </w: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44,688</w:t>
            </w: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97,402</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78,088</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10,110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5,639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17,319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10,244</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61,742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88,332</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(61,742)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(50,327)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(114,721)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(88,332)</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1120" w:type="dxa"/>
            <w:vAlign w:val="bottom"/>
            <w:gridSpan w:val="2"/>
          </w:tcPr>
          <w:p>
            <w:pPr>
              <w:jc w:val="right"/>
              <w:ind w:right="22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3,074</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w:t>
            </w: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(114,197</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(3.72)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1"/>
              <w:spacing w:after="0"/>
              <w:rPr>
                <w:sz w:val="20"/>
                <w:szCs w:val="20"/>
                <w:color w:val="auto"/>
              </w:rPr>
            </w:pPr>
            <w:r>
              <w:rPr>
                <w:rFonts w:ascii="Arial" w:cs="Arial" w:eastAsia="Arial" w:hAnsi="Arial"/>
                <w:sz w:val="18"/>
                <w:szCs w:val="18"/>
                <w:color w:val="auto"/>
              </w:rPr>
              <w:t>(7.05)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6"/>
              </w:rPr>
              <w:t>16,571,322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8"/>
              </w:rPr>
              <w:t>15,433,348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88"/>
              </w:rPr>
              <w:t>16,207,880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15,431,251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97" w:right="459" w:bottom="1440" w:gutter="0" w:footer="0" w:header="0"/>
        </w:sectPr>
      </w:pPr>
    </w:p>
    <w:bookmarkStart w:id="5" w:name="page6"/>
    <w:bookmarkEnd w:id="5"/>
    <w:p>
      <w:pPr>
        <w:jc w:val="cente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MADRIGAL PHARMACEUTICALS, INC. CONDENSED CONSOLIDATED STATEMENTS OF COMPREHENSIVE LOSS (Unaudited;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60" w:type="dxa"/>
            <w:vAlign w:val="bottom"/>
            <w:gridSpan w:val="6"/>
          </w:tcPr>
          <w:p>
            <w:pPr>
              <w:jc w:val="center"/>
              <w:ind w:right="161"/>
              <w:spacing w:after="0"/>
              <w:rPr>
                <w:sz w:val="20"/>
                <w:szCs w:val="20"/>
                <w:color w:val="auto"/>
              </w:rPr>
            </w:pPr>
            <w:r>
              <w:rPr>
                <w:rFonts w:ascii="Arial" w:cs="Arial" w:eastAsia="Arial" w:hAnsi="Arial"/>
                <w:sz w:val="14"/>
                <w:szCs w:val="14"/>
                <w:b w:val="1"/>
                <w:bCs w:val="1"/>
                <w:color w:val="auto"/>
                <w:w w:val="93"/>
              </w:rPr>
              <w:t>Three Months Ended</w:t>
            </w:r>
          </w:p>
        </w:tc>
        <w:tc>
          <w:tcPr>
            <w:tcW w:w="1860" w:type="dxa"/>
            <w:vAlign w:val="bottom"/>
            <w:gridSpan w:val="5"/>
            <w:vMerge w:val="restart"/>
          </w:tcPr>
          <w:p>
            <w:pPr>
              <w:jc w:val="right"/>
              <w:ind w:right="61"/>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186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89"/>
              </w:rPr>
              <w:t>June 30,</w:t>
            </w: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80" w:type="dxa"/>
            <w:vAlign w:val="bottom"/>
          </w:tcPr>
          <w:p>
            <w:pPr>
              <w:spacing w:after="0"/>
              <w:rPr>
                <w:sz w:val="13"/>
                <w:szCs w:val="13"/>
                <w:color w:val="auto"/>
              </w:rPr>
            </w:pPr>
          </w:p>
        </w:tc>
        <w:tc>
          <w:tcPr>
            <w:tcW w:w="720" w:type="dxa"/>
            <w:vAlign w:val="bottom"/>
            <w:tcBorders>
              <w:top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(61,651)</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(49,023)</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(114,197)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666</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728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(61,622</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(48,357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(114,229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(84,293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513" w:right="459" w:bottom="1440" w:gutter="0" w:footer="0" w:header="0"/>
        </w:sectPr>
      </w:pPr>
    </w:p>
    <w:bookmarkStart w:id="6" w:name="page7"/>
    <w:bookmarkEnd w:id="6"/>
    <w:p>
      <w:pPr>
        <w:jc w:val="center"/>
        <w:ind w:right="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1"/>
              </w:rPr>
              <w:t>Preferred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2"/>
              </w:rPr>
              <w:t>Common stock</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1"/>
                <w:szCs w:val="11"/>
                <w:color w:val="auto"/>
              </w:rPr>
            </w:pPr>
          </w:p>
        </w:tc>
        <w:tc>
          <w:tcPr>
            <w:tcW w:w="10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140" w:type="dxa"/>
            <w:vAlign w:val="bottom"/>
          </w:tcPr>
          <w:p>
            <w:pPr>
              <w:spacing w:after="0"/>
              <w:rPr>
                <w:sz w:val="11"/>
                <w:szCs w:val="11"/>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1,969,797</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15,508,146</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$665,385</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(425,464)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239,970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Issuance of common shares in equity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offering, excluding to related parties,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net of transaction costs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550,803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66,616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options for services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6,096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loss on</w:t>
            </w:r>
          </w:p>
        </w:tc>
        <w:tc>
          <w:tcPr>
            <w:tcW w:w="7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marketable securities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(52,546)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1,969,797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16,063,199</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$738,575</w:t>
            </w:r>
          </w:p>
        </w:tc>
        <w:tc>
          <w:tcPr>
            <w:tcW w:w="4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(478,010)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260,553</w:t>
            </w: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Issuance of common shares in equity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offering, excluding to related parties,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net of transaction costs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536,323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63,541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for services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Unrealized gain 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520"/>
              <w:spacing w:after="0"/>
              <w:rPr>
                <w:sz w:val="20"/>
                <w:szCs w:val="20"/>
                <w:color w:val="auto"/>
              </w:rPr>
            </w:pPr>
            <w:r>
              <w:rPr>
                <w:rFonts w:ascii="Arial" w:cs="Arial" w:eastAsia="Arial" w:hAnsi="Arial"/>
                <w:sz w:val="18"/>
                <w:szCs w:val="18"/>
                <w:color w:val="auto"/>
              </w:rPr>
              <w:t>marketable securities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(61,651)</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1,969,797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16,599,522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810,295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(539,661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1,969,797</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15,429,154</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$639,567</w:t>
            </w:r>
          </w:p>
        </w:tc>
        <w:tc>
          <w:tcPr>
            <w:tcW w:w="4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(223,220)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416,565</w:t>
            </w: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options for services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gain on</w:t>
            </w:r>
          </w:p>
        </w:tc>
        <w:tc>
          <w:tcPr>
            <w:tcW w:w="7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marketable securities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(36,135)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shd w:val="clear" w:color="auto" w:fill="CCEEFF"/>
              </w:rPr>
              <w:t>)</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shd w:val="clear" w:color="auto" w:fill="CCEEFF"/>
              </w:rPr>
              <w:t>1,969,797</w:t>
            </w:r>
          </w:p>
        </w:tc>
        <w:tc>
          <w:tcPr>
            <w:tcW w:w="22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15,429,154</w:t>
            </w:r>
          </w:p>
        </w:tc>
        <w:tc>
          <w:tcPr>
            <w:tcW w:w="2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Borders>
              <w:left w:val="single" w:sz="8" w:color="CCEEFF"/>
            </w:tcBorders>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$644,413</w:t>
            </w:r>
          </w:p>
        </w:tc>
        <w:tc>
          <w:tcPr>
            <w:tcW w:w="42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415</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(259,355</w:t>
            </w:r>
          </w:p>
        </w:tc>
        <w:tc>
          <w:tcPr>
            <w:tcW w:w="120" w:type="dxa"/>
            <w:vAlign w:val="bottom"/>
            <w:vMerge w:val="continue"/>
            <w:shd w:val="clear" w:color="auto" w:fill="CCEEFF"/>
          </w:tcPr>
          <w:p>
            <w:pPr>
              <w:spacing w:after="0"/>
              <w:rPr>
                <w:sz w:val="19"/>
                <w:szCs w:val="19"/>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385,475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Compensation expense related to stock</w:t>
            </w:r>
          </w:p>
        </w:tc>
        <w:tc>
          <w:tcPr>
            <w:tcW w:w="7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options for services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02"/>
        </w:trPr>
        <w:tc>
          <w:tcPr>
            <w:tcW w:w="34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Unrealized gain 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340"/>
              <w:spacing w:after="0"/>
              <w:rPr>
                <w:sz w:val="20"/>
                <w:szCs w:val="20"/>
                <w:color w:val="auto"/>
              </w:rPr>
            </w:pPr>
            <w:r>
              <w:rPr>
                <w:rFonts w:ascii="Arial" w:cs="Arial" w:eastAsia="Arial" w:hAnsi="Arial"/>
                <w:sz w:val="18"/>
                <w:szCs w:val="18"/>
                <w:color w:val="auto"/>
              </w:rPr>
              <w:t>marketable securities</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(49,023)</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1,969,797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15,438,124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color w:val="auto"/>
                <w:w w:val="71"/>
              </w:rPr>
              <w:t>2</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650,211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(308,378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05" w:right="43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6"/>
        </w:trPr>
        <w:tc>
          <w:tcPr>
            <w:tcW w:w="90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(114,197)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(85,158)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904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23"/>
        </w:trPr>
        <w:tc>
          <w:tcPr>
            <w:tcW w:w="9040" w:type="dxa"/>
            <w:vAlign w:val="bottom"/>
          </w:tcPr>
          <w:p>
            <w:pPr>
              <w:ind w:left="108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(54,764)</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(224,071)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(153,869)</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163,328</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224,015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net of disposals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904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(60,789)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66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130,157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the exercise of common stock options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9040" w:type="dxa"/>
            <w:vAlign w:val="bottom"/>
          </w:tcPr>
          <w:p>
            <w:pPr>
              <w:ind w:left="13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130,635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23"/>
        </w:trPr>
        <w:tc>
          <w:tcPr>
            <w:tcW w:w="904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61,867</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Obtaining a right-of-use asset in exchange for a lease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121" w:right="459" w:bottom="144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4" w:right="7020" w:hanging="4"/>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4"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previously completed Phase 2 studies of resmetirom in NASH in May of 2018 and Heterozygous Familial Hypercholesterolemia (“HeFH”) in February of 2018.</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2021 or any subsequent period. These unaudited condensed consolidated financial statements should be read in conjunction with the audited consolidated financial statements and the notes to those statements for the year ended December 31, 2020.</w:t>
      </w:r>
    </w:p>
    <w:p>
      <w:pPr>
        <w:spacing w:after="0" w:line="282" w:lineRule="exact"/>
        <w:rPr>
          <w:sz w:val="20"/>
          <w:szCs w:val="20"/>
          <w:color w:val="auto"/>
        </w:rPr>
      </w:pPr>
    </w:p>
    <w:p>
      <w:pPr>
        <w:ind w:left="4" w:right="7440" w:hanging="4"/>
        <w:spacing w:after="0" w:line="378" w:lineRule="auto"/>
        <w:tabs>
          <w:tab w:leader="none" w:pos="18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ind w:left="4"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121" w:right="45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2021 and 2020, the Company determined it did not have any securities that were other-than-temporarily impaired.</w:t>
      </w:r>
    </w:p>
    <w:p>
      <w:pPr>
        <w:spacing w:after="0" w:line="19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2021 and 2020, the Company did not have any realized gains or losses on marketable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June 30, 2021,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2021 and 2020, the Company did not have any transfers of financial assets between Levels 1 and 2. As of June 30, 2021 and December 31, 2020, the Company did not have any financial liabilities that were recorded at fair value on a recurring basis on the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301"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Patents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six months ended June 30, 2021 and 2020,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405" w:right="47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summarizes outstanding securities not included in the computation of diluted net loss per common share, as their inclusion would be anti-dilutive:</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56"/>
        </w:trPr>
        <w:tc>
          <w:tcPr>
            <w:tcW w:w="65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2,268,787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1,820,142</w:t>
            </w:r>
          </w:p>
        </w:tc>
        <w:tc>
          <w:tcPr>
            <w:tcW w:w="60" w:type="dxa"/>
            <w:vAlign w:val="bottom"/>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Preferred stock</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1,969,797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1,969,797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incurred losses since inception, including approximately $114.2 million for the six months ended June 30, 2021, resulting in an accumulated deficit of approximately $539.7 million as of June 30, 2021. Management expects to incur losses for the foreseeable future. To date, the Company has funded its operations primarily through proceeds from sales of the Company’s capital stock. The Company believes that its cash, cash equivalents and marketable securities at June 30, 2021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2021 and December 31, 2020 is as follows (in thousands):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Unrealized</w:t>
            </w:r>
          </w:p>
        </w:tc>
        <w:tc>
          <w:tcPr>
            <w:tcW w:w="9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(Level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 (Level 2)</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2,650</w:t>
            </w:r>
          </w:p>
        </w:tc>
        <w:tc>
          <w:tcPr>
            <w:tcW w:w="14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272,824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272,840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U.S. government and government sponsored entities due within 1 year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date of purchase (Level 2)</w:t>
            </w: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 (Level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5,467</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323,831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323,846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301" w:right="45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01"/>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right"/>
              <w:ind w:right="400"/>
              <w:spacing w:after="0" w:line="147" w:lineRule="exact"/>
              <w:rPr>
                <w:sz w:val="20"/>
                <w:szCs w:val="20"/>
                <w:color w:val="auto"/>
              </w:rPr>
            </w:pPr>
            <w:r>
              <w:rPr>
                <w:rFonts w:ascii="Arial" w:cs="Arial" w:eastAsia="Arial" w:hAnsi="Arial"/>
                <w:sz w:val="14"/>
                <w:szCs w:val="14"/>
                <w:b w:val="1"/>
                <w:bCs w:val="1"/>
                <w:color w:val="auto"/>
                <w:w w:val="90"/>
              </w:rPr>
              <w:t>Unrealized</w:t>
            </w: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rPr>
              <w:t>Fair</w:t>
            </w:r>
          </w:p>
        </w:tc>
        <w:tc>
          <w:tcPr>
            <w:tcW w:w="40" w:type="dxa"/>
            <w:vAlign w:val="bottom"/>
            <w:gridSpan w:val="2"/>
          </w:tcPr>
          <w:p>
            <w:pPr>
              <w:spacing w:after="0"/>
              <w:rPr>
                <w:sz w:val="12"/>
                <w:szCs w:val="12"/>
                <w:color w:val="auto"/>
              </w:rPr>
            </w:pPr>
          </w:p>
        </w:tc>
      </w:tr>
      <w:tr>
        <w:trPr>
          <w:trHeight w:val="17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94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value</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(Level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53,288</w:t>
            </w:r>
          </w:p>
        </w:tc>
        <w:tc>
          <w:tcPr>
            <w:tcW w:w="2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227,172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227,216</w:t>
            </w:r>
          </w:p>
        </w:tc>
        <w:tc>
          <w:tcPr>
            <w:tcW w:w="20" w:type="dxa"/>
            <w:vAlign w:val="bottom"/>
          </w:tcPr>
          <w:p>
            <w:pPr>
              <w:spacing w:after="0"/>
              <w:rPr>
                <w:sz w:val="18"/>
                <w:szCs w:val="18"/>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2,929</w:t>
            </w:r>
          </w:p>
        </w:tc>
        <w:tc>
          <w:tcPr>
            <w:tcW w:w="20" w:type="dxa"/>
            <w:vAlign w:val="bottom"/>
            <w:shd w:val="clear" w:color="auto" w:fill="CCEEFF"/>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284,102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284,149</w:t>
            </w: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Accrued liabilities as of June 30, 2021 and December 31, 2020 consisted of the following (in thousands):</w:t>
      </w:r>
    </w:p>
    <w:p>
      <w:pPr>
        <w:sectPr>
          <w:pgSz w:w="11900" w:h="16838" w:orient="portrait"/>
          <w:cols w:equalWidth="0" w:num="1">
            <w:col w:w="10964"/>
          </w:cols>
          <w:pgMar w:left="436" w:top="832" w:right="4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Contract research organization costs</w:t>
      </w:r>
    </w:p>
    <w:p>
      <w:pPr>
        <w:spacing w:after="0" w:line="23"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Other clinical study related costs</w:t>
      </w:r>
    </w:p>
    <w:p>
      <w:pPr>
        <w:spacing w:after="0" w:line="23"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Compensation and benefits</w:t>
      </w:r>
    </w:p>
    <w:p>
      <w:pPr>
        <w:spacing w:after="0" w:line="9"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Professional fees</w:t>
      </w:r>
    </w:p>
    <w:p>
      <w:pPr>
        <w:spacing w:after="0" w:line="9"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Total accrued liabilities</w:t>
      </w:r>
    </w:p>
    <w:p>
      <w:pPr>
        <w:spacing w:after="0" w:line="396" w:lineRule="exact"/>
        <w:rPr>
          <w:sz w:val="20"/>
          <w:szCs w:val="20"/>
          <w:color w:val="auto"/>
        </w:rPr>
      </w:pPr>
    </w:p>
    <w:p>
      <w:pPr>
        <w:ind w:left="4" w:right="4440" w:hanging="4"/>
        <w:spacing w:after="0" w:line="425" w:lineRule="auto"/>
        <w:tabs>
          <w:tab w:leader="none" w:pos="18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5"/>
        </w:trPr>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35,419</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31,646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3,901</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3,583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18"/>
                <w:szCs w:val="18"/>
                <w:color w:val="auto"/>
              </w:rPr>
            </w:pPr>
          </w:p>
        </w:tc>
      </w:tr>
      <w:tr>
        <w:trPr>
          <w:trHeight w:val="229"/>
        </w:trPr>
        <w:tc>
          <w:tcPr>
            <w:tcW w:w="2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1,630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830</w:t>
            </w:r>
          </w:p>
        </w:tc>
      </w:tr>
      <w:tr>
        <w:trPr>
          <w:trHeight w:val="230"/>
        </w:trPr>
        <w:tc>
          <w:tcPr>
            <w:tcW w:w="20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8,951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55,240</w:t>
            </w: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45,222</w:t>
            </w:r>
          </w:p>
        </w:tc>
        <w:tc>
          <w:tcPr>
            <w:tcW w:w="20" w:type="dxa"/>
            <w:vAlign w:val="bottom"/>
            <w:tcBorders>
              <w:bottom w:val="single" w:sz="8" w:color="auto"/>
            </w:tcBorders>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-882650</wp:posOffset>
            </wp:positionV>
            <wp:extent cx="531495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-599440</wp:posOffset>
            </wp:positionV>
            <wp:extent cx="53149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-325120</wp:posOffset>
            </wp:positionV>
            <wp:extent cx="531495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958" w:lineRule="exact"/>
        <w:rPr>
          <w:sz w:val="20"/>
          <w:szCs w:val="20"/>
          <w:color w:val="auto"/>
        </w:rPr>
      </w:pPr>
    </w:p>
    <w:p>
      <w:pPr>
        <w:sectPr>
          <w:pgSz w:w="11900" w:h="16838" w:orient="portrait"/>
          <w:cols w:equalWidth="0" w:num="2">
            <w:col w:w="6244" w:space="720"/>
            <w:col w:w="4000"/>
          </w:cols>
          <w:pgMar w:left="436" w:top="832" w:right="499" w:bottom="1440" w:gutter="0" w:footer="0" w:header="0"/>
          <w:type w:val="continuous"/>
        </w:sectPr>
      </w:pPr>
    </w:p>
    <w:p>
      <w:pPr>
        <w:jc w:val="both"/>
        <w:ind w:left="4" w:right="40"/>
        <w:spacing w:after="0" w:line="263" w:lineRule="auto"/>
        <w:rPr>
          <w:sz w:val="20"/>
          <w:szCs w:val="20"/>
          <w:color w:val="auto"/>
        </w:rPr>
      </w:pPr>
      <w:r>
        <w:rPr>
          <w:rFonts w:ascii="Arial" w:cs="Arial" w:eastAsia="Arial" w:hAnsi="Arial"/>
          <w:sz w:val="18"/>
          <w:szCs w:val="18"/>
          <w:color w:val="auto"/>
        </w:rPr>
        <w:t>Each common stockholder generally is entitled to one vote for each share of common stock held, subject to limitations as may be established for certain other classes and series of stock of the Company from time to time. Each share of common stock is entitled to receive dividends, as and when declared by the Company’s board of directors.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832" w:right="4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At-The-Market Issuance Sales Agreement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June 30, 2021, 1,126,733 shares had been sold under the 2020 Sales Agreement for an aggregate of approximately $137.4 million in gross proceeds, with net proceeds to the Company of approximately $134.6 million after deducting commissions and other transaction costs. Of those shares sold, 1,087,126 were sold in 2021, and 39,607 were sold in 2020.</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2021, the Company filed with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As of June 30, 2021, $200 million remained reserved and unsold under the 2021 Sales Agreement and the Company’s related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June 30, 2021, the Company had options outstanding to purchase 2,268,787 shares of its common stock, which includes options outstanding under its 2006 Stock Plan. As of June 30, 2021, 1,700,910 shares were available for future issuance.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2021:</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1,837,540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517,559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(82,062)</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2,268,787</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1,399,458</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$0.5 million and $0.1 million, respectively, for the six months ended June 30, 2021 and 2020. The weighted-average grant date fair values, based on the Black-Scholes option model, of options granted during the six months ended June 30, 2021 and 2020 were $78.34 and $64.74,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97"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during the six months ended June 30, 2021 and 2020 was as follows (in thousands):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$ 8,179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$ 5,689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14,275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$ 8,179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$ 5,689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14,275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10,535</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$ 2,860</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$ 2,289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5,319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$ 8,179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$ 5,689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14,275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Unrecognized stock-based compensation expense on stock options as of June 30, 2021 was $56.7 million with a weighted average remaining period of 2.95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a Research, Development and Commercialization Agreement with Hoffmann-La Roche (“Roche”) which grants the Company a sole and exclusive license to develop, use, sell, offer for sale and import any Licensed Product as defined by the agreement. 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The Company has not achieved any additional product development or regulatory milestones and had no Licensed Product sales for the six months ended June 30, 2021 and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40" w:top="405" w:right="5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“allow,” “anticipates,” “be,” “believes,” “continue,” “could,” “demonstrates,” ”design,” “estimates,” “expects,” “forecasts,” “future,” “hopeful,” “inform,” “goal,” “intends,” “may,” “might,” “plans,” “potential,” “predicts,” ”predictive,” “projects,” “seeks,” “should,” “will,” “will achieve,” “would” or similar expressions and the negatives of those terms. In particular, forward-looking statements contained in or incorporated by reference to this Quarterly Report relate to, among other things,</w:t>
      </w:r>
    </w:p>
    <w:p>
      <w:pPr>
        <w:spacing w:after="0" w:line="72" w:lineRule="exact"/>
        <w:rPr>
          <w:sz w:val="20"/>
          <w:szCs w:val="20"/>
          <w:color w:val="auto"/>
        </w:rPr>
      </w:pPr>
    </w:p>
    <w:p>
      <w:pPr>
        <w:ind w:left="960" w:right="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possible or assumed future results of operations and expenses, business strategies and plans, capital needs and financing plans, market trends, competitive position, industry environment and potential growth opportunities,</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trials, research and development activities, and the timing and results associated with the future development of our lead product candidate, MGL-3196 (resmetirom), including sector leadership,</w:t>
      </w:r>
    </w:p>
    <w:p>
      <w:pPr>
        <w:spacing w:after="0" w:line="75"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completion of projected 2021 and 2022 clinical milestone events, including enrollment, top-line data and open label projections,</w:t>
      </w:r>
    </w:p>
    <w:p>
      <w:pPr>
        <w:spacing w:after="0" w:line="75" w:lineRule="exact"/>
        <w:rPr>
          <w:rFonts w:ascii="Arial" w:cs="Arial" w:eastAsia="Arial" w:hAnsi="Arial"/>
          <w:sz w:val="18"/>
          <w:szCs w:val="18"/>
          <w:color w:val="auto"/>
        </w:rPr>
      </w:pPr>
    </w:p>
    <w:p>
      <w:pPr>
        <w:ind w:left="960" w:right="180" w:hanging="424"/>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primary and secondary study endpoints for resmetirom, and the potential for achieving such endpoints and projections, including non-alcoholic steatohepatitis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ind w:left="960" w:right="30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nonalcoholic fatty liver disease (“NAFLD”) patient benefits with resmetirom,</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predictive power of resmetirom liver fat reduction on NASH resolution with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predictive power of liver fibrosis reduction with resmetirom using non-invasive tests and the predictive power of non-invasive tests generally, including for purposes of recruiting and conducting a NASH clinical trial,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meeting the objectives of our clinical studies, including, but not limited to our ability to achieve enrollment objectives concerning patient numbers (including an adequate safety database) and/or timing for our studies, any delays or failures in enrollment, the occurrence of adverse safety events, and the risks of successfully conducting trials that are substantially larger than our past trials,</w:t>
      </w:r>
    </w:p>
    <w:p>
      <w:pPr>
        <w:spacing w:after="0" w:line="92"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ability to accomplish our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are subject to a number of risks and uncertainties including, but not limited to: our clinical development of resmetirom; enrollment uncertainties, generally and in relation to COVID-19 shelter-in-place and social distancing measures and individual precautionary measures that may be implemented or continued for an uncertain period of time; outcomes or trends from competitive studies; future topline data timing or results; the risks of achieving potential benefits in studies that includes substantially more patients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2020, filed with the SEC on February 25, 2021, as well as in our other filings with the SEC. You should read the 2020 Annual Report on Form 10-K, this Quarterly Report, and the other documents that we file or have filed with the SEC, with the understanding that our actual future results may be materially different from the results expressed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97" w:right="459" w:bottom="144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or implied by these forward-looking statements.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440" w:top="301" w:right="5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 Management’s Discussion and Analysis of Financial Condition and Results of Operations.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2020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in this Form 10-Q and in the “Risk Factors” sections contained in Part I, Item 1A of our Annual Report on Form 10-K for the year ended December 31, 2020, filed with the SEC on February 25, 2021. Our operating results are not necessarily indicative of results that may occur for the full fiscal year or any other future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Our Patient Market Opportunity. </w:t>
      </w:r>
      <w:r>
        <w:rPr>
          <w:rFonts w:ascii="Arial" w:cs="Arial" w:eastAsia="Arial" w:hAnsi="Arial"/>
          <w:sz w:val="16"/>
          <w:szCs w:val="16"/>
          <w:color w:val="auto"/>
        </w:rPr>
        <w:t>NASH is a serious inflammatory form of nonalcoholic fatty liver disease, or NAFLD. NAFLD has become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2016, in the United States alone, NAFLD was estimated to affect approximately 26% of the population, or an estimated 85 million people, and approximately 20% of this population was projected to progress from NAFLD to NASH. Current estimates place NASH prevalence at approximately 17 million people in the United States, or five percent of the population. Slightly lower prevalence is seen in the EU and Asia, with approximately 2.5-4.5% of the population having NASH.</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Our Completed Studies. </w:t>
      </w:r>
      <w:r>
        <w:rPr>
          <w:rFonts w:ascii="Arial" w:cs="Arial" w:eastAsia="Arial" w:hAnsi="Arial"/>
          <w:sz w:val="17"/>
          <w:szCs w:val="17"/>
          <w:color w:val="auto"/>
        </w:rPr>
        <w:t>For NASH, we enrolled 125 patients in a Phase 2 clinical trial with resmetirom. We achieved the 12-week primary endpoint for</w:t>
      </w:r>
      <w:r>
        <w:rPr>
          <w:rFonts w:ascii="Arial" w:cs="Arial" w:eastAsia="Arial" w:hAnsi="Arial"/>
          <w:sz w:val="17"/>
          <w:szCs w:val="17"/>
          <w:i w:val="1"/>
          <w:iCs w:val="1"/>
          <w:color w:val="auto"/>
        </w:rPr>
        <w:t xml:space="preserve"> </w:t>
      </w:r>
      <w:r>
        <w:rPr>
          <w:rFonts w:ascii="Arial" w:cs="Arial" w:eastAsia="Arial" w:hAnsi="Arial"/>
          <w:sz w:val="17"/>
          <w:szCs w:val="17"/>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Our Ongoing and Planned Studies. </w:t>
      </w:r>
      <w:r>
        <w:rPr>
          <w:rFonts w:ascii="Arial" w:cs="Arial" w:eastAsia="Arial" w:hAnsi="Arial"/>
          <w:sz w:val="16"/>
          <w:szCs w:val="16"/>
          <w:color w:val="auto"/>
        </w:rPr>
        <w:t>On March 28, 2019, the Company announced that it had initiated MAESTRO-NASH, a Phase 3 trial in NASH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its once daily, oral thyroid hormone receptor beta selective agonist, resmetirom. This double-blind, placebo-controlled study is being conducted at more than 200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 On June 30, 2021 we announced achievement of target enrollment of patients to support the planned Subpart H (Accelerated Approval of New Drugs for Serious or Life-Threatening Illnesses) submission to the US Food and Drug Administration (FDA). On December 18, 2019 the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97" w:right="459" w:bottom="1440" w:gutter="0" w:footer="0" w:header="0"/>
        </w:sectPr>
      </w:pPr>
    </w:p>
    <w:bookmarkStart w:id="20" w:name="page21"/>
    <w:bookmarkEnd w:id="20"/>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with resmetirom doses of 80 mg or 100 mg or placebo. In October 2020, we completed enrollment of the double-blind, placebo-controlled arms of the study. Enrollment objectives for this study have been exceeded, with approximately 1,300 patients enrolled overall. The MAESTRO-NAFLD-1 study will help support the adequacy of the safety database at the time of NDA submission for subpart H approval for treatment of NASH in patients with F2 or F3 fibrosis (MAESTRO-NASH, NASH resolution surrogate endpoint). 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Effects on Madrigal</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April 2020 we announced that in response to guidance from regulatory agencies, measures for COVID-19 at impacted sites have been put in place for our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June 30, 2021 and year ended December 31, 2020, but it did introduce clinical trial and operational risks and uncertainties that are both general in nature and relate specifically to our MAESTRO-NASH study. These risks and uncertainties, which are beyond our control, are summarized in the section entitled “Risk Factors” in Part I, Item 1A of our Annual Report on Form 10-K for the year ended December 31, 2020, filed with the SEC on February 25,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2021 and 2020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301" w:right="47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non-R&amp;D employees, management costs, costs associated with obtaining and maintaining our patent portfolio, professional fees for accounting, auditing, consulting and legal services, liability insurance, and allocated overhead expenses. We expect that our general and administrative expenses may increase in the future as we advance our clinical and preclinical development programs for resmetirom and expand our operating activities, including substantially expanding our workforce for commercial hires, and maintaining and expanding our patent portfolio. We expect these potential increases will likely include management and personnel costs, legal fees, accounting fees, directors’ and officers’ liability insurance premiums and expenses associated with investor relations.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2021, as compared to those disclosed in our Annual Report on Form 10-K for the fiscal year ended December 31, 2020 filed with the SEC on February 25,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June 30, 2021 and 2020 (in thousands):</w:t>
      </w:r>
    </w:p>
    <w:p>
      <w:pPr>
        <w:spacing w:after="0" w:line="26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2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Increase / (Decrease)</w:t>
            </w:r>
          </w:p>
        </w:tc>
      </w:tr>
      <w:tr>
        <w:trPr>
          <w:trHeight w:val="155"/>
        </w:trPr>
        <w:tc>
          <w:tcPr>
            <w:tcW w:w="63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3"/>
                <w:szCs w:val="13"/>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44,688</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10,110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5,639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4,471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w:t>
            </w:r>
          </w:p>
        </w:tc>
      </w:tr>
      <w:tr>
        <w:trPr>
          <w:trHeight w:val="27"/>
        </w:trPr>
        <w:tc>
          <w:tcPr>
            <w:tcW w:w="6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49,023</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12,628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June 30,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research and development expenses were $51.6 million for the three months ended June 30, 2021, compared to $44.7 million in the corresponding period in 2020. Research and development expenses increased by $6.9 million in the 2021 period due primarily to the additional activities related to the Phase 3 clinical trials, and an increase in head count. We expect our research and development expenses to increase over time as we advance our clinical and preclinical development programs for resmetirom.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301"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General and Administrative Expenses</w:t>
      </w:r>
    </w:p>
    <w:p>
      <w:pPr>
        <w:spacing w:after="0" w:line="117"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Our general and administrative expenses were $10.1 million for the three months ended June 30, 2021, compared to $5.6 million in the corresponding period in 2020. General and administrative expenses increased by $4.5 million in the 2021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Our net interest income was $0.1 million for the three months ended June 30, 2021, compared to $1.2 million in the corresponding period in 2020. The decrease in interest income was due primarily to decreased interest rates over the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comparative unaudited results of operations for the six months ended June 30, 2021 and 2020 (in thousands):</w:t>
      </w:r>
    </w:p>
    <w:p>
      <w:pPr>
        <w:spacing w:after="0" w:line="26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Six Months Ended June 30,</w:t>
            </w:r>
          </w:p>
        </w:tc>
        <w:tc>
          <w:tcPr>
            <w:tcW w:w="15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Increase / (Decrease)</w:t>
            </w:r>
          </w:p>
        </w:tc>
      </w:tr>
      <w:tr>
        <w:trPr>
          <w:trHeight w:val="155"/>
        </w:trPr>
        <w:tc>
          <w:tcPr>
            <w:tcW w:w="65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3"/>
                <w:szCs w:val="13"/>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78,088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17,319</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10,244</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7,075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6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114,197</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85,158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29,039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six months ended June 30,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research and development expenses were $97.4 million for the six months ended June 30, 2021, compared to $78.1 million in the corresponding period in 2020. Research and development expenses increased by $19.3 million in the 2021 period due primarily to the additional activities related to the Phase 3 clinical trials, an increase in head count, and an increase in stock compensation expense. We expect our research and development expenses to increase over time as we advance our clinical and preclinical development programs for resmetirom.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general and administrative expenses were $17.3 million for the six months ended June 30, 2021, compared to $10.2 million in the corresponding period in 2020. General and administrative expenses increased by $7.1 million in the 2021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which will likely result in an increase in our headcount, commercially related activities, consulting services, and related overhead needed to support those efforts.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net interest income was $0.3 million for the six months ended June 30, 2021, compared to $3.1 million in the corresponding period in 2020. The decrease in interest income was due primarily to decreased interest rates over the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capital stock. Our most significant use of capital pertains to salaries and benefits for our employees, including clinical, scientific,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301" w:right="45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operational, commercial, financial and management personnel, and external research and development expenses, such as clinical trials and preclinical activity related to our product candidates.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June 30, 2021, we had cash, cash equivalents and marketable securities totaling $323.8 million compared to $284.1 million as of December 31, 2020, with the increase attributable to net proceeds of $130.2 million (reflecting $2.4 million in commissions plus other transaction expenses) raised from the sale of 1,087,126 shares under our at-the-market sales agreement, partially offset by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June 30, 2021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on Form 10-K for the year ended December 31, 2020, filed with the SEC on February 25, 2021. Our future long-term liquidity requirements will be substantial and will depend on many factors. To meet future long-term liquidity requirements, we will need to and intend to raise additional capital to fund our operations, primarily through equity or debt financings. We regularly consider fundraising opportunities and may decide, from time to time, to raise capital based on various factors, including market conditions and our plans of operation. This includes, but is not limited to, the use of the $200 million at-the-market sales agreement.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57"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56"/>
        </w:trPr>
        <w:tc>
          <w:tcPr>
            <w:tcW w:w="64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(90,310)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(54,764)</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(60,789)</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69,825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130,635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(20,464)</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operating activities was $90.3 million for the six months ended June 30, 2021, compared to $54.8 million for the corresponding period in 2020.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used in investing activities was $60.8 million for the six months ended June 30, 2021, compared to $69.8 million provided for the corresponding period in 2020. Net cash used in investing activities for the six months ended June 30, 2021 consisted of $224.1 million of purchases of marketable securities for our investment portfolio, partially offset by $163.3 million from sales and maturities of marketable securities. Net cash provided by investing activities for the six months ended June 30, 2020 consisted of $224.0 million from sales and maturities of marketable securities, partially offset by $153.9 million of purchases of marketable securities for our investment portfolio and $0.3 million of purchases of property and equipment.</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Net cash provided by financing activities was $130.6 million for the six months ended June 30, 2021, which consisted of $130.2 million from net proceeds from issuances of stock under our ATM and proceeds from the exercise of stock options. Financing activities for the corresponding period in 2020 consisted of proceeds from the exercise of stock options.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301"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Contractual Obligations and Commitments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significant changes to contractual obligations and commitments occurred during the six months ended June 30, 2021, as compared to those disclosed in our Annual Report on Form 10-K for the fiscal year ended December 31, 2020 filed with the SEC on February 25,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97"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40" w:top="297" w:right="559" w:bottom="1440" w:gutter="0" w:footer="0" w:header="0"/>
        </w:sectPr>
      </w:pPr>
    </w:p>
    <w:bookmarkStart w:id="26" w:name="page27"/>
    <w:bookmarkEnd w:id="26"/>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 II – OTHER INFORMATION</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to the risk factors included in detail in the “Risk Factors” sections appearing in Part I, Item 1A of our Annual Report on Form 10-K for the year ended December 31, 2020, filed with the SEC on February 25, 2021.</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440" w:top="297" w:right="639" w:bottom="1440" w:gutter="0" w:footer="0" w:header="0"/>
        </w:sectPr>
      </w:pPr>
    </w:p>
    <w:bookmarkStart w:id="27" w:name="page28"/>
    <w:bookmarkEnd w:id="2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EXHIBIT INDEX</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tcPr>
          <w:p>
            <w:pPr>
              <w:jc w:val="center"/>
              <w:ind w:right="353"/>
              <w:spacing w:after="0"/>
              <w:rPr>
                <w:sz w:val="20"/>
                <w:szCs w:val="20"/>
                <w:color w:val="auto"/>
              </w:rPr>
            </w:pPr>
            <w:r>
              <w:rPr>
                <w:rFonts w:ascii="Arial" w:cs="Arial" w:eastAsia="Arial" w:hAnsi="Arial"/>
                <w:sz w:val="14"/>
                <w:szCs w:val="14"/>
                <w:b w:val="1"/>
                <w:bCs w:val="1"/>
                <w:color w:val="auto"/>
                <w:w w:val="98"/>
              </w:rPr>
              <w:t>Exhibit</w:t>
            </w:r>
          </w:p>
        </w:tc>
        <w:tc>
          <w:tcPr>
            <w:tcW w:w="5500" w:type="dxa"/>
            <w:vAlign w:val="bottom"/>
            <w:gridSpan w:val="8"/>
            <w:vMerge w:val="restart"/>
          </w:tcPr>
          <w:p>
            <w:pPr>
              <w:ind w:left="206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Incorporated by Reference</w:t>
            </w: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1100" w:type="dxa"/>
            <w:vAlign w:val="bottom"/>
          </w:tcPr>
          <w:p>
            <w:pPr>
              <w:jc w:val="center"/>
              <w:ind w:right="353"/>
              <w:spacing w:after="0"/>
              <w:rPr>
                <w:sz w:val="20"/>
                <w:szCs w:val="20"/>
                <w:color w:val="auto"/>
              </w:rPr>
            </w:pPr>
            <w:r>
              <w:rPr>
                <w:rFonts w:ascii="Arial" w:cs="Arial" w:eastAsia="Arial" w:hAnsi="Arial"/>
                <w:sz w:val="14"/>
                <w:szCs w:val="14"/>
                <w:b w:val="1"/>
                <w:bCs w:val="1"/>
                <w:color w:val="auto"/>
                <w:w w:val="94"/>
              </w:rPr>
              <w:t>Number</w:t>
            </w:r>
          </w:p>
        </w:tc>
        <w:tc>
          <w:tcPr>
            <w:tcW w:w="5500" w:type="dxa"/>
            <w:vAlign w:val="bottom"/>
            <w:gridSpan w:val="8"/>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9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9"/>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5500" w:type="dxa"/>
            <w:vAlign w:val="bottom"/>
            <w:gridSpan w:val="8"/>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Principal Executive Officer pursuant to Rule 13a-14(a) or</w:t>
              </w:r>
            </w:hyperlink>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300" w:type="dxa"/>
            <w:vAlign w:val="bottom"/>
            <w:tcBorders>
              <w:top w:val="single" w:sz="8" w:color="0000EE"/>
            </w:tcBorders>
            <w:gridSpan w:val="7"/>
          </w:tcPr>
          <w:p>
            <w:pPr>
              <w:spacing w:after="0" w:line="196"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Rule 15d-14(a) of the Securities Exchange Act of 1934, as adopted</w:t>
              </w:r>
            </w:hyperlink>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tcPr>
          <w:p>
            <w:pPr>
              <w:spacing w:after="0"/>
              <w:rPr>
                <w:sz w:val="17"/>
                <w:szCs w:val="17"/>
                <w:color w:val="auto"/>
              </w:rPr>
            </w:pPr>
          </w:p>
        </w:tc>
        <w:tc>
          <w:tcPr>
            <w:tcW w:w="6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52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Principal Financial Officer pursuant to Rule 13a-14(a) or</w:t>
              </w:r>
            </w:hyperlink>
          </w:p>
        </w:tc>
        <w:tc>
          <w:tcPr>
            <w:tcW w:w="2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50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Rule 15d-14(a) of the Securities Exchange Act of 1934, as adopted</w:t>
              </w:r>
            </w:hyperlink>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tcPr>
          <w:p>
            <w:pPr>
              <w:spacing w:after="0"/>
              <w:rPr>
                <w:sz w:val="17"/>
                <w:szCs w:val="17"/>
                <w:color w:val="auto"/>
              </w:rPr>
            </w:pPr>
          </w:p>
        </w:tc>
        <w:tc>
          <w:tcPr>
            <w:tcW w:w="6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49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Certifications of Principal Executive Officer and Principal Financial</w:t>
              </w:r>
            </w:hyperlink>
          </w:p>
        </w:tc>
        <w:tc>
          <w:tcPr>
            <w:tcW w:w="5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Officer, pursuant to 18 U.S.C. Section 1350, as adopted pursuant to</w:t>
              </w:r>
            </w:hyperlink>
          </w:p>
        </w:tc>
        <w:tc>
          <w:tcPr>
            <w:tcW w:w="6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500" w:type="dxa"/>
            <w:vAlign w:val="bottom"/>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Section 906 of the Sarbanes-Oxley Act of 2002.</w:t>
              </w:r>
            </w:hyperlink>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204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00" w:type="dxa"/>
            <w:vAlign w:val="bottom"/>
          </w:tcPr>
          <w:p>
            <w:pPr>
              <w:jc w:val="center"/>
              <w:ind w:right="353"/>
              <w:spacing w:after="0"/>
              <w:rPr>
                <w:sz w:val="20"/>
                <w:szCs w:val="20"/>
                <w:color w:val="auto"/>
              </w:rPr>
            </w:pPr>
            <w:r>
              <w:rPr>
                <w:rFonts w:ascii="Arial" w:cs="Arial" w:eastAsia="Arial" w:hAnsi="Arial"/>
                <w:sz w:val="18"/>
                <w:szCs w:val="18"/>
                <w:color w:val="auto"/>
                <w:w w:val="90"/>
              </w:rPr>
              <w:t>101.SCH</w:t>
            </w:r>
          </w:p>
        </w:tc>
        <w:tc>
          <w:tcPr>
            <w:tcW w:w="55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00" w:type="dxa"/>
            <w:vAlign w:val="bottom"/>
          </w:tcPr>
          <w:p>
            <w:pPr>
              <w:jc w:val="center"/>
              <w:ind w:right="333"/>
              <w:spacing w:after="0"/>
              <w:rPr>
                <w:sz w:val="20"/>
                <w:szCs w:val="20"/>
                <w:color w:val="auto"/>
              </w:rPr>
            </w:pPr>
            <w:r>
              <w:rPr>
                <w:rFonts w:ascii="Arial" w:cs="Arial" w:eastAsia="Arial" w:hAnsi="Arial"/>
                <w:sz w:val="18"/>
                <w:szCs w:val="18"/>
                <w:color w:val="auto"/>
                <w:w w:val="97"/>
              </w:rPr>
              <w:t>101.CAL</w:t>
            </w:r>
          </w:p>
        </w:tc>
        <w:tc>
          <w:tcPr>
            <w:tcW w:w="55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00" w:type="dxa"/>
            <w:vAlign w:val="bottom"/>
          </w:tcPr>
          <w:p>
            <w:pPr>
              <w:jc w:val="center"/>
              <w:ind w:right="333"/>
              <w:spacing w:after="0"/>
              <w:rPr>
                <w:sz w:val="20"/>
                <w:szCs w:val="20"/>
                <w:color w:val="auto"/>
              </w:rPr>
            </w:pPr>
            <w:r>
              <w:rPr>
                <w:rFonts w:ascii="Arial" w:cs="Arial" w:eastAsia="Arial" w:hAnsi="Arial"/>
                <w:sz w:val="18"/>
                <w:szCs w:val="18"/>
                <w:color w:val="auto"/>
                <w:w w:val="98"/>
              </w:rPr>
              <w:t>101.LAB</w:t>
            </w:r>
          </w:p>
        </w:tc>
        <w:tc>
          <w:tcPr>
            <w:tcW w:w="55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00" w:type="dxa"/>
            <w:vAlign w:val="bottom"/>
          </w:tcPr>
          <w:p>
            <w:pPr>
              <w:jc w:val="center"/>
              <w:ind w:right="373"/>
              <w:spacing w:after="0"/>
              <w:rPr>
                <w:sz w:val="20"/>
                <w:szCs w:val="20"/>
                <w:color w:val="auto"/>
              </w:rPr>
            </w:pPr>
            <w:r>
              <w:rPr>
                <w:rFonts w:ascii="Arial" w:cs="Arial" w:eastAsia="Arial" w:hAnsi="Arial"/>
                <w:sz w:val="18"/>
                <w:szCs w:val="18"/>
                <w:color w:val="auto"/>
                <w:w w:val="88"/>
              </w:rPr>
              <w:t>101.PRE</w:t>
            </w:r>
          </w:p>
        </w:tc>
        <w:tc>
          <w:tcPr>
            <w:tcW w:w="55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1100" w:type="dxa"/>
            <w:vAlign w:val="bottom"/>
          </w:tcPr>
          <w:p>
            <w:pPr>
              <w:jc w:val="center"/>
              <w:ind w:right="353"/>
              <w:spacing w:after="0"/>
              <w:rPr>
                <w:sz w:val="20"/>
                <w:szCs w:val="20"/>
                <w:color w:val="auto"/>
              </w:rPr>
            </w:pPr>
            <w:r>
              <w:rPr>
                <w:rFonts w:ascii="Arial" w:cs="Arial" w:eastAsia="Arial" w:hAnsi="Arial"/>
                <w:sz w:val="18"/>
                <w:szCs w:val="18"/>
                <w:color w:val="auto"/>
                <w:w w:val="92"/>
              </w:rPr>
              <w:t>101.DEF</w:t>
            </w:r>
          </w:p>
        </w:tc>
        <w:tc>
          <w:tcPr>
            <w:tcW w:w="55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04" w:right="4840" w:hanging="1104"/>
        <w:spacing w:after="0" w:line="277" w:lineRule="auto"/>
        <w:tabs>
          <w:tab w:leader="none" w:pos="110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included in the Exhibit 101 Inline XBRL Document Set.</w:t>
      </w:r>
    </w:p>
    <w:p>
      <w:pPr>
        <w:spacing w:after="0" w:line="197" w:lineRule="exact"/>
        <w:rPr>
          <w:sz w:val="20"/>
          <w:szCs w:val="20"/>
          <w:color w:val="auto"/>
        </w:rPr>
      </w:pPr>
    </w:p>
    <w:p>
      <w:pPr>
        <w:ind w:left="424" w:hanging="424"/>
        <w:spacing w:after="0" w:line="259"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97" w:right="499" w:bottom="1440" w:gutter="0" w:footer="0" w:header="0"/>
        </w:sectPr>
      </w:pPr>
    </w:p>
    <w:bookmarkStart w:id="28" w:name="page29"/>
    <w:bookmarkEnd w:id="28"/>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MADRIGAL PHARMACEUTICALS,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A. Friedman,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 G. Howarth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60"/>
          </w:cols>
          <w:pgMar w:left="440" w:top="297" w:right="1199" w:bottom="1440" w:gutter="0" w:footer="0" w:header="0"/>
        </w:sectPr>
      </w:pPr>
    </w:p>
    <w:bookmarkStart w:id="29" w:name="page30"/>
    <w:bookmarkEnd w:id="29"/>
    <w:p>
      <w:pPr>
        <w:ind w:left="100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020"/>
          </w:cols>
          <w:pgMar w:left="440" w:top="121" w:right="43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ectPr>
          <w:pgSz w:w="11900" w:h="16838" w:orient="portrait"/>
          <w:cols w:equalWidth="0" w:num="1">
            <w:col w:w="11020"/>
          </w:cols>
          <w:pgMar w:left="440"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June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0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2021-08-05T06:01:17Z</dcterms:created>
  <dcterms:modified xsi:type="dcterms:W3CDTF">2021-08-05T06:01:17Z</dcterms:modified>
</cp:coreProperties>
</file>