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213995</wp:posOffset>
            </wp:positionV>
            <wp:extent cx="69951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257175</wp:posOffset>
            </wp:positionV>
            <wp:extent cx="69951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00" w:lineRule="exact"/>
        <w:rPr>
          <w:sz w:val="24"/>
          <w:szCs w:val="24"/>
          <w:color w:val="auto"/>
        </w:rPr>
      </w:pPr>
    </w:p>
    <w:p>
      <w:pPr>
        <w:spacing w:after="0" w:line="238"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9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218440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247015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80" w:lineRule="exact"/>
        <w:rPr>
          <w:sz w:val="24"/>
          <w:szCs w:val="24"/>
          <w:color w:val="auto"/>
        </w:rPr>
      </w:pPr>
    </w:p>
    <w:p>
      <w:pPr>
        <w:ind w:left="120"/>
        <w:spacing w:after="0"/>
        <w:rPr>
          <w:sz w:val="20"/>
          <w:szCs w:val="20"/>
          <w:color w:val="auto"/>
        </w:rPr>
      </w:pPr>
      <w:r>
        <w:rPr>
          <w:rFonts w:ascii="Arial" w:cs="Arial" w:eastAsia="Arial" w:hAnsi="Arial"/>
          <w:sz w:val="18"/>
          <w:szCs w:val="18"/>
          <w:b w:val="1"/>
          <w:bCs w:val="1"/>
          <w:color w:val="auto"/>
        </w:rPr>
        <w:t>(Mark One)</w:t>
      </w:r>
    </w:p>
    <w:p>
      <w:pPr>
        <w:spacing w:after="0" w:line="24" w:lineRule="exact"/>
        <w:rPr>
          <w:sz w:val="24"/>
          <w:szCs w:val="24"/>
          <w:color w:val="auto"/>
        </w:rPr>
      </w:pPr>
    </w:p>
    <w:p>
      <w:pPr>
        <w:ind w:left="660" w:right="340" w:hanging="436"/>
        <w:spacing w:after="0" w:line="236" w:lineRule="auto"/>
        <w:tabs>
          <w:tab w:leader="none" w:pos="66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190"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For the quarterly period ended September 30, 2021</w:t>
      </w:r>
    </w:p>
    <w:p>
      <w:pPr>
        <w:spacing w:after="0" w:line="225"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OR</w:t>
      </w:r>
    </w:p>
    <w:p>
      <w:pPr>
        <w:spacing w:after="0" w:line="243" w:lineRule="exact"/>
        <w:rPr>
          <w:sz w:val="24"/>
          <w:szCs w:val="24"/>
          <w:color w:val="auto"/>
        </w:rPr>
      </w:pPr>
    </w:p>
    <w:p>
      <w:pPr>
        <w:ind w:left="540" w:right="80" w:hanging="424"/>
        <w:spacing w:after="0" w:line="256" w:lineRule="auto"/>
        <w:tabs>
          <w:tab w:leader="none" w:pos="540" w:val="left"/>
        </w:tabs>
        <w:numPr>
          <w:ilvl w:val="0"/>
          <w:numId w:val="2"/>
        </w:numPr>
        <w:rPr>
          <w:rFonts w:ascii="MS PGothic" w:cs="MS PGothic" w:eastAsia="MS PGothic" w:hAnsi="MS PGothic"/>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171" w:lineRule="exact"/>
        <w:rPr>
          <w:sz w:val="24"/>
          <w:szCs w:val="24"/>
          <w:color w:val="auto"/>
        </w:rPr>
      </w:pPr>
    </w:p>
    <w:p>
      <w:pPr>
        <w:ind w:left="3440"/>
        <w:spacing w:after="0"/>
        <w:tabs>
          <w:tab w:leader="none" w:pos="67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3"/>
          <w:szCs w:val="13"/>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3662045</wp:posOffset>
            </wp:positionH>
            <wp:positionV relativeFrom="paragraph">
              <wp:posOffset>-7620</wp:posOffset>
            </wp:positionV>
            <wp:extent cx="129476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94765" cy="8255"/>
                    </a:xfrm>
                    <a:prstGeom prst="rect">
                      <a:avLst/>
                    </a:prstGeom>
                    <a:noFill/>
                  </pic:spPr>
                </pic:pic>
              </a:graphicData>
            </a:graphic>
          </wp:anchor>
        </w:drawing>
      </w:r>
    </w:p>
    <w:p>
      <w:pPr>
        <w:spacing w:after="0" w:line="205"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Commission file number: 001-33277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240030</wp:posOffset>
            </wp:positionV>
            <wp:extent cx="14744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44" w:lineRule="exact"/>
        <w:rPr>
          <w:sz w:val="24"/>
          <w:szCs w:val="24"/>
          <w:color w:val="auto"/>
        </w:rPr>
      </w:pPr>
    </w:p>
    <w:p>
      <w:pPr>
        <w:jc w:val="center"/>
        <w:ind w:right="-99"/>
        <w:spacing w:after="0"/>
        <w:rPr>
          <w:sz w:val="20"/>
          <w:szCs w:val="20"/>
          <w:color w:val="auto"/>
        </w:rPr>
      </w:pPr>
      <w:r>
        <w:rPr>
          <w:rFonts w:ascii="Arial" w:cs="Arial" w:eastAsia="Arial" w:hAnsi="Arial"/>
          <w:sz w:val="43"/>
          <w:szCs w:val="43"/>
          <w:b w:val="1"/>
          <w:bCs w:val="1"/>
          <w:color w:val="auto"/>
        </w:rPr>
        <w:t>MADRIGAL PHARMACEUTICALS, INC.</w:t>
      </w:r>
    </w:p>
    <w:p>
      <w:pPr>
        <w:spacing w:after="0" w:line="50"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236220</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90" w:lineRule="exact"/>
        <w:rPr>
          <w:sz w:val="24"/>
          <w:szCs w:val="24"/>
          <w:color w:val="auto"/>
        </w:rPr>
      </w:pPr>
    </w:p>
    <w:tbl>
      <w:tblPr>
        <w:tblLayout w:type="fixed"/>
        <w:tblInd w:w="1560" w:type="dxa"/>
        <w:tblCellMar>
          <w:top w:w="0" w:type="dxa"/>
          <w:left w:w="0" w:type="dxa"/>
          <w:bottom w:w="0" w:type="dxa"/>
          <w:right w:w="0" w:type="dxa"/>
        </w:tblCellMar>
      </w:tblPr>
      <w:tr>
        <w:trPr>
          <w:trHeight w:val="212"/>
        </w:trPr>
        <w:tc>
          <w:tcPr>
            <w:tcW w:w="4500" w:type="dxa"/>
            <w:vAlign w:val="bottom"/>
          </w:tcPr>
          <w:p>
            <w:pPr>
              <w:jc w:val="center"/>
              <w:ind w:right="1738"/>
              <w:spacing w:after="0"/>
              <w:rPr>
                <w:sz w:val="20"/>
                <w:szCs w:val="20"/>
                <w:color w:val="auto"/>
              </w:rPr>
            </w:pPr>
            <w:r>
              <w:rPr>
                <w:rFonts w:ascii="Arial" w:cs="Arial" w:eastAsia="Arial" w:hAnsi="Arial"/>
                <w:sz w:val="18"/>
                <w:szCs w:val="18"/>
                <w:b w:val="1"/>
                <w:bCs w:val="1"/>
                <w:color w:val="auto"/>
                <w:w w:val="91"/>
              </w:rPr>
              <w:t>Delaware</w:t>
            </w:r>
          </w:p>
        </w:tc>
        <w:tc>
          <w:tcPr>
            <w:tcW w:w="2960" w:type="dxa"/>
            <w:vAlign w:val="bottom"/>
          </w:tcPr>
          <w:p>
            <w:pPr>
              <w:jc w:val="right"/>
              <w:ind w:right="41"/>
              <w:spacing w:after="0"/>
              <w:rPr>
                <w:sz w:val="20"/>
                <w:szCs w:val="20"/>
                <w:color w:val="auto"/>
              </w:rPr>
            </w:pPr>
            <w:r>
              <w:rPr>
                <w:rFonts w:ascii="Arial" w:cs="Arial" w:eastAsia="Arial" w:hAnsi="Arial"/>
                <w:sz w:val="18"/>
                <w:szCs w:val="18"/>
                <w:b w:val="1"/>
                <w:bCs w:val="1"/>
                <w:color w:val="auto"/>
              </w:rPr>
              <w:t>04-3508648</w:t>
            </w:r>
          </w:p>
        </w:tc>
      </w:tr>
      <w:tr>
        <w:trPr>
          <w:trHeight w:val="148"/>
        </w:trPr>
        <w:tc>
          <w:tcPr>
            <w:tcW w:w="4500" w:type="dxa"/>
            <w:vAlign w:val="bottom"/>
          </w:tcPr>
          <w:p>
            <w:pPr>
              <w:jc w:val="center"/>
              <w:ind w:right="1738"/>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2960" w:type="dxa"/>
            <w:vAlign w:val="bottom"/>
          </w:tcPr>
          <w:p>
            <w:pPr>
              <w:jc w:val="center"/>
              <w:ind w:left="176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500" w:type="dxa"/>
            <w:vAlign w:val="bottom"/>
          </w:tcPr>
          <w:p>
            <w:pPr>
              <w:jc w:val="center"/>
              <w:ind w:right="1738"/>
              <w:spacing w:after="0"/>
              <w:rPr>
                <w:sz w:val="20"/>
                <w:szCs w:val="20"/>
                <w:color w:val="auto"/>
              </w:rPr>
            </w:pPr>
            <w:r>
              <w:rPr>
                <w:rFonts w:ascii="Arial" w:cs="Arial" w:eastAsia="Arial" w:hAnsi="Arial"/>
                <w:sz w:val="14"/>
                <w:szCs w:val="14"/>
                <w:b w:val="1"/>
                <w:bCs w:val="1"/>
                <w:color w:val="auto"/>
                <w:w w:val="94"/>
              </w:rPr>
              <w:t>incorporation or organization)</w:t>
            </w:r>
          </w:p>
        </w:tc>
        <w:tc>
          <w:tcPr>
            <w:tcW w:w="2960" w:type="dxa"/>
            <w:vAlign w:val="bottom"/>
          </w:tcPr>
          <w:p>
            <w:pPr>
              <w:jc w:val="center"/>
              <w:ind w:left="1761"/>
              <w:spacing w:after="0"/>
              <w:rPr>
                <w:sz w:val="20"/>
                <w:szCs w:val="20"/>
                <w:color w:val="auto"/>
              </w:rPr>
            </w:pPr>
            <w:r>
              <w:rPr>
                <w:rFonts w:ascii="Arial" w:cs="Arial" w:eastAsia="Arial" w:hAnsi="Arial"/>
                <w:sz w:val="14"/>
                <w:szCs w:val="14"/>
                <w:b w:val="1"/>
                <w:bCs w:val="1"/>
                <w:color w:val="auto"/>
                <w:w w:val="94"/>
              </w:rPr>
              <w:t>Identification No.)</w:t>
            </w:r>
          </w:p>
        </w:tc>
      </w:tr>
      <w:tr>
        <w:trPr>
          <w:trHeight w:val="304"/>
        </w:trPr>
        <w:tc>
          <w:tcPr>
            <w:tcW w:w="4500" w:type="dxa"/>
            <w:vAlign w:val="bottom"/>
          </w:tcPr>
          <w:p>
            <w:pPr>
              <w:jc w:val="center"/>
              <w:ind w:right="1738"/>
              <w:spacing w:after="0"/>
              <w:rPr>
                <w:sz w:val="20"/>
                <w:szCs w:val="20"/>
                <w:color w:val="auto"/>
              </w:rPr>
            </w:pPr>
            <w:r>
              <w:rPr>
                <w:rFonts w:ascii="Arial" w:cs="Arial" w:eastAsia="Arial" w:hAnsi="Arial"/>
                <w:sz w:val="18"/>
                <w:szCs w:val="18"/>
                <w:b w:val="1"/>
                <w:bCs w:val="1"/>
                <w:color w:val="auto"/>
                <w:w w:val="92"/>
              </w:rPr>
              <w:t>Four Tower Bridge</w:t>
            </w:r>
          </w:p>
        </w:tc>
        <w:tc>
          <w:tcPr>
            <w:tcW w:w="2960" w:type="dxa"/>
            <w:vAlign w:val="bottom"/>
          </w:tcPr>
          <w:p>
            <w:pPr>
              <w:spacing w:after="0"/>
              <w:rPr>
                <w:sz w:val="24"/>
                <w:szCs w:val="24"/>
                <w:color w:val="auto"/>
              </w:rPr>
            </w:pPr>
          </w:p>
        </w:tc>
      </w:tr>
      <w:tr>
        <w:trPr>
          <w:trHeight w:val="216"/>
        </w:trPr>
        <w:tc>
          <w:tcPr>
            <w:tcW w:w="4500" w:type="dxa"/>
            <w:vAlign w:val="bottom"/>
          </w:tcPr>
          <w:p>
            <w:pPr>
              <w:jc w:val="center"/>
              <w:ind w:right="1758"/>
              <w:spacing w:after="0"/>
              <w:rPr>
                <w:sz w:val="20"/>
                <w:szCs w:val="20"/>
                <w:color w:val="auto"/>
              </w:rPr>
            </w:pPr>
            <w:r>
              <w:rPr>
                <w:rFonts w:ascii="Arial" w:cs="Arial" w:eastAsia="Arial" w:hAnsi="Arial"/>
                <w:sz w:val="18"/>
                <w:szCs w:val="18"/>
                <w:b w:val="1"/>
                <w:bCs w:val="1"/>
                <w:color w:val="auto"/>
                <w:w w:val="93"/>
              </w:rPr>
              <w:t>200 Barr Harbor Drive, Suite 200</w:t>
            </w:r>
          </w:p>
        </w:tc>
        <w:tc>
          <w:tcPr>
            <w:tcW w:w="2960" w:type="dxa"/>
            <w:vAlign w:val="bottom"/>
          </w:tcPr>
          <w:p>
            <w:pPr>
              <w:spacing w:after="0"/>
              <w:rPr>
                <w:sz w:val="18"/>
                <w:szCs w:val="18"/>
                <w:color w:val="auto"/>
              </w:rPr>
            </w:pPr>
          </w:p>
        </w:tc>
      </w:tr>
      <w:tr>
        <w:trPr>
          <w:trHeight w:val="225"/>
        </w:trPr>
        <w:tc>
          <w:tcPr>
            <w:tcW w:w="4500" w:type="dxa"/>
            <w:vAlign w:val="bottom"/>
          </w:tcPr>
          <w:p>
            <w:pPr>
              <w:jc w:val="center"/>
              <w:ind w:right="1758"/>
              <w:spacing w:after="0"/>
              <w:rPr>
                <w:sz w:val="20"/>
                <w:szCs w:val="20"/>
                <w:color w:val="auto"/>
              </w:rPr>
            </w:pPr>
            <w:r>
              <w:rPr>
                <w:rFonts w:ascii="Arial" w:cs="Arial" w:eastAsia="Arial" w:hAnsi="Arial"/>
                <w:sz w:val="18"/>
                <w:szCs w:val="18"/>
                <w:b w:val="1"/>
                <w:bCs w:val="1"/>
                <w:color w:val="auto"/>
                <w:w w:val="87"/>
              </w:rPr>
              <w:t>West Conshohocken, Pennsylvania</w:t>
            </w:r>
          </w:p>
        </w:tc>
        <w:tc>
          <w:tcPr>
            <w:tcW w:w="2960" w:type="dxa"/>
            <w:vAlign w:val="bottom"/>
          </w:tcPr>
          <w:p>
            <w:pPr>
              <w:jc w:val="right"/>
              <w:ind w:right="261"/>
              <w:spacing w:after="0"/>
              <w:rPr>
                <w:sz w:val="20"/>
                <w:szCs w:val="20"/>
                <w:color w:val="auto"/>
              </w:rPr>
            </w:pPr>
            <w:r>
              <w:rPr>
                <w:rFonts w:ascii="Arial" w:cs="Arial" w:eastAsia="Arial" w:hAnsi="Arial"/>
                <w:sz w:val="18"/>
                <w:szCs w:val="18"/>
                <w:b w:val="1"/>
                <w:bCs w:val="1"/>
                <w:color w:val="auto"/>
              </w:rPr>
              <w:t>19428</w:t>
            </w:r>
          </w:p>
        </w:tc>
      </w:tr>
      <w:tr>
        <w:trPr>
          <w:trHeight w:val="186"/>
        </w:trPr>
        <w:tc>
          <w:tcPr>
            <w:tcW w:w="4500" w:type="dxa"/>
            <w:vAlign w:val="bottom"/>
          </w:tcPr>
          <w:p>
            <w:pPr>
              <w:jc w:val="center"/>
              <w:ind w:right="1758"/>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960" w:type="dxa"/>
            <w:vAlign w:val="bottom"/>
          </w:tcPr>
          <w:p>
            <w:pPr>
              <w:jc w:val="center"/>
              <w:ind w:left="1761"/>
              <w:spacing w:after="0"/>
              <w:rPr>
                <w:sz w:val="20"/>
                <w:szCs w:val="20"/>
                <w:color w:val="auto"/>
              </w:rPr>
            </w:pPr>
            <w:r>
              <w:rPr>
                <w:rFonts w:ascii="Arial" w:cs="Arial" w:eastAsia="Arial" w:hAnsi="Arial"/>
                <w:sz w:val="14"/>
                <w:szCs w:val="14"/>
                <w:b w:val="1"/>
                <w:bCs w:val="1"/>
                <w:color w:val="auto"/>
                <w:w w:val="98"/>
              </w:rPr>
              <w:t>(Zip Code)</w:t>
            </w:r>
          </w:p>
        </w:tc>
      </w:tr>
    </w:tbl>
    <w:p>
      <w:pPr>
        <w:spacing w:after="0" w:line="183"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Registrant’s telephone number, including area code: (267) 824-2827</w:t>
      </w:r>
    </w:p>
    <w:p>
      <w:pPr>
        <w:spacing w:after="0" w:line="221"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Former name, former address and former fiscal year,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229235</wp:posOffset>
            </wp:positionV>
            <wp:extent cx="147447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52"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235" w:lineRule="exact"/>
        <w:rPr>
          <w:sz w:val="24"/>
          <w:szCs w:val="24"/>
          <w:color w:val="auto"/>
        </w:rPr>
      </w:pPr>
    </w:p>
    <w:tbl>
      <w:tblPr>
        <w:tblLayout w:type="fixed"/>
        <w:tblInd w:w="120"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Common Stock, $0.0001 Par Value Per Share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rPr>
              <w:t>MDGL</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6"/>
              </w:rPr>
              <w:t>The NASDAQ Stock Market LLC</w:t>
            </w:r>
          </w:p>
        </w:tc>
        <w:tc>
          <w:tcPr>
            <w:tcW w:w="0" w:type="dxa"/>
            <w:vAlign w:val="bottom"/>
          </w:tcPr>
          <w:p>
            <w:pPr>
              <w:spacing w:after="0"/>
              <w:rPr>
                <w:sz w:val="1"/>
                <w:szCs w:val="1"/>
                <w:color w:val="auto"/>
              </w:rPr>
            </w:pPr>
          </w:p>
        </w:tc>
      </w:tr>
    </w:tbl>
    <w:p>
      <w:pPr>
        <w:spacing w:after="0" w:line="179"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Securities registered pursuant to Section 12(g) of the Exchange Act: 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240030</wp:posOffset>
            </wp:positionV>
            <wp:extent cx="147447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74" w:lineRule="exact"/>
        <w:rPr>
          <w:sz w:val="24"/>
          <w:szCs w:val="24"/>
          <w:color w:val="auto"/>
        </w:rPr>
      </w:pPr>
    </w:p>
    <w:p>
      <w:pPr>
        <w:ind w:left="120" w:right="80"/>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MS PGothic" w:cs="MS PGothic" w:eastAsia="MS PGothic" w:hAnsi="MS PGothic"/>
          <w:sz w:val="18"/>
          <w:szCs w:val="18"/>
          <w:color w:val="auto"/>
        </w:rPr>
        <w:t>☒</w:t>
      </w:r>
      <w:r>
        <w:rPr>
          <w:rFonts w:ascii="Arial" w:cs="Arial" w:eastAsia="Arial" w:hAnsi="Arial"/>
          <w:sz w:val="18"/>
          <w:szCs w:val="18"/>
          <w:color w:val="auto"/>
        </w:rPr>
        <w:t xml:space="preserve"> Yes </w:t>
      </w: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p>
      <w:pPr>
        <w:spacing w:after="0" w:line="184" w:lineRule="exact"/>
        <w:rPr>
          <w:sz w:val="24"/>
          <w:szCs w:val="24"/>
          <w:color w:val="auto"/>
        </w:rPr>
      </w:pPr>
    </w:p>
    <w:p>
      <w:pPr>
        <w:ind w:left="120" w:right="160"/>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r>
        <w:rPr>
          <w:rFonts w:ascii="MS PGothic" w:cs="MS PGothic" w:eastAsia="MS PGothic" w:hAnsi="MS PGothic"/>
          <w:sz w:val="18"/>
          <w:szCs w:val="18"/>
          <w:color w:val="auto"/>
        </w:rPr>
        <w:t>☒</w:t>
      </w:r>
      <w:r>
        <w:rPr>
          <w:rFonts w:ascii="Arial" w:cs="Arial" w:eastAsia="Arial" w:hAnsi="Arial"/>
          <w:sz w:val="18"/>
          <w:szCs w:val="18"/>
          <w:color w:val="auto"/>
        </w:rPr>
        <w:t xml:space="preserve"> Yes </w:t>
      </w: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p>
      <w:pPr>
        <w:spacing w:after="0" w:line="184" w:lineRule="exact"/>
        <w:rPr>
          <w:sz w:val="24"/>
          <w:szCs w:val="24"/>
          <w:color w:val="auto"/>
        </w:rPr>
      </w:pPr>
    </w:p>
    <w:p>
      <w:pPr>
        <w:ind w:left="120" w:right="140"/>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140"/>
          </w:cols>
          <w:pgMar w:left="320" w:top="230" w:right="439" w:bottom="0" w:gutter="0" w:footer="0" w:header="0"/>
        </w:sectPr>
      </w:pPr>
    </w:p>
    <w:p>
      <w:pPr>
        <w:spacing w:after="0" w:line="211" w:lineRule="exact"/>
        <w:rPr>
          <w:sz w:val="24"/>
          <w:szCs w:val="24"/>
          <w:color w:val="auto"/>
        </w:rPr>
      </w:pPr>
    </w:p>
    <w:p>
      <w:pPr>
        <w:ind w:left="120"/>
        <w:spacing w:after="0"/>
        <w:rPr>
          <w:sz w:val="20"/>
          <w:szCs w:val="20"/>
          <w:color w:val="auto"/>
        </w:rPr>
      </w:pPr>
      <w:r>
        <w:rPr>
          <w:rFonts w:ascii="Arial" w:cs="Arial" w:eastAsia="Arial" w:hAnsi="Arial"/>
          <w:sz w:val="16"/>
          <w:szCs w:val="16"/>
          <w:color w:val="auto"/>
        </w:rPr>
        <w:t>Large accelerated filer</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91" w:lineRule="exact"/>
        <w:rPr>
          <w:sz w:val="24"/>
          <w:szCs w:val="24"/>
          <w:color w:val="auto"/>
        </w:rPr>
      </w:pPr>
    </w:p>
    <w:p>
      <w:pPr>
        <w:spacing w:after="0"/>
        <w:rPr>
          <w:sz w:val="20"/>
          <w:szCs w:val="20"/>
          <w:color w:val="auto"/>
        </w:rPr>
      </w:pPr>
      <w:r>
        <w:rPr>
          <w:rFonts w:ascii="Arial" w:cs="Arial" w:eastAsia="Arial" w:hAnsi="Arial"/>
          <w:sz w:val="16"/>
          <w:szCs w:val="16"/>
          <w:color w:val="auto"/>
        </w:rPr>
        <w:t>Accelerated filer</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163" w:lineRule="exact"/>
        <w:rPr>
          <w:sz w:val="24"/>
          <w:szCs w:val="24"/>
          <w:color w:val="auto"/>
        </w:rPr>
      </w:pPr>
    </w:p>
    <w:p>
      <w:pPr>
        <w:sectPr>
          <w:pgSz w:w="11900" w:h="16838" w:orient="portrait"/>
          <w:cols w:equalWidth="0" w:num="4">
            <w:col w:w="1740" w:space="380"/>
            <w:col w:w="5660" w:space="720"/>
            <w:col w:w="1700" w:space="720"/>
            <w:col w:w="220"/>
          </w:cols>
          <w:pgMar w:left="320" w:top="230" w:right="439" w:bottom="0" w:gutter="0" w:footer="0" w:header="0"/>
          <w:type w:val="continuous"/>
        </w:sectPr>
      </w:pPr>
    </w:p>
    <w:p>
      <w:pPr>
        <w:spacing w:after="0" w:line="33" w:lineRule="exact"/>
        <w:rPr>
          <w:sz w:val="24"/>
          <w:szCs w:val="24"/>
          <w:color w:val="auto"/>
        </w:rPr>
      </w:pPr>
    </w:p>
    <w:p>
      <w:pPr>
        <w:ind w:left="120"/>
        <w:spacing w:after="0"/>
        <w:rPr>
          <w:sz w:val="20"/>
          <w:szCs w:val="20"/>
          <w:color w:val="auto"/>
        </w:rPr>
      </w:pPr>
      <w:r>
        <w:rPr>
          <w:rFonts w:ascii="Arial" w:cs="Arial" w:eastAsia="Arial" w:hAnsi="Arial"/>
          <w:sz w:val="16"/>
          <w:szCs w:val="16"/>
          <w:color w:val="auto"/>
        </w:rPr>
        <w:t>Non-accelerated filer</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ectPr>
          <w:pgSz w:w="11900" w:h="16838" w:orient="portrait"/>
          <w:cols w:equalWidth="0" w:num="4">
            <w:col w:w="1640" w:space="480"/>
            <w:col w:w="5660" w:space="720"/>
            <w:col w:w="1960" w:space="460"/>
            <w:col w:w="220"/>
          </w:cols>
          <w:pgMar w:left="320" w:top="230" w:right="439" w:bottom="0" w:gutter="0" w:footer="0" w:header="0"/>
          <w:type w:val="continuous"/>
        </w:sectPr>
      </w:pPr>
    </w:p>
    <w:bookmarkStart w:id="1" w:name="page2"/>
    <w:bookmarkEnd w:id="1"/>
    <w:p>
      <w:pPr>
        <w:ind w:left="8380"/>
        <w:spacing w:after="0" w:line="207" w:lineRule="exact"/>
        <w:tabs>
          <w:tab w:leader="none" w:pos="10780" w:val="left"/>
        </w:tabs>
        <w:rPr>
          <w:sz w:val="20"/>
          <w:szCs w:val="20"/>
          <w:color w:val="auto"/>
        </w:rPr>
      </w:pPr>
      <w:r>
        <w:rPr>
          <w:rFonts w:ascii="Arial" w:cs="Arial" w:eastAsia="Arial" w:hAnsi="Arial"/>
          <w:sz w:val="18"/>
          <w:szCs w:val="18"/>
          <w:color w:val="auto"/>
        </w:rPr>
        <w:t>Emerging growth company</w:t>
      </w:r>
      <w:r>
        <w:rPr>
          <w:sz w:val="20"/>
          <w:szCs w:val="20"/>
          <w:color w:val="auto"/>
        </w:rPr>
        <w:tab/>
      </w:r>
      <w:r>
        <w:rPr>
          <w:rFonts w:ascii="MS PGothic" w:cs="MS PGothic" w:eastAsia="MS PGothic" w:hAnsi="MS PGothic"/>
          <w:sz w:val="16"/>
          <w:szCs w:val="16"/>
          <w:color w:val="auto"/>
        </w:rPr>
        <w:t>☐</w:t>
      </w:r>
    </w:p>
    <w:p>
      <w:pPr>
        <w:spacing w:after="0" w:line="259" w:lineRule="exact"/>
        <w:rPr>
          <w:sz w:val="20"/>
          <w:szCs w:val="20"/>
          <w:color w:val="auto"/>
        </w:rPr>
      </w:pPr>
    </w:p>
    <w:p>
      <w:pPr>
        <w:ind w:right="2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8"/>
          <w:szCs w:val="18"/>
          <w:color w:val="auto"/>
        </w:rPr>
        <w:t>☐</w:t>
      </w:r>
    </w:p>
    <w:p>
      <w:pPr>
        <w:spacing w:after="0" w:line="150" w:lineRule="exact"/>
        <w:rPr>
          <w:sz w:val="20"/>
          <w:szCs w:val="20"/>
          <w:color w:val="auto"/>
        </w:rPr>
      </w:pPr>
    </w:p>
    <w:p>
      <w:pPr>
        <w:spacing w:after="0" w:line="207" w:lineRule="exact"/>
        <w:tabs>
          <w:tab w:leader="none" w:pos="8320" w:val="left"/>
          <w:tab w:leader="none" w:pos="9020" w:val="left"/>
        </w:tabs>
        <w:rPr>
          <w:sz w:val="20"/>
          <w:szCs w:val="20"/>
          <w:color w:val="auto"/>
        </w:rPr>
      </w:pPr>
      <w:r>
        <w:rPr>
          <w:rFonts w:ascii="Arial" w:cs="Arial" w:eastAsia="Arial" w:hAnsi="Arial"/>
          <w:sz w:val="17"/>
          <w:szCs w:val="17"/>
          <w:color w:val="auto"/>
        </w:rPr>
        <w:t>Indicate by check mark whether the registrant is a shell company (as defined in Rule 12b-2 of the Exchange Act).</w:t>
      </w:r>
      <w:r>
        <w:rPr>
          <w:sz w:val="20"/>
          <w:szCs w:val="20"/>
          <w:color w:val="auto"/>
        </w:rPr>
        <w:tab/>
      </w: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No </w:t>
      </w:r>
      <w:r>
        <w:rPr>
          <w:rFonts w:ascii="MS PGothic" w:cs="MS PGothic" w:eastAsia="MS PGothic" w:hAnsi="MS PGothic"/>
          <w:sz w:val="17"/>
          <w:szCs w:val="17"/>
          <w:color w:val="auto"/>
        </w:rPr>
        <w:t>☒</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color w:val="auto"/>
        </w:rPr>
        <w:t>As of November 2, 2021, the registrant had 17,097,090 shares of common stock outstanding.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160655</wp:posOffset>
            </wp:positionV>
            <wp:extent cx="699516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203200</wp:posOffset>
            </wp:positionV>
            <wp:extent cx="699516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960"/>
          </w:cols>
          <w:pgMar w:left="440" w:top="91" w:right="49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552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TABLE OF CONTENTS</w:t>
      </w:r>
    </w:p>
    <w:p>
      <w:pPr>
        <w:spacing w:after="0" w:line="244"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700" w:type="dxa"/>
            <w:vAlign w:val="bottom"/>
            <w:gridSpan w:val="2"/>
          </w:tcPr>
          <w:p>
            <w:pPr>
              <w:spacing w:after="0"/>
              <w:rPr>
                <w:sz w:val="20"/>
                <w:szCs w:val="20"/>
                <w:color w:val="auto"/>
              </w:rPr>
            </w:pPr>
            <w:r>
              <w:rPr>
                <w:rFonts w:ascii="Arial" w:cs="Arial" w:eastAsia="Arial" w:hAnsi="Arial"/>
                <w:sz w:val="14"/>
                <w:szCs w:val="14"/>
                <w:b w:val="1"/>
                <w:bCs w:val="1"/>
                <w:color w:val="auto"/>
              </w:rPr>
              <w:t>Item</w:t>
            </w: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660" w:type="dxa"/>
            <w:vAlign w:val="bottom"/>
            <w:gridSpan w:val="6"/>
          </w:tcPr>
          <w:p>
            <w:pPr>
              <w:ind w:left="280"/>
              <w:spacing w:after="0"/>
              <w:rPr>
                <w:sz w:val="20"/>
                <w:szCs w:val="20"/>
                <w:color w:val="auto"/>
              </w:rPr>
            </w:pPr>
            <w:r>
              <w:rPr>
                <w:rFonts w:ascii="Arial" w:cs="Arial" w:eastAsia="Arial" w:hAnsi="Arial"/>
                <w:sz w:val="14"/>
                <w:szCs w:val="14"/>
                <w:b w:val="1"/>
                <w:bCs w:val="1"/>
                <w:color w:val="auto"/>
              </w:rPr>
              <w:t>Description</w:t>
            </w:r>
          </w:p>
        </w:tc>
        <w:tc>
          <w:tcPr>
            <w:tcW w:w="340" w:type="dxa"/>
            <w:vAlign w:val="bottom"/>
          </w:tcPr>
          <w:p>
            <w:pPr>
              <w:jc w:val="right"/>
              <w:spacing w:after="0"/>
              <w:rPr>
                <w:sz w:val="20"/>
                <w:szCs w:val="20"/>
                <w:color w:val="auto"/>
              </w:rPr>
            </w:pPr>
            <w:r>
              <w:rPr>
                <w:rFonts w:ascii="Arial" w:cs="Arial" w:eastAsia="Arial" w:hAnsi="Arial"/>
                <w:sz w:val="14"/>
                <w:szCs w:val="14"/>
                <w:b w:val="1"/>
                <w:bCs w:val="1"/>
                <w:color w:val="auto"/>
                <w:w w:val="95"/>
              </w:rPr>
              <w:t>Page</w:t>
            </w:r>
          </w:p>
        </w:tc>
      </w:tr>
      <w:tr>
        <w:trPr>
          <w:trHeight w:val="169"/>
        </w:trPr>
        <w:tc>
          <w:tcPr>
            <w:tcW w:w="280" w:type="dxa"/>
            <w:vAlign w:val="bottom"/>
            <w:tcBorders>
              <w:top w:val="single" w:sz="8" w:color="auto"/>
            </w:tcBorders>
          </w:tcPr>
          <w:p>
            <w:pPr>
              <w:spacing w:after="0"/>
              <w:rPr>
                <w:sz w:val="14"/>
                <w:szCs w:val="14"/>
                <w:color w:val="auto"/>
              </w:rPr>
            </w:pPr>
          </w:p>
        </w:tc>
        <w:tc>
          <w:tcPr>
            <w:tcW w:w="420" w:type="dxa"/>
            <w:vAlign w:val="bottom"/>
          </w:tcPr>
          <w:p>
            <w:pPr>
              <w:spacing w:after="0"/>
              <w:rPr>
                <w:sz w:val="14"/>
                <w:szCs w:val="14"/>
                <w:color w:val="auto"/>
              </w:rPr>
            </w:pPr>
          </w:p>
        </w:tc>
        <w:tc>
          <w:tcPr>
            <w:tcW w:w="2060" w:type="dxa"/>
            <w:vAlign w:val="bottom"/>
            <w:tcBorders>
              <w:bottom w:val="single" w:sz="8" w:color="0000EE"/>
            </w:tcBorders>
            <w:gridSpan w:val="9"/>
          </w:tcPr>
          <w:p>
            <w:pPr>
              <w:spacing w:after="0" w:line="169" w:lineRule="exact"/>
              <w:rPr>
                <w:rFonts w:ascii="Arial" w:cs="Arial" w:eastAsia="Arial" w:hAnsi="Arial"/>
                <w:sz w:val="18"/>
                <w:szCs w:val="18"/>
                <w:color w:val="0000EE"/>
                <w:w w:val="92"/>
              </w:rPr>
            </w:pPr>
            <w:hyperlink w:anchor="page4">
              <w:r>
                <w:rPr>
                  <w:rFonts w:ascii="Arial" w:cs="Arial" w:eastAsia="Arial" w:hAnsi="Arial"/>
                  <w:sz w:val="18"/>
                  <w:szCs w:val="18"/>
                  <w:color w:val="0000EE"/>
                  <w:w w:val="92"/>
                </w:rPr>
                <w:t>Part I. Financial Information</w:t>
              </w:r>
            </w:hyperlink>
          </w:p>
        </w:tc>
        <w:tc>
          <w:tcPr>
            <w:tcW w:w="7960" w:type="dxa"/>
            <w:vAlign w:val="bottom"/>
            <w:gridSpan w:val="11"/>
          </w:tcPr>
          <w:p>
            <w:pPr>
              <w:spacing w:after="0"/>
              <w:rPr>
                <w:sz w:val="14"/>
                <w:szCs w:val="14"/>
                <w:color w:val="auto"/>
              </w:rPr>
            </w:pPr>
          </w:p>
        </w:tc>
        <w:tc>
          <w:tcPr>
            <w:tcW w:w="340" w:type="dxa"/>
            <w:vAlign w:val="bottom"/>
          </w:tcPr>
          <w:p>
            <w:pPr>
              <w:jc w:val="right"/>
              <w:spacing w:after="0" w:line="169" w:lineRule="exact"/>
              <w:rPr>
                <w:sz w:val="20"/>
                <w:szCs w:val="20"/>
                <w:color w:val="auto"/>
              </w:rPr>
            </w:pPr>
            <w:r>
              <w:rPr>
                <w:rFonts w:ascii="Arial" w:cs="Arial" w:eastAsia="Arial" w:hAnsi="Arial"/>
                <w:sz w:val="18"/>
                <w:szCs w:val="18"/>
                <w:color w:val="auto"/>
              </w:rPr>
              <w:t>3</w:t>
            </w:r>
          </w:p>
        </w:tc>
      </w:tr>
      <w:tr>
        <w:trPr>
          <w:trHeight w:val="196"/>
        </w:trPr>
        <w:tc>
          <w:tcPr>
            <w:tcW w:w="700" w:type="dxa"/>
            <w:vAlign w:val="bottom"/>
            <w:gridSpan w:val="2"/>
          </w:tcPr>
          <w:p>
            <w:pPr>
              <w:spacing w:after="0" w:line="196" w:lineRule="exact"/>
              <w:rPr>
                <w:sz w:val="20"/>
                <w:szCs w:val="20"/>
                <w:color w:val="auto"/>
              </w:rPr>
            </w:pPr>
            <w:r>
              <w:rPr>
                <w:rFonts w:ascii="Arial" w:cs="Arial" w:eastAsia="Arial" w:hAnsi="Arial"/>
                <w:sz w:val="18"/>
                <w:szCs w:val="18"/>
                <w:color w:val="auto"/>
              </w:rPr>
              <w:t>Item 1.</w:t>
            </w:r>
          </w:p>
        </w:tc>
        <w:tc>
          <w:tcPr>
            <w:tcW w:w="10020" w:type="dxa"/>
            <w:vAlign w:val="bottom"/>
            <w:gridSpan w:val="20"/>
          </w:tcPr>
          <w:p>
            <w:pPr>
              <w:spacing w:after="0" w:line="196" w:lineRule="exact"/>
              <w:rPr>
                <w:rFonts w:ascii="Arial" w:cs="Arial" w:eastAsia="Arial" w:hAnsi="Arial"/>
                <w:sz w:val="18"/>
                <w:szCs w:val="18"/>
                <w:color w:val="0000EE"/>
              </w:rPr>
            </w:pPr>
            <w:hyperlink w:anchor="page4">
              <w:r>
                <w:rPr>
                  <w:rFonts w:ascii="Arial" w:cs="Arial" w:eastAsia="Arial" w:hAnsi="Arial"/>
                  <w:sz w:val="18"/>
                  <w:szCs w:val="18"/>
                  <w:color w:val="0000EE"/>
                </w:rPr>
                <w:t>Financial Statements (Unaudited):</w:t>
              </w:r>
            </w:hyperlink>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r>
      <w:tr>
        <w:trPr>
          <w:trHeight w:val="20"/>
        </w:trPr>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r>
        <w:trPr>
          <w:trHeight w:val="196"/>
        </w:trPr>
        <w:tc>
          <w:tcPr>
            <w:tcW w:w="2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6360" w:type="dxa"/>
            <w:vAlign w:val="bottom"/>
            <w:tcBorders>
              <w:bottom w:val="single" w:sz="8" w:color="0000EE"/>
            </w:tcBorders>
            <w:gridSpan w:val="15"/>
          </w:tcPr>
          <w:p>
            <w:pPr>
              <w:spacing w:after="0" w:line="196" w:lineRule="exact"/>
              <w:rPr>
                <w:rFonts w:ascii="Arial" w:cs="Arial" w:eastAsia="Arial" w:hAnsi="Arial"/>
                <w:sz w:val="18"/>
                <w:szCs w:val="18"/>
                <w:color w:val="0000EE"/>
                <w:w w:val="88"/>
              </w:rPr>
            </w:pPr>
            <w:hyperlink w:anchor="page4">
              <w:r>
                <w:rPr>
                  <w:rFonts w:ascii="Arial" w:cs="Arial" w:eastAsia="Arial" w:hAnsi="Arial"/>
                  <w:sz w:val="18"/>
                  <w:szCs w:val="18"/>
                  <w:color w:val="0000EE"/>
                  <w:w w:val="88"/>
                </w:rPr>
                <w:t>Condensed Consolidated Balance Sheets at September 30, 2021 and December 31, 2020</w:t>
              </w:r>
            </w:hyperlink>
          </w:p>
        </w:tc>
        <w:tc>
          <w:tcPr>
            <w:tcW w:w="3660" w:type="dxa"/>
            <w:vAlign w:val="bottom"/>
            <w:gridSpan w:val="5"/>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r>
      <w:tr>
        <w:trPr>
          <w:trHeight w:val="196"/>
        </w:trPr>
        <w:tc>
          <w:tcPr>
            <w:tcW w:w="2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240" w:type="dxa"/>
            <w:vAlign w:val="bottom"/>
            <w:tcBorders>
              <w:bottom w:val="single" w:sz="8" w:color="0000EE"/>
            </w:tcBorders>
            <w:gridSpan w:val="18"/>
          </w:tcPr>
          <w:p>
            <w:pPr>
              <w:spacing w:after="0" w:line="196" w:lineRule="exact"/>
              <w:rPr>
                <w:rFonts w:ascii="Arial" w:cs="Arial" w:eastAsia="Arial" w:hAnsi="Arial"/>
                <w:sz w:val="18"/>
                <w:szCs w:val="18"/>
                <w:color w:val="0000EE"/>
                <w:w w:val="89"/>
              </w:rPr>
            </w:pPr>
            <w:hyperlink w:anchor="page5">
              <w:r>
                <w:rPr>
                  <w:rFonts w:ascii="Arial" w:cs="Arial" w:eastAsia="Arial" w:hAnsi="Arial"/>
                  <w:sz w:val="18"/>
                  <w:szCs w:val="18"/>
                  <w:color w:val="0000EE"/>
                  <w:w w:val="89"/>
                </w:rPr>
                <w:t>Condensed Consolidated Statements of Operations for the Three Months and Nine Months Ended September 30, 2021 and 2020</w:t>
              </w:r>
            </w:hyperlink>
          </w:p>
        </w:tc>
        <w:tc>
          <w:tcPr>
            <w:tcW w:w="780" w:type="dxa"/>
            <w:vAlign w:val="bottom"/>
            <w:gridSpan w:val="2"/>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r>
      <w:tr>
        <w:trPr>
          <w:trHeight w:val="196"/>
        </w:trPr>
        <w:tc>
          <w:tcPr>
            <w:tcW w:w="2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960" w:type="dxa"/>
            <w:vAlign w:val="bottom"/>
            <w:tcBorders>
              <w:bottom w:val="single" w:sz="8" w:color="0000EE"/>
            </w:tcBorders>
            <w:gridSpan w:val="19"/>
          </w:tcPr>
          <w:p>
            <w:pPr>
              <w:spacing w:after="0" w:line="196" w:lineRule="exact"/>
              <w:rPr>
                <w:rFonts w:ascii="Arial" w:cs="Arial" w:eastAsia="Arial" w:hAnsi="Arial"/>
                <w:sz w:val="18"/>
                <w:szCs w:val="18"/>
                <w:color w:val="0000EE"/>
                <w:w w:val="89"/>
              </w:rPr>
            </w:pPr>
            <w:hyperlink w:anchor="page6">
              <w:r>
                <w:rPr>
                  <w:rFonts w:ascii="Arial" w:cs="Arial" w:eastAsia="Arial" w:hAnsi="Arial"/>
                  <w:sz w:val="18"/>
                  <w:szCs w:val="18"/>
                  <w:color w:val="0000EE"/>
                  <w:w w:val="89"/>
                </w:rPr>
                <w:t>Condensed Consolidated Statements of Comprehensive Loss for the Three Months and Nine Months Ended September 30, 2021 and 2020</w:t>
              </w:r>
            </w:hyperlink>
          </w:p>
        </w:tc>
        <w:tc>
          <w:tcPr>
            <w:tcW w:w="60" w:type="dxa"/>
            <w:vAlign w:val="bottom"/>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r>
      <w:tr>
        <w:trPr>
          <w:trHeight w:val="196"/>
        </w:trPr>
        <w:tc>
          <w:tcPr>
            <w:tcW w:w="2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0020" w:type="dxa"/>
            <w:vAlign w:val="bottom"/>
            <w:gridSpan w:val="20"/>
          </w:tcPr>
          <w:p>
            <w:pPr>
              <w:spacing w:after="0" w:line="196" w:lineRule="exact"/>
              <w:rPr>
                <w:rFonts w:ascii="Arial" w:cs="Arial" w:eastAsia="Arial" w:hAnsi="Arial"/>
                <w:sz w:val="18"/>
                <w:szCs w:val="18"/>
                <w:color w:val="0000EE"/>
                <w:w w:val="90"/>
              </w:rPr>
            </w:pPr>
            <w:hyperlink w:anchor="page7">
              <w:r>
                <w:rPr>
                  <w:rFonts w:ascii="Arial" w:cs="Arial" w:eastAsia="Arial" w:hAnsi="Arial"/>
                  <w:sz w:val="18"/>
                  <w:szCs w:val="18"/>
                  <w:color w:val="0000EE"/>
                  <w:w w:val="90"/>
                </w:rPr>
                <w:t>Condensed Consolidated Statements of Stockholders’ Equity for the Three Months and Nine Months Ended September 30, 2021 and 2020</w:t>
              </w:r>
            </w:hyperlink>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r>
      <w:tr>
        <w:trPr>
          <w:trHeight w:val="196"/>
        </w:trPr>
        <w:tc>
          <w:tcPr>
            <w:tcW w:w="2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960" w:type="dxa"/>
            <w:vAlign w:val="bottom"/>
            <w:tcBorders>
              <w:top w:val="single" w:sz="8" w:color="0000EE"/>
            </w:tcBorders>
            <w:gridSpan w:val="19"/>
          </w:tcPr>
          <w:p>
            <w:pPr>
              <w:spacing w:after="0" w:line="196" w:lineRule="exact"/>
              <w:rPr>
                <w:rFonts w:ascii="Arial" w:cs="Arial" w:eastAsia="Arial" w:hAnsi="Arial"/>
                <w:sz w:val="18"/>
                <w:szCs w:val="18"/>
                <w:color w:val="0000EE"/>
              </w:rPr>
            </w:pPr>
            <w:hyperlink w:anchor="page8">
              <w:r>
                <w:rPr>
                  <w:rFonts w:ascii="Arial" w:cs="Arial" w:eastAsia="Arial" w:hAnsi="Arial"/>
                  <w:sz w:val="18"/>
                  <w:szCs w:val="18"/>
                  <w:color w:val="0000EE"/>
                </w:rPr>
                <w:t>Condensed Consolidated Statements of Cash Flows for the Nine Months Ended September 30, 2021 and 2020</w:t>
              </w:r>
            </w:hyperlink>
          </w:p>
        </w:tc>
        <w:tc>
          <w:tcPr>
            <w:tcW w:w="60" w:type="dxa"/>
            <w:vAlign w:val="bottom"/>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7</w:t>
            </w:r>
          </w:p>
        </w:tc>
      </w:tr>
      <w:tr>
        <w:trPr>
          <w:trHeight w:val="196"/>
        </w:trPr>
        <w:tc>
          <w:tcPr>
            <w:tcW w:w="2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000" w:type="dxa"/>
            <w:vAlign w:val="bottom"/>
            <w:tcBorders>
              <w:top w:val="single" w:sz="8" w:color="0000EE"/>
              <w:bottom w:val="single" w:sz="8" w:color="0000EE"/>
            </w:tcBorders>
            <w:gridSpan w:val="12"/>
          </w:tcPr>
          <w:p>
            <w:pPr>
              <w:spacing w:after="0" w:line="196" w:lineRule="exact"/>
              <w:rPr>
                <w:rFonts w:ascii="Arial" w:cs="Arial" w:eastAsia="Arial" w:hAnsi="Arial"/>
                <w:sz w:val="18"/>
                <w:szCs w:val="18"/>
                <w:color w:val="0000EE"/>
                <w:w w:val="88"/>
              </w:rPr>
            </w:pPr>
            <w:hyperlink w:anchor="page9">
              <w:r>
                <w:rPr>
                  <w:rFonts w:ascii="Arial" w:cs="Arial" w:eastAsia="Arial" w:hAnsi="Arial"/>
                  <w:sz w:val="18"/>
                  <w:szCs w:val="18"/>
                  <w:color w:val="0000EE"/>
                  <w:w w:val="88"/>
                </w:rPr>
                <w:t>Notes to Condensed Consolidated Financial Statements</w:t>
              </w:r>
            </w:hyperlink>
          </w:p>
        </w:tc>
        <w:tc>
          <w:tcPr>
            <w:tcW w:w="3920" w:type="dxa"/>
            <w:vAlign w:val="bottom"/>
            <w:tcBorders>
              <w:top w:val="single" w:sz="8" w:color="0000EE"/>
            </w:tcBorders>
            <w:gridSpan w:val="5"/>
          </w:tcPr>
          <w:p>
            <w:pPr>
              <w:spacing w:after="0"/>
              <w:rPr>
                <w:sz w:val="17"/>
                <w:szCs w:val="17"/>
                <w:color w:val="auto"/>
              </w:rPr>
            </w:pPr>
          </w:p>
        </w:tc>
        <w:tc>
          <w:tcPr>
            <w:tcW w:w="2100" w:type="dxa"/>
            <w:vAlign w:val="bottom"/>
            <w:gridSpan w:val="3"/>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8</w:t>
            </w:r>
          </w:p>
        </w:tc>
      </w:tr>
      <w:tr>
        <w:trPr>
          <w:trHeight w:val="196"/>
        </w:trPr>
        <w:tc>
          <w:tcPr>
            <w:tcW w:w="70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6460" w:type="dxa"/>
            <w:vAlign w:val="bottom"/>
            <w:tcBorders>
              <w:bottom w:val="single" w:sz="8" w:color="0000EE"/>
            </w:tcBorders>
            <w:gridSpan w:val="16"/>
          </w:tcPr>
          <w:p>
            <w:pPr>
              <w:spacing w:after="0" w:line="196" w:lineRule="exact"/>
              <w:rPr>
                <w:rFonts w:ascii="Arial" w:cs="Arial" w:eastAsia="Arial" w:hAnsi="Arial"/>
                <w:sz w:val="18"/>
                <w:szCs w:val="18"/>
                <w:color w:val="0000EE"/>
                <w:w w:val="90"/>
              </w:rPr>
            </w:pPr>
            <w:hyperlink w:anchor="page17">
              <w:r>
                <w:rPr>
                  <w:rFonts w:ascii="Arial" w:cs="Arial" w:eastAsia="Arial" w:hAnsi="Arial"/>
                  <w:sz w:val="18"/>
                  <w:szCs w:val="18"/>
                  <w:color w:val="0000EE"/>
                  <w:w w:val="90"/>
                </w:rPr>
                <w:t>Management’s Discussion and Analysis of Financial Condition and Results of Operations</w:t>
              </w:r>
            </w:hyperlink>
          </w:p>
        </w:tc>
        <w:tc>
          <w:tcPr>
            <w:tcW w:w="3560" w:type="dxa"/>
            <w:vAlign w:val="bottom"/>
            <w:gridSpan w:val="4"/>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16</w:t>
            </w:r>
          </w:p>
        </w:tc>
      </w:tr>
      <w:tr>
        <w:trPr>
          <w:trHeight w:val="196"/>
        </w:trPr>
        <w:tc>
          <w:tcPr>
            <w:tcW w:w="70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360" w:type="dxa"/>
            <w:vAlign w:val="bottom"/>
            <w:tcBorders>
              <w:bottom w:val="single" w:sz="8" w:color="0000EE"/>
            </w:tcBorders>
            <w:gridSpan w:val="14"/>
          </w:tcPr>
          <w:p>
            <w:pPr>
              <w:spacing w:after="0" w:line="196" w:lineRule="exact"/>
              <w:rPr>
                <w:rFonts w:ascii="Arial" w:cs="Arial" w:eastAsia="Arial" w:hAnsi="Arial"/>
                <w:sz w:val="18"/>
                <w:szCs w:val="18"/>
                <w:color w:val="0000EE"/>
                <w:w w:val="92"/>
              </w:rPr>
            </w:pPr>
            <w:hyperlink w:anchor="page22">
              <w:r>
                <w:rPr>
                  <w:rFonts w:ascii="Arial" w:cs="Arial" w:eastAsia="Arial" w:hAnsi="Arial"/>
                  <w:sz w:val="18"/>
                  <w:szCs w:val="18"/>
                  <w:color w:val="0000EE"/>
                  <w:w w:val="92"/>
                </w:rPr>
                <w:t>Quantitative and Qualitative Disclosures About Market Risk</w:t>
              </w:r>
            </w:hyperlink>
          </w:p>
        </w:tc>
        <w:tc>
          <w:tcPr>
            <w:tcW w:w="5660" w:type="dxa"/>
            <w:vAlign w:val="bottom"/>
            <w:gridSpan w:val="6"/>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r>
      <w:tr>
        <w:trPr>
          <w:trHeight w:val="196"/>
        </w:trPr>
        <w:tc>
          <w:tcPr>
            <w:tcW w:w="70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1780" w:type="dxa"/>
            <w:vAlign w:val="bottom"/>
            <w:tcBorders>
              <w:bottom w:val="single" w:sz="8" w:color="0000EE"/>
            </w:tcBorders>
            <w:gridSpan w:val="7"/>
          </w:tcPr>
          <w:p>
            <w:pPr>
              <w:spacing w:after="0" w:line="196" w:lineRule="exact"/>
              <w:rPr>
                <w:rFonts w:ascii="Arial" w:cs="Arial" w:eastAsia="Arial" w:hAnsi="Arial"/>
                <w:sz w:val="18"/>
                <w:szCs w:val="18"/>
                <w:color w:val="0000EE"/>
                <w:w w:val="88"/>
              </w:rPr>
            </w:pPr>
            <w:hyperlink w:anchor="page22">
              <w:r>
                <w:rPr>
                  <w:rFonts w:ascii="Arial" w:cs="Arial" w:eastAsia="Arial" w:hAnsi="Arial"/>
                  <w:sz w:val="18"/>
                  <w:szCs w:val="18"/>
                  <w:color w:val="0000EE"/>
                  <w:w w:val="88"/>
                </w:rPr>
                <w:t>Controls and Procedures</w:t>
              </w:r>
            </w:hyperlink>
          </w:p>
        </w:tc>
        <w:tc>
          <w:tcPr>
            <w:tcW w:w="8240" w:type="dxa"/>
            <w:vAlign w:val="bottom"/>
            <w:gridSpan w:val="13"/>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r>
      <w:tr>
        <w:trPr>
          <w:trHeight w:val="196"/>
        </w:trPr>
        <w:tc>
          <w:tcPr>
            <w:tcW w:w="2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860" w:type="dxa"/>
            <w:vAlign w:val="bottom"/>
            <w:tcBorders>
              <w:bottom w:val="single" w:sz="8" w:color="0000EE"/>
            </w:tcBorders>
            <w:gridSpan w:val="8"/>
          </w:tcPr>
          <w:p>
            <w:pPr>
              <w:spacing w:after="0" w:line="196" w:lineRule="exact"/>
              <w:rPr>
                <w:rFonts w:ascii="Arial" w:cs="Arial" w:eastAsia="Arial" w:hAnsi="Arial"/>
                <w:sz w:val="18"/>
                <w:szCs w:val="18"/>
                <w:color w:val="0000EE"/>
                <w:w w:val="92"/>
              </w:rPr>
            </w:pPr>
            <w:hyperlink w:anchor="page23">
              <w:r>
                <w:rPr>
                  <w:rFonts w:ascii="Arial" w:cs="Arial" w:eastAsia="Arial" w:hAnsi="Arial"/>
                  <w:sz w:val="18"/>
                  <w:szCs w:val="18"/>
                  <w:color w:val="0000EE"/>
                  <w:w w:val="92"/>
                </w:rPr>
                <w:t>Part II. Other Information</w:t>
              </w:r>
            </w:hyperlink>
          </w:p>
        </w:tc>
        <w:tc>
          <w:tcPr>
            <w:tcW w:w="8160" w:type="dxa"/>
            <w:vAlign w:val="bottom"/>
            <w:gridSpan w:val="12"/>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22</w:t>
            </w:r>
          </w:p>
        </w:tc>
      </w:tr>
      <w:tr>
        <w:trPr>
          <w:trHeight w:val="196"/>
        </w:trPr>
        <w:tc>
          <w:tcPr>
            <w:tcW w:w="700" w:type="dxa"/>
            <w:vAlign w:val="bottom"/>
            <w:gridSpan w:val="2"/>
          </w:tcPr>
          <w:p>
            <w:pPr>
              <w:spacing w:after="0" w:line="196" w:lineRule="exact"/>
              <w:rPr>
                <w:sz w:val="20"/>
                <w:szCs w:val="20"/>
                <w:color w:val="auto"/>
              </w:rPr>
            </w:pPr>
            <w:r>
              <w:rPr>
                <w:rFonts w:ascii="Arial" w:cs="Arial" w:eastAsia="Arial" w:hAnsi="Arial"/>
                <w:sz w:val="18"/>
                <w:szCs w:val="18"/>
                <w:color w:val="auto"/>
              </w:rPr>
              <w:t>Item 1.</w:t>
            </w:r>
          </w:p>
        </w:tc>
        <w:tc>
          <w:tcPr>
            <w:tcW w:w="1340" w:type="dxa"/>
            <w:vAlign w:val="bottom"/>
            <w:tcBorders>
              <w:bottom w:val="single" w:sz="8" w:color="0000EE"/>
            </w:tcBorders>
            <w:gridSpan w:val="5"/>
          </w:tcPr>
          <w:p>
            <w:pPr>
              <w:spacing w:after="0" w:line="196" w:lineRule="exact"/>
              <w:rPr>
                <w:rFonts w:ascii="Arial" w:cs="Arial" w:eastAsia="Arial" w:hAnsi="Arial"/>
                <w:sz w:val="18"/>
                <w:szCs w:val="18"/>
                <w:color w:val="0000EE"/>
                <w:w w:val="88"/>
              </w:rPr>
            </w:pPr>
            <w:hyperlink w:anchor="page23">
              <w:r>
                <w:rPr>
                  <w:rFonts w:ascii="Arial" w:cs="Arial" w:eastAsia="Arial" w:hAnsi="Arial"/>
                  <w:sz w:val="18"/>
                  <w:szCs w:val="18"/>
                  <w:color w:val="0000EE"/>
                  <w:w w:val="88"/>
                </w:rPr>
                <w:t>Legal Proceedings</w:t>
              </w:r>
            </w:hyperlink>
          </w:p>
        </w:tc>
        <w:tc>
          <w:tcPr>
            <w:tcW w:w="8680" w:type="dxa"/>
            <w:vAlign w:val="bottom"/>
            <w:gridSpan w:val="15"/>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22</w:t>
            </w:r>
          </w:p>
        </w:tc>
      </w:tr>
      <w:tr>
        <w:trPr>
          <w:trHeight w:val="196"/>
        </w:trPr>
        <w:tc>
          <w:tcPr>
            <w:tcW w:w="700" w:type="dxa"/>
            <w:vAlign w:val="bottom"/>
            <w:gridSpan w:val="2"/>
          </w:tcPr>
          <w:p>
            <w:pPr>
              <w:spacing w:after="0" w:line="196" w:lineRule="exact"/>
              <w:rPr>
                <w:sz w:val="20"/>
                <w:szCs w:val="20"/>
                <w:color w:val="auto"/>
              </w:rPr>
            </w:pPr>
            <w:r>
              <w:rPr>
                <w:rFonts w:ascii="Arial" w:cs="Arial" w:eastAsia="Arial" w:hAnsi="Arial"/>
                <w:sz w:val="18"/>
                <w:szCs w:val="18"/>
                <w:color w:val="auto"/>
              </w:rPr>
              <w:t>Item 1A.</w:t>
            </w:r>
          </w:p>
        </w:tc>
        <w:tc>
          <w:tcPr>
            <w:tcW w:w="10020" w:type="dxa"/>
            <w:vAlign w:val="bottom"/>
            <w:gridSpan w:val="20"/>
          </w:tcPr>
          <w:p>
            <w:pPr>
              <w:spacing w:after="0" w:line="196" w:lineRule="exact"/>
              <w:rPr>
                <w:rFonts w:ascii="Arial" w:cs="Arial" w:eastAsia="Arial" w:hAnsi="Arial"/>
                <w:sz w:val="18"/>
                <w:szCs w:val="18"/>
                <w:color w:val="0000EE"/>
              </w:rPr>
            </w:pPr>
            <w:hyperlink w:anchor="page23">
              <w:r>
                <w:rPr>
                  <w:rFonts w:ascii="Arial" w:cs="Arial" w:eastAsia="Arial" w:hAnsi="Arial"/>
                  <w:sz w:val="18"/>
                  <w:szCs w:val="18"/>
                  <w:color w:val="0000EE"/>
                </w:rPr>
                <w:t>Risk Factors</w:t>
              </w:r>
            </w:hyperlink>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22</w:t>
            </w:r>
          </w:p>
        </w:tc>
      </w:tr>
      <w:tr>
        <w:trPr>
          <w:trHeight w:val="20"/>
        </w:trPr>
        <w:tc>
          <w:tcPr>
            <w:tcW w:w="700" w:type="dxa"/>
            <w:vAlign w:val="bottom"/>
            <w:gridSpan w:val="2"/>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2020" w:type="dxa"/>
            <w:vAlign w:val="bottom"/>
            <w:gridSpan w:val="3"/>
          </w:tcPr>
          <w:p>
            <w:pPr>
              <w:spacing w:after="0" w:line="20" w:lineRule="exact"/>
              <w:rPr>
                <w:sz w:val="1"/>
                <w:szCs w:val="1"/>
                <w:color w:val="auto"/>
              </w:rPr>
            </w:pPr>
          </w:p>
        </w:tc>
        <w:tc>
          <w:tcPr>
            <w:tcW w:w="5680" w:type="dxa"/>
            <w:vAlign w:val="bottom"/>
            <w:gridSpan w:val="7"/>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r>
        <w:trPr>
          <w:trHeight w:val="196"/>
        </w:trPr>
        <w:tc>
          <w:tcPr>
            <w:tcW w:w="70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10020" w:type="dxa"/>
            <w:vAlign w:val="bottom"/>
            <w:gridSpan w:val="20"/>
          </w:tcPr>
          <w:p>
            <w:pPr>
              <w:spacing w:after="0" w:line="196" w:lineRule="exact"/>
              <w:rPr>
                <w:rFonts w:ascii="Arial" w:cs="Arial" w:eastAsia="Arial" w:hAnsi="Arial"/>
                <w:sz w:val="18"/>
                <w:szCs w:val="18"/>
                <w:color w:val="0000EE"/>
              </w:rPr>
            </w:pPr>
            <w:hyperlink w:anchor="page23">
              <w:r>
                <w:rPr>
                  <w:rFonts w:ascii="Arial" w:cs="Arial" w:eastAsia="Arial" w:hAnsi="Arial"/>
                  <w:sz w:val="18"/>
                  <w:szCs w:val="18"/>
                  <w:color w:val="0000EE"/>
                </w:rPr>
                <w:t>Unregistered Sales of Equity Securities and Use of Proceeds</w:t>
              </w:r>
            </w:hyperlink>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22</w:t>
            </w:r>
          </w:p>
        </w:tc>
      </w:tr>
      <w:tr>
        <w:trPr>
          <w:trHeight w:val="196"/>
        </w:trPr>
        <w:tc>
          <w:tcPr>
            <w:tcW w:w="70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340" w:type="dxa"/>
            <w:vAlign w:val="bottom"/>
            <w:tcBorders>
              <w:top w:val="single" w:sz="8" w:color="0000EE"/>
            </w:tcBorders>
            <w:gridSpan w:val="13"/>
          </w:tcPr>
          <w:p>
            <w:pPr>
              <w:spacing w:after="0" w:line="196" w:lineRule="exact"/>
              <w:rPr>
                <w:rFonts w:ascii="Arial" w:cs="Arial" w:eastAsia="Arial" w:hAnsi="Arial"/>
                <w:sz w:val="18"/>
                <w:szCs w:val="18"/>
                <w:color w:val="0000EE"/>
              </w:rPr>
            </w:pPr>
            <w:hyperlink w:anchor="page23">
              <w:r>
                <w:rPr>
                  <w:rFonts w:ascii="Arial" w:cs="Arial" w:eastAsia="Arial" w:hAnsi="Arial"/>
                  <w:sz w:val="18"/>
                  <w:szCs w:val="18"/>
                  <w:color w:val="0000EE"/>
                </w:rPr>
                <w:t>Defaults Upon Senior Securities</w:t>
              </w:r>
            </w:hyperlink>
          </w:p>
        </w:tc>
        <w:tc>
          <w:tcPr>
            <w:tcW w:w="5680" w:type="dxa"/>
            <w:vAlign w:val="bottom"/>
            <w:gridSpan w:val="7"/>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22</w:t>
            </w:r>
          </w:p>
        </w:tc>
      </w:tr>
      <w:tr>
        <w:trPr>
          <w:trHeight w:val="196"/>
        </w:trPr>
        <w:tc>
          <w:tcPr>
            <w:tcW w:w="70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2320" w:type="dxa"/>
            <w:vAlign w:val="bottom"/>
            <w:tcBorders>
              <w:top w:val="single" w:sz="8" w:color="0000EE"/>
            </w:tcBorders>
            <w:gridSpan w:val="10"/>
          </w:tcPr>
          <w:p>
            <w:pPr>
              <w:spacing w:after="0" w:line="196" w:lineRule="exact"/>
              <w:rPr>
                <w:rFonts w:ascii="Arial" w:cs="Arial" w:eastAsia="Arial" w:hAnsi="Arial"/>
                <w:sz w:val="18"/>
                <w:szCs w:val="18"/>
                <w:color w:val="0000EE"/>
              </w:rPr>
            </w:pPr>
            <w:hyperlink w:anchor="page23">
              <w:r>
                <w:rPr>
                  <w:rFonts w:ascii="Arial" w:cs="Arial" w:eastAsia="Arial" w:hAnsi="Arial"/>
                  <w:sz w:val="18"/>
                  <w:szCs w:val="18"/>
                  <w:color w:val="0000EE"/>
                </w:rPr>
                <w:t>Mine Safety Disclosures</w:t>
              </w:r>
            </w:hyperlink>
          </w:p>
        </w:tc>
        <w:tc>
          <w:tcPr>
            <w:tcW w:w="7700" w:type="dxa"/>
            <w:vAlign w:val="bottom"/>
            <w:gridSpan w:val="10"/>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22</w:t>
            </w:r>
          </w:p>
        </w:tc>
      </w:tr>
      <w:tr>
        <w:trPr>
          <w:trHeight w:val="196"/>
        </w:trPr>
        <w:tc>
          <w:tcPr>
            <w:tcW w:w="700" w:type="dxa"/>
            <w:vAlign w:val="bottom"/>
            <w:gridSpan w:val="2"/>
          </w:tcPr>
          <w:p>
            <w:pPr>
              <w:spacing w:after="0" w:line="196" w:lineRule="exact"/>
              <w:rPr>
                <w:sz w:val="20"/>
                <w:szCs w:val="20"/>
                <w:color w:val="auto"/>
              </w:rPr>
            </w:pPr>
            <w:r>
              <w:rPr>
                <w:rFonts w:ascii="Arial" w:cs="Arial" w:eastAsia="Arial" w:hAnsi="Arial"/>
                <w:sz w:val="18"/>
                <w:szCs w:val="18"/>
                <w:color w:val="auto"/>
              </w:rPr>
              <w:t>Item 5.</w:t>
            </w:r>
          </w:p>
        </w:tc>
        <w:tc>
          <w:tcPr>
            <w:tcW w:w="132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2"/>
              </w:rPr>
            </w:pPr>
            <w:hyperlink w:anchor="page23">
              <w:r>
                <w:rPr>
                  <w:rFonts w:ascii="Arial" w:cs="Arial" w:eastAsia="Arial" w:hAnsi="Arial"/>
                  <w:sz w:val="18"/>
                  <w:szCs w:val="18"/>
                  <w:color w:val="0000EE"/>
                  <w:w w:val="92"/>
                </w:rPr>
                <w:t>Other Information</w:t>
              </w:r>
            </w:hyperlink>
          </w:p>
        </w:tc>
        <w:tc>
          <w:tcPr>
            <w:tcW w:w="440" w:type="dxa"/>
            <w:vAlign w:val="bottom"/>
            <w:tcBorders>
              <w:top w:val="single" w:sz="8" w:color="0000EE"/>
            </w:tcBorders>
            <w:gridSpan w:val="2"/>
          </w:tcPr>
          <w:p>
            <w:pPr>
              <w:spacing w:after="0"/>
              <w:rPr>
                <w:sz w:val="17"/>
                <w:szCs w:val="17"/>
                <w:color w:val="auto"/>
              </w:rPr>
            </w:pPr>
          </w:p>
        </w:tc>
        <w:tc>
          <w:tcPr>
            <w:tcW w:w="8260" w:type="dxa"/>
            <w:vAlign w:val="bottom"/>
            <w:gridSpan w:val="14"/>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22</w:t>
            </w:r>
          </w:p>
        </w:tc>
      </w:tr>
      <w:tr>
        <w:trPr>
          <w:trHeight w:val="196"/>
        </w:trPr>
        <w:tc>
          <w:tcPr>
            <w:tcW w:w="700" w:type="dxa"/>
            <w:vAlign w:val="bottom"/>
            <w:gridSpan w:val="2"/>
          </w:tcPr>
          <w:p>
            <w:pPr>
              <w:spacing w:after="0" w:line="196" w:lineRule="exact"/>
              <w:rPr>
                <w:sz w:val="20"/>
                <w:szCs w:val="20"/>
                <w:color w:val="auto"/>
              </w:rPr>
            </w:pPr>
            <w:r>
              <w:rPr>
                <w:rFonts w:ascii="Arial" w:cs="Arial" w:eastAsia="Arial" w:hAnsi="Arial"/>
                <w:sz w:val="18"/>
                <w:szCs w:val="18"/>
                <w:color w:val="auto"/>
              </w:rPr>
              <w:t>Item 6.</w:t>
            </w:r>
          </w:p>
        </w:tc>
        <w:tc>
          <w:tcPr>
            <w:tcW w:w="600" w:type="dxa"/>
            <w:vAlign w:val="bottom"/>
            <w:tcBorders>
              <w:bottom w:val="single" w:sz="8" w:color="0000EE"/>
            </w:tcBorders>
          </w:tcPr>
          <w:p>
            <w:pPr>
              <w:spacing w:after="0" w:line="196" w:lineRule="exact"/>
              <w:rPr>
                <w:rFonts w:ascii="Arial" w:cs="Arial" w:eastAsia="Arial" w:hAnsi="Arial"/>
                <w:sz w:val="18"/>
                <w:szCs w:val="18"/>
                <w:color w:val="0000EE"/>
                <w:w w:val="91"/>
              </w:rPr>
            </w:pPr>
            <w:hyperlink w:anchor="page23">
              <w:r>
                <w:rPr>
                  <w:rFonts w:ascii="Arial" w:cs="Arial" w:eastAsia="Arial" w:hAnsi="Arial"/>
                  <w:sz w:val="18"/>
                  <w:szCs w:val="18"/>
                  <w:color w:val="0000EE"/>
                  <w:w w:val="91"/>
                </w:rPr>
                <w:t>Exhibits</w:t>
              </w:r>
            </w:hyperlink>
          </w:p>
        </w:tc>
        <w:tc>
          <w:tcPr>
            <w:tcW w:w="9420" w:type="dxa"/>
            <w:vAlign w:val="bottom"/>
            <w:gridSpan w:val="19"/>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22</w:t>
            </w:r>
          </w:p>
        </w:tc>
      </w:tr>
      <w:tr>
        <w:trPr>
          <w:trHeight w:val="196"/>
        </w:trPr>
        <w:tc>
          <w:tcPr>
            <w:tcW w:w="2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60" w:type="dxa"/>
            <w:vAlign w:val="bottom"/>
            <w:tcBorders>
              <w:bottom w:val="single" w:sz="8" w:color="0000EE"/>
            </w:tcBorders>
            <w:gridSpan w:val="2"/>
          </w:tcPr>
          <w:p>
            <w:pPr>
              <w:spacing w:after="0" w:line="196" w:lineRule="exact"/>
              <w:rPr>
                <w:rFonts w:ascii="Arial" w:cs="Arial" w:eastAsia="Arial" w:hAnsi="Arial"/>
                <w:sz w:val="18"/>
                <w:szCs w:val="18"/>
                <w:color w:val="0000EE"/>
                <w:w w:val="85"/>
              </w:rPr>
            </w:pPr>
            <w:hyperlink w:anchor="page25">
              <w:r>
                <w:rPr>
                  <w:rFonts w:ascii="Arial" w:cs="Arial" w:eastAsia="Arial" w:hAnsi="Arial"/>
                  <w:sz w:val="18"/>
                  <w:szCs w:val="18"/>
                  <w:color w:val="0000EE"/>
                  <w:w w:val="85"/>
                </w:rPr>
                <w:t>Signatures</w:t>
              </w:r>
            </w:hyperlink>
          </w:p>
        </w:tc>
        <w:tc>
          <w:tcPr>
            <w:tcW w:w="9260" w:type="dxa"/>
            <w:vAlign w:val="bottom"/>
            <w:gridSpan w:val="18"/>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24</w:t>
            </w:r>
          </w:p>
        </w:tc>
      </w:tr>
      <w:tr>
        <w:trPr>
          <w:trHeight w:val="385"/>
        </w:trPr>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360" w:type="dxa"/>
            <w:vAlign w:val="bottom"/>
            <w:gridSpan w:val="15"/>
          </w:tcPr>
          <w:p>
            <w:pPr>
              <w:ind w:left="476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r>
    </w:tbl>
    <w:p>
      <w:pPr>
        <w:sectPr>
          <w:pgSz w:w="11900" w:h="16838" w:orient="portrait"/>
          <w:cols w:equalWidth="0" w:num="1">
            <w:col w:w="11180"/>
          </w:cols>
          <w:pgMar w:left="320" w:top="486" w:right="39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PART I—FINANCIAL INFORMATION</w:t>
      </w:r>
    </w:p>
    <w:p>
      <w:pPr>
        <w:spacing w:after="0" w:line="22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1. Financial Statements.</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MADRIGAL PHARMACEUTICALS, INC.</w:t>
      </w:r>
    </w:p>
    <w:p>
      <w:pPr>
        <w:spacing w:after="0" w:line="27"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(Unaudited; in thousands, except share and per share amounts)</w:t>
      </w:r>
    </w:p>
    <w:p>
      <w:pPr>
        <w:spacing w:after="0" w:line="217"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76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00" w:type="dxa"/>
            <w:vAlign w:val="bottom"/>
            <w:gridSpan w:val="3"/>
          </w:tcPr>
          <w:p>
            <w:pPr>
              <w:spacing w:after="0"/>
              <w:rPr>
                <w:sz w:val="20"/>
                <w:szCs w:val="20"/>
                <w:color w:val="auto"/>
              </w:rPr>
            </w:pPr>
            <w:r>
              <w:rPr>
                <w:rFonts w:ascii="Arial" w:cs="Arial" w:eastAsia="Arial" w:hAnsi="Arial"/>
                <w:sz w:val="14"/>
                <w:szCs w:val="14"/>
                <w:b w:val="1"/>
                <w:bCs w:val="1"/>
                <w:color w:val="auto"/>
              </w:rPr>
              <w:t>September 30,</w:t>
            </w:r>
          </w:p>
        </w:tc>
        <w:tc>
          <w:tcPr>
            <w:tcW w:w="960" w:type="dxa"/>
            <w:vAlign w:val="bottom"/>
            <w:gridSpan w:val="3"/>
          </w:tcPr>
          <w:p>
            <w:pPr>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7600" w:type="dxa"/>
            <w:vAlign w:val="bottom"/>
            <w:tcBorders>
              <w:bottom w:val="single" w:sz="8" w:color="CCEEFF"/>
            </w:tcBorders>
          </w:tcPr>
          <w:p>
            <w:pPr>
              <w:spacing w:after="0"/>
              <w:rPr>
                <w:sz w:val="14"/>
                <w:szCs w:val="14"/>
                <w:color w:val="auto"/>
              </w:rPr>
            </w:pPr>
          </w:p>
        </w:tc>
        <w:tc>
          <w:tcPr>
            <w:tcW w:w="126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11"/>
              <w:spacing w:after="0"/>
              <w:rPr>
                <w:sz w:val="20"/>
                <w:szCs w:val="20"/>
                <w:color w:val="auto"/>
              </w:rPr>
            </w:pPr>
            <w:r>
              <w:rPr>
                <w:rFonts w:ascii="Arial" w:cs="Arial" w:eastAsia="Arial" w:hAnsi="Arial"/>
                <w:sz w:val="14"/>
                <w:szCs w:val="14"/>
                <w:b w:val="1"/>
                <w:bCs w:val="1"/>
                <w:color w:val="auto"/>
              </w:rPr>
              <w:t>2021</w:t>
            </w:r>
          </w:p>
        </w:tc>
        <w:tc>
          <w:tcPr>
            <w:tcW w:w="32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09"/>
        </w:trPr>
        <w:tc>
          <w:tcPr>
            <w:tcW w:w="76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00" w:type="dxa"/>
            <w:vAlign w:val="bottom"/>
          </w:tcPr>
          <w:p>
            <w:pPr>
              <w:spacing w:after="0"/>
              <w:rPr>
                <w:sz w:val="20"/>
                <w:szCs w:val="20"/>
                <w:color w:val="auto"/>
              </w:rPr>
            </w:pPr>
            <w:r>
              <w:rPr>
                <w:rFonts w:ascii="Arial" w:cs="Arial" w:eastAsia="Arial" w:hAnsi="Arial"/>
                <w:sz w:val="18"/>
                <w:szCs w:val="18"/>
                <w:color w:val="auto"/>
              </w:rPr>
              <w:t>Current assets:</w:t>
            </w: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Cash and cash equivalents</w:t>
            </w:r>
          </w:p>
        </w:tc>
        <w:tc>
          <w:tcPr>
            <w:tcW w:w="1420" w:type="dxa"/>
            <w:vAlign w:val="bottom"/>
            <w:gridSpan w:val="2"/>
            <w:shd w:val="clear" w:color="auto" w:fill="CCEEFF"/>
          </w:tcPr>
          <w:p>
            <w:pPr>
              <w:ind w:left="126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49,174</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54,004</w:t>
            </w:r>
          </w:p>
        </w:tc>
        <w:tc>
          <w:tcPr>
            <w:tcW w:w="0" w:type="dxa"/>
            <w:vAlign w:val="bottom"/>
          </w:tcPr>
          <w:p>
            <w:pPr>
              <w:spacing w:after="0"/>
              <w:rPr>
                <w:sz w:val="1"/>
                <w:szCs w:val="1"/>
                <w:color w:val="auto"/>
              </w:rPr>
            </w:pPr>
          </w:p>
        </w:tc>
      </w:tr>
      <w:tr>
        <w:trPr>
          <w:trHeight w:val="216"/>
        </w:trPr>
        <w:tc>
          <w:tcPr>
            <w:tcW w:w="7600" w:type="dxa"/>
            <w:vAlign w:val="bottom"/>
          </w:tcPr>
          <w:p>
            <w:pPr>
              <w:ind w:left="360"/>
              <w:spacing w:after="0"/>
              <w:rPr>
                <w:sz w:val="20"/>
                <w:szCs w:val="20"/>
                <w:color w:val="auto"/>
              </w:rPr>
            </w:pPr>
            <w:r>
              <w:rPr>
                <w:rFonts w:ascii="Arial" w:cs="Arial" w:eastAsia="Arial" w:hAnsi="Arial"/>
                <w:sz w:val="18"/>
                <w:szCs w:val="18"/>
                <w:color w:val="auto"/>
              </w:rPr>
              <w:t>Marketable securities</w:t>
            </w: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249,970</w:t>
            </w: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230,145</w:t>
            </w:r>
          </w:p>
        </w:tc>
        <w:tc>
          <w:tcPr>
            <w:tcW w:w="0" w:type="dxa"/>
            <w:vAlign w:val="bottom"/>
          </w:tcPr>
          <w:p>
            <w:pPr>
              <w:spacing w:after="0"/>
              <w:rPr>
                <w:sz w:val="1"/>
                <w:szCs w:val="1"/>
                <w:color w:val="auto"/>
              </w:rPr>
            </w:pPr>
          </w:p>
        </w:tc>
      </w:tr>
      <w:tr>
        <w:trPr>
          <w:trHeight w:val="216"/>
        </w:trPr>
        <w:tc>
          <w:tcPr>
            <w:tcW w:w="7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Prepaid expenses and other current assets</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3,812</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1,014</w:t>
            </w:r>
          </w:p>
        </w:tc>
        <w:tc>
          <w:tcPr>
            <w:tcW w:w="0" w:type="dxa"/>
            <w:vAlign w:val="bottom"/>
          </w:tcPr>
          <w:p>
            <w:pPr>
              <w:spacing w:after="0"/>
              <w:rPr>
                <w:sz w:val="1"/>
                <w:szCs w:val="1"/>
                <w:color w:val="auto"/>
              </w:rPr>
            </w:pPr>
          </w:p>
        </w:tc>
      </w:tr>
      <w:tr>
        <w:trPr>
          <w:trHeight w:val="223"/>
        </w:trPr>
        <w:tc>
          <w:tcPr>
            <w:tcW w:w="7600" w:type="dxa"/>
            <w:vAlign w:val="bottom"/>
          </w:tcPr>
          <w:p>
            <w:pPr>
              <w:ind w:left="720"/>
              <w:spacing w:after="0"/>
              <w:rPr>
                <w:sz w:val="20"/>
                <w:szCs w:val="20"/>
                <w:color w:val="auto"/>
              </w:rPr>
            </w:pPr>
            <w:r>
              <w:rPr>
                <w:rFonts w:ascii="Arial" w:cs="Arial" w:eastAsia="Arial" w:hAnsi="Arial"/>
                <w:sz w:val="18"/>
                <w:szCs w:val="18"/>
                <w:color w:val="auto"/>
              </w:rPr>
              <w:t>Total current assets</w:t>
            </w:r>
          </w:p>
        </w:tc>
        <w:tc>
          <w:tcPr>
            <w:tcW w:w="126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302,956</w:t>
            </w:r>
          </w:p>
        </w:tc>
        <w:tc>
          <w:tcPr>
            <w:tcW w:w="3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285,163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Property and equipment, net</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844</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1,047</w:t>
            </w:r>
          </w:p>
        </w:tc>
        <w:tc>
          <w:tcPr>
            <w:tcW w:w="0" w:type="dxa"/>
            <w:vAlign w:val="bottom"/>
          </w:tcPr>
          <w:p>
            <w:pPr>
              <w:spacing w:after="0"/>
              <w:rPr>
                <w:sz w:val="1"/>
                <w:szCs w:val="1"/>
                <w:color w:val="auto"/>
              </w:rPr>
            </w:pPr>
          </w:p>
        </w:tc>
      </w:tr>
      <w:tr>
        <w:trPr>
          <w:trHeight w:val="216"/>
        </w:trPr>
        <w:tc>
          <w:tcPr>
            <w:tcW w:w="7600" w:type="dxa"/>
            <w:vAlign w:val="bottom"/>
          </w:tcPr>
          <w:p>
            <w:pPr>
              <w:ind w:left="360"/>
              <w:spacing w:after="0"/>
              <w:rPr>
                <w:sz w:val="20"/>
                <w:szCs w:val="20"/>
                <w:color w:val="auto"/>
              </w:rPr>
            </w:pPr>
            <w:r>
              <w:rPr>
                <w:rFonts w:ascii="Arial" w:cs="Arial" w:eastAsia="Arial" w:hAnsi="Arial"/>
                <w:sz w:val="18"/>
                <w:szCs w:val="18"/>
                <w:color w:val="auto"/>
              </w:rPr>
              <w:t>Right-of-use asset</w:t>
            </w: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897</w:t>
            </w: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785</w:t>
            </w:r>
          </w:p>
        </w:tc>
        <w:tc>
          <w:tcPr>
            <w:tcW w:w="0" w:type="dxa"/>
            <w:vAlign w:val="bottom"/>
          </w:tcPr>
          <w:p>
            <w:pPr>
              <w:spacing w:after="0"/>
              <w:rPr>
                <w:sz w:val="1"/>
                <w:szCs w:val="1"/>
                <w:color w:val="auto"/>
              </w:rPr>
            </w:pPr>
          </w:p>
        </w:tc>
      </w:tr>
      <w:tr>
        <w:trPr>
          <w:trHeight w:val="27"/>
        </w:trPr>
        <w:tc>
          <w:tcPr>
            <w:tcW w:w="7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76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assets</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304,697</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286,995</w:t>
            </w:r>
          </w:p>
        </w:tc>
        <w:tc>
          <w:tcPr>
            <w:tcW w:w="0" w:type="dxa"/>
            <w:vAlign w:val="bottom"/>
          </w:tcPr>
          <w:p>
            <w:pPr>
              <w:spacing w:after="0"/>
              <w:rPr>
                <w:sz w:val="1"/>
                <w:szCs w:val="1"/>
                <w:color w:val="auto"/>
              </w:rPr>
            </w:pPr>
          </w:p>
        </w:tc>
      </w:tr>
      <w:tr>
        <w:trPr>
          <w:trHeight w:val="20"/>
        </w:trPr>
        <w:tc>
          <w:tcPr>
            <w:tcW w:w="760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1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0" w:type="dxa"/>
            <w:vAlign w:val="bottom"/>
            <w:vMerge w:val="continue"/>
          </w:tcPr>
          <w:p>
            <w:pPr>
              <w:spacing w:after="0"/>
              <w:rPr>
                <w:sz w:val="18"/>
                <w:szCs w:val="18"/>
                <w:color w:val="auto"/>
              </w:rPr>
            </w:pP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0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00" w:type="dxa"/>
            <w:vAlign w:val="bottom"/>
          </w:tcPr>
          <w:p>
            <w:pPr>
              <w:ind w:left="360"/>
              <w:spacing w:after="0"/>
              <w:rPr>
                <w:sz w:val="20"/>
                <w:szCs w:val="20"/>
                <w:color w:val="auto"/>
              </w:rPr>
            </w:pPr>
            <w:r>
              <w:rPr>
                <w:rFonts w:ascii="Arial" w:cs="Arial" w:eastAsia="Arial" w:hAnsi="Arial"/>
                <w:sz w:val="18"/>
                <w:szCs w:val="18"/>
                <w:color w:val="auto"/>
              </w:rPr>
              <w:t>Accounts payable</w:t>
            </w:r>
          </w:p>
        </w:tc>
        <w:tc>
          <w:tcPr>
            <w:tcW w:w="1420" w:type="dxa"/>
            <w:vAlign w:val="bottom"/>
            <w:gridSpan w:val="2"/>
          </w:tcPr>
          <w:p>
            <w:pPr>
              <w:ind w:left="126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10,418</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1,017</w:t>
            </w:r>
          </w:p>
        </w:tc>
        <w:tc>
          <w:tcPr>
            <w:tcW w:w="0" w:type="dxa"/>
            <w:vAlign w:val="bottom"/>
          </w:tcPr>
          <w:p>
            <w:pPr>
              <w:spacing w:after="0"/>
              <w:rPr>
                <w:sz w:val="1"/>
                <w:szCs w:val="1"/>
                <w:color w:val="auto"/>
              </w:rPr>
            </w:pPr>
          </w:p>
        </w:tc>
      </w:tr>
      <w:tr>
        <w:trPr>
          <w:trHeight w:val="216"/>
        </w:trPr>
        <w:tc>
          <w:tcPr>
            <w:tcW w:w="7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Accrued expenses</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58,501</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45,222</w:t>
            </w:r>
          </w:p>
        </w:tc>
        <w:tc>
          <w:tcPr>
            <w:tcW w:w="0" w:type="dxa"/>
            <w:vAlign w:val="bottom"/>
          </w:tcPr>
          <w:p>
            <w:pPr>
              <w:spacing w:after="0"/>
              <w:rPr>
                <w:sz w:val="1"/>
                <w:szCs w:val="1"/>
                <w:color w:val="auto"/>
              </w:rPr>
            </w:pPr>
          </w:p>
        </w:tc>
      </w:tr>
      <w:tr>
        <w:trPr>
          <w:trHeight w:val="216"/>
        </w:trPr>
        <w:tc>
          <w:tcPr>
            <w:tcW w:w="7600" w:type="dxa"/>
            <w:vAlign w:val="bottom"/>
          </w:tcPr>
          <w:p>
            <w:pPr>
              <w:ind w:left="360"/>
              <w:spacing w:after="0"/>
              <w:rPr>
                <w:sz w:val="20"/>
                <w:szCs w:val="20"/>
                <w:color w:val="auto"/>
              </w:rPr>
            </w:pPr>
            <w:r>
              <w:rPr>
                <w:rFonts w:ascii="Arial" w:cs="Arial" w:eastAsia="Arial" w:hAnsi="Arial"/>
                <w:sz w:val="18"/>
                <w:szCs w:val="18"/>
                <w:color w:val="auto"/>
              </w:rPr>
              <w:t>Lease liability</w:t>
            </w: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406</w:t>
            </w: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318</w:t>
            </w:r>
          </w:p>
        </w:tc>
        <w:tc>
          <w:tcPr>
            <w:tcW w:w="0" w:type="dxa"/>
            <w:vAlign w:val="bottom"/>
          </w:tcPr>
          <w:p>
            <w:pPr>
              <w:spacing w:after="0"/>
              <w:rPr>
                <w:sz w:val="1"/>
                <w:szCs w:val="1"/>
                <w:color w:val="auto"/>
              </w:rPr>
            </w:pPr>
          </w:p>
        </w:tc>
      </w:tr>
      <w:tr>
        <w:trPr>
          <w:trHeight w:val="27"/>
        </w:trPr>
        <w:tc>
          <w:tcPr>
            <w:tcW w:w="7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76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current liabilities</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69,325</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46,557</w:t>
            </w:r>
          </w:p>
        </w:tc>
        <w:tc>
          <w:tcPr>
            <w:tcW w:w="0" w:type="dxa"/>
            <w:vAlign w:val="bottom"/>
          </w:tcPr>
          <w:p>
            <w:pPr>
              <w:spacing w:after="0"/>
              <w:rPr>
                <w:sz w:val="1"/>
                <w:szCs w:val="1"/>
                <w:color w:val="auto"/>
              </w:rPr>
            </w:pPr>
          </w:p>
        </w:tc>
      </w:tr>
      <w:tr>
        <w:trPr>
          <w:trHeight w:val="216"/>
        </w:trPr>
        <w:tc>
          <w:tcPr>
            <w:tcW w:w="7600" w:type="dxa"/>
            <w:vAlign w:val="bottom"/>
          </w:tcPr>
          <w:p>
            <w:pPr>
              <w:spacing w:after="0"/>
              <w:rPr>
                <w:sz w:val="20"/>
                <w:szCs w:val="20"/>
                <w:color w:val="auto"/>
              </w:rPr>
            </w:pPr>
            <w:r>
              <w:rPr>
                <w:rFonts w:ascii="Arial" w:cs="Arial" w:eastAsia="Arial" w:hAnsi="Arial"/>
                <w:sz w:val="18"/>
                <w:szCs w:val="18"/>
                <w:color w:val="auto"/>
              </w:rPr>
              <w:t>Long term liabilities:</w:t>
            </w: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Lease liability</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491</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468</w:t>
            </w:r>
          </w:p>
        </w:tc>
        <w:tc>
          <w:tcPr>
            <w:tcW w:w="0" w:type="dxa"/>
            <w:vAlign w:val="bottom"/>
          </w:tcPr>
          <w:p>
            <w:pPr>
              <w:spacing w:after="0"/>
              <w:rPr>
                <w:sz w:val="1"/>
                <w:szCs w:val="1"/>
                <w:color w:val="auto"/>
              </w:rPr>
            </w:pPr>
          </w:p>
        </w:tc>
      </w:tr>
      <w:tr>
        <w:trPr>
          <w:trHeight w:val="230"/>
        </w:trPr>
        <w:tc>
          <w:tcPr>
            <w:tcW w:w="7600" w:type="dxa"/>
            <w:vAlign w:val="bottom"/>
          </w:tcPr>
          <w:p>
            <w:pPr>
              <w:ind w:left="720"/>
              <w:spacing w:after="0"/>
              <w:rPr>
                <w:sz w:val="20"/>
                <w:szCs w:val="20"/>
                <w:color w:val="auto"/>
              </w:rPr>
            </w:pPr>
            <w:r>
              <w:rPr>
                <w:rFonts w:ascii="Arial" w:cs="Arial" w:eastAsia="Arial" w:hAnsi="Arial"/>
                <w:sz w:val="18"/>
                <w:szCs w:val="18"/>
                <w:color w:val="auto"/>
              </w:rPr>
              <w:t>Total long term liabilities</w:t>
            </w:r>
          </w:p>
        </w:tc>
        <w:tc>
          <w:tcPr>
            <w:tcW w:w="1260" w:type="dxa"/>
            <w:vAlign w:val="bottom"/>
          </w:tcPr>
          <w:p>
            <w:pPr>
              <w:spacing w:after="0"/>
              <w:rPr>
                <w:sz w:val="20"/>
                <w:szCs w:val="20"/>
                <w:color w:val="auto"/>
              </w:rPr>
            </w:pPr>
          </w:p>
        </w:tc>
        <w:tc>
          <w:tcPr>
            <w:tcW w:w="16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491</w:t>
            </w:r>
          </w:p>
        </w:tc>
        <w:tc>
          <w:tcPr>
            <w:tcW w:w="32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468</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6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liabilities</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69,816</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47,025</w:t>
            </w:r>
          </w:p>
        </w:tc>
        <w:tc>
          <w:tcPr>
            <w:tcW w:w="0" w:type="dxa"/>
            <w:vAlign w:val="bottom"/>
          </w:tcPr>
          <w:p>
            <w:pPr>
              <w:spacing w:after="0"/>
              <w:rPr>
                <w:sz w:val="1"/>
                <w:szCs w:val="1"/>
                <w:color w:val="auto"/>
              </w:rPr>
            </w:pPr>
          </w:p>
        </w:tc>
      </w:tr>
      <w:tr>
        <w:trPr>
          <w:trHeight w:val="223"/>
        </w:trPr>
        <w:tc>
          <w:tcPr>
            <w:tcW w:w="7600" w:type="dxa"/>
            <w:vAlign w:val="bottom"/>
          </w:tcPr>
          <w:p>
            <w:pPr>
              <w:spacing w:after="0"/>
              <w:rPr>
                <w:sz w:val="20"/>
                <w:szCs w:val="20"/>
                <w:color w:val="auto"/>
              </w:rPr>
            </w:pPr>
            <w:r>
              <w:rPr>
                <w:rFonts w:ascii="Arial" w:cs="Arial" w:eastAsia="Arial" w:hAnsi="Arial"/>
                <w:sz w:val="18"/>
                <w:szCs w:val="18"/>
                <w:color w:val="auto"/>
              </w:rPr>
              <w:t>Stockholders’ equity:</w:t>
            </w:r>
          </w:p>
        </w:tc>
        <w:tc>
          <w:tcPr>
            <w:tcW w:w="126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7600" w:type="dxa"/>
            <w:vAlign w:val="bottom"/>
            <w:shd w:val="clear" w:color="auto" w:fill="CCEEFF"/>
          </w:tcPr>
          <w:p>
            <w:pPr>
              <w:ind w:left="360"/>
              <w:spacing w:after="0" w:line="201" w:lineRule="exact"/>
              <w:rPr>
                <w:sz w:val="20"/>
                <w:szCs w:val="20"/>
                <w:color w:val="auto"/>
              </w:rPr>
            </w:pPr>
            <w:r>
              <w:rPr>
                <w:rFonts w:ascii="Arial" w:cs="Arial" w:eastAsia="Arial" w:hAnsi="Arial"/>
                <w:sz w:val="18"/>
                <w:szCs w:val="18"/>
                <w:color w:val="auto"/>
              </w:rPr>
              <w:t>Preferred stock, par value $0.0001 per share authorized: 5,000,000 shares at</w:t>
            </w:r>
          </w:p>
        </w:tc>
        <w:tc>
          <w:tcPr>
            <w:tcW w:w="12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September 30, 2021 and December 31, 2020; 1,969,797 shares issued and</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outstanding at September 30, 2021 and December 31, 2020</w:t>
            </w:r>
          </w:p>
        </w:tc>
        <w:tc>
          <w:tcPr>
            <w:tcW w:w="126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7600" w:type="dxa"/>
            <w:vAlign w:val="bottom"/>
          </w:tcPr>
          <w:p>
            <w:pPr>
              <w:ind w:left="360"/>
              <w:spacing w:after="0" w:line="201" w:lineRule="exact"/>
              <w:rPr>
                <w:sz w:val="20"/>
                <w:szCs w:val="20"/>
                <w:color w:val="auto"/>
              </w:rPr>
            </w:pPr>
            <w:r>
              <w:rPr>
                <w:rFonts w:ascii="Arial" w:cs="Arial" w:eastAsia="Arial" w:hAnsi="Arial"/>
                <w:sz w:val="18"/>
                <w:szCs w:val="18"/>
                <w:color w:val="auto"/>
              </w:rPr>
              <w:t>Common stock, par value $0.0001 per share authorized: 200,000,000 at September</w:t>
            </w:r>
          </w:p>
        </w:tc>
        <w:tc>
          <w:tcPr>
            <w:tcW w:w="1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600" w:type="dxa"/>
            <w:vAlign w:val="bottom"/>
          </w:tcPr>
          <w:p>
            <w:pPr>
              <w:ind w:left="360"/>
              <w:spacing w:after="0"/>
              <w:rPr>
                <w:sz w:val="20"/>
                <w:szCs w:val="20"/>
                <w:color w:val="auto"/>
              </w:rPr>
            </w:pPr>
            <w:r>
              <w:rPr>
                <w:rFonts w:ascii="Arial" w:cs="Arial" w:eastAsia="Arial" w:hAnsi="Arial"/>
                <w:sz w:val="18"/>
                <w:szCs w:val="18"/>
                <w:color w:val="auto"/>
              </w:rPr>
              <w:t>30, 2021 and December 31, 2020; 16,860,211 and 15,508,146 shares issued and</w:t>
            </w: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600" w:type="dxa"/>
            <w:vAlign w:val="bottom"/>
          </w:tcPr>
          <w:p>
            <w:pPr>
              <w:ind w:left="360"/>
              <w:spacing w:after="0"/>
              <w:rPr>
                <w:sz w:val="20"/>
                <w:szCs w:val="20"/>
                <w:color w:val="auto"/>
              </w:rPr>
            </w:pPr>
            <w:r>
              <w:rPr>
                <w:rFonts w:ascii="Arial" w:cs="Arial" w:eastAsia="Arial" w:hAnsi="Arial"/>
                <w:sz w:val="18"/>
                <w:szCs w:val="18"/>
                <w:color w:val="auto"/>
              </w:rPr>
              <w:t>outstanding at September 30, 2021 and December 31, 2020, respectively</w:t>
            </w:r>
          </w:p>
        </w:tc>
        <w:tc>
          <w:tcPr>
            <w:tcW w:w="1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2</w:t>
            </w:r>
          </w:p>
        </w:tc>
        <w:tc>
          <w:tcPr>
            <w:tcW w:w="140" w:type="dxa"/>
            <w:vAlign w:val="bottom"/>
          </w:tcPr>
          <w:p>
            <w:pPr>
              <w:spacing w:after="0"/>
              <w:rPr>
                <w:sz w:val="20"/>
                <w:szCs w:val="20"/>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7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Additional paid-in-capital</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837,636</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665,385</w:t>
            </w:r>
          </w:p>
        </w:tc>
        <w:tc>
          <w:tcPr>
            <w:tcW w:w="0" w:type="dxa"/>
            <w:vAlign w:val="bottom"/>
          </w:tcPr>
          <w:p>
            <w:pPr>
              <w:spacing w:after="0"/>
              <w:rPr>
                <w:sz w:val="1"/>
                <w:szCs w:val="1"/>
                <w:color w:val="auto"/>
              </w:rPr>
            </w:pPr>
          </w:p>
        </w:tc>
      </w:tr>
      <w:tr>
        <w:trPr>
          <w:trHeight w:val="216"/>
        </w:trPr>
        <w:tc>
          <w:tcPr>
            <w:tcW w:w="7600" w:type="dxa"/>
            <w:vAlign w:val="bottom"/>
          </w:tcPr>
          <w:p>
            <w:pPr>
              <w:ind w:left="360"/>
              <w:spacing w:after="0"/>
              <w:rPr>
                <w:sz w:val="20"/>
                <w:szCs w:val="20"/>
                <w:color w:val="auto"/>
              </w:rPr>
            </w:pPr>
            <w:r>
              <w:rPr>
                <w:rFonts w:ascii="Arial" w:cs="Arial" w:eastAsia="Arial" w:hAnsi="Arial"/>
                <w:sz w:val="18"/>
                <w:szCs w:val="18"/>
                <w:color w:val="auto"/>
              </w:rPr>
              <w:t>Accumulated other comprehensive gain (loss)</w:t>
            </w: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4</w:t>
            </w: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16"/>
        </w:trPr>
        <w:tc>
          <w:tcPr>
            <w:tcW w:w="7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Accumulated deficit</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8"/>
              </w:rPr>
              <w:t>(602,761)</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5"/>
              </w:rPr>
              <w:t>(425,464)</w:t>
            </w:r>
          </w:p>
        </w:tc>
        <w:tc>
          <w:tcPr>
            <w:tcW w:w="0" w:type="dxa"/>
            <w:vAlign w:val="bottom"/>
          </w:tcPr>
          <w:p>
            <w:pPr>
              <w:spacing w:after="0"/>
              <w:rPr>
                <w:sz w:val="1"/>
                <w:szCs w:val="1"/>
                <w:color w:val="auto"/>
              </w:rPr>
            </w:pPr>
          </w:p>
        </w:tc>
      </w:tr>
      <w:tr>
        <w:trPr>
          <w:trHeight w:val="230"/>
        </w:trPr>
        <w:tc>
          <w:tcPr>
            <w:tcW w:w="7600" w:type="dxa"/>
            <w:vAlign w:val="bottom"/>
          </w:tcPr>
          <w:p>
            <w:pPr>
              <w:ind w:left="720"/>
              <w:spacing w:after="0"/>
              <w:rPr>
                <w:sz w:val="20"/>
                <w:szCs w:val="20"/>
                <w:color w:val="auto"/>
              </w:rPr>
            </w:pPr>
            <w:r>
              <w:rPr>
                <w:rFonts w:ascii="Arial" w:cs="Arial" w:eastAsia="Arial" w:hAnsi="Arial"/>
                <w:sz w:val="18"/>
                <w:szCs w:val="18"/>
                <w:color w:val="auto"/>
              </w:rPr>
              <w:t>Total stockholders’ equity</w:t>
            </w:r>
          </w:p>
        </w:tc>
        <w:tc>
          <w:tcPr>
            <w:tcW w:w="1260" w:type="dxa"/>
            <w:vAlign w:val="bottom"/>
          </w:tcPr>
          <w:p>
            <w:pPr>
              <w:spacing w:after="0"/>
              <w:rPr>
                <w:sz w:val="20"/>
                <w:szCs w:val="20"/>
                <w:color w:val="auto"/>
              </w:rPr>
            </w:pPr>
          </w:p>
        </w:tc>
        <w:tc>
          <w:tcPr>
            <w:tcW w:w="16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234,881</w:t>
            </w:r>
          </w:p>
        </w:tc>
        <w:tc>
          <w:tcPr>
            <w:tcW w:w="32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239,970</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6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liabilities and stockholders’ equity</w:t>
            </w:r>
          </w:p>
        </w:tc>
        <w:tc>
          <w:tcPr>
            <w:tcW w:w="1420" w:type="dxa"/>
            <w:vAlign w:val="bottom"/>
            <w:gridSpan w:val="2"/>
            <w:shd w:val="clear" w:color="auto" w:fill="CCEEFF"/>
          </w:tcPr>
          <w:p>
            <w:pPr>
              <w:ind w:left="126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304,697</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286,995</w:t>
            </w:r>
          </w:p>
        </w:tc>
        <w:tc>
          <w:tcPr>
            <w:tcW w:w="0" w:type="dxa"/>
            <w:vAlign w:val="bottom"/>
          </w:tcPr>
          <w:p>
            <w:pPr>
              <w:spacing w:after="0"/>
              <w:rPr>
                <w:sz w:val="1"/>
                <w:szCs w:val="1"/>
                <w:color w:val="auto"/>
              </w:rPr>
            </w:pPr>
          </w:p>
        </w:tc>
      </w:tr>
      <w:tr>
        <w:trPr>
          <w:trHeight w:val="20"/>
        </w:trPr>
        <w:tc>
          <w:tcPr>
            <w:tcW w:w="760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140"/>
          </w:cols>
          <w:pgMar w:left="320" w:top="486" w:right="4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MADRIGAL PHARMACEUTICALS, INC.</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(Unaudited; in thousands, except share and per share amounts)</w:t>
      </w:r>
    </w:p>
    <w:p>
      <w:pPr>
        <w:spacing w:after="0" w:line="243" w:lineRule="exact"/>
        <w:rPr>
          <w:sz w:val="20"/>
          <w:szCs w:val="20"/>
          <w:color w:val="auto"/>
        </w:rPr>
      </w:pPr>
    </w:p>
    <w:tbl>
      <w:tblPr>
        <w:tblLayout w:type="fixed"/>
        <w:tblInd w:w="120" w:type="dxa"/>
        <w:tblCellMar>
          <w:top w:w="0" w:type="dxa"/>
          <w:left w:w="0" w:type="dxa"/>
          <w:bottom w:w="0" w:type="dxa"/>
          <w:right w:w="0" w:type="dxa"/>
        </w:tblCellMar>
      </w:tblPr>
      <w:tr>
        <w:trPr>
          <w:trHeight w:val="171"/>
        </w:trPr>
        <w:tc>
          <w:tcPr>
            <w:tcW w:w="5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540" w:type="dxa"/>
            <w:vAlign w:val="bottom"/>
            <w:gridSpan w:val="6"/>
          </w:tcPr>
          <w:p>
            <w:pPr>
              <w:jc w:val="right"/>
              <w:ind w:right="300"/>
              <w:spacing w:after="0"/>
              <w:rPr>
                <w:sz w:val="20"/>
                <w:szCs w:val="20"/>
                <w:color w:val="auto"/>
              </w:rPr>
            </w:pPr>
            <w:r>
              <w:rPr>
                <w:rFonts w:ascii="Arial" w:cs="Arial" w:eastAsia="Arial" w:hAnsi="Arial"/>
                <w:sz w:val="14"/>
                <w:szCs w:val="14"/>
                <w:b w:val="1"/>
                <w:bCs w:val="1"/>
                <w:color w:val="auto"/>
                <w:w w:val="93"/>
              </w:rPr>
              <w:t>Three Months Ended September 30,</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60" w:type="dxa"/>
            <w:vAlign w:val="bottom"/>
            <w:gridSpan w:val="5"/>
          </w:tcPr>
          <w:p>
            <w:pPr>
              <w:jc w:val="right"/>
              <w:ind w:right="141"/>
              <w:spacing w:after="0"/>
              <w:rPr>
                <w:sz w:val="20"/>
                <w:szCs w:val="20"/>
                <w:color w:val="auto"/>
              </w:rPr>
            </w:pPr>
            <w:r>
              <w:rPr>
                <w:rFonts w:ascii="Arial" w:cs="Arial" w:eastAsia="Arial" w:hAnsi="Arial"/>
                <w:sz w:val="14"/>
                <w:szCs w:val="14"/>
                <w:b w:val="1"/>
                <w:bCs w:val="1"/>
                <w:color w:val="auto"/>
                <w:w w:val="92"/>
              </w:rPr>
              <w:t>Nine Months Ended September 30,</w:t>
            </w:r>
          </w:p>
        </w:tc>
      </w:tr>
      <w:tr>
        <w:trPr>
          <w:trHeight w:val="155"/>
        </w:trPr>
        <w:tc>
          <w:tcPr>
            <w:tcW w:w="5740" w:type="dxa"/>
            <w:vAlign w:val="bottom"/>
            <w:tcBorders>
              <w:bottom w:val="single" w:sz="8" w:color="CCEEFF"/>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920" w:type="dxa"/>
            <w:vAlign w:val="bottom"/>
            <w:tcBorders>
              <w:top w:val="single" w:sz="8" w:color="auto"/>
              <w:bottom w:val="single" w:sz="8" w:color="auto"/>
            </w:tcBorders>
          </w:tcPr>
          <w:p>
            <w:pPr>
              <w:jc w:val="right"/>
              <w:ind w:right="273"/>
              <w:spacing w:after="0" w:line="155" w:lineRule="exact"/>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bottom w:val="single" w:sz="8" w:color="CCEEFF"/>
            </w:tcBorders>
          </w:tcPr>
          <w:p>
            <w:pPr>
              <w:spacing w:after="0"/>
              <w:rPr>
                <w:sz w:val="13"/>
                <w:szCs w:val="13"/>
                <w:color w:val="auto"/>
              </w:rPr>
            </w:pPr>
          </w:p>
        </w:tc>
        <w:tc>
          <w:tcPr>
            <w:tcW w:w="160" w:type="dxa"/>
            <w:vAlign w:val="bottom"/>
            <w:tcBorders>
              <w:top w:val="single" w:sz="8" w:color="auto"/>
              <w:bottom w:val="single" w:sz="8" w:color="CCEEFF"/>
            </w:tcBorders>
          </w:tcPr>
          <w:p>
            <w:pPr>
              <w:spacing w:after="0"/>
              <w:rPr>
                <w:sz w:val="13"/>
                <w:szCs w:val="13"/>
                <w:color w:val="auto"/>
              </w:rPr>
            </w:pPr>
          </w:p>
        </w:tc>
        <w:tc>
          <w:tcPr>
            <w:tcW w:w="160" w:type="dxa"/>
            <w:vAlign w:val="bottom"/>
            <w:tcBorders>
              <w:top w:val="single" w:sz="8" w:color="auto"/>
              <w:bottom w:val="single" w:sz="8" w:color="auto"/>
            </w:tcBorders>
          </w:tcPr>
          <w:p>
            <w:pPr>
              <w:spacing w:after="0"/>
              <w:rPr>
                <w:sz w:val="13"/>
                <w:szCs w:val="13"/>
                <w:color w:val="auto"/>
              </w:rPr>
            </w:pPr>
          </w:p>
        </w:tc>
        <w:tc>
          <w:tcPr>
            <w:tcW w:w="880" w:type="dxa"/>
            <w:vAlign w:val="bottom"/>
            <w:tcBorders>
              <w:top w:val="single" w:sz="8" w:color="auto"/>
              <w:bottom w:val="single" w:sz="8" w:color="auto"/>
            </w:tcBorders>
          </w:tcPr>
          <w:p>
            <w:pPr>
              <w:jc w:val="right"/>
              <w:ind w:right="292"/>
              <w:spacing w:after="0" w:line="155" w:lineRule="exact"/>
              <w:rPr>
                <w:sz w:val="20"/>
                <w:szCs w:val="20"/>
                <w:color w:val="auto"/>
              </w:rPr>
            </w:pPr>
            <w:r>
              <w:rPr>
                <w:rFonts w:ascii="Arial" w:cs="Arial" w:eastAsia="Arial" w:hAnsi="Arial"/>
                <w:sz w:val="14"/>
                <w:szCs w:val="14"/>
                <w:b w:val="1"/>
                <w:bCs w:val="1"/>
                <w:color w:val="auto"/>
              </w:rPr>
              <w:t>2020</w:t>
            </w:r>
          </w:p>
        </w:tc>
        <w:tc>
          <w:tcPr>
            <w:tcW w:w="200" w:type="dxa"/>
            <w:vAlign w:val="bottom"/>
            <w:tcBorders>
              <w:bottom w:val="single" w:sz="8" w:color="CCEEFF"/>
            </w:tcBorders>
          </w:tcPr>
          <w:p>
            <w:pPr>
              <w:spacing w:after="0"/>
              <w:rPr>
                <w:sz w:val="13"/>
                <w:szCs w:val="13"/>
                <w:color w:val="auto"/>
              </w:rPr>
            </w:pPr>
          </w:p>
        </w:tc>
        <w:tc>
          <w:tcPr>
            <w:tcW w:w="160" w:type="dxa"/>
            <w:vAlign w:val="bottom"/>
            <w:tcBorders>
              <w:bottom w:val="single" w:sz="8" w:color="CCEEFF"/>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880" w:type="dxa"/>
            <w:vAlign w:val="bottom"/>
            <w:tcBorders>
              <w:top w:val="single" w:sz="8" w:color="auto"/>
              <w:bottom w:val="single" w:sz="8" w:color="auto"/>
            </w:tcBorders>
          </w:tcPr>
          <w:p>
            <w:pPr>
              <w:jc w:val="right"/>
              <w:ind w:right="253"/>
              <w:spacing w:after="0" w:line="155" w:lineRule="exact"/>
              <w:rPr>
                <w:sz w:val="20"/>
                <w:szCs w:val="20"/>
                <w:color w:val="auto"/>
              </w:rPr>
            </w:pPr>
            <w:r>
              <w:rPr>
                <w:rFonts w:ascii="Arial" w:cs="Arial" w:eastAsia="Arial" w:hAnsi="Arial"/>
                <w:sz w:val="14"/>
                <w:szCs w:val="14"/>
                <w:b w:val="1"/>
                <w:bCs w:val="1"/>
                <w:color w:val="auto"/>
              </w:rPr>
              <w:t>2021</w:t>
            </w:r>
          </w:p>
        </w:tc>
        <w:tc>
          <w:tcPr>
            <w:tcW w:w="360" w:type="dxa"/>
            <w:vAlign w:val="bottom"/>
            <w:tcBorders>
              <w:top w:val="single" w:sz="8" w:color="auto"/>
              <w:bottom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880" w:type="dxa"/>
            <w:vAlign w:val="bottom"/>
            <w:tcBorders>
              <w:top w:val="single" w:sz="8" w:color="auto"/>
              <w:bottom w:val="single" w:sz="8" w:color="auto"/>
            </w:tcBorders>
          </w:tcPr>
          <w:p>
            <w:pPr>
              <w:jc w:val="right"/>
              <w:ind w:right="292"/>
              <w:spacing w:after="0" w:line="155" w:lineRule="exact"/>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3"/>
                <w:szCs w:val="13"/>
                <w:color w:val="auto"/>
              </w:rPr>
            </w:pPr>
          </w:p>
        </w:tc>
      </w:tr>
      <w:tr>
        <w:trPr>
          <w:trHeight w:val="210"/>
        </w:trPr>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740" w:type="dxa"/>
            <w:vAlign w:val="bottom"/>
          </w:tcPr>
          <w:p>
            <w:pPr>
              <w:ind w:left="360"/>
              <w:spacing w:after="0"/>
              <w:rPr>
                <w:sz w:val="20"/>
                <w:szCs w:val="20"/>
                <w:color w:val="auto"/>
              </w:rPr>
            </w:pPr>
            <w:r>
              <w:rPr>
                <w:rFonts w:ascii="Arial" w:cs="Arial" w:eastAsia="Arial" w:hAnsi="Arial"/>
                <w:sz w:val="18"/>
                <w:szCs w:val="18"/>
                <w:color w:val="auto"/>
              </w:rPr>
              <w:t>Total revenues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ind w:right="7"/>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381"/>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121"/>
              <w:spacing w:after="0"/>
              <w:rPr>
                <w:sz w:val="20"/>
                <w:szCs w:val="20"/>
                <w:color w:val="auto"/>
              </w:rPr>
            </w:pPr>
            <w:r>
              <w:rPr>
                <w:rFonts w:ascii="Arial" w:cs="Arial" w:eastAsia="Arial" w:hAnsi="Arial"/>
                <w:sz w:val="18"/>
                <w:szCs w:val="18"/>
                <w:color w:val="auto"/>
              </w:rPr>
              <w:t>—</w:t>
            </w:r>
          </w:p>
        </w:tc>
      </w:tr>
      <w:tr>
        <w:trPr>
          <w:trHeight w:val="216"/>
        </w:trPr>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740" w:type="dxa"/>
            <w:vAlign w:val="bottom"/>
          </w:tcPr>
          <w:p>
            <w:pPr>
              <w:ind w:left="360"/>
              <w:spacing w:after="0"/>
              <w:rPr>
                <w:sz w:val="20"/>
                <w:szCs w:val="20"/>
                <w:color w:val="auto"/>
              </w:rPr>
            </w:pPr>
            <w:r>
              <w:rPr>
                <w:rFonts w:ascii="Arial" w:cs="Arial" w:eastAsia="Arial" w:hAnsi="Arial"/>
                <w:sz w:val="18"/>
                <w:szCs w:val="18"/>
                <w:color w:val="auto"/>
              </w:rPr>
              <w:t>Research and development</w:t>
            </w:r>
          </w:p>
        </w:tc>
        <w:tc>
          <w:tcPr>
            <w:tcW w:w="10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54,873</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8"/>
                <w:szCs w:val="18"/>
                <w:color w:val="auto"/>
              </w:rPr>
              <w:t>53,292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81"/>
              <w:spacing w:after="0"/>
              <w:rPr>
                <w:sz w:val="20"/>
                <w:szCs w:val="20"/>
                <w:color w:val="auto"/>
              </w:rPr>
            </w:pPr>
            <w:r>
              <w:rPr>
                <w:rFonts w:ascii="Arial" w:cs="Arial" w:eastAsia="Arial" w:hAnsi="Arial"/>
                <w:sz w:val="18"/>
                <w:szCs w:val="18"/>
                <w:color w:val="auto"/>
              </w:rPr>
              <w:t>152,275</w:t>
            </w:r>
          </w:p>
        </w:tc>
        <w:tc>
          <w:tcPr>
            <w:tcW w:w="1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Arial" w:cs="Arial" w:eastAsia="Arial" w:hAnsi="Arial"/>
                <w:sz w:val="18"/>
                <w:szCs w:val="18"/>
                <w:color w:val="auto"/>
              </w:rPr>
              <w:t>131,380</w:t>
            </w:r>
          </w:p>
        </w:tc>
      </w:tr>
      <w:tr>
        <w:trPr>
          <w:trHeight w:val="216"/>
        </w:trPr>
        <w:tc>
          <w:tcPr>
            <w:tcW w:w="57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General and administrative</w:t>
            </w: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8,287</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5,494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1"/>
              <w:spacing w:after="0"/>
              <w:rPr>
                <w:sz w:val="20"/>
                <w:szCs w:val="20"/>
                <w:color w:val="auto"/>
              </w:rPr>
            </w:pPr>
            <w:r>
              <w:rPr>
                <w:rFonts w:ascii="Arial" w:cs="Arial" w:eastAsia="Arial" w:hAnsi="Arial"/>
                <w:sz w:val="18"/>
                <w:szCs w:val="18"/>
                <w:color w:val="auto"/>
              </w:rPr>
              <w:t>25,606</w:t>
            </w: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15,738</w:t>
            </w:r>
          </w:p>
        </w:tc>
      </w:tr>
      <w:tr>
        <w:trPr>
          <w:trHeight w:val="230"/>
        </w:trPr>
        <w:tc>
          <w:tcPr>
            <w:tcW w:w="5740" w:type="dxa"/>
            <w:vAlign w:val="bottom"/>
          </w:tcPr>
          <w:p>
            <w:pPr>
              <w:ind w:left="360"/>
              <w:spacing w:after="0"/>
              <w:rPr>
                <w:sz w:val="20"/>
                <w:szCs w:val="20"/>
                <w:color w:val="auto"/>
              </w:rPr>
            </w:pPr>
            <w:r>
              <w:rPr>
                <w:rFonts w:ascii="Arial" w:cs="Arial" w:eastAsia="Arial" w:hAnsi="Arial"/>
                <w:sz w:val="18"/>
                <w:szCs w:val="18"/>
                <w:color w:val="auto"/>
              </w:rPr>
              <w:t>Total operating expenses</w:t>
            </w:r>
          </w:p>
        </w:tc>
        <w:tc>
          <w:tcPr>
            <w:tcW w:w="100" w:type="dxa"/>
            <w:vAlign w:val="bottom"/>
            <w:tcBorders>
              <w:top w:val="single" w:sz="8" w:color="auto"/>
              <w:bottom w:val="single" w:sz="8" w:color="auto"/>
            </w:tcBorders>
          </w:tcPr>
          <w:p>
            <w:pPr>
              <w:spacing w:after="0"/>
              <w:rPr>
                <w:sz w:val="20"/>
                <w:szCs w:val="20"/>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63,160</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Borders>
              <w:top w:val="single" w:sz="8" w:color="auto"/>
              <w:bottom w:val="single" w:sz="8" w:color="auto"/>
            </w:tcBorders>
          </w:tcPr>
          <w:p>
            <w:pPr>
              <w:spacing w:after="0"/>
              <w:rPr>
                <w:sz w:val="20"/>
                <w:szCs w:val="20"/>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58,786</w:t>
            </w:r>
          </w:p>
        </w:tc>
        <w:tc>
          <w:tcPr>
            <w:tcW w:w="2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177,881</w:t>
            </w:r>
          </w:p>
        </w:tc>
        <w:tc>
          <w:tcPr>
            <w:tcW w:w="36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147,118</w:t>
            </w:r>
          </w:p>
        </w:tc>
        <w:tc>
          <w:tcPr>
            <w:tcW w:w="100" w:type="dxa"/>
            <w:vAlign w:val="bottom"/>
          </w:tcPr>
          <w:p>
            <w:pPr>
              <w:spacing w:after="0"/>
              <w:rPr>
                <w:sz w:val="20"/>
                <w:szCs w:val="20"/>
                <w:color w:val="auto"/>
              </w:rPr>
            </w:pPr>
          </w:p>
        </w:tc>
      </w:tr>
      <w:tr>
        <w:trPr>
          <w:trHeight w:val="216"/>
        </w:trPr>
        <w:tc>
          <w:tcPr>
            <w:tcW w:w="57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Loss from operations</w:t>
            </w: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(63,160)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(58,786)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1"/>
              <w:spacing w:after="0"/>
              <w:rPr>
                <w:sz w:val="20"/>
                <w:szCs w:val="20"/>
                <w:color w:val="auto"/>
              </w:rPr>
            </w:pPr>
            <w:r>
              <w:rPr>
                <w:rFonts w:ascii="Arial" w:cs="Arial" w:eastAsia="Arial" w:hAnsi="Arial"/>
                <w:sz w:val="18"/>
                <w:szCs w:val="18"/>
                <w:color w:val="auto"/>
              </w:rPr>
              <w:t>(177,881)</w:t>
            </w: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(147,118)</w:t>
            </w:r>
          </w:p>
        </w:tc>
      </w:tr>
      <w:tr>
        <w:trPr>
          <w:trHeight w:val="216"/>
        </w:trPr>
        <w:tc>
          <w:tcPr>
            <w:tcW w:w="5740" w:type="dxa"/>
            <w:vAlign w:val="bottom"/>
          </w:tcPr>
          <w:p>
            <w:pPr>
              <w:ind w:left="360"/>
              <w:spacing w:after="0"/>
              <w:rPr>
                <w:sz w:val="20"/>
                <w:szCs w:val="20"/>
                <w:color w:val="auto"/>
              </w:rPr>
            </w:pPr>
            <w:r>
              <w:rPr>
                <w:rFonts w:ascii="Arial" w:cs="Arial" w:eastAsia="Arial" w:hAnsi="Arial"/>
                <w:sz w:val="18"/>
                <w:szCs w:val="18"/>
                <w:color w:val="auto"/>
              </w:rPr>
              <w:t>Interest income</w:t>
            </w:r>
          </w:p>
        </w:tc>
        <w:tc>
          <w:tcPr>
            <w:tcW w:w="10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60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8"/>
                <w:szCs w:val="18"/>
                <w:color w:val="auto"/>
              </w:rPr>
              <w:t>823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81"/>
              <w:spacing w:after="0"/>
              <w:rPr>
                <w:sz w:val="20"/>
                <w:szCs w:val="20"/>
                <w:color w:val="auto"/>
              </w:rPr>
            </w:pPr>
            <w:r>
              <w:rPr>
                <w:rFonts w:ascii="Arial" w:cs="Arial" w:eastAsia="Arial" w:hAnsi="Arial"/>
                <w:sz w:val="18"/>
                <w:szCs w:val="18"/>
                <w:color w:val="auto"/>
              </w:rPr>
              <w:t>311</w:t>
            </w:r>
          </w:p>
        </w:tc>
        <w:tc>
          <w:tcPr>
            <w:tcW w:w="1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Arial" w:cs="Arial" w:eastAsia="Arial" w:hAnsi="Arial"/>
                <w:sz w:val="18"/>
                <w:szCs w:val="18"/>
                <w:color w:val="auto"/>
              </w:rPr>
              <w:t>3,897</w:t>
            </w:r>
          </w:p>
        </w:tc>
      </w:tr>
      <w:tr>
        <w:trPr>
          <w:trHeight w:val="216"/>
        </w:trPr>
        <w:tc>
          <w:tcPr>
            <w:tcW w:w="57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Other income</w:t>
            </w: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1"/>
              <w:spacing w:after="0"/>
              <w:rPr>
                <w:sz w:val="20"/>
                <w:szCs w:val="20"/>
                <w:color w:val="auto"/>
              </w:rPr>
            </w:pPr>
            <w:r>
              <w:rPr>
                <w:rFonts w:ascii="Arial" w:cs="Arial" w:eastAsia="Arial" w:hAnsi="Arial"/>
                <w:sz w:val="18"/>
                <w:szCs w:val="18"/>
                <w:color w:val="auto"/>
              </w:rPr>
              <w:t>273</w:t>
            </w: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100</w:t>
            </w:r>
          </w:p>
        </w:tc>
      </w:tr>
      <w:tr>
        <w:trPr>
          <w:trHeight w:val="223"/>
        </w:trPr>
        <w:tc>
          <w:tcPr>
            <w:tcW w:w="5740" w:type="dxa"/>
            <w:vAlign w:val="bottom"/>
          </w:tcPr>
          <w:p>
            <w:pPr>
              <w:ind w:left="360"/>
              <w:spacing w:after="0"/>
              <w:rPr>
                <w:sz w:val="20"/>
                <w:szCs w:val="20"/>
                <w:color w:val="auto"/>
              </w:rPr>
            </w:pPr>
            <w:r>
              <w:rPr>
                <w:rFonts w:ascii="Arial" w:cs="Arial" w:eastAsia="Arial" w:hAnsi="Arial"/>
                <w:sz w:val="18"/>
                <w:szCs w:val="18"/>
                <w:color w:val="auto"/>
              </w:rPr>
              <w:t>Net loss</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(63,100)</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(57,963)</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(177,297</w:t>
            </w:r>
          </w:p>
        </w:tc>
        <w:tc>
          <w:tcPr>
            <w:tcW w:w="360" w:type="dxa"/>
            <w:vAlign w:val="bottom"/>
          </w:tcPr>
          <w:p>
            <w:pPr>
              <w:jc w:val="right"/>
              <w:ind w:right="221"/>
              <w:spacing w:after="0"/>
              <w:rPr>
                <w:sz w:val="20"/>
                <w:szCs w:val="20"/>
                <w:color w:val="auto"/>
              </w:rPr>
            </w:pPr>
            <w:r>
              <w:rPr>
                <w:rFonts w:ascii="Arial" w:cs="Arial" w:eastAsia="Arial" w:hAnsi="Arial"/>
                <w:sz w:val="16"/>
                <w:szCs w:val="16"/>
                <w:color w:val="auto"/>
                <w:w w:val="74"/>
              </w:rPr>
              <w:t>)</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(143,121</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57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Net loss per common share:</w:t>
            </w: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740" w:type="dxa"/>
            <w:vAlign w:val="bottom"/>
          </w:tcPr>
          <w:p>
            <w:pPr>
              <w:spacing w:after="0"/>
              <w:rPr>
                <w:sz w:val="20"/>
                <w:szCs w:val="20"/>
                <w:color w:val="auto"/>
              </w:rPr>
            </w:pPr>
            <w:r>
              <w:rPr>
                <w:rFonts w:ascii="Arial" w:cs="Arial" w:eastAsia="Arial" w:hAnsi="Arial"/>
                <w:sz w:val="18"/>
                <w:szCs w:val="18"/>
                <w:color w:val="auto"/>
              </w:rPr>
              <w:t>Basic and diluted net loss per common share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(3.79)</w:t>
            </w:r>
          </w:p>
        </w:tc>
        <w:tc>
          <w:tcPr>
            <w:tcW w:w="320" w:type="dxa"/>
            <w:vAlign w:val="bottom"/>
            <w:gridSpan w:val="2"/>
          </w:tcPr>
          <w:p>
            <w:pPr>
              <w:jc w:val="right"/>
              <w:ind w:right="7"/>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(3.75)</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21"/>
              <w:spacing w:after="0"/>
              <w:rPr>
                <w:sz w:val="20"/>
                <w:szCs w:val="20"/>
                <w:color w:val="auto"/>
              </w:rPr>
            </w:pPr>
            <w:r>
              <w:rPr>
                <w:rFonts w:ascii="Arial" w:cs="Arial" w:eastAsia="Arial" w:hAnsi="Arial"/>
                <w:sz w:val="18"/>
                <w:szCs w:val="18"/>
                <w:color w:val="auto"/>
              </w:rPr>
              <w:t>(10.84)</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(9.27)</w:t>
            </w:r>
          </w:p>
        </w:tc>
      </w:tr>
      <w:tr>
        <w:trPr>
          <w:trHeight w:val="216"/>
        </w:trPr>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w w:val="95"/>
              </w:rPr>
              <w:t>Basic and diluted weighted average number of common shares outstanding</w:t>
            </w: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9"/>
              </w:rPr>
              <w:t>16,639,776</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5"/>
              </w:rPr>
              <w:t>15,448,425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1"/>
              <w:spacing w:after="0"/>
              <w:rPr>
                <w:sz w:val="20"/>
                <w:szCs w:val="20"/>
                <w:color w:val="auto"/>
              </w:rPr>
            </w:pPr>
            <w:r>
              <w:rPr>
                <w:rFonts w:ascii="Arial" w:cs="Arial" w:eastAsia="Arial" w:hAnsi="Arial"/>
                <w:sz w:val="18"/>
                <w:szCs w:val="18"/>
                <w:color w:val="auto"/>
                <w:w w:val="95"/>
              </w:rPr>
              <w:t>16,353,428</w:t>
            </w: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w w:val="95"/>
              </w:rPr>
              <w:t>15,437,018</w:t>
            </w:r>
          </w:p>
        </w:tc>
      </w:tr>
    </w:tbl>
    <w:p>
      <w:pPr>
        <w:spacing w:after="0" w:line="202"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120"/>
          </w:cols>
          <w:pgMar w:left="320" w:top="486" w:right="45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left="440" w:right="2340"/>
        <w:spacing w:after="0" w:line="275" w:lineRule="auto"/>
        <w:rPr>
          <w:sz w:val="20"/>
          <w:szCs w:val="20"/>
          <w:color w:val="auto"/>
        </w:rPr>
      </w:pPr>
      <w:r>
        <w:rPr>
          <w:rFonts w:ascii="Arial" w:cs="Arial" w:eastAsia="Arial" w:hAnsi="Arial"/>
          <w:sz w:val="18"/>
          <w:szCs w:val="18"/>
          <w:b w:val="1"/>
          <w:bCs w:val="1"/>
          <w:color w:val="auto"/>
        </w:rPr>
        <w:t>MADRIGAL PHARMACEUTICALS, INC. CONDENSED CONSOLIDATED STATEMENTS OF COMPREHENSIVE LOSS (Unaudited; in thousands)</w:t>
      </w:r>
    </w:p>
    <w:p>
      <w:pPr>
        <w:spacing w:after="0" w:line="200" w:lineRule="exact"/>
        <w:rPr>
          <w:sz w:val="20"/>
          <w:szCs w:val="20"/>
          <w:color w:val="auto"/>
        </w:rPr>
      </w:pPr>
    </w:p>
    <w:p>
      <w:pPr>
        <w:spacing w:after="0" w:line="213"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6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60" w:type="dxa"/>
            <w:vAlign w:val="bottom"/>
            <w:gridSpan w:val="6"/>
          </w:tcPr>
          <w:p>
            <w:pPr>
              <w:jc w:val="right"/>
              <w:ind w:right="321"/>
              <w:spacing w:after="0"/>
              <w:rPr>
                <w:sz w:val="20"/>
                <w:szCs w:val="20"/>
                <w:color w:val="auto"/>
              </w:rPr>
            </w:pPr>
            <w:r>
              <w:rPr>
                <w:rFonts w:ascii="Arial" w:cs="Arial" w:eastAsia="Arial" w:hAnsi="Arial"/>
                <w:sz w:val="14"/>
                <w:szCs w:val="14"/>
                <w:b w:val="1"/>
                <w:bCs w:val="1"/>
                <w:color w:val="auto"/>
                <w:w w:val="96"/>
              </w:rPr>
              <w:t>Three Months Ended</w:t>
            </w:r>
          </w:p>
        </w:tc>
        <w:tc>
          <w:tcPr>
            <w:tcW w:w="2320" w:type="dxa"/>
            <w:vAlign w:val="bottom"/>
            <w:gridSpan w:val="6"/>
            <w:vMerge w:val="restart"/>
          </w:tcPr>
          <w:p>
            <w:pPr>
              <w:jc w:val="right"/>
              <w:ind w:right="61"/>
              <w:spacing w:after="0"/>
              <w:rPr>
                <w:sz w:val="20"/>
                <w:szCs w:val="20"/>
                <w:color w:val="auto"/>
              </w:rPr>
            </w:pPr>
            <w:r>
              <w:rPr>
                <w:rFonts w:ascii="Arial" w:cs="Arial" w:eastAsia="Arial" w:hAnsi="Arial"/>
                <w:sz w:val="14"/>
                <w:szCs w:val="14"/>
                <w:b w:val="1"/>
                <w:bCs w:val="1"/>
                <w:color w:val="auto"/>
                <w:w w:val="93"/>
              </w:rPr>
              <w:t>Nine Months Ended September 30,</w:t>
            </w:r>
          </w:p>
        </w:tc>
        <w:tc>
          <w:tcPr>
            <w:tcW w:w="0" w:type="dxa"/>
            <w:vAlign w:val="bottom"/>
          </w:tcPr>
          <w:p>
            <w:pPr>
              <w:spacing w:after="0"/>
              <w:rPr>
                <w:sz w:val="1"/>
                <w:szCs w:val="1"/>
                <w:color w:val="auto"/>
              </w:rPr>
            </w:pPr>
          </w:p>
        </w:tc>
      </w:tr>
      <w:tr>
        <w:trPr>
          <w:trHeight w:val="171"/>
        </w:trPr>
        <w:tc>
          <w:tcPr>
            <w:tcW w:w="6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60" w:type="dxa"/>
            <w:vAlign w:val="bottom"/>
            <w:gridSpan w:val="6"/>
          </w:tcPr>
          <w:p>
            <w:pPr>
              <w:jc w:val="right"/>
              <w:ind w:right="541"/>
              <w:spacing w:after="0"/>
              <w:rPr>
                <w:sz w:val="20"/>
                <w:szCs w:val="20"/>
                <w:color w:val="auto"/>
              </w:rPr>
            </w:pPr>
            <w:r>
              <w:rPr>
                <w:rFonts w:ascii="Arial" w:cs="Arial" w:eastAsia="Arial" w:hAnsi="Arial"/>
                <w:sz w:val="14"/>
                <w:szCs w:val="14"/>
                <w:b w:val="1"/>
                <w:bCs w:val="1"/>
                <w:color w:val="auto"/>
              </w:rPr>
              <w:t>September 30,</w:t>
            </w:r>
          </w:p>
        </w:tc>
        <w:tc>
          <w:tcPr>
            <w:tcW w:w="2320" w:type="dxa"/>
            <w:vAlign w:val="bottom"/>
            <w:gridSpan w:val="6"/>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6780" w:type="dxa"/>
            <w:vAlign w:val="bottom"/>
            <w:tcBorders>
              <w:bottom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600" w:type="dxa"/>
            <w:vAlign w:val="bottom"/>
            <w:tcBorders>
              <w:top w:val="single" w:sz="8" w:color="auto"/>
              <w:bottom w:val="single" w:sz="8" w:color="auto"/>
            </w:tcBorders>
          </w:tcPr>
          <w:p>
            <w:pPr>
              <w:jc w:val="right"/>
              <w:ind w:right="159"/>
              <w:spacing w:after="0" w:line="155" w:lineRule="exact"/>
              <w:rPr>
                <w:sz w:val="20"/>
                <w:szCs w:val="20"/>
                <w:color w:val="auto"/>
              </w:rPr>
            </w:pPr>
            <w:r>
              <w:rPr>
                <w:rFonts w:ascii="Arial" w:cs="Arial" w:eastAsia="Arial" w:hAnsi="Arial"/>
                <w:sz w:val="14"/>
                <w:szCs w:val="14"/>
                <w:b w:val="1"/>
                <w:bCs w:val="1"/>
                <w:color w:val="auto"/>
              </w:rPr>
              <w:t>2021</w:t>
            </w:r>
          </w:p>
        </w:tc>
        <w:tc>
          <w:tcPr>
            <w:tcW w:w="20" w:type="dxa"/>
            <w:vAlign w:val="bottom"/>
            <w:tcBorders>
              <w:top w:val="single" w:sz="8" w:color="auto"/>
              <w:bottom w:val="single" w:sz="8" w:color="CCEEFF"/>
            </w:tcBorders>
          </w:tcPr>
          <w:p>
            <w:pPr>
              <w:spacing w:after="0"/>
              <w:rPr>
                <w:sz w:val="13"/>
                <w:szCs w:val="13"/>
                <w:color w:val="auto"/>
              </w:rPr>
            </w:pPr>
          </w:p>
        </w:tc>
        <w:tc>
          <w:tcPr>
            <w:tcW w:w="200" w:type="dxa"/>
            <w:vAlign w:val="bottom"/>
            <w:tcBorders>
              <w:top w:val="single" w:sz="8" w:color="auto"/>
              <w:bottom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600" w:type="dxa"/>
            <w:vAlign w:val="bottom"/>
            <w:tcBorders>
              <w:top w:val="single" w:sz="8" w:color="auto"/>
              <w:bottom w:val="single" w:sz="8" w:color="auto"/>
            </w:tcBorders>
          </w:tcPr>
          <w:p>
            <w:pPr>
              <w:jc w:val="right"/>
              <w:ind w:right="155"/>
              <w:spacing w:after="0" w:line="155" w:lineRule="exact"/>
              <w:rPr>
                <w:sz w:val="20"/>
                <w:szCs w:val="20"/>
                <w:color w:val="auto"/>
              </w:rPr>
            </w:pPr>
            <w:r>
              <w:rPr>
                <w:rFonts w:ascii="Arial" w:cs="Arial" w:eastAsia="Arial" w:hAnsi="Arial"/>
                <w:sz w:val="14"/>
                <w:szCs w:val="14"/>
                <w:b w:val="1"/>
                <w:bCs w:val="1"/>
                <w:color w:val="auto"/>
              </w:rPr>
              <w:t>2020</w:t>
            </w:r>
          </w:p>
        </w:tc>
        <w:tc>
          <w:tcPr>
            <w:tcW w:w="200" w:type="dxa"/>
            <w:vAlign w:val="bottom"/>
            <w:tcBorders>
              <w:bottom w:val="single" w:sz="8" w:color="CCEEFF"/>
            </w:tcBorders>
          </w:tcPr>
          <w:p>
            <w:pPr>
              <w:spacing w:after="0"/>
              <w:rPr>
                <w:sz w:val="13"/>
                <w:szCs w:val="13"/>
                <w:color w:val="auto"/>
              </w:rPr>
            </w:pPr>
          </w:p>
        </w:tc>
        <w:tc>
          <w:tcPr>
            <w:tcW w:w="220" w:type="dxa"/>
            <w:vAlign w:val="bottom"/>
            <w:tcBorders>
              <w:top w:val="single" w:sz="8" w:color="auto"/>
              <w:bottom w:val="single" w:sz="8" w:color="auto"/>
            </w:tcBorders>
          </w:tcPr>
          <w:p>
            <w:pPr>
              <w:spacing w:after="0"/>
              <w:rPr>
                <w:sz w:val="13"/>
                <w:szCs w:val="13"/>
                <w:color w:val="auto"/>
              </w:rPr>
            </w:pPr>
          </w:p>
        </w:tc>
        <w:tc>
          <w:tcPr>
            <w:tcW w:w="760" w:type="dxa"/>
            <w:vAlign w:val="bottom"/>
            <w:tcBorders>
              <w:top w:val="single" w:sz="8" w:color="auto"/>
              <w:bottom w:val="single" w:sz="8" w:color="auto"/>
            </w:tcBorders>
          </w:tcPr>
          <w:p>
            <w:pPr>
              <w:jc w:val="right"/>
              <w:ind w:right="255"/>
              <w:spacing w:after="0" w:line="155" w:lineRule="exact"/>
              <w:rPr>
                <w:sz w:val="20"/>
                <w:szCs w:val="20"/>
                <w:color w:val="auto"/>
              </w:rPr>
            </w:pPr>
            <w:r>
              <w:rPr>
                <w:rFonts w:ascii="Arial" w:cs="Arial" w:eastAsia="Arial" w:hAnsi="Arial"/>
                <w:sz w:val="14"/>
                <w:szCs w:val="14"/>
                <w:b w:val="1"/>
                <w:bCs w:val="1"/>
                <w:color w:val="auto"/>
              </w:rPr>
              <w:t>2021</w:t>
            </w:r>
          </w:p>
        </w:tc>
        <w:tc>
          <w:tcPr>
            <w:tcW w:w="240" w:type="dxa"/>
            <w:vAlign w:val="bottom"/>
            <w:tcBorders>
              <w:top w:val="single" w:sz="8" w:color="auto"/>
              <w:bottom w:val="single" w:sz="8" w:color="CCEEFF"/>
            </w:tcBorders>
          </w:tcPr>
          <w:p>
            <w:pPr>
              <w:spacing w:after="0"/>
              <w:rPr>
                <w:sz w:val="13"/>
                <w:szCs w:val="13"/>
                <w:color w:val="auto"/>
              </w:rPr>
            </w:pPr>
          </w:p>
        </w:tc>
        <w:tc>
          <w:tcPr>
            <w:tcW w:w="220" w:type="dxa"/>
            <w:vAlign w:val="bottom"/>
            <w:tcBorders>
              <w:top w:val="single" w:sz="8" w:color="auto"/>
              <w:bottom w:val="single" w:sz="8" w:color="auto"/>
            </w:tcBorders>
          </w:tcPr>
          <w:p>
            <w:pPr>
              <w:spacing w:after="0"/>
              <w:rPr>
                <w:sz w:val="13"/>
                <w:szCs w:val="13"/>
                <w:color w:val="auto"/>
              </w:rPr>
            </w:pPr>
          </w:p>
        </w:tc>
        <w:tc>
          <w:tcPr>
            <w:tcW w:w="780" w:type="dxa"/>
            <w:vAlign w:val="bottom"/>
            <w:tcBorders>
              <w:top w:val="single" w:sz="8" w:color="auto"/>
              <w:bottom w:val="single" w:sz="8" w:color="auto"/>
            </w:tcBorders>
          </w:tcPr>
          <w:p>
            <w:pPr>
              <w:ind w:left="120"/>
              <w:spacing w:after="0" w:line="155" w:lineRule="exact"/>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Net Loss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(63,100)</w:t>
            </w:r>
          </w:p>
        </w:tc>
        <w:tc>
          <w:tcPr>
            <w:tcW w:w="220" w:type="dxa"/>
            <w:vAlign w:val="bottom"/>
            <w:gridSpan w:val="2"/>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(57,963)</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(177,297)</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ind w:left="120"/>
              <w:spacing w:after="0"/>
              <w:rPr>
                <w:sz w:val="20"/>
                <w:szCs w:val="20"/>
                <w:color w:val="auto"/>
              </w:rPr>
            </w:pPr>
            <w:r>
              <w:rPr>
                <w:rFonts w:ascii="Arial" w:cs="Arial" w:eastAsia="Arial" w:hAnsi="Arial"/>
                <w:sz w:val="18"/>
                <w:szCs w:val="18"/>
                <w:color w:val="auto"/>
                <w:w w:val="83"/>
              </w:rPr>
              <w:t>(143,121)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80" w:type="dxa"/>
            <w:vAlign w:val="bottom"/>
          </w:tcPr>
          <w:p>
            <w:pPr>
              <w:spacing w:after="0"/>
              <w:rPr>
                <w:sz w:val="20"/>
                <w:szCs w:val="20"/>
                <w:color w:val="auto"/>
              </w:rPr>
            </w:pPr>
            <w:r>
              <w:rPr>
                <w:rFonts w:ascii="Arial" w:cs="Arial" w:eastAsia="Arial" w:hAnsi="Arial"/>
                <w:sz w:val="18"/>
                <w:szCs w:val="18"/>
                <w:color w:val="auto"/>
              </w:rPr>
              <w:t>Other comprehensive income (loss):</w:t>
            </w: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Unrealized gain (loss) on available-for-sale securities</w:t>
            </w:r>
          </w:p>
        </w:tc>
        <w:tc>
          <w:tcPr>
            <w:tcW w:w="14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(11)</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(660)</w:t>
            </w: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1"/>
              <w:spacing w:after="0"/>
              <w:rPr>
                <w:sz w:val="20"/>
                <w:szCs w:val="20"/>
                <w:color w:val="auto"/>
              </w:rPr>
            </w:pPr>
            <w:r>
              <w:rPr>
                <w:rFonts w:ascii="Arial" w:cs="Arial" w:eastAsia="Arial" w:hAnsi="Arial"/>
                <w:sz w:val="18"/>
                <w:szCs w:val="18"/>
                <w:color w:val="auto"/>
              </w:rPr>
              <w:t>(43)</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205</w:t>
            </w:r>
          </w:p>
        </w:tc>
        <w:tc>
          <w:tcPr>
            <w:tcW w:w="0" w:type="dxa"/>
            <w:vAlign w:val="bottom"/>
          </w:tcPr>
          <w:p>
            <w:pPr>
              <w:spacing w:after="0"/>
              <w:rPr>
                <w:sz w:val="1"/>
                <w:szCs w:val="1"/>
                <w:color w:val="auto"/>
              </w:rPr>
            </w:pPr>
          </w:p>
        </w:tc>
      </w:tr>
      <w:tr>
        <w:trPr>
          <w:trHeight w:val="223"/>
        </w:trPr>
        <w:tc>
          <w:tcPr>
            <w:tcW w:w="6780" w:type="dxa"/>
            <w:vAlign w:val="bottom"/>
          </w:tcPr>
          <w:p>
            <w:pPr>
              <w:ind w:left="720"/>
              <w:spacing w:after="0"/>
              <w:rPr>
                <w:sz w:val="20"/>
                <w:szCs w:val="20"/>
                <w:color w:val="auto"/>
              </w:rPr>
            </w:pPr>
            <w:r>
              <w:rPr>
                <w:rFonts w:ascii="Arial" w:cs="Arial" w:eastAsia="Arial" w:hAnsi="Arial"/>
                <w:sz w:val="18"/>
                <w:szCs w:val="18"/>
                <w:color w:val="auto"/>
              </w:rPr>
              <w:t>Comprehensive loss</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4"/>
              </w:rPr>
              <w:t>(63,111</w:t>
            </w:r>
          </w:p>
        </w:tc>
        <w:tc>
          <w:tcPr>
            <w:tcW w:w="220" w:type="dxa"/>
            <w:vAlign w:val="bottom"/>
            <w:gridSpan w:val="2"/>
          </w:tcPr>
          <w:p>
            <w:pPr>
              <w:jc w:val="right"/>
              <w:ind w:right="160"/>
              <w:spacing w:after="0"/>
              <w:rPr>
                <w:sz w:val="20"/>
                <w:szCs w:val="20"/>
                <w:color w:val="auto"/>
              </w:rPr>
            </w:pPr>
            <w:r>
              <w:rPr>
                <w:rFonts w:ascii="Arial" w:cs="Arial" w:eastAsia="Arial" w:hAnsi="Arial"/>
                <w:sz w:val="16"/>
                <w:szCs w:val="16"/>
                <w:color w:val="auto"/>
                <w:w w:val="74"/>
              </w:rPr>
              <w:t>)</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4"/>
              </w:rPr>
              <w:t>(58,623</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22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(177,340</w:t>
            </w:r>
          </w:p>
        </w:tc>
        <w:tc>
          <w:tcPr>
            <w:tcW w:w="240" w:type="dxa"/>
            <w:vAlign w:val="bottom"/>
          </w:tcPr>
          <w:p>
            <w:pPr>
              <w:jc w:val="right"/>
              <w:ind w:right="101"/>
              <w:spacing w:after="0"/>
              <w:rPr>
                <w:sz w:val="20"/>
                <w:szCs w:val="20"/>
                <w:color w:val="auto"/>
              </w:rPr>
            </w:pPr>
            <w:r>
              <w:rPr>
                <w:rFonts w:ascii="Arial" w:cs="Arial" w:eastAsia="Arial" w:hAnsi="Arial"/>
                <w:sz w:val="16"/>
                <w:szCs w:val="16"/>
                <w:color w:val="auto"/>
                <w:w w:val="74"/>
              </w:rPr>
              <w:t>)</w:t>
            </w:r>
          </w:p>
        </w:tc>
        <w:tc>
          <w:tcPr>
            <w:tcW w:w="220" w:type="dxa"/>
            <w:vAlign w:val="bottom"/>
            <w:tcBorders>
              <w:top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tcPr>
          <w:p>
            <w:pPr>
              <w:ind w:left="120"/>
              <w:spacing w:after="0"/>
              <w:rPr>
                <w:sz w:val="20"/>
                <w:szCs w:val="20"/>
                <w:color w:val="auto"/>
              </w:rPr>
            </w:pPr>
            <w:r>
              <w:rPr>
                <w:rFonts w:ascii="Arial" w:cs="Arial" w:eastAsia="Arial" w:hAnsi="Arial"/>
                <w:sz w:val="18"/>
                <w:szCs w:val="18"/>
                <w:color w:val="auto"/>
                <w:w w:val="90"/>
              </w:rPr>
              <w:t>(142,916</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67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120"/>
          </w:cols>
          <w:pgMar w:left="320" w:top="486" w:right="45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552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left="420" w:right="2260"/>
        <w:spacing w:after="0" w:line="266" w:lineRule="auto"/>
        <w:rPr>
          <w:sz w:val="20"/>
          <w:szCs w:val="20"/>
          <w:color w:val="auto"/>
        </w:rPr>
      </w:pPr>
      <w:r>
        <w:rPr>
          <w:rFonts w:ascii="Arial" w:cs="Arial" w:eastAsia="Arial" w:hAnsi="Arial"/>
          <w:sz w:val="18"/>
          <w:szCs w:val="18"/>
          <w:b w:val="1"/>
          <w:bCs w:val="1"/>
          <w:color w:val="auto"/>
        </w:rPr>
        <w:t>MADRIGAL PHARMACEUTICALS, INC. CONDENSED CONSOLIDATED STATEMENTS OF STOCKHOLDERS’ EQUITY (Unaudited; in thousands, except share and per share amounts)</w:t>
      </w:r>
    </w:p>
    <w:p>
      <w:pPr>
        <w:spacing w:after="0" w:line="186"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3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6"/>
              </w:rPr>
              <w:t>Additional</w:t>
            </w:r>
          </w:p>
        </w:tc>
        <w:tc>
          <w:tcPr>
            <w:tcW w:w="110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90"/>
              </w:rPr>
              <w:t>Accumulated</w:t>
            </w:r>
          </w:p>
        </w:tc>
        <w:tc>
          <w:tcPr>
            <w:tcW w:w="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8"/>
        </w:trPr>
        <w:tc>
          <w:tcPr>
            <w:tcW w:w="3780" w:type="dxa"/>
            <w:vAlign w:val="bottom"/>
          </w:tcPr>
          <w:p>
            <w:pPr>
              <w:spacing w:after="0"/>
              <w:rPr>
                <w:sz w:val="12"/>
                <w:szCs w:val="12"/>
                <w:color w:val="auto"/>
              </w:rPr>
            </w:pPr>
          </w:p>
        </w:tc>
        <w:tc>
          <w:tcPr>
            <w:tcW w:w="1460" w:type="dxa"/>
            <w:vAlign w:val="bottom"/>
            <w:gridSpan w:val="5"/>
            <w:vMerge w:val="restart"/>
          </w:tcPr>
          <w:p>
            <w:pPr>
              <w:ind w:left="260"/>
              <w:spacing w:after="0"/>
              <w:rPr>
                <w:sz w:val="20"/>
                <w:szCs w:val="20"/>
                <w:color w:val="auto"/>
              </w:rPr>
            </w:pPr>
            <w:r>
              <w:rPr>
                <w:rFonts w:ascii="Arial" w:cs="Arial" w:eastAsia="Arial" w:hAnsi="Arial"/>
                <w:sz w:val="14"/>
                <w:szCs w:val="14"/>
                <w:b w:val="1"/>
                <w:bCs w:val="1"/>
                <w:color w:val="auto"/>
              </w:rPr>
              <w:t>Preferred stock</w:t>
            </w:r>
          </w:p>
        </w:tc>
        <w:tc>
          <w:tcPr>
            <w:tcW w:w="160" w:type="dxa"/>
            <w:vAlign w:val="bottom"/>
          </w:tcPr>
          <w:p>
            <w:pPr>
              <w:spacing w:after="0"/>
              <w:rPr>
                <w:sz w:val="12"/>
                <w:szCs w:val="12"/>
                <w:color w:val="auto"/>
              </w:rPr>
            </w:pPr>
          </w:p>
        </w:tc>
        <w:tc>
          <w:tcPr>
            <w:tcW w:w="1260" w:type="dxa"/>
            <w:vAlign w:val="bottom"/>
            <w:gridSpan w:val="4"/>
            <w:vMerge w:val="restart"/>
          </w:tcPr>
          <w:p>
            <w:pPr>
              <w:ind w:left="320"/>
              <w:spacing w:after="0"/>
              <w:rPr>
                <w:sz w:val="20"/>
                <w:szCs w:val="20"/>
                <w:color w:val="auto"/>
              </w:rPr>
            </w:pPr>
            <w:r>
              <w:rPr>
                <w:rFonts w:ascii="Arial" w:cs="Arial" w:eastAsia="Arial" w:hAnsi="Arial"/>
                <w:sz w:val="14"/>
                <w:szCs w:val="14"/>
                <w:b w:val="1"/>
                <w:bCs w:val="1"/>
                <w:color w:val="auto"/>
                <w:w w:val="90"/>
              </w:rPr>
              <w:t>Common stock</w:t>
            </w:r>
          </w:p>
        </w:tc>
        <w:tc>
          <w:tcPr>
            <w:tcW w:w="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1"/>
              </w:rPr>
              <w:t>other</w:t>
            </w: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3780" w:type="dxa"/>
            <w:vAlign w:val="bottom"/>
          </w:tcPr>
          <w:p>
            <w:pPr>
              <w:spacing w:after="0"/>
              <w:rPr>
                <w:sz w:val="9"/>
                <w:szCs w:val="9"/>
                <w:color w:val="auto"/>
              </w:rPr>
            </w:pPr>
          </w:p>
        </w:tc>
        <w:tc>
          <w:tcPr>
            <w:tcW w:w="1460" w:type="dxa"/>
            <w:vAlign w:val="bottom"/>
            <w:tcBorders>
              <w:bottom w:val="single" w:sz="8" w:color="auto"/>
            </w:tcBorders>
            <w:gridSpan w:val="5"/>
            <w:vMerge w:val="continue"/>
          </w:tcPr>
          <w:p>
            <w:pPr>
              <w:spacing w:after="0"/>
              <w:rPr>
                <w:sz w:val="9"/>
                <w:szCs w:val="9"/>
                <w:color w:val="auto"/>
              </w:rPr>
            </w:pPr>
          </w:p>
        </w:tc>
        <w:tc>
          <w:tcPr>
            <w:tcW w:w="160" w:type="dxa"/>
            <w:vAlign w:val="bottom"/>
          </w:tcPr>
          <w:p>
            <w:pPr>
              <w:spacing w:after="0"/>
              <w:rPr>
                <w:sz w:val="9"/>
                <w:szCs w:val="9"/>
                <w:color w:val="auto"/>
              </w:rPr>
            </w:pPr>
          </w:p>
        </w:tc>
        <w:tc>
          <w:tcPr>
            <w:tcW w:w="1260" w:type="dxa"/>
            <w:vAlign w:val="bottom"/>
            <w:tcBorders>
              <w:bottom w:val="single" w:sz="8" w:color="auto"/>
            </w:tcBorders>
            <w:gridSpan w:val="4"/>
            <w:vMerge w:val="continue"/>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840" w:type="dxa"/>
            <w:vAlign w:val="bottom"/>
            <w:gridSpan w:val="2"/>
            <w:vMerge w:val="restart"/>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paid-in</w:t>
            </w:r>
          </w:p>
        </w:tc>
        <w:tc>
          <w:tcPr>
            <w:tcW w:w="1100" w:type="dxa"/>
            <w:vAlign w:val="bottom"/>
            <w:gridSpan w:val="3"/>
            <w:vMerge w:val="restart"/>
          </w:tcPr>
          <w:p>
            <w:pPr>
              <w:spacing w:after="0" w:line="149" w:lineRule="exact"/>
              <w:rPr>
                <w:sz w:val="20"/>
                <w:szCs w:val="20"/>
                <w:color w:val="auto"/>
              </w:rPr>
            </w:pPr>
            <w:r>
              <w:rPr>
                <w:rFonts w:ascii="Arial" w:cs="Arial" w:eastAsia="Arial" w:hAnsi="Arial"/>
                <w:sz w:val="14"/>
                <w:szCs w:val="14"/>
                <w:b w:val="1"/>
                <w:bCs w:val="1"/>
                <w:color w:val="auto"/>
              </w:rPr>
              <w:t>comprehensive</w:t>
            </w:r>
          </w:p>
        </w:tc>
        <w:tc>
          <w:tcPr>
            <w:tcW w:w="960" w:type="dxa"/>
            <w:vAlign w:val="bottom"/>
            <w:gridSpan w:val="3"/>
            <w:vMerge w:val="restart"/>
          </w:tcPr>
          <w:p>
            <w:pPr>
              <w:ind w:left="20"/>
              <w:spacing w:after="0" w:line="149" w:lineRule="exact"/>
              <w:rPr>
                <w:sz w:val="20"/>
                <w:szCs w:val="20"/>
                <w:color w:val="auto"/>
              </w:rPr>
            </w:pPr>
            <w:r>
              <w:rPr>
                <w:rFonts w:ascii="Arial" w:cs="Arial" w:eastAsia="Arial" w:hAnsi="Arial"/>
                <w:sz w:val="14"/>
                <w:szCs w:val="14"/>
                <w:b w:val="1"/>
                <w:bCs w:val="1"/>
                <w:color w:val="auto"/>
              </w:rPr>
              <w:t>Accumulated</w:t>
            </w:r>
          </w:p>
        </w:tc>
        <w:tc>
          <w:tcPr>
            <w:tcW w:w="60" w:type="dxa"/>
            <w:vAlign w:val="bottom"/>
          </w:tcPr>
          <w:p>
            <w:pPr>
              <w:spacing w:after="0"/>
              <w:rPr>
                <w:sz w:val="9"/>
                <w:szCs w:val="9"/>
                <w:color w:val="auto"/>
              </w:rPr>
            </w:pPr>
          </w:p>
        </w:tc>
        <w:tc>
          <w:tcPr>
            <w:tcW w:w="940" w:type="dxa"/>
            <w:vAlign w:val="bottom"/>
            <w:gridSpan w:val="3"/>
            <w:vMerge w:val="restart"/>
          </w:tcPr>
          <w:p>
            <w:pPr>
              <w:spacing w:after="0" w:line="149" w:lineRule="exact"/>
              <w:rPr>
                <w:sz w:val="20"/>
                <w:szCs w:val="20"/>
                <w:color w:val="auto"/>
              </w:rPr>
            </w:pPr>
            <w:r>
              <w:rPr>
                <w:rFonts w:ascii="Arial" w:cs="Arial" w:eastAsia="Arial" w:hAnsi="Arial"/>
                <w:sz w:val="14"/>
                <w:szCs w:val="14"/>
                <w:b w:val="1"/>
                <w:bCs w:val="1"/>
                <w:color w:val="auto"/>
              </w:rPr>
              <w:t>stockholders’</w:t>
            </w:r>
          </w:p>
        </w:tc>
        <w:tc>
          <w:tcPr>
            <w:tcW w:w="0" w:type="dxa"/>
            <w:vAlign w:val="bottom"/>
          </w:tcPr>
          <w:p>
            <w:pPr>
              <w:spacing w:after="0"/>
              <w:rPr>
                <w:sz w:val="1"/>
                <w:szCs w:val="1"/>
                <w:color w:val="auto"/>
              </w:rPr>
            </w:pPr>
          </w:p>
        </w:tc>
      </w:tr>
      <w:tr>
        <w:trPr>
          <w:trHeight w:val="25"/>
        </w:trPr>
        <w:tc>
          <w:tcPr>
            <w:tcW w:w="3780" w:type="dxa"/>
            <w:vAlign w:val="bottom"/>
          </w:tcPr>
          <w:p>
            <w:pPr>
              <w:spacing w:after="0"/>
              <w:rPr>
                <w:sz w:val="2"/>
                <w:szCs w:val="2"/>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Shares</w:t>
            </w:r>
          </w:p>
        </w:tc>
        <w:tc>
          <w:tcPr>
            <w:tcW w:w="20" w:type="dxa"/>
            <w:vAlign w:val="bottom"/>
            <w:vMerge w:val="restart"/>
          </w:tcPr>
          <w:p>
            <w:pPr>
              <w:spacing w:after="0"/>
              <w:rPr>
                <w:sz w:val="2"/>
                <w:szCs w:val="2"/>
                <w:color w:val="auto"/>
              </w:rPr>
            </w:pPr>
          </w:p>
        </w:tc>
        <w:tc>
          <w:tcPr>
            <w:tcW w:w="140" w:type="dxa"/>
            <w:vAlign w:val="bottom"/>
          </w:tcPr>
          <w:p>
            <w:pPr>
              <w:spacing w:after="0"/>
              <w:rPr>
                <w:sz w:val="2"/>
                <w:szCs w:val="2"/>
                <w:color w:val="auto"/>
              </w:rPr>
            </w:pPr>
          </w:p>
        </w:tc>
        <w:tc>
          <w:tcPr>
            <w:tcW w:w="50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0"/>
              </w:rPr>
              <w:t>Amount</w:t>
            </w:r>
          </w:p>
        </w:tc>
        <w:tc>
          <w:tcPr>
            <w:tcW w:w="160" w:type="dxa"/>
            <w:vAlign w:val="bottom"/>
          </w:tcPr>
          <w:p>
            <w:pPr>
              <w:spacing w:after="0"/>
              <w:rPr>
                <w:sz w:val="2"/>
                <w:szCs w:val="2"/>
                <w:color w:val="auto"/>
              </w:rPr>
            </w:pPr>
          </w:p>
        </w:tc>
        <w:tc>
          <w:tcPr>
            <w:tcW w:w="880" w:type="dxa"/>
            <w:vAlign w:val="bottom"/>
            <w:vMerge w:val="restart"/>
          </w:tcPr>
          <w:p>
            <w:pPr>
              <w:ind w:left="240"/>
              <w:spacing w:after="0"/>
              <w:rPr>
                <w:sz w:val="20"/>
                <w:szCs w:val="20"/>
                <w:color w:val="auto"/>
              </w:rPr>
            </w:pPr>
            <w:r>
              <w:rPr>
                <w:rFonts w:ascii="Arial" w:cs="Arial" w:eastAsia="Arial" w:hAnsi="Arial"/>
                <w:sz w:val="14"/>
                <w:szCs w:val="14"/>
                <w:b w:val="1"/>
                <w:bCs w:val="1"/>
                <w:color w:val="auto"/>
              </w:rPr>
              <w:t>Shares</w:t>
            </w:r>
          </w:p>
        </w:tc>
        <w:tc>
          <w:tcPr>
            <w:tcW w:w="80" w:type="dxa"/>
            <w:vAlign w:val="bottom"/>
            <w:vMerge w:val="restart"/>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w:t>
            </w:r>
          </w:p>
        </w:tc>
        <w:tc>
          <w:tcPr>
            <w:tcW w:w="100" w:type="dxa"/>
            <w:vAlign w:val="bottom"/>
          </w:tcPr>
          <w:p>
            <w:pPr>
              <w:spacing w:after="0"/>
              <w:rPr>
                <w:sz w:val="2"/>
                <w:szCs w:val="2"/>
                <w:color w:val="auto"/>
              </w:rPr>
            </w:pPr>
          </w:p>
        </w:tc>
        <w:tc>
          <w:tcPr>
            <w:tcW w:w="840" w:type="dxa"/>
            <w:vAlign w:val="bottom"/>
            <w:gridSpan w:val="2"/>
            <w:vMerge w:val="continue"/>
          </w:tcPr>
          <w:p>
            <w:pPr>
              <w:spacing w:after="0"/>
              <w:rPr>
                <w:sz w:val="2"/>
                <w:szCs w:val="2"/>
                <w:color w:val="auto"/>
              </w:rPr>
            </w:pPr>
          </w:p>
        </w:tc>
        <w:tc>
          <w:tcPr>
            <w:tcW w:w="1100" w:type="dxa"/>
            <w:vAlign w:val="bottom"/>
            <w:gridSpan w:val="3"/>
            <w:vMerge w:val="continue"/>
          </w:tcPr>
          <w:p>
            <w:pPr>
              <w:spacing w:after="0"/>
              <w:rPr>
                <w:sz w:val="2"/>
                <w:szCs w:val="2"/>
                <w:color w:val="auto"/>
              </w:rPr>
            </w:pPr>
          </w:p>
        </w:tc>
        <w:tc>
          <w:tcPr>
            <w:tcW w:w="96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940" w:type="dxa"/>
            <w:vAlign w:val="bottom"/>
            <w:gridSpan w:val="3"/>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1"/>
        </w:trPr>
        <w:tc>
          <w:tcPr>
            <w:tcW w:w="378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2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50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vMerge w:val="continue"/>
          </w:tcPr>
          <w:p>
            <w:pPr>
              <w:spacing w:after="0"/>
              <w:rPr>
                <w:sz w:val="14"/>
                <w:szCs w:val="14"/>
                <w:color w:val="auto"/>
              </w:rPr>
            </w:pPr>
          </w:p>
        </w:tc>
        <w:tc>
          <w:tcPr>
            <w:tcW w:w="80" w:type="dxa"/>
            <w:vAlign w:val="bottom"/>
            <w:vMerge w:val="continue"/>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8"/>
              </w:rPr>
              <w:t>Capital</w:t>
            </w:r>
          </w:p>
        </w:tc>
        <w:tc>
          <w:tcPr>
            <w:tcW w:w="110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8"/>
              </w:rPr>
              <w:t>income (loss)</w:t>
            </w:r>
          </w:p>
        </w:tc>
        <w:tc>
          <w:tcPr>
            <w:tcW w:w="140" w:type="dxa"/>
            <w:vAlign w:val="bottom"/>
          </w:tcPr>
          <w:p>
            <w:pPr>
              <w:spacing w:after="0"/>
              <w:rPr>
                <w:sz w:val="14"/>
                <w:szCs w:val="14"/>
                <w:color w:val="auto"/>
              </w:rPr>
            </w:pPr>
          </w:p>
        </w:tc>
        <w:tc>
          <w:tcPr>
            <w:tcW w:w="820" w:type="dxa"/>
            <w:vAlign w:val="bottom"/>
            <w:gridSpan w:val="2"/>
          </w:tcPr>
          <w:p>
            <w:pPr>
              <w:jc w:val="right"/>
              <w:ind w:right="261"/>
              <w:spacing w:after="0"/>
              <w:rPr>
                <w:sz w:val="20"/>
                <w:szCs w:val="20"/>
                <w:color w:val="auto"/>
              </w:rPr>
            </w:pPr>
            <w:r>
              <w:rPr>
                <w:rFonts w:ascii="Arial" w:cs="Arial" w:eastAsia="Arial" w:hAnsi="Arial"/>
                <w:sz w:val="14"/>
                <w:szCs w:val="14"/>
                <w:b w:val="1"/>
                <w:bCs w:val="1"/>
                <w:color w:val="auto"/>
              </w:rPr>
              <w:t>deficit</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equity</w:t>
            </w:r>
          </w:p>
        </w:tc>
        <w:tc>
          <w:tcPr>
            <w:tcW w:w="0" w:type="dxa"/>
            <w:vAlign w:val="bottom"/>
          </w:tcPr>
          <w:p>
            <w:pPr>
              <w:spacing w:after="0"/>
              <w:rPr>
                <w:sz w:val="1"/>
                <w:szCs w:val="1"/>
                <w:color w:val="auto"/>
              </w:rPr>
            </w:pPr>
          </w:p>
        </w:tc>
      </w:tr>
      <w:tr>
        <w:trPr>
          <w:trHeight w:val="20"/>
        </w:trPr>
        <w:tc>
          <w:tcPr>
            <w:tcW w:w="37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78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2020</w:t>
            </w:r>
          </w:p>
        </w:tc>
        <w:tc>
          <w:tcPr>
            <w:tcW w:w="800" w:type="dxa"/>
            <w:vAlign w:val="bottom"/>
            <w:shd w:val="clear" w:color="auto" w:fill="CCEEFF"/>
          </w:tcPr>
          <w:p>
            <w:pPr>
              <w:ind w:left="80"/>
              <w:spacing w:after="0"/>
              <w:rPr>
                <w:sz w:val="20"/>
                <w:szCs w:val="20"/>
                <w:color w:val="auto"/>
              </w:rPr>
            </w:pPr>
            <w:r>
              <w:rPr>
                <w:rFonts w:ascii="Arial" w:cs="Arial" w:eastAsia="Arial" w:hAnsi="Arial"/>
                <w:sz w:val="18"/>
                <w:szCs w:val="18"/>
                <w:color w:val="auto"/>
                <w:w w:val="87"/>
              </w:rPr>
              <w:t>1,969,797</w:t>
            </w:r>
          </w:p>
        </w:tc>
        <w:tc>
          <w:tcPr>
            <w:tcW w:w="20" w:type="dxa"/>
            <w:vAlign w:val="bottom"/>
            <w:shd w:val="clear" w:color="auto" w:fill="CCEEFF"/>
          </w:tcPr>
          <w:p>
            <w:pPr>
              <w:spacing w:after="0"/>
              <w:rPr>
                <w:sz w:val="18"/>
                <w:szCs w:val="18"/>
                <w:color w:val="auto"/>
              </w:rPr>
            </w:pPr>
          </w:p>
        </w:tc>
        <w:tc>
          <w:tcPr>
            <w:tcW w:w="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1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15,508,146</w:t>
            </w:r>
          </w:p>
        </w:tc>
        <w:tc>
          <w:tcPr>
            <w:tcW w:w="30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2</w:t>
            </w: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$665,385</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47</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5"/>
              </w:rPr>
              <w:t>(425,464)</w:t>
            </w:r>
          </w:p>
        </w:tc>
        <w:tc>
          <w:tcPr>
            <w:tcW w:w="22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239,970</w:t>
            </w:r>
          </w:p>
        </w:tc>
        <w:tc>
          <w:tcPr>
            <w:tcW w:w="0" w:type="dxa"/>
            <w:vAlign w:val="bottom"/>
          </w:tcPr>
          <w:p>
            <w:pPr>
              <w:spacing w:after="0"/>
              <w:rPr>
                <w:sz w:val="1"/>
                <w:szCs w:val="1"/>
                <w:color w:val="auto"/>
              </w:rPr>
            </w:pPr>
          </w:p>
        </w:tc>
      </w:tr>
      <w:tr>
        <w:trPr>
          <w:trHeight w:val="202"/>
        </w:trPr>
        <w:tc>
          <w:tcPr>
            <w:tcW w:w="3780" w:type="dxa"/>
            <w:vAlign w:val="bottom"/>
          </w:tcPr>
          <w:p>
            <w:pPr>
              <w:ind w:left="360"/>
              <w:spacing w:after="0" w:line="201" w:lineRule="exact"/>
              <w:rPr>
                <w:sz w:val="20"/>
                <w:szCs w:val="20"/>
                <w:color w:val="auto"/>
              </w:rPr>
            </w:pPr>
            <w:r>
              <w:rPr>
                <w:rFonts w:ascii="Arial" w:cs="Arial" w:eastAsia="Arial" w:hAnsi="Arial"/>
                <w:sz w:val="18"/>
                <w:szCs w:val="18"/>
                <w:color w:val="auto"/>
              </w:rPr>
              <w:t>Issuance of common shares in equity</w:t>
            </w:r>
          </w:p>
        </w:tc>
        <w:tc>
          <w:tcPr>
            <w:tcW w:w="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780" w:type="dxa"/>
            <w:vAlign w:val="bottom"/>
          </w:tcPr>
          <w:p>
            <w:pPr>
              <w:ind w:left="360"/>
              <w:spacing w:after="0"/>
              <w:rPr>
                <w:sz w:val="20"/>
                <w:szCs w:val="20"/>
                <w:color w:val="auto"/>
              </w:rPr>
            </w:pPr>
            <w:r>
              <w:rPr>
                <w:rFonts w:ascii="Arial" w:cs="Arial" w:eastAsia="Arial" w:hAnsi="Arial"/>
                <w:sz w:val="18"/>
                <w:szCs w:val="18"/>
                <w:color w:val="auto"/>
              </w:rPr>
              <w:t>offering, excluding to related parties, net</w:t>
            </w: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780" w:type="dxa"/>
            <w:vAlign w:val="bottom"/>
          </w:tcPr>
          <w:p>
            <w:pPr>
              <w:ind w:left="360"/>
              <w:spacing w:after="0"/>
              <w:rPr>
                <w:sz w:val="20"/>
                <w:szCs w:val="20"/>
                <w:color w:val="auto"/>
              </w:rPr>
            </w:pPr>
            <w:r>
              <w:rPr>
                <w:rFonts w:ascii="Arial" w:cs="Arial" w:eastAsia="Arial" w:hAnsi="Arial"/>
                <w:sz w:val="18"/>
                <w:szCs w:val="18"/>
                <w:color w:val="auto"/>
              </w:rPr>
              <w:t>of transaction costs</w:t>
            </w:r>
          </w:p>
        </w:tc>
        <w:tc>
          <w:tcPr>
            <w:tcW w:w="82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120" w:type="dxa"/>
            <w:vAlign w:val="bottom"/>
            <w:gridSpan w:val="3"/>
          </w:tcPr>
          <w:p>
            <w:pPr>
              <w:jc w:val="right"/>
              <w:ind w:right="80"/>
              <w:spacing w:after="0"/>
              <w:rPr>
                <w:sz w:val="20"/>
                <w:szCs w:val="20"/>
                <w:color w:val="auto"/>
              </w:rPr>
            </w:pPr>
            <w:r>
              <w:rPr>
                <w:rFonts w:ascii="Arial" w:cs="Arial" w:eastAsia="Arial" w:hAnsi="Arial"/>
                <w:sz w:val="18"/>
                <w:szCs w:val="18"/>
                <w:color w:val="auto"/>
              </w:rPr>
              <w:t>550,803</w:t>
            </w: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940" w:type="dxa"/>
            <w:vAlign w:val="bottom"/>
            <w:gridSpan w:val="3"/>
          </w:tcPr>
          <w:p>
            <w:pPr>
              <w:jc w:val="right"/>
              <w:ind w:right="160"/>
              <w:spacing w:after="0"/>
              <w:rPr>
                <w:sz w:val="20"/>
                <w:szCs w:val="20"/>
                <w:color w:val="auto"/>
              </w:rPr>
            </w:pPr>
            <w:r>
              <w:rPr>
                <w:rFonts w:ascii="Arial" w:cs="Arial" w:eastAsia="Arial" w:hAnsi="Arial"/>
                <w:sz w:val="18"/>
                <w:szCs w:val="18"/>
                <w:color w:val="auto"/>
              </w:rPr>
              <w:t>66,616</w:t>
            </w:r>
          </w:p>
        </w:tc>
        <w:tc>
          <w:tcPr>
            <w:tcW w:w="200" w:type="dxa"/>
            <w:vAlign w:val="bottom"/>
          </w:tcPr>
          <w:p>
            <w:pPr>
              <w:spacing w:after="0"/>
              <w:rPr>
                <w:sz w:val="20"/>
                <w:szCs w:val="20"/>
                <w:color w:val="auto"/>
              </w:rPr>
            </w:pPr>
          </w:p>
        </w:tc>
        <w:tc>
          <w:tcPr>
            <w:tcW w:w="9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66,616</w:t>
            </w:r>
          </w:p>
        </w:tc>
        <w:tc>
          <w:tcPr>
            <w:tcW w:w="0" w:type="dxa"/>
            <w:vAlign w:val="bottom"/>
          </w:tcPr>
          <w:p>
            <w:pPr>
              <w:spacing w:after="0"/>
              <w:rPr>
                <w:sz w:val="1"/>
                <w:szCs w:val="1"/>
                <w:color w:val="auto"/>
              </w:rPr>
            </w:pPr>
          </w:p>
        </w:tc>
      </w:tr>
      <w:tr>
        <w:trPr>
          <w:trHeight w:val="216"/>
        </w:trPr>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Exercise of common stock options</w:t>
            </w:r>
          </w:p>
        </w:tc>
        <w:tc>
          <w:tcPr>
            <w:tcW w:w="8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1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4,250</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478</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478</w:t>
            </w:r>
          </w:p>
        </w:tc>
        <w:tc>
          <w:tcPr>
            <w:tcW w:w="0" w:type="dxa"/>
            <w:vAlign w:val="bottom"/>
          </w:tcPr>
          <w:p>
            <w:pPr>
              <w:spacing w:after="0"/>
              <w:rPr>
                <w:sz w:val="1"/>
                <w:szCs w:val="1"/>
                <w:color w:val="auto"/>
              </w:rPr>
            </w:pPr>
          </w:p>
        </w:tc>
      </w:tr>
      <w:tr>
        <w:trPr>
          <w:trHeight w:val="202"/>
        </w:trPr>
        <w:tc>
          <w:tcPr>
            <w:tcW w:w="3780" w:type="dxa"/>
            <w:vAlign w:val="bottom"/>
          </w:tcPr>
          <w:p>
            <w:pPr>
              <w:ind w:left="360"/>
              <w:spacing w:after="0" w:line="201" w:lineRule="exact"/>
              <w:rPr>
                <w:sz w:val="20"/>
                <w:szCs w:val="20"/>
                <w:color w:val="auto"/>
              </w:rPr>
            </w:pPr>
            <w:r>
              <w:rPr>
                <w:rFonts w:ascii="Arial" w:cs="Arial" w:eastAsia="Arial" w:hAnsi="Arial"/>
                <w:sz w:val="18"/>
                <w:szCs w:val="18"/>
                <w:color w:val="auto"/>
              </w:rPr>
              <w:t>Compensation expense related to stock</w:t>
            </w:r>
          </w:p>
        </w:tc>
        <w:tc>
          <w:tcPr>
            <w:tcW w:w="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780" w:type="dxa"/>
            <w:vAlign w:val="bottom"/>
          </w:tcPr>
          <w:p>
            <w:pPr>
              <w:ind w:left="360"/>
              <w:spacing w:after="0"/>
              <w:rPr>
                <w:sz w:val="20"/>
                <w:szCs w:val="20"/>
                <w:color w:val="auto"/>
              </w:rPr>
            </w:pPr>
            <w:r>
              <w:rPr>
                <w:rFonts w:ascii="Arial" w:cs="Arial" w:eastAsia="Arial" w:hAnsi="Arial"/>
                <w:sz w:val="18"/>
                <w:szCs w:val="18"/>
                <w:color w:val="auto"/>
              </w:rPr>
              <w:t>options for services</w:t>
            </w:r>
          </w:p>
        </w:tc>
        <w:tc>
          <w:tcPr>
            <w:tcW w:w="82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96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940" w:type="dxa"/>
            <w:vAlign w:val="bottom"/>
            <w:gridSpan w:val="3"/>
          </w:tcPr>
          <w:p>
            <w:pPr>
              <w:jc w:val="right"/>
              <w:ind w:right="160"/>
              <w:spacing w:after="0"/>
              <w:rPr>
                <w:sz w:val="20"/>
                <w:szCs w:val="20"/>
                <w:color w:val="auto"/>
              </w:rPr>
            </w:pPr>
            <w:r>
              <w:rPr>
                <w:rFonts w:ascii="Arial" w:cs="Arial" w:eastAsia="Arial" w:hAnsi="Arial"/>
                <w:sz w:val="18"/>
                <w:szCs w:val="18"/>
                <w:color w:val="auto"/>
              </w:rPr>
              <w:t>6,096</w:t>
            </w:r>
          </w:p>
        </w:tc>
        <w:tc>
          <w:tcPr>
            <w:tcW w:w="200" w:type="dxa"/>
            <w:vAlign w:val="bottom"/>
          </w:tcPr>
          <w:p>
            <w:pPr>
              <w:spacing w:after="0"/>
              <w:rPr>
                <w:sz w:val="20"/>
                <w:szCs w:val="20"/>
                <w:color w:val="auto"/>
              </w:rPr>
            </w:pPr>
          </w:p>
        </w:tc>
        <w:tc>
          <w:tcPr>
            <w:tcW w:w="9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6,096</w:t>
            </w:r>
          </w:p>
        </w:tc>
        <w:tc>
          <w:tcPr>
            <w:tcW w:w="0" w:type="dxa"/>
            <w:vAlign w:val="bottom"/>
          </w:tcPr>
          <w:p>
            <w:pPr>
              <w:spacing w:after="0"/>
              <w:rPr>
                <w:sz w:val="1"/>
                <w:szCs w:val="1"/>
                <w:color w:val="auto"/>
              </w:rPr>
            </w:pPr>
          </w:p>
        </w:tc>
      </w:tr>
      <w:tr>
        <w:trPr>
          <w:trHeight w:val="216"/>
        </w:trPr>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Unrealized loss on marketable securities</w:t>
            </w:r>
          </w:p>
        </w:tc>
        <w:tc>
          <w:tcPr>
            <w:tcW w:w="8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(61)</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16"/>
        </w:trPr>
        <w:tc>
          <w:tcPr>
            <w:tcW w:w="3780" w:type="dxa"/>
            <w:vAlign w:val="bottom"/>
          </w:tcPr>
          <w:p>
            <w:pPr>
              <w:ind w:left="360"/>
              <w:spacing w:after="0"/>
              <w:rPr>
                <w:sz w:val="20"/>
                <w:szCs w:val="20"/>
                <w:color w:val="auto"/>
              </w:rPr>
            </w:pPr>
            <w:r>
              <w:rPr>
                <w:rFonts w:ascii="Arial" w:cs="Arial" w:eastAsia="Arial" w:hAnsi="Arial"/>
                <w:sz w:val="18"/>
                <w:szCs w:val="18"/>
                <w:color w:val="auto"/>
              </w:rPr>
              <w:t>Net loss</w:t>
            </w:r>
          </w:p>
        </w:tc>
        <w:tc>
          <w:tcPr>
            <w:tcW w:w="800" w:type="dxa"/>
            <w:vAlign w:val="bottom"/>
          </w:tcPr>
          <w:p>
            <w:pPr>
              <w:ind w:left="5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880" w:type="dxa"/>
            <w:vAlign w:val="bottom"/>
          </w:tcPr>
          <w:p>
            <w:pPr>
              <w:ind w:left="6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ind w:left="4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ind w:left="4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(52,546)</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(52,546)</w:t>
            </w:r>
          </w:p>
        </w:tc>
        <w:tc>
          <w:tcPr>
            <w:tcW w:w="0" w:type="dxa"/>
            <w:vAlign w:val="bottom"/>
          </w:tcPr>
          <w:p>
            <w:pPr>
              <w:spacing w:after="0"/>
              <w:rPr>
                <w:sz w:val="1"/>
                <w:szCs w:val="1"/>
                <w:color w:val="auto"/>
              </w:rPr>
            </w:pPr>
          </w:p>
        </w:tc>
      </w:tr>
      <w:tr>
        <w:trPr>
          <w:trHeight w:val="27"/>
        </w:trPr>
        <w:tc>
          <w:tcPr>
            <w:tcW w:w="378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780" w:type="dxa"/>
            <w:vAlign w:val="bottom"/>
            <w:shd w:val="clear" w:color="auto" w:fill="CCEEFF"/>
          </w:tcPr>
          <w:p>
            <w:pPr>
              <w:spacing w:after="0"/>
              <w:rPr>
                <w:sz w:val="20"/>
                <w:szCs w:val="20"/>
                <w:color w:val="auto"/>
              </w:rPr>
            </w:pPr>
            <w:r>
              <w:rPr>
                <w:rFonts w:ascii="Arial" w:cs="Arial" w:eastAsia="Arial" w:hAnsi="Arial"/>
                <w:sz w:val="18"/>
                <w:szCs w:val="18"/>
                <w:color w:val="auto"/>
              </w:rPr>
              <w:t>Balance at March 31, 2021</w:t>
            </w:r>
          </w:p>
        </w:tc>
        <w:tc>
          <w:tcPr>
            <w:tcW w:w="800" w:type="dxa"/>
            <w:vAlign w:val="bottom"/>
            <w:shd w:val="clear" w:color="auto" w:fill="CCEEFF"/>
          </w:tcPr>
          <w:p>
            <w:pPr>
              <w:ind w:left="80"/>
              <w:spacing w:after="0"/>
              <w:rPr>
                <w:sz w:val="20"/>
                <w:szCs w:val="20"/>
                <w:color w:val="auto"/>
              </w:rPr>
            </w:pPr>
            <w:r>
              <w:rPr>
                <w:rFonts w:ascii="Arial" w:cs="Arial" w:eastAsia="Arial" w:hAnsi="Arial"/>
                <w:sz w:val="18"/>
                <w:szCs w:val="18"/>
                <w:color w:val="auto"/>
                <w:w w:val="87"/>
              </w:rPr>
              <w:t>1,969,797</w:t>
            </w:r>
          </w:p>
        </w:tc>
        <w:tc>
          <w:tcPr>
            <w:tcW w:w="20" w:type="dxa"/>
            <w:vAlign w:val="bottom"/>
            <w:shd w:val="clear" w:color="auto" w:fill="CCEEFF"/>
          </w:tcPr>
          <w:p>
            <w:pPr>
              <w:spacing w:after="0"/>
              <w:rPr>
                <w:sz w:val="18"/>
                <w:szCs w:val="18"/>
                <w:color w:val="auto"/>
              </w:rPr>
            </w:pPr>
          </w:p>
        </w:tc>
        <w:tc>
          <w:tcPr>
            <w:tcW w:w="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1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16,063,199</w:t>
            </w:r>
          </w:p>
        </w:tc>
        <w:tc>
          <w:tcPr>
            <w:tcW w:w="30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2</w:t>
            </w: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$738,575</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5"/>
              </w:rPr>
              <w:t>(478,010)</w:t>
            </w:r>
          </w:p>
        </w:tc>
        <w:tc>
          <w:tcPr>
            <w:tcW w:w="22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260,553</w:t>
            </w:r>
          </w:p>
        </w:tc>
        <w:tc>
          <w:tcPr>
            <w:tcW w:w="0" w:type="dxa"/>
            <w:vAlign w:val="bottom"/>
          </w:tcPr>
          <w:p>
            <w:pPr>
              <w:spacing w:after="0"/>
              <w:rPr>
                <w:sz w:val="1"/>
                <w:szCs w:val="1"/>
                <w:color w:val="auto"/>
              </w:rPr>
            </w:pPr>
          </w:p>
        </w:tc>
      </w:tr>
      <w:tr>
        <w:trPr>
          <w:trHeight w:val="202"/>
        </w:trPr>
        <w:tc>
          <w:tcPr>
            <w:tcW w:w="3780" w:type="dxa"/>
            <w:vAlign w:val="bottom"/>
          </w:tcPr>
          <w:p>
            <w:pPr>
              <w:ind w:left="360"/>
              <w:spacing w:after="0" w:line="201" w:lineRule="exact"/>
              <w:rPr>
                <w:sz w:val="20"/>
                <w:szCs w:val="20"/>
                <w:color w:val="auto"/>
              </w:rPr>
            </w:pPr>
            <w:r>
              <w:rPr>
                <w:rFonts w:ascii="Arial" w:cs="Arial" w:eastAsia="Arial" w:hAnsi="Arial"/>
                <w:sz w:val="18"/>
                <w:szCs w:val="18"/>
                <w:color w:val="auto"/>
              </w:rPr>
              <w:t>Issuance of common shares in equity</w:t>
            </w:r>
          </w:p>
        </w:tc>
        <w:tc>
          <w:tcPr>
            <w:tcW w:w="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780" w:type="dxa"/>
            <w:vAlign w:val="bottom"/>
          </w:tcPr>
          <w:p>
            <w:pPr>
              <w:ind w:left="360"/>
              <w:spacing w:after="0"/>
              <w:rPr>
                <w:sz w:val="20"/>
                <w:szCs w:val="20"/>
                <w:color w:val="auto"/>
              </w:rPr>
            </w:pPr>
            <w:r>
              <w:rPr>
                <w:rFonts w:ascii="Arial" w:cs="Arial" w:eastAsia="Arial" w:hAnsi="Arial"/>
                <w:sz w:val="18"/>
                <w:szCs w:val="18"/>
                <w:color w:val="auto"/>
              </w:rPr>
              <w:t>offering, excluding to related parties, net</w:t>
            </w: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780" w:type="dxa"/>
            <w:vAlign w:val="bottom"/>
          </w:tcPr>
          <w:p>
            <w:pPr>
              <w:ind w:left="360"/>
              <w:spacing w:after="0"/>
              <w:rPr>
                <w:sz w:val="20"/>
                <w:szCs w:val="20"/>
                <w:color w:val="auto"/>
              </w:rPr>
            </w:pPr>
            <w:r>
              <w:rPr>
                <w:rFonts w:ascii="Arial" w:cs="Arial" w:eastAsia="Arial" w:hAnsi="Arial"/>
                <w:sz w:val="18"/>
                <w:szCs w:val="18"/>
                <w:color w:val="auto"/>
              </w:rPr>
              <w:t>of transaction costs</w:t>
            </w:r>
          </w:p>
        </w:tc>
        <w:tc>
          <w:tcPr>
            <w:tcW w:w="82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120" w:type="dxa"/>
            <w:vAlign w:val="bottom"/>
            <w:gridSpan w:val="3"/>
          </w:tcPr>
          <w:p>
            <w:pPr>
              <w:jc w:val="right"/>
              <w:ind w:right="80"/>
              <w:spacing w:after="0"/>
              <w:rPr>
                <w:sz w:val="20"/>
                <w:szCs w:val="20"/>
                <w:color w:val="auto"/>
              </w:rPr>
            </w:pPr>
            <w:r>
              <w:rPr>
                <w:rFonts w:ascii="Arial" w:cs="Arial" w:eastAsia="Arial" w:hAnsi="Arial"/>
                <w:sz w:val="18"/>
                <w:szCs w:val="18"/>
                <w:color w:val="auto"/>
              </w:rPr>
              <w:t>536,323</w:t>
            </w: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940" w:type="dxa"/>
            <w:vAlign w:val="bottom"/>
            <w:gridSpan w:val="3"/>
          </w:tcPr>
          <w:p>
            <w:pPr>
              <w:jc w:val="right"/>
              <w:ind w:right="160"/>
              <w:spacing w:after="0"/>
              <w:rPr>
                <w:sz w:val="20"/>
                <w:szCs w:val="20"/>
                <w:color w:val="auto"/>
              </w:rPr>
            </w:pPr>
            <w:r>
              <w:rPr>
                <w:rFonts w:ascii="Arial" w:cs="Arial" w:eastAsia="Arial" w:hAnsi="Arial"/>
                <w:sz w:val="18"/>
                <w:szCs w:val="18"/>
                <w:color w:val="auto"/>
              </w:rPr>
              <w:t>63,541</w:t>
            </w:r>
          </w:p>
        </w:tc>
        <w:tc>
          <w:tcPr>
            <w:tcW w:w="200" w:type="dxa"/>
            <w:vAlign w:val="bottom"/>
          </w:tcPr>
          <w:p>
            <w:pPr>
              <w:spacing w:after="0"/>
              <w:rPr>
                <w:sz w:val="20"/>
                <w:szCs w:val="20"/>
                <w:color w:val="auto"/>
              </w:rPr>
            </w:pPr>
          </w:p>
        </w:tc>
        <w:tc>
          <w:tcPr>
            <w:tcW w:w="9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63,541</w:t>
            </w:r>
          </w:p>
        </w:tc>
        <w:tc>
          <w:tcPr>
            <w:tcW w:w="0" w:type="dxa"/>
            <w:vAlign w:val="bottom"/>
          </w:tcPr>
          <w:p>
            <w:pPr>
              <w:spacing w:after="0"/>
              <w:rPr>
                <w:sz w:val="1"/>
                <w:szCs w:val="1"/>
                <w:color w:val="auto"/>
              </w:rPr>
            </w:pPr>
          </w:p>
        </w:tc>
      </w:tr>
      <w:tr>
        <w:trPr>
          <w:trHeight w:val="202"/>
        </w:trPr>
        <w:tc>
          <w:tcPr>
            <w:tcW w:w="3780" w:type="dxa"/>
            <w:vAlign w:val="bottom"/>
            <w:shd w:val="clear" w:color="auto" w:fill="CCEEFF"/>
          </w:tcPr>
          <w:p>
            <w:pPr>
              <w:ind w:left="360"/>
              <w:spacing w:after="0" w:line="201" w:lineRule="exact"/>
              <w:rPr>
                <w:sz w:val="20"/>
                <w:szCs w:val="20"/>
                <w:color w:val="auto"/>
              </w:rPr>
            </w:pPr>
            <w:r>
              <w:rPr>
                <w:rFonts w:ascii="Arial" w:cs="Arial" w:eastAsia="Arial" w:hAnsi="Arial"/>
                <w:sz w:val="18"/>
                <w:szCs w:val="18"/>
                <w:color w:val="auto"/>
              </w:rPr>
              <w:t>Compensation expense related to stock</w:t>
            </w:r>
          </w:p>
        </w:tc>
        <w:tc>
          <w:tcPr>
            <w:tcW w:w="8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options for services</w:t>
            </w:r>
          </w:p>
        </w:tc>
        <w:tc>
          <w:tcPr>
            <w:tcW w:w="8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0"/>
                <w:szCs w:val="20"/>
                <w:color w:val="auto"/>
              </w:rPr>
            </w:pPr>
          </w:p>
        </w:tc>
        <w:tc>
          <w:tcPr>
            <w:tcW w:w="96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8,179</w:t>
            </w:r>
          </w:p>
        </w:tc>
        <w:tc>
          <w:tcPr>
            <w:tcW w:w="200" w:type="dxa"/>
            <w:vAlign w:val="bottom"/>
            <w:shd w:val="clear" w:color="auto" w:fill="CCEEFF"/>
          </w:tcPr>
          <w:p>
            <w:pPr>
              <w:spacing w:after="0"/>
              <w:rPr>
                <w:sz w:val="20"/>
                <w:szCs w:val="20"/>
                <w:color w:val="auto"/>
              </w:rPr>
            </w:pPr>
          </w:p>
        </w:tc>
        <w:tc>
          <w:tcPr>
            <w:tcW w:w="9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8,179</w:t>
            </w:r>
          </w:p>
        </w:tc>
        <w:tc>
          <w:tcPr>
            <w:tcW w:w="0" w:type="dxa"/>
            <w:vAlign w:val="bottom"/>
          </w:tcPr>
          <w:p>
            <w:pPr>
              <w:spacing w:after="0"/>
              <w:rPr>
                <w:sz w:val="1"/>
                <w:szCs w:val="1"/>
                <w:color w:val="auto"/>
              </w:rPr>
            </w:pPr>
          </w:p>
        </w:tc>
      </w:tr>
      <w:tr>
        <w:trPr>
          <w:trHeight w:val="216"/>
        </w:trPr>
        <w:tc>
          <w:tcPr>
            <w:tcW w:w="3780" w:type="dxa"/>
            <w:vAlign w:val="bottom"/>
          </w:tcPr>
          <w:p>
            <w:pPr>
              <w:ind w:left="360"/>
              <w:spacing w:after="0"/>
              <w:rPr>
                <w:sz w:val="20"/>
                <w:szCs w:val="20"/>
                <w:color w:val="auto"/>
              </w:rPr>
            </w:pPr>
            <w:r>
              <w:rPr>
                <w:rFonts w:ascii="Arial" w:cs="Arial" w:eastAsia="Arial" w:hAnsi="Arial"/>
                <w:sz w:val="18"/>
                <w:szCs w:val="18"/>
                <w:color w:val="auto"/>
              </w:rPr>
              <w:t>Unrealized loss on marketable securities</w:t>
            </w:r>
          </w:p>
        </w:tc>
        <w:tc>
          <w:tcPr>
            <w:tcW w:w="82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6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4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8"/>
                <w:szCs w:val="18"/>
                <w:color w:val="auto"/>
              </w:rPr>
              <w:t>29</w:t>
            </w:r>
          </w:p>
        </w:tc>
        <w:tc>
          <w:tcPr>
            <w:tcW w:w="140" w:type="dxa"/>
            <w:vAlign w:val="bottom"/>
          </w:tcPr>
          <w:p>
            <w:pPr>
              <w:spacing w:after="0"/>
              <w:rPr>
                <w:sz w:val="18"/>
                <w:szCs w:val="18"/>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16"/>
        </w:trPr>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Net loss</w:t>
            </w:r>
          </w:p>
        </w:tc>
        <w:tc>
          <w:tcPr>
            <w:tcW w:w="8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(61,651)</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(61,651)</w:t>
            </w:r>
          </w:p>
        </w:tc>
        <w:tc>
          <w:tcPr>
            <w:tcW w:w="0" w:type="dxa"/>
            <w:vAlign w:val="bottom"/>
          </w:tcPr>
          <w:p>
            <w:pPr>
              <w:spacing w:after="0"/>
              <w:rPr>
                <w:sz w:val="1"/>
                <w:szCs w:val="1"/>
                <w:color w:val="auto"/>
              </w:rPr>
            </w:pPr>
          </w:p>
        </w:tc>
      </w:tr>
      <w:tr>
        <w:trPr>
          <w:trHeight w:val="223"/>
        </w:trPr>
        <w:tc>
          <w:tcPr>
            <w:tcW w:w="3780" w:type="dxa"/>
            <w:vAlign w:val="bottom"/>
          </w:tcPr>
          <w:p>
            <w:pPr>
              <w:spacing w:after="0"/>
              <w:rPr>
                <w:sz w:val="20"/>
                <w:szCs w:val="20"/>
                <w:color w:val="auto"/>
              </w:rPr>
            </w:pPr>
            <w:r>
              <w:rPr>
                <w:rFonts w:ascii="Arial" w:cs="Arial" w:eastAsia="Arial" w:hAnsi="Arial"/>
                <w:sz w:val="18"/>
                <w:szCs w:val="18"/>
                <w:color w:val="auto"/>
              </w:rPr>
              <w:t>Balance at June 30, 2021</w:t>
            </w:r>
          </w:p>
        </w:tc>
        <w:tc>
          <w:tcPr>
            <w:tcW w:w="80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w w:val="87"/>
              </w:rPr>
              <w:t>1,969,797</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34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16,599,522</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280" w:type="dxa"/>
            <w:vAlign w:val="bottom"/>
            <w:tcBorders>
              <w:top w:val="single" w:sz="8" w:color="auto"/>
            </w:tcBorders>
          </w:tcPr>
          <w:p>
            <w:pPr>
              <w:ind w:left="200"/>
              <w:spacing w:after="0"/>
              <w:rPr>
                <w:sz w:val="20"/>
                <w:szCs w:val="20"/>
                <w:color w:val="auto"/>
              </w:rPr>
            </w:pPr>
            <w:r>
              <w:rPr>
                <w:rFonts w:ascii="Arial" w:cs="Arial" w:eastAsia="Arial" w:hAnsi="Arial"/>
                <w:sz w:val="15"/>
                <w:szCs w:val="15"/>
                <w:color w:val="auto"/>
                <w:w w:val="71"/>
              </w:rPr>
              <w:t>2</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7"/>
              </w:rPr>
              <w:t>$810,295</w:t>
            </w:r>
          </w:p>
        </w:tc>
        <w:tc>
          <w:tcPr>
            <w:tcW w:w="160" w:type="dxa"/>
            <w:vAlign w:val="bottom"/>
          </w:tcPr>
          <w:p>
            <w:pPr>
              <w:spacing w:after="0"/>
              <w:rPr>
                <w:sz w:val="19"/>
                <w:szCs w:val="19"/>
                <w:color w:val="auto"/>
              </w:rPr>
            </w:pPr>
          </w:p>
        </w:tc>
        <w:tc>
          <w:tcPr>
            <w:tcW w:w="2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w:t>
            </w:r>
          </w:p>
        </w:tc>
        <w:tc>
          <w:tcPr>
            <w:tcW w:w="180" w:type="dxa"/>
            <w:vAlign w:val="bottom"/>
          </w:tcPr>
          <w:p>
            <w:pPr>
              <w:spacing w:after="0"/>
              <w:rPr>
                <w:sz w:val="19"/>
                <w:szCs w:val="19"/>
                <w:color w:val="auto"/>
              </w:rPr>
            </w:pPr>
          </w:p>
        </w:tc>
        <w:tc>
          <w:tcPr>
            <w:tcW w:w="1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(539,661)</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270,651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3780" w:type="dxa"/>
            <w:vAlign w:val="bottom"/>
            <w:shd w:val="clear" w:color="auto" w:fill="CCEEFF"/>
          </w:tcPr>
          <w:p>
            <w:pPr>
              <w:ind w:left="360"/>
              <w:spacing w:after="0" w:line="201" w:lineRule="exact"/>
              <w:rPr>
                <w:sz w:val="20"/>
                <w:szCs w:val="20"/>
                <w:color w:val="auto"/>
              </w:rPr>
            </w:pPr>
            <w:r>
              <w:rPr>
                <w:rFonts w:ascii="Arial" w:cs="Arial" w:eastAsia="Arial" w:hAnsi="Arial"/>
                <w:sz w:val="18"/>
                <w:szCs w:val="18"/>
                <w:color w:val="auto"/>
              </w:rPr>
              <w:t>Issuance of common shares in equity</w:t>
            </w:r>
          </w:p>
        </w:tc>
        <w:tc>
          <w:tcPr>
            <w:tcW w:w="8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offering, excluding to related parties, net</w:t>
            </w:r>
          </w:p>
        </w:tc>
        <w:tc>
          <w:tcPr>
            <w:tcW w:w="8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of transaction costs</w:t>
            </w:r>
          </w:p>
        </w:tc>
        <w:tc>
          <w:tcPr>
            <w:tcW w:w="8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1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260,164</w:t>
            </w: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21,092</w:t>
            </w:r>
          </w:p>
        </w:tc>
        <w:tc>
          <w:tcPr>
            <w:tcW w:w="200" w:type="dxa"/>
            <w:vAlign w:val="bottom"/>
            <w:shd w:val="clear" w:color="auto" w:fill="CCEEFF"/>
          </w:tcPr>
          <w:p>
            <w:pPr>
              <w:spacing w:after="0"/>
              <w:rPr>
                <w:sz w:val="20"/>
                <w:szCs w:val="20"/>
                <w:color w:val="auto"/>
              </w:rPr>
            </w:pPr>
          </w:p>
        </w:tc>
        <w:tc>
          <w:tcPr>
            <w:tcW w:w="9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21,092</w:t>
            </w:r>
          </w:p>
        </w:tc>
        <w:tc>
          <w:tcPr>
            <w:tcW w:w="0" w:type="dxa"/>
            <w:vAlign w:val="bottom"/>
          </w:tcPr>
          <w:p>
            <w:pPr>
              <w:spacing w:after="0"/>
              <w:rPr>
                <w:sz w:val="1"/>
                <w:szCs w:val="1"/>
                <w:color w:val="auto"/>
              </w:rPr>
            </w:pPr>
          </w:p>
        </w:tc>
      </w:tr>
      <w:tr>
        <w:trPr>
          <w:trHeight w:val="216"/>
        </w:trPr>
        <w:tc>
          <w:tcPr>
            <w:tcW w:w="3780" w:type="dxa"/>
            <w:vAlign w:val="bottom"/>
          </w:tcPr>
          <w:p>
            <w:pPr>
              <w:ind w:left="360"/>
              <w:spacing w:after="0"/>
              <w:rPr>
                <w:sz w:val="20"/>
                <w:szCs w:val="20"/>
                <w:color w:val="auto"/>
              </w:rPr>
            </w:pPr>
            <w:r>
              <w:rPr>
                <w:rFonts w:ascii="Arial" w:cs="Arial" w:eastAsia="Arial" w:hAnsi="Arial"/>
                <w:sz w:val="18"/>
                <w:szCs w:val="18"/>
                <w:color w:val="auto"/>
              </w:rPr>
              <w:t>Exercise of common stock options</w:t>
            </w:r>
          </w:p>
        </w:tc>
        <w:tc>
          <w:tcPr>
            <w:tcW w:w="82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120" w:type="dxa"/>
            <w:vAlign w:val="bottom"/>
            <w:gridSpan w:val="3"/>
          </w:tcPr>
          <w:p>
            <w:pPr>
              <w:ind w:left="760"/>
              <w:spacing w:after="0"/>
              <w:rPr>
                <w:sz w:val="20"/>
                <w:szCs w:val="20"/>
                <w:color w:val="auto"/>
              </w:rPr>
            </w:pPr>
            <w:r>
              <w:rPr>
                <w:rFonts w:ascii="Arial" w:cs="Arial" w:eastAsia="Arial" w:hAnsi="Arial"/>
                <w:sz w:val="18"/>
                <w:szCs w:val="18"/>
                <w:color w:val="auto"/>
              </w:rPr>
              <w:t>525</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940" w:type="dxa"/>
            <w:vAlign w:val="bottom"/>
            <w:gridSpan w:val="3"/>
          </w:tcPr>
          <w:p>
            <w:pPr>
              <w:jc w:val="right"/>
              <w:ind w:right="160"/>
              <w:spacing w:after="0"/>
              <w:rPr>
                <w:sz w:val="20"/>
                <w:szCs w:val="20"/>
                <w:color w:val="auto"/>
              </w:rPr>
            </w:pPr>
            <w:r>
              <w:rPr>
                <w:rFonts w:ascii="Arial" w:cs="Arial" w:eastAsia="Arial" w:hAnsi="Arial"/>
                <w:sz w:val="18"/>
                <w:szCs w:val="18"/>
                <w:color w:val="auto"/>
              </w:rPr>
              <w:t>8</w:t>
            </w:r>
          </w:p>
        </w:tc>
        <w:tc>
          <w:tcPr>
            <w:tcW w:w="200" w:type="dxa"/>
            <w:vAlign w:val="bottom"/>
          </w:tcPr>
          <w:p>
            <w:pPr>
              <w:spacing w:after="0"/>
              <w:rPr>
                <w:sz w:val="18"/>
                <w:szCs w:val="18"/>
                <w:color w:val="auto"/>
              </w:rPr>
            </w:pPr>
          </w:p>
        </w:tc>
        <w:tc>
          <w:tcPr>
            <w:tcW w:w="9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02"/>
        </w:trPr>
        <w:tc>
          <w:tcPr>
            <w:tcW w:w="3780" w:type="dxa"/>
            <w:vAlign w:val="bottom"/>
            <w:shd w:val="clear" w:color="auto" w:fill="CCEEFF"/>
          </w:tcPr>
          <w:p>
            <w:pPr>
              <w:ind w:left="360"/>
              <w:spacing w:after="0" w:line="201" w:lineRule="exact"/>
              <w:rPr>
                <w:sz w:val="20"/>
                <w:szCs w:val="20"/>
                <w:color w:val="auto"/>
              </w:rPr>
            </w:pPr>
            <w:r>
              <w:rPr>
                <w:rFonts w:ascii="Arial" w:cs="Arial" w:eastAsia="Arial" w:hAnsi="Arial"/>
                <w:sz w:val="18"/>
                <w:szCs w:val="18"/>
                <w:color w:val="auto"/>
              </w:rPr>
              <w:t>Compensation expense related to stock</w:t>
            </w:r>
          </w:p>
        </w:tc>
        <w:tc>
          <w:tcPr>
            <w:tcW w:w="8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options for services</w:t>
            </w:r>
          </w:p>
        </w:tc>
        <w:tc>
          <w:tcPr>
            <w:tcW w:w="8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0"/>
                <w:szCs w:val="20"/>
                <w:color w:val="auto"/>
              </w:rPr>
            </w:pPr>
          </w:p>
        </w:tc>
        <w:tc>
          <w:tcPr>
            <w:tcW w:w="96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6,241</w:t>
            </w:r>
          </w:p>
        </w:tc>
        <w:tc>
          <w:tcPr>
            <w:tcW w:w="200" w:type="dxa"/>
            <w:vAlign w:val="bottom"/>
            <w:shd w:val="clear" w:color="auto" w:fill="CCEEFF"/>
          </w:tcPr>
          <w:p>
            <w:pPr>
              <w:spacing w:after="0"/>
              <w:rPr>
                <w:sz w:val="20"/>
                <w:szCs w:val="20"/>
                <w:color w:val="auto"/>
              </w:rPr>
            </w:pPr>
          </w:p>
        </w:tc>
        <w:tc>
          <w:tcPr>
            <w:tcW w:w="9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6,241</w:t>
            </w:r>
          </w:p>
        </w:tc>
        <w:tc>
          <w:tcPr>
            <w:tcW w:w="0" w:type="dxa"/>
            <w:vAlign w:val="bottom"/>
          </w:tcPr>
          <w:p>
            <w:pPr>
              <w:spacing w:after="0"/>
              <w:rPr>
                <w:sz w:val="1"/>
                <w:szCs w:val="1"/>
                <w:color w:val="auto"/>
              </w:rPr>
            </w:pPr>
          </w:p>
        </w:tc>
      </w:tr>
      <w:tr>
        <w:trPr>
          <w:trHeight w:val="216"/>
        </w:trPr>
        <w:tc>
          <w:tcPr>
            <w:tcW w:w="3780" w:type="dxa"/>
            <w:vAlign w:val="bottom"/>
          </w:tcPr>
          <w:p>
            <w:pPr>
              <w:ind w:left="360"/>
              <w:spacing w:after="0"/>
              <w:rPr>
                <w:sz w:val="20"/>
                <w:szCs w:val="20"/>
                <w:color w:val="auto"/>
              </w:rPr>
            </w:pPr>
            <w:r>
              <w:rPr>
                <w:rFonts w:ascii="Arial" w:cs="Arial" w:eastAsia="Arial" w:hAnsi="Arial"/>
                <w:sz w:val="18"/>
                <w:szCs w:val="18"/>
                <w:color w:val="auto"/>
              </w:rPr>
              <w:t>Unrealized loss on marketable securities</w:t>
            </w:r>
          </w:p>
        </w:tc>
        <w:tc>
          <w:tcPr>
            <w:tcW w:w="82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6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4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900" w:type="dxa"/>
            <w:vAlign w:val="bottom"/>
            <w:gridSpan w:val="2"/>
          </w:tcPr>
          <w:p>
            <w:pPr>
              <w:jc w:val="right"/>
              <w:ind w:right="120"/>
              <w:spacing w:after="0"/>
              <w:rPr>
                <w:sz w:val="20"/>
                <w:szCs w:val="20"/>
                <w:color w:val="auto"/>
              </w:rPr>
            </w:pPr>
            <w:r>
              <w:rPr>
                <w:rFonts w:ascii="Arial" w:cs="Arial" w:eastAsia="Arial" w:hAnsi="Arial"/>
                <w:sz w:val="18"/>
                <w:szCs w:val="18"/>
                <w:color w:val="auto"/>
              </w:rPr>
              <w:t>(11)</w:t>
            </w:r>
          </w:p>
        </w:tc>
        <w:tc>
          <w:tcPr>
            <w:tcW w:w="140" w:type="dxa"/>
            <w:vAlign w:val="bottom"/>
          </w:tcPr>
          <w:p>
            <w:pPr>
              <w:spacing w:after="0"/>
              <w:rPr>
                <w:sz w:val="18"/>
                <w:szCs w:val="18"/>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Net loss</w:t>
            </w:r>
          </w:p>
        </w:tc>
        <w:tc>
          <w:tcPr>
            <w:tcW w:w="8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(63,100)</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(63,100)</w:t>
            </w:r>
          </w:p>
        </w:tc>
        <w:tc>
          <w:tcPr>
            <w:tcW w:w="0" w:type="dxa"/>
            <w:vAlign w:val="bottom"/>
          </w:tcPr>
          <w:p>
            <w:pPr>
              <w:spacing w:after="0"/>
              <w:rPr>
                <w:sz w:val="1"/>
                <w:szCs w:val="1"/>
                <w:color w:val="auto"/>
              </w:rPr>
            </w:pPr>
          </w:p>
        </w:tc>
      </w:tr>
      <w:tr>
        <w:trPr>
          <w:trHeight w:val="223"/>
        </w:trPr>
        <w:tc>
          <w:tcPr>
            <w:tcW w:w="3780" w:type="dxa"/>
            <w:vAlign w:val="bottom"/>
          </w:tcPr>
          <w:p>
            <w:pPr>
              <w:spacing w:after="0"/>
              <w:rPr>
                <w:sz w:val="20"/>
                <w:szCs w:val="20"/>
                <w:color w:val="auto"/>
              </w:rPr>
            </w:pPr>
            <w:r>
              <w:rPr>
                <w:rFonts w:ascii="Arial" w:cs="Arial" w:eastAsia="Arial" w:hAnsi="Arial"/>
                <w:sz w:val="18"/>
                <w:szCs w:val="18"/>
                <w:color w:val="auto"/>
              </w:rPr>
              <w:t>Balance at September 30, 2021</w:t>
            </w:r>
          </w:p>
        </w:tc>
        <w:tc>
          <w:tcPr>
            <w:tcW w:w="800" w:type="dxa"/>
            <w:vAlign w:val="bottom"/>
            <w:tcBorders>
              <w:top w:val="single" w:sz="8" w:color="auto"/>
              <w:bottom w:val="single" w:sz="8" w:color="auto"/>
            </w:tcBorders>
          </w:tcPr>
          <w:p>
            <w:pPr>
              <w:ind w:left="80"/>
              <w:spacing w:after="0"/>
              <w:rPr>
                <w:sz w:val="20"/>
                <w:szCs w:val="20"/>
                <w:color w:val="auto"/>
              </w:rPr>
            </w:pPr>
            <w:r>
              <w:rPr>
                <w:rFonts w:ascii="Arial" w:cs="Arial" w:eastAsia="Arial" w:hAnsi="Arial"/>
                <w:sz w:val="18"/>
                <w:szCs w:val="18"/>
                <w:color w:val="auto"/>
                <w:w w:val="87"/>
              </w:rPr>
              <w:t>1,969,797</w:t>
            </w:r>
          </w:p>
        </w:tc>
        <w:tc>
          <w:tcPr>
            <w:tcW w:w="20" w:type="dxa"/>
            <w:vAlign w:val="bottom"/>
            <w:tcBorders>
              <w:bottom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340" w:type="dxa"/>
            <w:vAlign w:val="bottom"/>
            <w:tcBorders>
              <w:top w:val="single" w:sz="8" w:color="auto"/>
              <w:bottom w:val="single" w:sz="8" w:color="auto"/>
            </w:tcBorders>
          </w:tcPr>
          <w:p>
            <w:pPr>
              <w:ind w:left="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16,860,211</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280" w:type="dxa"/>
            <w:vAlign w:val="bottom"/>
            <w:tcBorders>
              <w:top w:val="single" w:sz="8" w:color="auto"/>
              <w:bottom w:val="single" w:sz="8" w:color="auto"/>
            </w:tcBorders>
          </w:tcPr>
          <w:p>
            <w:pPr>
              <w:ind w:left="200"/>
              <w:spacing w:after="0"/>
              <w:rPr>
                <w:sz w:val="20"/>
                <w:szCs w:val="20"/>
                <w:color w:val="auto"/>
              </w:rPr>
            </w:pPr>
            <w:r>
              <w:rPr>
                <w:rFonts w:ascii="Arial" w:cs="Arial" w:eastAsia="Arial" w:hAnsi="Arial"/>
                <w:sz w:val="15"/>
                <w:szCs w:val="15"/>
                <w:color w:val="auto"/>
                <w:w w:val="71"/>
              </w:rPr>
              <w:t>2</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837,636</w:t>
            </w:r>
          </w:p>
        </w:tc>
        <w:tc>
          <w:tcPr>
            <w:tcW w:w="16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8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(602,761</w:t>
            </w:r>
          </w:p>
        </w:tc>
        <w:tc>
          <w:tcPr>
            <w:tcW w:w="12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6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234,881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78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780" w:type="dxa"/>
            <w:vAlign w:val="bottom"/>
          </w:tcPr>
          <w:p>
            <w:pPr>
              <w:spacing w:after="0"/>
              <w:rPr>
                <w:sz w:val="18"/>
                <w:szCs w:val="18"/>
                <w:color w:val="auto"/>
              </w:rPr>
            </w:pPr>
          </w:p>
        </w:tc>
        <w:tc>
          <w:tcPr>
            <w:tcW w:w="820" w:type="dxa"/>
            <w:vAlign w:val="bottom"/>
            <w:gridSpan w:val="2"/>
          </w:tcPr>
          <w:p>
            <w:pPr>
              <w:spacing w:after="0"/>
              <w:rPr>
                <w:sz w:val="18"/>
                <w:szCs w:val="18"/>
                <w:color w:val="auto"/>
              </w:rPr>
            </w:pPr>
          </w:p>
        </w:tc>
        <w:tc>
          <w:tcPr>
            <w:tcW w:w="300" w:type="dxa"/>
            <w:vAlign w:val="bottom"/>
            <w:gridSpan w:val="2"/>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gridSpan w:val="3"/>
          </w:tcPr>
          <w:p>
            <w:pPr>
              <w:spacing w:after="0"/>
              <w:rPr>
                <w:sz w:val="18"/>
                <w:szCs w:val="18"/>
                <w:color w:val="auto"/>
              </w:rPr>
            </w:pPr>
          </w:p>
        </w:tc>
        <w:tc>
          <w:tcPr>
            <w:tcW w:w="300" w:type="dxa"/>
            <w:vAlign w:val="bottom"/>
            <w:gridSpan w:val="2"/>
          </w:tcPr>
          <w:p>
            <w:pPr>
              <w:spacing w:after="0"/>
              <w:rPr>
                <w:sz w:val="18"/>
                <w:szCs w:val="18"/>
                <w:color w:val="auto"/>
              </w:rPr>
            </w:pPr>
          </w:p>
        </w:tc>
        <w:tc>
          <w:tcPr>
            <w:tcW w:w="360" w:type="dxa"/>
            <w:vAlign w:val="bottom"/>
            <w:gridSpan w:val="2"/>
          </w:tcPr>
          <w:p>
            <w:pPr>
              <w:spacing w:after="0"/>
              <w:rPr>
                <w:sz w:val="18"/>
                <w:szCs w:val="18"/>
                <w:color w:val="auto"/>
              </w:rPr>
            </w:pPr>
          </w:p>
        </w:tc>
        <w:tc>
          <w:tcPr>
            <w:tcW w:w="940" w:type="dxa"/>
            <w:vAlign w:val="bottom"/>
            <w:gridSpan w:val="3"/>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gridSpan w:val="2"/>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spacing w:after="0"/>
              <w:rPr>
                <w:sz w:val="18"/>
                <w:szCs w:val="18"/>
                <w:color w:val="auto"/>
              </w:rPr>
            </w:pPr>
          </w:p>
        </w:tc>
        <w:tc>
          <w:tcPr>
            <w:tcW w:w="220" w:type="dxa"/>
            <w:vAlign w:val="bottom"/>
            <w:gridSpan w:val="2"/>
          </w:tcPr>
          <w:p>
            <w:pPr>
              <w:spacing w:after="0"/>
              <w:rPr>
                <w:sz w:val="18"/>
                <w:szCs w:val="18"/>
                <w:color w:val="auto"/>
              </w:rPr>
            </w:pPr>
          </w:p>
        </w:tc>
        <w:tc>
          <w:tcPr>
            <w:tcW w:w="78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2019</w:t>
            </w:r>
          </w:p>
        </w:tc>
        <w:tc>
          <w:tcPr>
            <w:tcW w:w="8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w w:val="89"/>
              </w:rPr>
              <w:t>1,969,797</w:t>
            </w:r>
          </w:p>
        </w:tc>
        <w:tc>
          <w:tcPr>
            <w:tcW w:w="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1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5,429,154</w:t>
            </w:r>
          </w:p>
        </w:tc>
        <w:tc>
          <w:tcPr>
            <w:tcW w:w="30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2</w:t>
            </w: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$639,567</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216</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5"/>
              </w:rPr>
              <w:t>(223,220)</w:t>
            </w:r>
          </w:p>
        </w:tc>
        <w:tc>
          <w:tcPr>
            <w:tcW w:w="22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416,565</w:t>
            </w:r>
          </w:p>
        </w:tc>
        <w:tc>
          <w:tcPr>
            <w:tcW w:w="0" w:type="dxa"/>
            <w:vAlign w:val="bottom"/>
          </w:tcPr>
          <w:p>
            <w:pPr>
              <w:spacing w:after="0"/>
              <w:rPr>
                <w:sz w:val="1"/>
                <w:szCs w:val="1"/>
                <w:color w:val="auto"/>
              </w:rPr>
            </w:pPr>
          </w:p>
        </w:tc>
      </w:tr>
      <w:tr>
        <w:trPr>
          <w:trHeight w:val="202"/>
        </w:trPr>
        <w:tc>
          <w:tcPr>
            <w:tcW w:w="3780" w:type="dxa"/>
            <w:vAlign w:val="bottom"/>
          </w:tcPr>
          <w:p>
            <w:pPr>
              <w:ind w:left="360"/>
              <w:spacing w:after="0" w:line="201" w:lineRule="exact"/>
              <w:rPr>
                <w:sz w:val="20"/>
                <w:szCs w:val="20"/>
                <w:color w:val="auto"/>
              </w:rPr>
            </w:pPr>
            <w:r>
              <w:rPr>
                <w:rFonts w:ascii="Arial" w:cs="Arial" w:eastAsia="Arial" w:hAnsi="Arial"/>
                <w:sz w:val="18"/>
                <w:szCs w:val="18"/>
                <w:color w:val="auto"/>
              </w:rPr>
              <w:t>Compensation expense related to stock</w:t>
            </w:r>
          </w:p>
        </w:tc>
        <w:tc>
          <w:tcPr>
            <w:tcW w:w="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780" w:type="dxa"/>
            <w:vAlign w:val="bottom"/>
          </w:tcPr>
          <w:p>
            <w:pPr>
              <w:ind w:left="360"/>
              <w:spacing w:after="0"/>
              <w:rPr>
                <w:sz w:val="20"/>
                <w:szCs w:val="20"/>
                <w:color w:val="auto"/>
              </w:rPr>
            </w:pPr>
            <w:r>
              <w:rPr>
                <w:rFonts w:ascii="Arial" w:cs="Arial" w:eastAsia="Arial" w:hAnsi="Arial"/>
                <w:sz w:val="18"/>
                <w:szCs w:val="18"/>
                <w:color w:val="auto"/>
              </w:rPr>
              <w:t>options for services</w:t>
            </w:r>
          </w:p>
        </w:tc>
        <w:tc>
          <w:tcPr>
            <w:tcW w:w="82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96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940" w:type="dxa"/>
            <w:vAlign w:val="bottom"/>
            <w:gridSpan w:val="3"/>
          </w:tcPr>
          <w:p>
            <w:pPr>
              <w:jc w:val="right"/>
              <w:ind w:right="160"/>
              <w:spacing w:after="0"/>
              <w:rPr>
                <w:sz w:val="20"/>
                <w:szCs w:val="20"/>
                <w:color w:val="auto"/>
              </w:rPr>
            </w:pPr>
            <w:r>
              <w:rPr>
                <w:rFonts w:ascii="Arial" w:cs="Arial" w:eastAsia="Arial" w:hAnsi="Arial"/>
                <w:sz w:val="18"/>
                <w:szCs w:val="18"/>
                <w:color w:val="auto"/>
              </w:rPr>
              <w:t>4,846</w:t>
            </w:r>
          </w:p>
        </w:tc>
        <w:tc>
          <w:tcPr>
            <w:tcW w:w="200" w:type="dxa"/>
            <w:vAlign w:val="bottom"/>
          </w:tcPr>
          <w:p>
            <w:pPr>
              <w:spacing w:after="0"/>
              <w:rPr>
                <w:sz w:val="20"/>
                <w:szCs w:val="20"/>
                <w:color w:val="auto"/>
              </w:rPr>
            </w:pPr>
          </w:p>
        </w:tc>
        <w:tc>
          <w:tcPr>
            <w:tcW w:w="9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4,846</w:t>
            </w:r>
          </w:p>
        </w:tc>
        <w:tc>
          <w:tcPr>
            <w:tcW w:w="0" w:type="dxa"/>
            <w:vAlign w:val="bottom"/>
          </w:tcPr>
          <w:p>
            <w:pPr>
              <w:spacing w:after="0"/>
              <w:rPr>
                <w:sz w:val="1"/>
                <w:szCs w:val="1"/>
                <w:color w:val="auto"/>
              </w:rPr>
            </w:pPr>
          </w:p>
        </w:tc>
      </w:tr>
      <w:tr>
        <w:trPr>
          <w:trHeight w:val="216"/>
        </w:trPr>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Unrealized gain on marketable securities</w:t>
            </w:r>
          </w:p>
        </w:tc>
        <w:tc>
          <w:tcPr>
            <w:tcW w:w="8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199</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199</w:t>
            </w:r>
          </w:p>
        </w:tc>
        <w:tc>
          <w:tcPr>
            <w:tcW w:w="0" w:type="dxa"/>
            <w:vAlign w:val="bottom"/>
          </w:tcPr>
          <w:p>
            <w:pPr>
              <w:spacing w:after="0"/>
              <w:rPr>
                <w:sz w:val="1"/>
                <w:szCs w:val="1"/>
                <w:color w:val="auto"/>
              </w:rPr>
            </w:pPr>
          </w:p>
        </w:tc>
      </w:tr>
      <w:tr>
        <w:trPr>
          <w:trHeight w:val="223"/>
        </w:trPr>
        <w:tc>
          <w:tcPr>
            <w:tcW w:w="3780" w:type="dxa"/>
            <w:vAlign w:val="bottom"/>
          </w:tcPr>
          <w:p>
            <w:pPr>
              <w:ind w:left="360"/>
              <w:spacing w:after="0"/>
              <w:rPr>
                <w:sz w:val="20"/>
                <w:szCs w:val="20"/>
                <w:color w:val="auto"/>
              </w:rPr>
            </w:pPr>
            <w:r>
              <w:rPr>
                <w:rFonts w:ascii="Arial" w:cs="Arial" w:eastAsia="Arial" w:hAnsi="Arial"/>
                <w:sz w:val="18"/>
                <w:szCs w:val="18"/>
                <w:color w:val="auto"/>
              </w:rPr>
              <w:t>Net loss</w:t>
            </w:r>
          </w:p>
        </w:tc>
        <w:tc>
          <w:tcPr>
            <w:tcW w:w="82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96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84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9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(36,135)</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(36,135)</w:t>
            </w:r>
          </w:p>
        </w:tc>
        <w:tc>
          <w:tcPr>
            <w:tcW w:w="0" w:type="dxa"/>
            <w:vAlign w:val="bottom"/>
          </w:tcPr>
          <w:p>
            <w:pPr>
              <w:spacing w:after="0"/>
              <w:rPr>
                <w:sz w:val="1"/>
                <w:szCs w:val="1"/>
                <w:color w:val="auto"/>
              </w:rPr>
            </w:pPr>
          </w:p>
        </w:tc>
      </w:tr>
      <w:tr>
        <w:trPr>
          <w:trHeight w:val="256"/>
        </w:trPr>
        <w:tc>
          <w:tcPr>
            <w:tcW w:w="3780" w:type="dxa"/>
            <w:vAlign w:val="bottom"/>
            <w:shd w:val="clear" w:color="auto" w:fill="CCEEFF"/>
          </w:tcPr>
          <w:p>
            <w:pPr>
              <w:spacing w:after="0"/>
              <w:rPr>
                <w:sz w:val="20"/>
                <w:szCs w:val="20"/>
                <w:color w:val="auto"/>
              </w:rPr>
            </w:pPr>
            <w:r>
              <w:rPr>
                <w:rFonts w:ascii="Arial" w:cs="Arial" w:eastAsia="Arial" w:hAnsi="Arial"/>
                <w:sz w:val="18"/>
                <w:szCs w:val="18"/>
                <w:color w:val="auto"/>
              </w:rPr>
              <w:t>Balance at March 31, 2020</w:t>
            </w:r>
          </w:p>
        </w:tc>
        <w:tc>
          <w:tcPr>
            <w:tcW w:w="820" w:type="dxa"/>
            <w:vAlign w:val="bottom"/>
            <w:tcBorders>
              <w:top w:val="single" w:sz="8" w:color="auto"/>
            </w:tcBorders>
            <w:gridSpan w:val="2"/>
            <w:shd w:val="clear" w:color="auto" w:fill="CCEEFF"/>
          </w:tcPr>
          <w:p>
            <w:pPr>
              <w:ind w:left="80"/>
              <w:spacing w:after="0"/>
              <w:rPr>
                <w:sz w:val="20"/>
                <w:szCs w:val="20"/>
                <w:color w:val="auto"/>
              </w:rPr>
            </w:pPr>
            <w:r>
              <w:rPr>
                <w:rFonts w:ascii="Arial" w:cs="Arial" w:eastAsia="Arial" w:hAnsi="Arial"/>
                <w:sz w:val="18"/>
                <w:szCs w:val="18"/>
                <w:color w:val="auto"/>
                <w:w w:val="89"/>
              </w:rPr>
              <w:t>1,969,797</w:t>
            </w:r>
          </w:p>
        </w:tc>
        <w:tc>
          <w:tcPr>
            <w:tcW w:w="140" w:type="dxa"/>
            <w:vAlign w:val="bottom"/>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340" w:type="dxa"/>
            <w:vAlign w:val="bottom"/>
            <w:tcBorders>
              <w:top w:val="single" w:sz="8" w:color="auto"/>
            </w:tcBorders>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2"/>
                <w:szCs w:val="22"/>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15,429,154</w:t>
            </w:r>
          </w:p>
        </w:tc>
        <w:tc>
          <w:tcPr>
            <w:tcW w:w="8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280" w:type="dxa"/>
            <w:vAlign w:val="bottom"/>
            <w:tcBorders>
              <w:top w:val="single" w:sz="8" w:color="auto"/>
            </w:tcBorders>
            <w:shd w:val="clear" w:color="auto" w:fill="CCEEFF"/>
          </w:tcPr>
          <w:p>
            <w:pPr>
              <w:ind w:left="200"/>
              <w:spacing w:after="0"/>
              <w:rPr>
                <w:sz w:val="20"/>
                <w:szCs w:val="20"/>
                <w:color w:val="auto"/>
              </w:rPr>
            </w:pPr>
            <w:r>
              <w:rPr>
                <w:rFonts w:ascii="Arial" w:cs="Arial" w:eastAsia="Arial" w:hAnsi="Arial"/>
                <w:sz w:val="15"/>
                <w:szCs w:val="15"/>
                <w:color w:val="auto"/>
                <w:w w:val="71"/>
              </w:rPr>
              <w:t>2</w:t>
            </w:r>
          </w:p>
        </w:tc>
        <w:tc>
          <w:tcPr>
            <w:tcW w:w="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$644,413</w:t>
            </w:r>
          </w:p>
        </w:tc>
        <w:tc>
          <w:tcPr>
            <w:tcW w:w="160" w:type="dxa"/>
            <w:vAlign w:val="bottom"/>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w w:val="86"/>
              </w:rPr>
              <w:t>415</w:t>
            </w:r>
          </w:p>
        </w:tc>
        <w:tc>
          <w:tcPr>
            <w:tcW w:w="180" w:type="dxa"/>
            <w:vAlign w:val="bottom"/>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(259,355)</w:t>
            </w:r>
          </w:p>
        </w:tc>
        <w:tc>
          <w:tcPr>
            <w:tcW w:w="120" w:type="dxa"/>
            <w:vAlign w:val="bottom"/>
            <w:shd w:val="clear" w:color="auto" w:fill="CCEEFF"/>
          </w:tcPr>
          <w:p>
            <w:pPr>
              <w:spacing w:after="0"/>
              <w:rPr>
                <w:sz w:val="22"/>
                <w:szCs w:val="22"/>
                <w:color w:val="auto"/>
              </w:rPr>
            </w:pPr>
          </w:p>
        </w:tc>
        <w:tc>
          <w:tcPr>
            <w:tcW w:w="60" w:type="dxa"/>
            <w:vAlign w:val="bottom"/>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385,475</w:t>
            </w:r>
          </w:p>
        </w:tc>
        <w:tc>
          <w:tcPr>
            <w:tcW w:w="12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3780" w:type="dxa"/>
            <w:vAlign w:val="bottom"/>
          </w:tcPr>
          <w:p>
            <w:pPr>
              <w:ind w:left="360"/>
              <w:spacing w:after="0"/>
              <w:rPr>
                <w:sz w:val="20"/>
                <w:szCs w:val="20"/>
                <w:color w:val="auto"/>
              </w:rPr>
            </w:pPr>
            <w:r>
              <w:rPr>
                <w:rFonts w:ascii="Arial" w:cs="Arial" w:eastAsia="Arial" w:hAnsi="Arial"/>
                <w:sz w:val="18"/>
                <w:szCs w:val="18"/>
                <w:color w:val="auto"/>
              </w:rPr>
              <w:t>Exercise of common stock options</w:t>
            </w:r>
          </w:p>
        </w:tc>
        <w:tc>
          <w:tcPr>
            <w:tcW w:w="82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120" w:type="dxa"/>
            <w:vAlign w:val="bottom"/>
            <w:gridSpan w:val="3"/>
          </w:tcPr>
          <w:p>
            <w:pPr>
              <w:jc w:val="right"/>
              <w:ind w:right="80"/>
              <w:spacing w:after="0"/>
              <w:rPr>
                <w:sz w:val="20"/>
                <w:szCs w:val="20"/>
                <w:color w:val="auto"/>
              </w:rPr>
            </w:pPr>
            <w:r>
              <w:rPr>
                <w:rFonts w:ascii="Arial" w:cs="Arial" w:eastAsia="Arial" w:hAnsi="Arial"/>
                <w:sz w:val="18"/>
                <w:szCs w:val="18"/>
                <w:color w:val="auto"/>
              </w:rPr>
              <w:t>8,970</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940" w:type="dxa"/>
            <w:vAlign w:val="bottom"/>
            <w:gridSpan w:val="3"/>
          </w:tcPr>
          <w:p>
            <w:pPr>
              <w:jc w:val="right"/>
              <w:ind w:right="160"/>
              <w:spacing w:after="0"/>
              <w:rPr>
                <w:sz w:val="20"/>
                <w:szCs w:val="20"/>
                <w:color w:val="auto"/>
              </w:rPr>
            </w:pPr>
            <w:r>
              <w:rPr>
                <w:rFonts w:ascii="Arial" w:cs="Arial" w:eastAsia="Arial" w:hAnsi="Arial"/>
                <w:sz w:val="18"/>
                <w:szCs w:val="18"/>
                <w:color w:val="auto"/>
              </w:rPr>
              <w:t>109</w:t>
            </w:r>
          </w:p>
        </w:tc>
        <w:tc>
          <w:tcPr>
            <w:tcW w:w="200" w:type="dxa"/>
            <w:vAlign w:val="bottom"/>
          </w:tcPr>
          <w:p>
            <w:pPr>
              <w:spacing w:after="0"/>
              <w:rPr>
                <w:sz w:val="18"/>
                <w:szCs w:val="18"/>
                <w:color w:val="auto"/>
              </w:rPr>
            </w:pPr>
          </w:p>
        </w:tc>
        <w:tc>
          <w:tcPr>
            <w:tcW w:w="9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109</w:t>
            </w:r>
          </w:p>
        </w:tc>
        <w:tc>
          <w:tcPr>
            <w:tcW w:w="0" w:type="dxa"/>
            <w:vAlign w:val="bottom"/>
          </w:tcPr>
          <w:p>
            <w:pPr>
              <w:spacing w:after="0"/>
              <w:rPr>
                <w:sz w:val="1"/>
                <w:szCs w:val="1"/>
                <w:color w:val="auto"/>
              </w:rPr>
            </w:pPr>
          </w:p>
        </w:tc>
      </w:tr>
      <w:tr>
        <w:trPr>
          <w:trHeight w:val="202"/>
        </w:trPr>
        <w:tc>
          <w:tcPr>
            <w:tcW w:w="3780" w:type="dxa"/>
            <w:vAlign w:val="bottom"/>
            <w:shd w:val="clear" w:color="auto" w:fill="CCEEFF"/>
          </w:tcPr>
          <w:p>
            <w:pPr>
              <w:ind w:left="360"/>
              <w:spacing w:after="0" w:line="201" w:lineRule="exact"/>
              <w:rPr>
                <w:sz w:val="20"/>
                <w:szCs w:val="20"/>
                <w:color w:val="auto"/>
              </w:rPr>
            </w:pPr>
            <w:r>
              <w:rPr>
                <w:rFonts w:ascii="Arial" w:cs="Arial" w:eastAsia="Arial" w:hAnsi="Arial"/>
                <w:sz w:val="18"/>
                <w:szCs w:val="18"/>
                <w:color w:val="auto"/>
              </w:rPr>
              <w:t>Compensation expense related to stock</w:t>
            </w:r>
          </w:p>
        </w:tc>
        <w:tc>
          <w:tcPr>
            <w:tcW w:w="8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options for services</w:t>
            </w:r>
          </w:p>
        </w:tc>
        <w:tc>
          <w:tcPr>
            <w:tcW w:w="8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0"/>
                <w:szCs w:val="20"/>
                <w:color w:val="auto"/>
              </w:rPr>
            </w:pPr>
          </w:p>
        </w:tc>
        <w:tc>
          <w:tcPr>
            <w:tcW w:w="96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5,689</w:t>
            </w:r>
          </w:p>
        </w:tc>
        <w:tc>
          <w:tcPr>
            <w:tcW w:w="200" w:type="dxa"/>
            <w:vAlign w:val="bottom"/>
            <w:shd w:val="clear" w:color="auto" w:fill="CCEEFF"/>
          </w:tcPr>
          <w:p>
            <w:pPr>
              <w:spacing w:after="0"/>
              <w:rPr>
                <w:sz w:val="20"/>
                <w:szCs w:val="20"/>
                <w:color w:val="auto"/>
              </w:rPr>
            </w:pPr>
          </w:p>
        </w:tc>
        <w:tc>
          <w:tcPr>
            <w:tcW w:w="9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5,689</w:t>
            </w:r>
          </w:p>
        </w:tc>
        <w:tc>
          <w:tcPr>
            <w:tcW w:w="0" w:type="dxa"/>
            <w:vAlign w:val="bottom"/>
          </w:tcPr>
          <w:p>
            <w:pPr>
              <w:spacing w:after="0"/>
              <w:rPr>
                <w:sz w:val="1"/>
                <w:szCs w:val="1"/>
                <w:color w:val="auto"/>
              </w:rPr>
            </w:pPr>
          </w:p>
        </w:tc>
      </w:tr>
      <w:tr>
        <w:trPr>
          <w:trHeight w:val="216"/>
        </w:trPr>
        <w:tc>
          <w:tcPr>
            <w:tcW w:w="3780" w:type="dxa"/>
            <w:vAlign w:val="bottom"/>
          </w:tcPr>
          <w:p>
            <w:pPr>
              <w:ind w:left="360"/>
              <w:spacing w:after="0"/>
              <w:rPr>
                <w:sz w:val="20"/>
                <w:szCs w:val="20"/>
                <w:color w:val="auto"/>
              </w:rPr>
            </w:pPr>
            <w:r>
              <w:rPr>
                <w:rFonts w:ascii="Arial" w:cs="Arial" w:eastAsia="Arial" w:hAnsi="Arial"/>
                <w:sz w:val="18"/>
                <w:szCs w:val="18"/>
                <w:color w:val="auto"/>
              </w:rPr>
              <w:t>Unrealized gain on marketable securities</w:t>
            </w:r>
          </w:p>
        </w:tc>
        <w:tc>
          <w:tcPr>
            <w:tcW w:w="82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6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4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900" w:type="dxa"/>
            <w:vAlign w:val="bottom"/>
            <w:gridSpan w:val="2"/>
          </w:tcPr>
          <w:p>
            <w:pPr>
              <w:ind w:left="440"/>
              <w:spacing w:after="0"/>
              <w:rPr>
                <w:sz w:val="20"/>
                <w:szCs w:val="20"/>
                <w:color w:val="auto"/>
              </w:rPr>
            </w:pPr>
            <w:r>
              <w:rPr>
                <w:rFonts w:ascii="Arial" w:cs="Arial" w:eastAsia="Arial" w:hAnsi="Arial"/>
                <w:sz w:val="18"/>
                <w:szCs w:val="18"/>
                <w:color w:val="auto"/>
              </w:rPr>
              <w:t>666</w:t>
            </w:r>
          </w:p>
        </w:tc>
        <w:tc>
          <w:tcPr>
            <w:tcW w:w="140" w:type="dxa"/>
            <w:vAlign w:val="bottom"/>
          </w:tcPr>
          <w:p>
            <w:pPr>
              <w:spacing w:after="0"/>
              <w:rPr>
                <w:sz w:val="18"/>
                <w:szCs w:val="18"/>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666</w:t>
            </w:r>
          </w:p>
        </w:tc>
        <w:tc>
          <w:tcPr>
            <w:tcW w:w="0" w:type="dxa"/>
            <w:vAlign w:val="bottom"/>
          </w:tcPr>
          <w:p>
            <w:pPr>
              <w:spacing w:after="0"/>
              <w:rPr>
                <w:sz w:val="1"/>
                <w:szCs w:val="1"/>
                <w:color w:val="auto"/>
              </w:rPr>
            </w:pPr>
          </w:p>
        </w:tc>
      </w:tr>
      <w:tr>
        <w:trPr>
          <w:trHeight w:val="216"/>
        </w:trPr>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Net loss</w:t>
            </w:r>
          </w:p>
        </w:tc>
        <w:tc>
          <w:tcPr>
            <w:tcW w:w="8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(49,023)</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(49,023)</w:t>
            </w:r>
          </w:p>
        </w:tc>
        <w:tc>
          <w:tcPr>
            <w:tcW w:w="0" w:type="dxa"/>
            <w:vAlign w:val="bottom"/>
          </w:tcPr>
          <w:p>
            <w:pPr>
              <w:spacing w:after="0"/>
              <w:rPr>
                <w:sz w:val="1"/>
                <w:szCs w:val="1"/>
                <w:color w:val="auto"/>
              </w:rPr>
            </w:pPr>
          </w:p>
        </w:tc>
      </w:tr>
      <w:tr>
        <w:trPr>
          <w:trHeight w:val="223"/>
        </w:trPr>
        <w:tc>
          <w:tcPr>
            <w:tcW w:w="3780" w:type="dxa"/>
            <w:vAlign w:val="bottom"/>
          </w:tcPr>
          <w:p>
            <w:pPr>
              <w:spacing w:after="0"/>
              <w:rPr>
                <w:sz w:val="20"/>
                <w:szCs w:val="20"/>
                <w:color w:val="auto"/>
              </w:rPr>
            </w:pPr>
            <w:r>
              <w:rPr>
                <w:rFonts w:ascii="Arial" w:cs="Arial" w:eastAsia="Arial" w:hAnsi="Arial"/>
                <w:sz w:val="18"/>
                <w:szCs w:val="18"/>
                <w:color w:val="auto"/>
              </w:rPr>
              <w:t>Balance at June 30, 2020</w:t>
            </w:r>
          </w:p>
        </w:tc>
        <w:tc>
          <w:tcPr>
            <w:tcW w:w="80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w w:val="87"/>
              </w:rPr>
              <w:t>1,969,797</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34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15,438,124</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280" w:type="dxa"/>
            <w:vAlign w:val="bottom"/>
            <w:tcBorders>
              <w:top w:val="single" w:sz="8" w:color="auto"/>
            </w:tcBorders>
          </w:tcPr>
          <w:p>
            <w:pPr>
              <w:ind w:left="200"/>
              <w:spacing w:after="0"/>
              <w:rPr>
                <w:sz w:val="20"/>
                <w:szCs w:val="20"/>
                <w:color w:val="auto"/>
              </w:rPr>
            </w:pPr>
            <w:r>
              <w:rPr>
                <w:rFonts w:ascii="Arial" w:cs="Arial" w:eastAsia="Arial" w:hAnsi="Arial"/>
                <w:sz w:val="15"/>
                <w:szCs w:val="15"/>
                <w:color w:val="auto"/>
                <w:w w:val="71"/>
              </w:rPr>
              <w:t>2</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2"/>
              </w:rPr>
              <w:t>$ 650,211</w:t>
            </w:r>
          </w:p>
        </w:tc>
        <w:tc>
          <w:tcPr>
            <w:tcW w:w="160" w:type="dxa"/>
            <w:vAlign w:val="bottom"/>
          </w:tcPr>
          <w:p>
            <w:pPr>
              <w:spacing w:after="0"/>
              <w:rPr>
                <w:sz w:val="19"/>
                <w:szCs w:val="19"/>
                <w:color w:val="auto"/>
              </w:rPr>
            </w:pPr>
          </w:p>
        </w:tc>
        <w:tc>
          <w:tcPr>
            <w:tcW w:w="2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1,081</w:t>
            </w:r>
          </w:p>
        </w:tc>
        <w:tc>
          <w:tcPr>
            <w:tcW w:w="180" w:type="dxa"/>
            <w:vAlign w:val="bottom"/>
          </w:tcPr>
          <w:p>
            <w:pPr>
              <w:spacing w:after="0"/>
              <w:rPr>
                <w:sz w:val="19"/>
                <w:szCs w:val="19"/>
                <w:color w:val="auto"/>
              </w:rPr>
            </w:pPr>
          </w:p>
        </w:tc>
        <w:tc>
          <w:tcPr>
            <w:tcW w:w="1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(308,378)</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342,916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Exercise of common stock options</w:t>
            </w:r>
          </w:p>
        </w:tc>
        <w:tc>
          <w:tcPr>
            <w:tcW w:w="8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1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28,327</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350</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202"/>
        </w:trPr>
        <w:tc>
          <w:tcPr>
            <w:tcW w:w="3780" w:type="dxa"/>
            <w:vAlign w:val="bottom"/>
          </w:tcPr>
          <w:p>
            <w:pPr>
              <w:ind w:left="360"/>
              <w:spacing w:after="0" w:line="201" w:lineRule="exact"/>
              <w:rPr>
                <w:sz w:val="20"/>
                <w:szCs w:val="20"/>
                <w:color w:val="auto"/>
              </w:rPr>
            </w:pPr>
            <w:r>
              <w:rPr>
                <w:rFonts w:ascii="Arial" w:cs="Arial" w:eastAsia="Arial" w:hAnsi="Arial"/>
                <w:sz w:val="18"/>
                <w:szCs w:val="18"/>
                <w:color w:val="auto"/>
              </w:rPr>
              <w:t>Compensation expense related to stock</w:t>
            </w:r>
          </w:p>
        </w:tc>
        <w:tc>
          <w:tcPr>
            <w:tcW w:w="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780" w:type="dxa"/>
            <w:vAlign w:val="bottom"/>
          </w:tcPr>
          <w:p>
            <w:pPr>
              <w:ind w:left="360"/>
              <w:spacing w:after="0"/>
              <w:rPr>
                <w:sz w:val="20"/>
                <w:szCs w:val="20"/>
                <w:color w:val="auto"/>
              </w:rPr>
            </w:pPr>
            <w:r>
              <w:rPr>
                <w:rFonts w:ascii="Arial" w:cs="Arial" w:eastAsia="Arial" w:hAnsi="Arial"/>
                <w:sz w:val="18"/>
                <w:szCs w:val="18"/>
                <w:color w:val="auto"/>
              </w:rPr>
              <w:t>options for services</w:t>
            </w:r>
          </w:p>
        </w:tc>
        <w:tc>
          <w:tcPr>
            <w:tcW w:w="82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96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940" w:type="dxa"/>
            <w:vAlign w:val="bottom"/>
            <w:gridSpan w:val="3"/>
          </w:tcPr>
          <w:p>
            <w:pPr>
              <w:jc w:val="right"/>
              <w:ind w:right="160"/>
              <w:spacing w:after="0"/>
              <w:rPr>
                <w:sz w:val="20"/>
                <w:szCs w:val="20"/>
                <w:color w:val="auto"/>
              </w:rPr>
            </w:pPr>
            <w:r>
              <w:rPr>
                <w:rFonts w:ascii="Arial" w:cs="Arial" w:eastAsia="Arial" w:hAnsi="Arial"/>
                <w:sz w:val="18"/>
                <w:szCs w:val="18"/>
                <w:color w:val="auto"/>
              </w:rPr>
              <w:t>5,061</w:t>
            </w:r>
          </w:p>
        </w:tc>
        <w:tc>
          <w:tcPr>
            <w:tcW w:w="200" w:type="dxa"/>
            <w:vAlign w:val="bottom"/>
          </w:tcPr>
          <w:p>
            <w:pPr>
              <w:spacing w:after="0"/>
              <w:rPr>
                <w:sz w:val="20"/>
                <w:szCs w:val="20"/>
                <w:color w:val="auto"/>
              </w:rPr>
            </w:pPr>
          </w:p>
        </w:tc>
        <w:tc>
          <w:tcPr>
            <w:tcW w:w="9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5,061</w:t>
            </w:r>
          </w:p>
        </w:tc>
        <w:tc>
          <w:tcPr>
            <w:tcW w:w="0" w:type="dxa"/>
            <w:vAlign w:val="bottom"/>
          </w:tcPr>
          <w:p>
            <w:pPr>
              <w:spacing w:after="0"/>
              <w:rPr>
                <w:sz w:val="1"/>
                <w:szCs w:val="1"/>
                <w:color w:val="auto"/>
              </w:rPr>
            </w:pPr>
          </w:p>
        </w:tc>
      </w:tr>
      <w:tr>
        <w:trPr>
          <w:trHeight w:val="216"/>
        </w:trPr>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Unrealized loss on marketable securities</w:t>
            </w:r>
          </w:p>
        </w:tc>
        <w:tc>
          <w:tcPr>
            <w:tcW w:w="8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(660)</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(660)</w:t>
            </w:r>
          </w:p>
        </w:tc>
        <w:tc>
          <w:tcPr>
            <w:tcW w:w="0" w:type="dxa"/>
            <w:vAlign w:val="bottom"/>
          </w:tcPr>
          <w:p>
            <w:pPr>
              <w:spacing w:after="0"/>
              <w:rPr>
                <w:sz w:val="1"/>
                <w:szCs w:val="1"/>
                <w:color w:val="auto"/>
              </w:rPr>
            </w:pPr>
          </w:p>
        </w:tc>
      </w:tr>
      <w:tr>
        <w:trPr>
          <w:trHeight w:val="223"/>
        </w:trPr>
        <w:tc>
          <w:tcPr>
            <w:tcW w:w="3780" w:type="dxa"/>
            <w:vAlign w:val="bottom"/>
          </w:tcPr>
          <w:p>
            <w:pPr>
              <w:ind w:left="360"/>
              <w:spacing w:after="0"/>
              <w:rPr>
                <w:sz w:val="20"/>
                <w:szCs w:val="20"/>
                <w:color w:val="auto"/>
              </w:rPr>
            </w:pPr>
            <w:r>
              <w:rPr>
                <w:rFonts w:ascii="Arial" w:cs="Arial" w:eastAsia="Arial" w:hAnsi="Arial"/>
                <w:sz w:val="18"/>
                <w:szCs w:val="18"/>
                <w:color w:val="auto"/>
              </w:rPr>
              <w:t>Net loss</w:t>
            </w:r>
          </w:p>
        </w:tc>
        <w:tc>
          <w:tcPr>
            <w:tcW w:w="82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96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84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9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(57,963)</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(57,963)</w:t>
            </w:r>
          </w:p>
        </w:tc>
        <w:tc>
          <w:tcPr>
            <w:tcW w:w="0" w:type="dxa"/>
            <w:vAlign w:val="bottom"/>
          </w:tcPr>
          <w:p>
            <w:pPr>
              <w:spacing w:after="0"/>
              <w:rPr>
                <w:sz w:val="1"/>
                <w:szCs w:val="1"/>
                <w:color w:val="auto"/>
              </w:rPr>
            </w:pPr>
          </w:p>
        </w:tc>
      </w:tr>
      <w:tr>
        <w:trPr>
          <w:trHeight w:val="216"/>
        </w:trPr>
        <w:tc>
          <w:tcPr>
            <w:tcW w:w="3780" w:type="dxa"/>
            <w:vAlign w:val="bottom"/>
            <w:shd w:val="clear" w:color="auto" w:fill="CCEEFF"/>
          </w:tcPr>
          <w:p>
            <w:pPr>
              <w:spacing w:after="0"/>
              <w:rPr>
                <w:sz w:val="20"/>
                <w:szCs w:val="20"/>
                <w:color w:val="auto"/>
              </w:rPr>
            </w:pPr>
            <w:r>
              <w:rPr>
                <w:rFonts w:ascii="Arial" w:cs="Arial" w:eastAsia="Arial" w:hAnsi="Arial"/>
                <w:sz w:val="18"/>
                <w:szCs w:val="18"/>
                <w:color w:val="auto"/>
              </w:rPr>
              <w:t>Balance at September 30, 2020</w:t>
            </w:r>
          </w:p>
        </w:tc>
        <w:tc>
          <w:tcPr>
            <w:tcW w:w="800" w:type="dxa"/>
            <w:vAlign w:val="bottom"/>
            <w:tcBorders>
              <w:top w:val="single" w:sz="8" w:color="auto"/>
              <w:bottom w:val="single" w:sz="8" w:color="auto"/>
            </w:tcBorders>
            <w:shd w:val="clear" w:color="auto" w:fill="CCEEFF"/>
          </w:tcPr>
          <w:p>
            <w:pPr>
              <w:ind w:left="80"/>
              <w:spacing w:after="0"/>
              <w:rPr>
                <w:sz w:val="20"/>
                <w:szCs w:val="20"/>
                <w:color w:val="auto"/>
              </w:rPr>
            </w:pPr>
            <w:r>
              <w:rPr>
                <w:rFonts w:ascii="Arial" w:cs="Arial" w:eastAsia="Arial" w:hAnsi="Arial"/>
                <w:sz w:val="18"/>
                <w:szCs w:val="18"/>
                <w:color w:val="auto"/>
                <w:w w:val="87"/>
              </w:rPr>
              <w:t>1,969,797</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340" w:type="dxa"/>
            <w:vAlign w:val="bottom"/>
            <w:tcBorders>
              <w:top w:val="single" w:sz="8" w:color="auto"/>
              <w:bottom w:val="single" w:sz="8" w:color="auto"/>
            </w:tcBorders>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15,466,451</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280" w:type="dxa"/>
            <w:vAlign w:val="bottom"/>
            <w:tcBorders>
              <w:top w:val="single" w:sz="8" w:color="auto"/>
              <w:bottom w:val="single" w:sz="8" w:color="auto"/>
            </w:tcBorders>
            <w:shd w:val="clear" w:color="auto" w:fill="CCEEFF"/>
          </w:tcPr>
          <w:p>
            <w:pPr>
              <w:ind w:left="200"/>
              <w:spacing w:after="0"/>
              <w:rPr>
                <w:sz w:val="20"/>
                <w:szCs w:val="20"/>
                <w:color w:val="auto"/>
              </w:rPr>
            </w:pPr>
            <w:r>
              <w:rPr>
                <w:rFonts w:ascii="Arial" w:cs="Arial" w:eastAsia="Arial" w:hAnsi="Arial"/>
                <w:sz w:val="15"/>
                <w:szCs w:val="15"/>
                <w:color w:val="auto"/>
                <w:w w:val="71"/>
              </w:rPr>
              <w:t>2</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655,622</w:t>
            </w:r>
          </w:p>
        </w:tc>
        <w:tc>
          <w:tcPr>
            <w:tcW w:w="160" w:type="dxa"/>
            <w:vAlign w:val="bottom"/>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bottom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w w:val="86"/>
              </w:rPr>
              <w:t>421</w:t>
            </w:r>
          </w:p>
        </w:tc>
        <w:tc>
          <w:tcPr>
            <w:tcW w:w="180" w:type="dxa"/>
            <w:vAlign w:val="bottom"/>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(366,341</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60" w:type="dxa"/>
            <w:vAlign w:val="bottom"/>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289,704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78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See accompanying notes to condensed consolidated financial statements.</w:t>
      </w:r>
    </w:p>
    <w:p>
      <w:pPr>
        <w:sectPr>
          <w:pgSz w:w="11900" w:h="16838" w:orient="portrait"/>
          <w:cols w:equalWidth="0" w:num="1">
            <w:col w:w="11140"/>
          </w:cols>
          <w:pgMar w:left="320" w:top="486" w:right="439" w:bottom="1440" w:gutter="0" w:footer="0" w:header="0"/>
        </w:sectPr>
      </w:pPr>
    </w:p>
    <w:p>
      <w:pPr>
        <w:spacing w:after="0" w:line="158" w:lineRule="exact"/>
        <w:rPr>
          <w:sz w:val="20"/>
          <w:szCs w:val="20"/>
          <w:color w:val="auto"/>
        </w:rPr>
      </w:pPr>
    </w:p>
    <w:p>
      <w:pPr>
        <w:jc w:val="center"/>
        <w:ind w:right="-99"/>
        <w:spacing w:after="0"/>
        <w:rPr>
          <w:sz w:val="20"/>
          <w:szCs w:val="20"/>
          <w:color w:val="auto"/>
        </w:rPr>
      </w:pPr>
      <w:r>
        <w:rPr>
          <w:rFonts w:ascii="Arial" w:cs="Arial" w:eastAsia="Arial" w:hAnsi="Arial"/>
          <w:sz w:val="13"/>
          <w:szCs w:val="13"/>
          <w:color w:val="auto"/>
        </w:rPr>
        <w:t>6</w:t>
      </w:r>
    </w:p>
    <w:p>
      <w:pPr>
        <w:sectPr>
          <w:pgSz w:w="11900" w:h="16838" w:orient="portrait"/>
          <w:cols w:equalWidth="0" w:num="1">
            <w:col w:w="11140"/>
          </w:cols>
          <w:pgMar w:left="320" w:top="486" w:right="439" w:bottom="1440" w:gutter="0" w:footer="0" w:header="0"/>
          <w:type w:val="continuous"/>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552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MADRIGAL PHARMACEUTICALS, INC.</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(Unaudited; in thousands)</w:t>
      </w:r>
    </w:p>
    <w:p>
      <w:pPr>
        <w:spacing w:after="0" w:line="243" w:lineRule="exact"/>
        <w:rPr>
          <w:sz w:val="20"/>
          <w:szCs w:val="20"/>
          <w:color w:val="auto"/>
        </w:rPr>
      </w:pPr>
    </w:p>
    <w:tbl>
      <w:tblPr>
        <w:tblLayout w:type="fixed"/>
        <w:tblInd w:w="120" w:type="dxa"/>
        <w:tblCellMar>
          <w:top w:w="0" w:type="dxa"/>
          <w:left w:w="0" w:type="dxa"/>
          <w:bottom w:w="0" w:type="dxa"/>
          <w:right w:w="0" w:type="dxa"/>
        </w:tblCellMar>
      </w:tblPr>
      <w:tr>
        <w:trPr>
          <w:trHeight w:val="171"/>
        </w:trPr>
        <w:tc>
          <w:tcPr>
            <w:tcW w:w="7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300" w:type="dxa"/>
            <w:vAlign w:val="bottom"/>
            <w:gridSpan w:val="6"/>
          </w:tcPr>
          <w:p>
            <w:pPr>
              <w:jc w:val="right"/>
              <w:ind w:right="140"/>
              <w:spacing w:after="0"/>
              <w:rPr>
                <w:sz w:val="20"/>
                <w:szCs w:val="20"/>
                <w:color w:val="auto"/>
              </w:rPr>
            </w:pPr>
            <w:r>
              <w:rPr>
                <w:rFonts w:ascii="Arial" w:cs="Arial" w:eastAsia="Arial" w:hAnsi="Arial"/>
                <w:sz w:val="14"/>
                <w:szCs w:val="14"/>
                <w:b w:val="1"/>
                <w:bCs w:val="1"/>
                <w:color w:val="auto"/>
                <w:w w:val="92"/>
              </w:rPr>
              <w:t>Nine Months Ended September 30,</w:t>
            </w:r>
          </w:p>
        </w:tc>
        <w:tc>
          <w:tcPr>
            <w:tcW w:w="0" w:type="dxa"/>
            <w:vAlign w:val="bottom"/>
          </w:tcPr>
          <w:p>
            <w:pPr>
              <w:spacing w:after="0"/>
              <w:rPr>
                <w:sz w:val="1"/>
                <w:szCs w:val="1"/>
                <w:color w:val="auto"/>
              </w:rPr>
            </w:pPr>
          </w:p>
        </w:tc>
      </w:tr>
      <w:tr>
        <w:trPr>
          <w:trHeight w:val="156"/>
        </w:trPr>
        <w:tc>
          <w:tcPr>
            <w:tcW w:w="7700" w:type="dxa"/>
            <w:vAlign w:val="bottom"/>
            <w:tcBorders>
              <w:bottom w:val="single" w:sz="8" w:color="CCEEFF"/>
            </w:tcBorders>
          </w:tcPr>
          <w:p>
            <w:pPr>
              <w:spacing w:after="0"/>
              <w:rPr>
                <w:sz w:val="13"/>
                <w:szCs w:val="13"/>
                <w:color w:val="auto"/>
              </w:rPr>
            </w:pPr>
          </w:p>
        </w:tc>
        <w:tc>
          <w:tcPr>
            <w:tcW w:w="1000" w:type="dxa"/>
            <w:vAlign w:val="bottom"/>
            <w:tcBorders>
              <w:bottom w:val="single" w:sz="8" w:color="CCEEFF"/>
            </w:tcBorders>
          </w:tcPr>
          <w:p>
            <w:pPr>
              <w:spacing w:after="0"/>
              <w:rPr>
                <w:sz w:val="13"/>
                <w:szCs w:val="13"/>
                <w:color w:val="auto"/>
              </w:rPr>
            </w:pPr>
          </w:p>
        </w:tc>
        <w:tc>
          <w:tcPr>
            <w:tcW w:w="200" w:type="dxa"/>
            <w:vAlign w:val="bottom"/>
            <w:tcBorders>
              <w:top w:val="single" w:sz="8" w:color="auto"/>
              <w:bottom w:val="single" w:sz="8" w:color="auto"/>
            </w:tcBorders>
          </w:tcPr>
          <w:p>
            <w:pPr>
              <w:spacing w:after="0"/>
              <w:rPr>
                <w:sz w:val="13"/>
                <w:szCs w:val="13"/>
                <w:color w:val="auto"/>
              </w:rPr>
            </w:pPr>
          </w:p>
        </w:tc>
        <w:tc>
          <w:tcPr>
            <w:tcW w:w="760" w:type="dxa"/>
            <w:vAlign w:val="bottom"/>
            <w:tcBorders>
              <w:top w:val="single" w:sz="8" w:color="auto"/>
              <w:bottom w:val="single" w:sz="8" w:color="auto"/>
            </w:tcBorders>
          </w:tcPr>
          <w:p>
            <w:pPr>
              <w:jc w:val="right"/>
              <w:ind w:right="251"/>
              <w:spacing w:after="0" w:line="155" w:lineRule="exact"/>
              <w:rPr>
                <w:sz w:val="20"/>
                <w:szCs w:val="20"/>
                <w:color w:val="auto"/>
              </w:rPr>
            </w:pPr>
            <w:r>
              <w:rPr>
                <w:rFonts w:ascii="Arial" w:cs="Arial" w:eastAsia="Arial" w:hAnsi="Arial"/>
                <w:sz w:val="14"/>
                <w:szCs w:val="14"/>
                <w:b w:val="1"/>
                <w:bCs w:val="1"/>
                <w:color w:val="auto"/>
              </w:rPr>
              <w:t>2021</w:t>
            </w:r>
          </w:p>
        </w:tc>
        <w:tc>
          <w:tcPr>
            <w:tcW w:w="240" w:type="dxa"/>
            <w:vAlign w:val="bottom"/>
            <w:tcBorders>
              <w:top w:val="single" w:sz="8" w:color="auto"/>
              <w:bottom w:val="single" w:sz="8" w:color="CCEEFF"/>
            </w:tcBorders>
          </w:tcPr>
          <w:p>
            <w:pPr>
              <w:spacing w:after="0"/>
              <w:rPr>
                <w:sz w:val="13"/>
                <w:szCs w:val="13"/>
                <w:color w:val="auto"/>
              </w:rPr>
            </w:pPr>
          </w:p>
        </w:tc>
        <w:tc>
          <w:tcPr>
            <w:tcW w:w="220" w:type="dxa"/>
            <w:vAlign w:val="bottom"/>
            <w:tcBorders>
              <w:top w:val="single" w:sz="8" w:color="auto"/>
              <w:bottom w:val="single" w:sz="8" w:color="auto"/>
            </w:tcBorders>
          </w:tcPr>
          <w:p>
            <w:pPr>
              <w:spacing w:after="0"/>
              <w:rPr>
                <w:sz w:val="13"/>
                <w:szCs w:val="13"/>
                <w:color w:val="auto"/>
              </w:rPr>
            </w:pPr>
          </w:p>
        </w:tc>
        <w:tc>
          <w:tcPr>
            <w:tcW w:w="780" w:type="dxa"/>
            <w:vAlign w:val="bottom"/>
            <w:tcBorders>
              <w:top w:val="single" w:sz="8" w:color="auto"/>
              <w:bottom w:val="single" w:sz="8" w:color="auto"/>
            </w:tcBorders>
          </w:tcPr>
          <w:p>
            <w:pPr>
              <w:jc w:val="right"/>
              <w:ind w:right="271"/>
              <w:spacing w:after="0" w:line="155" w:lineRule="exact"/>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770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operating activities:</w:t>
            </w: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700" w:type="dxa"/>
            <w:vAlign w:val="bottom"/>
          </w:tcPr>
          <w:p>
            <w:pPr>
              <w:ind w:left="360"/>
              <w:spacing w:after="0"/>
              <w:rPr>
                <w:sz w:val="20"/>
                <w:szCs w:val="20"/>
                <w:color w:val="auto"/>
              </w:rPr>
            </w:pPr>
            <w:r>
              <w:rPr>
                <w:rFonts w:ascii="Arial" w:cs="Arial" w:eastAsia="Arial" w:hAnsi="Arial"/>
                <w:sz w:val="18"/>
                <w:szCs w:val="18"/>
                <w:color w:val="auto"/>
              </w:rPr>
              <w:t>Net loss</w:t>
            </w:r>
          </w:p>
        </w:tc>
        <w:tc>
          <w:tcPr>
            <w:tcW w:w="1200" w:type="dxa"/>
            <w:vAlign w:val="bottom"/>
            <w:gridSpan w:val="2"/>
          </w:tcPr>
          <w:p>
            <w:pPr>
              <w:jc w:val="right"/>
              <w:ind w:right="19"/>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80"/>
              <w:spacing w:after="0"/>
              <w:rPr>
                <w:sz w:val="20"/>
                <w:szCs w:val="20"/>
                <w:color w:val="auto"/>
              </w:rPr>
            </w:pPr>
            <w:r>
              <w:rPr>
                <w:rFonts w:ascii="Arial" w:cs="Arial" w:eastAsia="Arial" w:hAnsi="Arial"/>
                <w:sz w:val="18"/>
                <w:szCs w:val="18"/>
                <w:color w:val="auto"/>
              </w:rPr>
              <w:t>(177,297)</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(143,121)</w:t>
            </w:r>
          </w:p>
        </w:tc>
        <w:tc>
          <w:tcPr>
            <w:tcW w:w="0" w:type="dxa"/>
            <w:vAlign w:val="bottom"/>
          </w:tcPr>
          <w:p>
            <w:pPr>
              <w:spacing w:after="0"/>
              <w:rPr>
                <w:sz w:val="1"/>
                <w:szCs w:val="1"/>
                <w:color w:val="auto"/>
              </w:rPr>
            </w:pPr>
          </w:p>
        </w:tc>
      </w:tr>
      <w:tr>
        <w:trPr>
          <w:trHeight w:val="216"/>
        </w:trPr>
        <w:tc>
          <w:tcPr>
            <w:tcW w:w="77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700" w:type="dxa"/>
            <w:vAlign w:val="bottom"/>
          </w:tcPr>
          <w:p>
            <w:pPr>
              <w:ind w:left="720"/>
              <w:spacing w:after="0"/>
              <w:rPr>
                <w:sz w:val="20"/>
                <w:szCs w:val="20"/>
                <w:color w:val="auto"/>
              </w:rPr>
            </w:pPr>
            <w:r>
              <w:rPr>
                <w:rFonts w:ascii="Arial" w:cs="Arial" w:eastAsia="Arial" w:hAnsi="Arial"/>
                <w:sz w:val="18"/>
                <w:szCs w:val="18"/>
                <w:color w:val="auto"/>
              </w:rPr>
              <w:t>Stock-based compensation expense</w:t>
            </w: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20,517</w:t>
            </w:r>
          </w:p>
        </w:tc>
        <w:tc>
          <w:tcPr>
            <w:tcW w:w="22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15,596</w:t>
            </w:r>
          </w:p>
        </w:tc>
        <w:tc>
          <w:tcPr>
            <w:tcW w:w="0" w:type="dxa"/>
            <w:vAlign w:val="bottom"/>
          </w:tcPr>
          <w:p>
            <w:pPr>
              <w:spacing w:after="0"/>
              <w:rPr>
                <w:sz w:val="1"/>
                <w:szCs w:val="1"/>
                <w:color w:val="auto"/>
              </w:rPr>
            </w:pPr>
          </w:p>
        </w:tc>
      </w:tr>
      <w:tr>
        <w:trPr>
          <w:trHeight w:val="216"/>
        </w:trPr>
        <w:tc>
          <w:tcPr>
            <w:tcW w:w="77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Depreciation and amortization expense</w:t>
            </w: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299</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355</w:t>
            </w:r>
          </w:p>
        </w:tc>
        <w:tc>
          <w:tcPr>
            <w:tcW w:w="0" w:type="dxa"/>
            <w:vAlign w:val="bottom"/>
          </w:tcPr>
          <w:p>
            <w:pPr>
              <w:spacing w:after="0"/>
              <w:rPr>
                <w:sz w:val="1"/>
                <w:szCs w:val="1"/>
                <w:color w:val="auto"/>
              </w:rPr>
            </w:pPr>
          </w:p>
        </w:tc>
      </w:tr>
      <w:tr>
        <w:trPr>
          <w:trHeight w:val="216"/>
        </w:trPr>
        <w:tc>
          <w:tcPr>
            <w:tcW w:w="7700" w:type="dxa"/>
            <w:vAlign w:val="bottom"/>
          </w:tcPr>
          <w:p>
            <w:pPr>
              <w:ind w:left="720"/>
              <w:spacing w:after="0"/>
              <w:rPr>
                <w:sz w:val="20"/>
                <w:szCs w:val="20"/>
                <w:color w:val="auto"/>
              </w:rPr>
            </w:pPr>
            <w:r>
              <w:rPr>
                <w:rFonts w:ascii="Arial" w:cs="Arial" w:eastAsia="Arial" w:hAnsi="Arial"/>
                <w:sz w:val="18"/>
                <w:szCs w:val="18"/>
                <w:color w:val="auto"/>
              </w:rPr>
              <w:t>Changes in operating assets and liabilities:</w:t>
            </w: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700" w:type="dxa"/>
            <w:vAlign w:val="bottom"/>
            <w:shd w:val="clear" w:color="auto" w:fill="CCEEFF"/>
          </w:tcPr>
          <w:p>
            <w:pPr>
              <w:ind w:left="1080"/>
              <w:spacing w:after="0"/>
              <w:rPr>
                <w:sz w:val="20"/>
                <w:szCs w:val="20"/>
                <w:color w:val="auto"/>
              </w:rPr>
            </w:pPr>
            <w:r>
              <w:rPr>
                <w:rFonts w:ascii="Arial" w:cs="Arial" w:eastAsia="Arial" w:hAnsi="Arial"/>
                <w:sz w:val="18"/>
                <w:szCs w:val="18"/>
                <w:color w:val="auto"/>
              </w:rPr>
              <w:t>Prepaid expenses and other current assets</w:t>
            </w: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(2,799)</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(513)</w:t>
            </w:r>
          </w:p>
        </w:tc>
        <w:tc>
          <w:tcPr>
            <w:tcW w:w="0" w:type="dxa"/>
            <w:vAlign w:val="bottom"/>
          </w:tcPr>
          <w:p>
            <w:pPr>
              <w:spacing w:after="0"/>
              <w:rPr>
                <w:sz w:val="1"/>
                <w:szCs w:val="1"/>
                <w:color w:val="auto"/>
              </w:rPr>
            </w:pPr>
          </w:p>
        </w:tc>
      </w:tr>
      <w:tr>
        <w:trPr>
          <w:trHeight w:val="216"/>
        </w:trPr>
        <w:tc>
          <w:tcPr>
            <w:tcW w:w="7700" w:type="dxa"/>
            <w:vAlign w:val="bottom"/>
          </w:tcPr>
          <w:p>
            <w:pPr>
              <w:ind w:left="1080"/>
              <w:spacing w:after="0"/>
              <w:rPr>
                <w:sz w:val="20"/>
                <w:szCs w:val="20"/>
                <w:color w:val="auto"/>
              </w:rPr>
            </w:pPr>
            <w:r>
              <w:rPr>
                <w:rFonts w:ascii="Arial" w:cs="Arial" w:eastAsia="Arial" w:hAnsi="Arial"/>
                <w:sz w:val="18"/>
                <w:szCs w:val="18"/>
                <w:color w:val="auto"/>
              </w:rPr>
              <w:t>Accounts payable</w:t>
            </w: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9,401</w:t>
            </w:r>
          </w:p>
        </w:tc>
        <w:tc>
          <w:tcPr>
            <w:tcW w:w="22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5,099</w:t>
            </w:r>
          </w:p>
        </w:tc>
        <w:tc>
          <w:tcPr>
            <w:tcW w:w="0" w:type="dxa"/>
            <w:vAlign w:val="bottom"/>
          </w:tcPr>
          <w:p>
            <w:pPr>
              <w:spacing w:after="0"/>
              <w:rPr>
                <w:sz w:val="1"/>
                <w:szCs w:val="1"/>
                <w:color w:val="auto"/>
              </w:rPr>
            </w:pPr>
          </w:p>
        </w:tc>
      </w:tr>
      <w:tr>
        <w:trPr>
          <w:trHeight w:val="216"/>
        </w:trPr>
        <w:tc>
          <w:tcPr>
            <w:tcW w:w="7700" w:type="dxa"/>
            <w:vAlign w:val="bottom"/>
            <w:shd w:val="clear" w:color="auto" w:fill="CCEEFF"/>
          </w:tcPr>
          <w:p>
            <w:pPr>
              <w:ind w:left="1080"/>
              <w:spacing w:after="0"/>
              <w:rPr>
                <w:sz w:val="20"/>
                <w:szCs w:val="20"/>
                <w:color w:val="auto"/>
              </w:rPr>
            </w:pPr>
            <w:r>
              <w:rPr>
                <w:rFonts w:ascii="Arial" w:cs="Arial" w:eastAsia="Arial" w:hAnsi="Arial"/>
                <w:sz w:val="18"/>
                <w:szCs w:val="18"/>
                <w:color w:val="auto"/>
              </w:rPr>
              <w:t>Accrued expense</w:t>
            </w: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13,279</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19,136</w:t>
            </w:r>
          </w:p>
        </w:tc>
        <w:tc>
          <w:tcPr>
            <w:tcW w:w="0" w:type="dxa"/>
            <w:vAlign w:val="bottom"/>
          </w:tcPr>
          <w:p>
            <w:pPr>
              <w:spacing w:after="0"/>
              <w:rPr>
                <w:sz w:val="1"/>
                <w:szCs w:val="1"/>
                <w:color w:val="auto"/>
              </w:rPr>
            </w:pPr>
          </w:p>
        </w:tc>
      </w:tr>
      <w:tr>
        <w:trPr>
          <w:trHeight w:val="216"/>
        </w:trPr>
        <w:tc>
          <w:tcPr>
            <w:tcW w:w="7700" w:type="dxa"/>
            <w:vAlign w:val="bottom"/>
          </w:tcPr>
          <w:p>
            <w:pPr>
              <w:ind w:left="1080"/>
              <w:spacing w:after="0"/>
              <w:rPr>
                <w:sz w:val="20"/>
                <w:szCs w:val="20"/>
                <w:color w:val="auto"/>
              </w:rPr>
            </w:pPr>
            <w:r>
              <w:rPr>
                <w:rFonts w:ascii="Arial" w:cs="Arial" w:eastAsia="Arial" w:hAnsi="Arial"/>
                <w:sz w:val="18"/>
                <w:szCs w:val="18"/>
                <w:color w:val="auto"/>
              </w:rPr>
              <w:t>Accrued interest, net of interest received on maturity of investments</w:t>
            </w: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734</w:t>
            </w:r>
          </w:p>
        </w:tc>
        <w:tc>
          <w:tcPr>
            <w:tcW w:w="22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834</w:t>
            </w:r>
          </w:p>
        </w:tc>
        <w:tc>
          <w:tcPr>
            <w:tcW w:w="0" w:type="dxa"/>
            <w:vAlign w:val="bottom"/>
          </w:tcPr>
          <w:p>
            <w:pPr>
              <w:spacing w:after="0"/>
              <w:rPr>
                <w:sz w:val="1"/>
                <w:szCs w:val="1"/>
                <w:color w:val="auto"/>
              </w:rPr>
            </w:pPr>
          </w:p>
        </w:tc>
      </w:tr>
      <w:tr>
        <w:trPr>
          <w:trHeight w:val="27"/>
        </w:trPr>
        <w:tc>
          <w:tcPr>
            <w:tcW w:w="77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7700" w:type="dxa"/>
            <w:vAlign w:val="bottom"/>
            <w:shd w:val="clear" w:color="auto" w:fill="CCEEFF"/>
          </w:tcPr>
          <w:p>
            <w:pPr>
              <w:ind w:left="1440"/>
              <w:spacing w:after="0"/>
              <w:rPr>
                <w:sz w:val="20"/>
                <w:szCs w:val="20"/>
                <w:color w:val="auto"/>
              </w:rPr>
            </w:pPr>
            <w:r>
              <w:rPr>
                <w:rFonts w:ascii="Arial" w:cs="Arial" w:eastAsia="Arial" w:hAnsi="Arial"/>
                <w:sz w:val="18"/>
                <w:szCs w:val="18"/>
                <w:color w:val="auto"/>
              </w:rPr>
              <w:t>Net cash used in operating activities</w:t>
            </w: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(135,866)</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(102,614)</w:t>
            </w:r>
          </w:p>
        </w:tc>
        <w:tc>
          <w:tcPr>
            <w:tcW w:w="0" w:type="dxa"/>
            <w:vAlign w:val="bottom"/>
          </w:tcPr>
          <w:p>
            <w:pPr>
              <w:spacing w:after="0"/>
              <w:rPr>
                <w:sz w:val="1"/>
                <w:szCs w:val="1"/>
                <w:color w:val="auto"/>
              </w:rPr>
            </w:pPr>
          </w:p>
        </w:tc>
      </w:tr>
      <w:tr>
        <w:trPr>
          <w:trHeight w:val="223"/>
        </w:trPr>
        <w:tc>
          <w:tcPr>
            <w:tcW w:w="7700" w:type="dxa"/>
            <w:vAlign w:val="bottom"/>
          </w:tcPr>
          <w:p>
            <w:pPr>
              <w:spacing w:after="0"/>
              <w:rPr>
                <w:sz w:val="20"/>
                <w:szCs w:val="20"/>
                <w:color w:val="auto"/>
              </w:rPr>
            </w:pPr>
            <w:r>
              <w:rPr>
                <w:rFonts w:ascii="Arial" w:cs="Arial" w:eastAsia="Arial" w:hAnsi="Arial"/>
                <w:sz w:val="18"/>
                <w:szCs w:val="18"/>
                <w:color w:val="auto"/>
              </w:rPr>
              <w:t>Cash flows from investing activities:</w:t>
            </w:r>
          </w:p>
        </w:tc>
        <w:tc>
          <w:tcPr>
            <w:tcW w:w="10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7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Purchases of marketable securities</w:t>
            </w: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(339,371)</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(213,186)</w:t>
            </w:r>
          </w:p>
        </w:tc>
        <w:tc>
          <w:tcPr>
            <w:tcW w:w="0" w:type="dxa"/>
            <w:vAlign w:val="bottom"/>
          </w:tcPr>
          <w:p>
            <w:pPr>
              <w:spacing w:after="0"/>
              <w:rPr>
                <w:sz w:val="1"/>
                <w:szCs w:val="1"/>
                <w:color w:val="auto"/>
              </w:rPr>
            </w:pPr>
          </w:p>
        </w:tc>
      </w:tr>
      <w:tr>
        <w:trPr>
          <w:trHeight w:val="216"/>
        </w:trPr>
        <w:tc>
          <w:tcPr>
            <w:tcW w:w="7700" w:type="dxa"/>
            <w:vAlign w:val="bottom"/>
          </w:tcPr>
          <w:p>
            <w:pPr>
              <w:ind w:left="720"/>
              <w:spacing w:after="0"/>
              <w:rPr>
                <w:sz w:val="20"/>
                <w:szCs w:val="20"/>
                <w:color w:val="auto"/>
              </w:rPr>
            </w:pPr>
            <w:r>
              <w:rPr>
                <w:rFonts w:ascii="Arial" w:cs="Arial" w:eastAsia="Arial" w:hAnsi="Arial"/>
                <w:sz w:val="18"/>
                <w:szCs w:val="18"/>
                <w:color w:val="auto"/>
              </w:rPr>
              <w:t>Sales and maturities of marketable securities</w:t>
            </w: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318,769</w:t>
            </w:r>
          </w:p>
        </w:tc>
        <w:tc>
          <w:tcPr>
            <w:tcW w:w="22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378,088</w:t>
            </w:r>
          </w:p>
        </w:tc>
        <w:tc>
          <w:tcPr>
            <w:tcW w:w="0" w:type="dxa"/>
            <w:vAlign w:val="bottom"/>
          </w:tcPr>
          <w:p>
            <w:pPr>
              <w:spacing w:after="0"/>
              <w:rPr>
                <w:sz w:val="1"/>
                <w:szCs w:val="1"/>
                <w:color w:val="auto"/>
              </w:rPr>
            </w:pPr>
          </w:p>
        </w:tc>
      </w:tr>
      <w:tr>
        <w:trPr>
          <w:trHeight w:val="216"/>
        </w:trPr>
        <w:tc>
          <w:tcPr>
            <w:tcW w:w="77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Purchases of property and equipment, net of disposals</w:t>
            </w: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(96)</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(324)</w:t>
            </w:r>
          </w:p>
        </w:tc>
        <w:tc>
          <w:tcPr>
            <w:tcW w:w="0" w:type="dxa"/>
            <w:vAlign w:val="bottom"/>
          </w:tcPr>
          <w:p>
            <w:pPr>
              <w:spacing w:after="0"/>
              <w:rPr>
                <w:sz w:val="1"/>
                <w:szCs w:val="1"/>
                <w:color w:val="auto"/>
              </w:rPr>
            </w:pPr>
          </w:p>
        </w:tc>
      </w:tr>
      <w:tr>
        <w:trPr>
          <w:trHeight w:val="230"/>
        </w:trPr>
        <w:tc>
          <w:tcPr>
            <w:tcW w:w="7700" w:type="dxa"/>
            <w:vAlign w:val="bottom"/>
          </w:tcPr>
          <w:p>
            <w:pPr>
              <w:ind w:left="1440"/>
              <w:spacing w:after="0"/>
              <w:rPr>
                <w:sz w:val="20"/>
                <w:szCs w:val="20"/>
                <w:color w:val="auto"/>
              </w:rPr>
            </w:pPr>
            <w:r>
              <w:rPr>
                <w:rFonts w:ascii="Arial" w:cs="Arial" w:eastAsia="Arial" w:hAnsi="Arial"/>
                <w:sz w:val="18"/>
                <w:szCs w:val="18"/>
                <w:color w:val="auto"/>
              </w:rPr>
              <w:t>Net cash provided by (used in) investing activities</w:t>
            </w:r>
          </w:p>
        </w:tc>
        <w:tc>
          <w:tcPr>
            <w:tcW w:w="1000" w:type="dxa"/>
            <w:vAlign w:val="bottom"/>
          </w:tcPr>
          <w:p>
            <w:pPr>
              <w:spacing w:after="0"/>
              <w:rPr>
                <w:sz w:val="20"/>
                <w:szCs w:val="20"/>
                <w:color w:val="auto"/>
              </w:rPr>
            </w:pPr>
          </w:p>
        </w:tc>
        <w:tc>
          <w:tcPr>
            <w:tcW w:w="200" w:type="dxa"/>
            <w:vAlign w:val="bottom"/>
            <w:tcBorders>
              <w:top w:val="single" w:sz="8" w:color="auto"/>
              <w:bottom w:val="single" w:sz="8" w:color="auto"/>
            </w:tcBorders>
          </w:tcPr>
          <w:p>
            <w:pPr>
              <w:spacing w:after="0"/>
              <w:rPr>
                <w:sz w:val="20"/>
                <w:szCs w:val="20"/>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(20,698)</w:t>
            </w:r>
          </w:p>
        </w:tc>
        <w:tc>
          <w:tcPr>
            <w:tcW w:w="240" w:type="dxa"/>
            <w:vAlign w:val="bottom"/>
          </w:tcPr>
          <w:p>
            <w:pPr>
              <w:spacing w:after="0"/>
              <w:rPr>
                <w:sz w:val="20"/>
                <w:szCs w:val="20"/>
                <w:color w:val="auto"/>
              </w:rPr>
            </w:pPr>
          </w:p>
        </w:tc>
        <w:tc>
          <w:tcPr>
            <w:tcW w:w="220" w:type="dxa"/>
            <w:vAlign w:val="bottom"/>
            <w:tcBorders>
              <w:top w:val="single" w:sz="8" w:color="auto"/>
              <w:bottom w:val="single" w:sz="8" w:color="auto"/>
            </w:tcBorders>
          </w:tcPr>
          <w:p>
            <w:pPr>
              <w:spacing w:after="0"/>
              <w:rPr>
                <w:sz w:val="20"/>
                <w:szCs w:val="20"/>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164,578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7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Cash flows from financing activities:</w:t>
            </w: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700" w:type="dxa"/>
            <w:vAlign w:val="bottom"/>
          </w:tcPr>
          <w:p>
            <w:pPr>
              <w:ind w:left="720"/>
              <w:spacing w:after="0"/>
              <w:rPr>
                <w:sz w:val="20"/>
                <w:szCs w:val="20"/>
                <w:color w:val="auto"/>
              </w:rPr>
            </w:pPr>
            <w:r>
              <w:rPr>
                <w:rFonts w:ascii="Arial" w:cs="Arial" w:eastAsia="Arial" w:hAnsi="Arial"/>
                <w:sz w:val="18"/>
                <w:szCs w:val="18"/>
                <w:color w:val="auto"/>
              </w:rPr>
              <w:t>Proceeds from issuances of stock, excluding related parties, net of transaction costs</w:t>
            </w: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151,249</w:t>
            </w:r>
          </w:p>
        </w:tc>
        <w:tc>
          <w:tcPr>
            <w:tcW w:w="220" w:type="dxa"/>
            <w:vAlign w:val="bottom"/>
          </w:tcPr>
          <w:p>
            <w:pPr>
              <w:spacing w:after="0"/>
              <w:rPr>
                <w:sz w:val="18"/>
                <w:szCs w:val="18"/>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7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Proceeds from the exercise of common stock options</w:t>
            </w: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485</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459</w:t>
            </w:r>
          </w:p>
        </w:tc>
        <w:tc>
          <w:tcPr>
            <w:tcW w:w="0" w:type="dxa"/>
            <w:vAlign w:val="bottom"/>
          </w:tcPr>
          <w:p>
            <w:pPr>
              <w:spacing w:after="0"/>
              <w:rPr>
                <w:sz w:val="1"/>
                <w:szCs w:val="1"/>
                <w:color w:val="auto"/>
              </w:rPr>
            </w:pPr>
          </w:p>
        </w:tc>
      </w:tr>
      <w:tr>
        <w:trPr>
          <w:trHeight w:val="230"/>
        </w:trPr>
        <w:tc>
          <w:tcPr>
            <w:tcW w:w="7700" w:type="dxa"/>
            <w:vAlign w:val="bottom"/>
          </w:tcPr>
          <w:p>
            <w:pPr>
              <w:ind w:left="1440"/>
              <w:spacing w:after="0"/>
              <w:rPr>
                <w:sz w:val="20"/>
                <w:szCs w:val="20"/>
                <w:color w:val="auto"/>
              </w:rPr>
            </w:pPr>
            <w:r>
              <w:rPr>
                <w:rFonts w:ascii="Arial" w:cs="Arial" w:eastAsia="Arial" w:hAnsi="Arial"/>
                <w:sz w:val="18"/>
                <w:szCs w:val="18"/>
                <w:color w:val="auto"/>
              </w:rPr>
              <w:t>Net cash provided by financing activities</w:t>
            </w:r>
          </w:p>
        </w:tc>
        <w:tc>
          <w:tcPr>
            <w:tcW w:w="1000" w:type="dxa"/>
            <w:vAlign w:val="bottom"/>
          </w:tcPr>
          <w:p>
            <w:pPr>
              <w:spacing w:after="0"/>
              <w:rPr>
                <w:sz w:val="20"/>
                <w:szCs w:val="20"/>
                <w:color w:val="auto"/>
              </w:rPr>
            </w:pPr>
          </w:p>
        </w:tc>
        <w:tc>
          <w:tcPr>
            <w:tcW w:w="200" w:type="dxa"/>
            <w:vAlign w:val="bottom"/>
            <w:tcBorders>
              <w:top w:val="single" w:sz="8" w:color="auto"/>
              <w:bottom w:val="single" w:sz="8" w:color="auto"/>
            </w:tcBorders>
          </w:tcPr>
          <w:p>
            <w:pPr>
              <w:spacing w:after="0"/>
              <w:rPr>
                <w:sz w:val="20"/>
                <w:szCs w:val="20"/>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151,734</w:t>
            </w:r>
          </w:p>
        </w:tc>
        <w:tc>
          <w:tcPr>
            <w:tcW w:w="240" w:type="dxa"/>
            <w:vAlign w:val="bottom"/>
          </w:tcPr>
          <w:p>
            <w:pPr>
              <w:spacing w:after="0"/>
              <w:rPr>
                <w:sz w:val="20"/>
                <w:szCs w:val="20"/>
                <w:color w:val="auto"/>
              </w:rPr>
            </w:pPr>
          </w:p>
        </w:tc>
        <w:tc>
          <w:tcPr>
            <w:tcW w:w="220" w:type="dxa"/>
            <w:vAlign w:val="bottom"/>
            <w:tcBorders>
              <w:top w:val="single" w:sz="8" w:color="auto"/>
              <w:bottom w:val="single" w:sz="8" w:color="auto"/>
            </w:tcBorders>
          </w:tcPr>
          <w:p>
            <w:pPr>
              <w:spacing w:after="0"/>
              <w:rPr>
                <w:sz w:val="20"/>
                <w:szCs w:val="20"/>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459</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700" w:type="dxa"/>
            <w:vAlign w:val="bottom"/>
            <w:shd w:val="clear" w:color="auto" w:fill="CCEEFF"/>
          </w:tcPr>
          <w:p>
            <w:pPr>
              <w:ind w:left="1440"/>
              <w:spacing w:after="0"/>
              <w:rPr>
                <w:sz w:val="20"/>
                <w:szCs w:val="20"/>
                <w:color w:val="auto"/>
              </w:rPr>
            </w:pPr>
            <w:r>
              <w:rPr>
                <w:rFonts w:ascii="Arial" w:cs="Arial" w:eastAsia="Arial" w:hAnsi="Arial"/>
                <w:sz w:val="18"/>
                <w:szCs w:val="18"/>
                <w:color w:val="auto"/>
              </w:rPr>
              <w:t>Net increase (decrease) in cash and cash equivalents</w:t>
            </w: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(4,830)</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62,423</w:t>
            </w:r>
          </w:p>
        </w:tc>
        <w:tc>
          <w:tcPr>
            <w:tcW w:w="0" w:type="dxa"/>
            <w:vAlign w:val="bottom"/>
          </w:tcPr>
          <w:p>
            <w:pPr>
              <w:spacing w:after="0"/>
              <w:rPr>
                <w:sz w:val="1"/>
                <w:szCs w:val="1"/>
                <w:color w:val="auto"/>
              </w:rPr>
            </w:pPr>
          </w:p>
        </w:tc>
      </w:tr>
      <w:tr>
        <w:trPr>
          <w:trHeight w:val="216"/>
        </w:trPr>
        <w:tc>
          <w:tcPr>
            <w:tcW w:w="7700" w:type="dxa"/>
            <w:vAlign w:val="bottom"/>
          </w:tcPr>
          <w:p>
            <w:pPr>
              <w:ind w:left="360"/>
              <w:spacing w:after="0"/>
              <w:rPr>
                <w:sz w:val="20"/>
                <w:szCs w:val="20"/>
                <w:color w:val="auto"/>
              </w:rPr>
            </w:pPr>
            <w:r>
              <w:rPr>
                <w:rFonts w:ascii="Arial" w:cs="Arial" w:eastAsia="Arial" w:hAnsi="Arial"/>
                <w:sz w:val="18"/>
                <w:szCs w:val="18"/>
                <w:color w:val="auto"/>
              </w:rPr>
              <w:t>Cash and cash equivalents at beginning of period</w:t>
            </w: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54,004</w:t>
            </w:r>
          </w:p>
        </w:tc>
        <w:tc>
          <w:tcPr>
            <w:tcW w:w="22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46,697</w:t>
            </w:r>
          </w:p>
        </w:tc>
        <w:tc>
          <w:tcPr>
            <w:tcW w:w="0" w:type="dxa"/>
            <w:vAlign w:val="bottom"/>
          </w:tcPr>
          <w:p>
            <w:pPr>
              <w:spacing w:after="0"/>
              <w:rPr>
                <w:sz w:val="1"/>
                <w:szCs w:val="1"/>
                <w:color w:val="auto"/>
              </w:rPr>
            </w:pPr>
          </w:p>
        </w:tc>
      </w:tr>
      <w:tr>
        <w:trPr>
          <w:trHeight w:val="27"/>
        </w:trPr>
        <w:tc>
          <w:tcPr>
            <w:tcW w:w="77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77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Cash and cash equivalents at end of period</w:t>
            </w: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49,174</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109,120</w:t>
            </w:r>
          </w:p>
        </w:tc>
        <w:tc>
          <w:tcPr>
            <w:tcW w:w="0" w:type="dxa"/>
            <w:vAlign w:val="bottom"/>
          </w:tcPr>
          <w:p>
            <w:pPr>
              <w:spacing w:after="0"/>
              <w:rPr>
                <w:sz w:val="1"/>
                <w:szCs w:val="1"/>
                <w:color w:val="auto"/>
              </w:rPr>
            </w:pPr>
          </w:p>
        </w:tc>
      </w:tr>
      <w:tr>
        <w:trPr>
          <w:trHeight w:val="20"/>
        </w:trPr>
        <w:tc>
          <w:tcPr>
            <w:tcW w:w="7700" w:type="dxa"/>
            <w:vAlign w:val="bottom"/>
            <w:vMerge w:val="restart"/>
          </w:tcPr>
          <w:p>
            <w:pPr>
              <w:ind w:left="360"/>
              <w:spacing w:after="0"/>
              <w:rPr>
                <w:sz w:val="20"/>
                <w:szCs w:val="20"/>
                <w:color w:val="auto"/>
              </w:rPr>
            </w:pPr>
            <w:r>
              <w:rPr>
                <w:rFonts w:ascii="Arial" w:cs="Arial" w:eastAsia="Arial" w:hAnsi="Arial"/>
                <w:sz w:val="18"/>
                <w:szCs w:val="18"/>
                <w:color w:val="auto"/>
              </w:rPr>
              <w:t>Supplemental disclosure of cash flow information:</w:t>
            </w:r>
          </w:p>
        </w:tc>
        <w:tc>
          <w:tcPr>
            <w:tcW w:w="10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700" w:type="dxa"/>
            <w:vAlign w:val="bottom"/>
            <w:vMerge w:val="continue"/>
          </w:tcPr>
          <w:p>
            <w:pPr>
              <w:spacing w:after="0"/>
              <w:rPr>
                <w:sz w:val="18"/>
                <w:szCs w:val="18"/>
                <w:color w:val="auto"/>
              </w:rPr>
            </w:pP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7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Obtaining a right-of-use asset in exchange for a lease liability</w:t>
            </w:r>
          </w:p>
        </w:tc>
        <w:tc>
          <w:tcPr>
            <w:tcW w:w="1200" w:type="dxa"/>
            <w:vAlign w:val="bottom"/>
            <w:gridSpan w:val="2"/>
            <w:shd w:val="clear" w:color="auto" w:fill="CCEEFF"/>
          </w:tcPr>
          <w:p>
            <w:pPr>
              <w:jc w:val="right"/>
              <w:ind w:right="19"/>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376</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451</w:t>
            </w:r>
          </w:p>
        </w:tc>
        <w:tc>
          <w:tcPr>
            <w:tcW w:w="0" w:type="dxa"/>
            <w:vAlign w:val="bottom"/>
          </w:tcPr>
          <w:p>
            <w:pPr>
              <w:spacing w:after="0"/>
              <w:rPr>
                <w:sz w:val="1"/>
                <w:szCs w:val="1"/>
                <w:color w:val="auto"/>
              </w:rPr>
            </w:pPr>
          </w:p>
        </w:tc>
      </w:tr>
    </w:tbl>
    <w:p>
      <w:pPr>
        <w:spacing w:after="0" w:line="202"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120"/>
          </w:cols>
          <w:pgMar w:left="320" w:top="486" w:right="45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552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left="440" w:right="2560"/>
        <w:spacing w:after="0" w:line="275" w:lineRule="auto"/>
        <w:rPr>
          <w:sz w:val="20"/>
          <w:szCs w:val="20"/>
          <w:color w:val="auto"/>
        </w:rPr>
      </w:pPr>
      <w:r>
        <w:rPr>
          <w:rFonts w:ascii="Arial" w:cs="Arial" w:eastAsia="Arial" w:hAnsi="Arial"/>
          <w:sz w:val="18"/>
          <w:szCs w:val="18"/>
          <w:b w:val="1"/>
          <w:bCs w:val="1"/>
          <w:color w:val="auto"/>
        </w:rPr>
        <w:t>MADRIGAL PHARMACEUTICALS, INC. NOTES TO CONDENSED CONSOLIDATED FINANCIAL STATEMENTS (Unaudited)</w:t>
      </w:r>
    </w:p>
    <w:p>
      <w:pPr>
        <w:spacing w:after="0" w:line="390" w:lineRule="exact"/>
        <w:rPr>
          <w:sz w:val="20"/>
          <w:szCs w:val="20"/>
          <w:color w:val="auto"/>
        </w:rPr>
      </w:pPr>
    </w:p>
    <w:p>
      <w:pPr>
        <w:ind w:left="120" w:right="7020" w:hanging="4"/>
        <w:spacing w:after="0" w:line="378" w:lineRule="auto"/>
        <w:tabs>
          <w:tab w:leader="none" w:pos="3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 Business, and Basis of Presentation Organization and Business</w:t>
      </w:r>
    </w:p>
    <w:p>
      <w:pPr>
        <w:ind w:left="120" w:right="100"/>
        <w:spacing w:after="0" w:line="255" w:lineRule="auto"/>
        <w:rPr>
          <w:sz w:val="20"/>
          <w:szCs w:val="20"/>
          <w:color w:val="auto"/>
        </w:rPr>
      </w:pPr>
      <w:r>
        <w:rPr>
          <w:rFonts w:ascii="Arial" w:cs="Arial" w:eastAsia="Arial" w:hAnsi="Arial"/>
          <w:sz w:val="18"/>
          <w:szCs w:val="18"/>
          <w:color w:val="auto"/>
        </w:rPr>
        <w:t>Madrigal Pharmaceuticals, Inc. (the “Company” or “Madrigal”) is a clinical-stage pharmaceutical company developing novel, high-quality, small-molecule drugs addressing major unmet needs in cardiovascular, metabolic, and liver diseases. The Company’s lead compound, MGL-3196 (resmetirom), is being advanced for non-alcoholic steatohepatitis (“NASH”), a liver disease that commonly affects people with metabolic diseases such as obesity and diabetes, and non-alcoholic fatty liver disease (“NAFLD”). The Company initiated two Phase 3 studies of resmetirom in NASH in 2019 that are ongoing. The Company previously completed Phase 2 studies of resmetirom in NASH in May of 2018 and Heterozygous Familial Hypercholesterolemia (“HeFH”) in February of 2018.</w:t>
      </w:r>
    </w:p>
    <w:p>
      <w:pPr>
        <w:spacing w:after="0" w:line="29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Basis of Presentation</w:t>
      </w:r>
    </w:p>
    <w:p>
      <w:pPr>
        <w:spacing w:after="0" w:line="121" w:lineRule="exact"/>
        <w:rPr>
          <w:sz w:val="20"/>
          <w:szCs w:val="20"/>
          <w:color w:val="auto"/>
        </w:rPr>
      </w:pPr>
    </w:p>
    <w:p>
      <w:pPr>
        <w:ind w:left="120"/>
        <w:spacing w:after="0" w:line="271" w:lineRule="auto"/>
        <w:rPr>
          <w:sz w:val="20"/>
          <w:szCs w:val="20"/>
          <w:color w:val="auto"/>
        </w:rPr>
      </w:pPr>
      <w:r>
        <w:rPr>
          <w:rFonts w:ascii="Arial" w:cs="Arial" w:eastAsia="Arial" w:hAnsi="Arial"/>
          <w:sz w:val="17"/>
          <w:szCs w:val="17"/>
          <w:color w:val="auto"/>
        </w:rPr>
        <w:t>Certain information and footnote disclosures normally included in financial statements prepared in accordance with accounting principles generally accepted in the United States (“GAAP”) have been condensed or omitted. Accordingly, the unaudited condensed consolidated financial statements do not include all information and footnotes required by GAAP for complete annual financial statements. However, we believe that the disclosures included in these financial statements are adequate to make the information presented not misleading. The unaudited condensed consolidated financial statements, in the opinion of management, reflect all adjustments, which include normal recurring adjustments, necessary for a fair statement of such interim results. The interim results are not necessarily indicative of the results that we will have for the full year ending December 31, 2021 or any subsequent period. These unaudited condensed consolidated financial statements should be read in conjunction with the audited consolidated financial statements and the notes to those statements for the year ended December 31, 2020.</w:t>
      </w:r>
    </w:p>
    <w:p>
      <w:pPr>
        <w:spacing w:after="0" w:line="282" w:lineRule="exact"/>
        <w:rPr>
          <w:sz w:val="20"/>
          <w:szCs w:val="20"/>
          <w:color w:val="auto"/>
        </w:rPr>
      </w:pPr>
    </w:p>
    <w:p>
      <w:pPr>
        <w:ind w:left="120" w:right="7440" w:hanging="4"/>
        <w:spacing w:after="0" w:line="377" w:lineRule="auto"/>
        <w:tabs>
          <w:tab w:leader="none" w:pos="30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Principle of Consolidation</w:t>
      </w:r>
    </w:p>
    <w:p>
      <w:pPr>
        <w:spacing w:after="0" w:line="2" w:lineRule="exact"/>
        <w:rPr>
          <w:sz w:val="20"/>
          <w:szCs w:val="20"/>
          <w:color w:val="auto"/>
        </w:rPr>
      </w:pPr>
    </w:p>
    <w:p>
      <w:pPr>
        <w:ind w:left="120" w:right="120"/>
        <w:spacing w:after="0" w:line="277" w:lineRule="auto"/>
        <w:rPr>
          <w:sz w:val="20"/>
          <w:szCs w:val="20"/>
          <w:color w:val="auto"/>
        </w:rPr>
      </w:pPr>
      <w:r>
        <w:rPr>
          <w:rFonts w:ascii="Arial" w:cs="Arial" w:eastAsia="Arial" w:hAnsi="Arial"/>
          <w:sz w:val="18"/>
          <w:szCs w:val="18"/>
          <w:color w:val="auto"/>
        </w:rPr>
        <w:t>The consolidated financial statements include the financial statements of the Company and its wholly owned subsidiaries. All significant intercompany balances have been eliminated in consolidation.</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Use of Estimates</w:t>
      </w:r>
    </w:p>
    <w:p>
      <w:pPr>
        <w:spacing w:after="0" w:line="121" w:lineRule="exact"/>
        <w:rPr>
          <w:sz w:val="20"/>
          <w:szCs w:val="20"/>
          <w:color w:val="auto"/>
        </w:rPr>
      </w:pPr>
    </w:p>
    <w:p>
      <w:pPr>
        <w:ind w:left="120" w:right="140"/>
        <w:spacing w:after="0" w:line="279" w:lineRule="auto"/>
        <w:rPr>
          <w:sz w:val="20"/>
          <w:szCs w:val="20"/>
          <w:color w:val="auto"/>
        </w:rPr>
      </w:pPr>
      <w:r>
        <w:rPr>
          <w:rFonts w:ascii="Arial" w:cs="Arial" w:eastAsia="Arial" w:hAnsi="Arial"/>
          <w:sz w:val="17"/>
          <w:szCs w:val="17"/>
          <w:color w:val="auto"/>
        </w:rPr>
        <w:t>The preparation of financial statements in conformity with GAAP requires management to make estimates and assumptions that affect certain reported amounts of assets and liabilities, and the reported amounts of revenues and expenses during the reporting periods. The Company bases its estimates on historical experience and various other assumptions that management believes to be reasonable under the circumstances. Changes in estimates are recorded in the period in which they become known. Actual results could differ from those estimates.</w:t>
      </w:r>
    </w:p>
    <w:p>
      <w:pPr>
        <w:spacing w:after="0" w:line="27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Cash and Cash Equivalents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6"/>
          <w:szCs w:val="16"/>
          <w:color w:val="auto"/>
        </w:rPr>
        <w:t>The Company considers all highly liquid investments with original maturities of three months or less at the date of purchase to be cash equivalents. The</w:t>
      </w:r>
    </w:p>
    <w:p>
      <w:pPr>
        <w:spacing w:after="0" w:line="248" w:lineRule="exact"/>
        <w:rPr>
          <w:sz w:val="20"/>
          <w:szCs w:val="20"/>
          <w:color w:val="auto"/>
        </w:rPr>
      </w:pPr>
    </w:p>
    <w:p>
      <w:pPr>
        <w:ind w:left="120"/>
        <w:spacing w:after="0"/>
        <w:rPr>
          <w:sz w:val="20"/>
          <w:szCs w:val="20"/>
          <w:color w:val="auto"/>
        </w:rPr>
      </w:pPr>
      <w:r>
        <w:rPr>
          <w:rFonts w:ascii="Arial" w:cs="Arial" w:eastAsia="Arial" w:hAnsi="Arial"/>
          <w:sz w:val="17"/>
          <w:szCs w:val="17"/>
          <w:color w:val="auto"/>
        </w:rPr>
        <w:t>Company maintains its cash in bank accounts, the balance of which, at times, exceeds Federal Deposit Insurance Corporation insured limits.</w:t>
      </w:r>
    </w:p>
    <w:p>
      <w:pPr>
        <w:spacing w:after="0" w:line="237" w:lineRule="exact"/>
        <w:rPr>
          <w:sz w:val="20"/>
          <w:szCs w:val="20"/>
          <w:color w:val="auto"/>
        </w:rPr>
      </w:pPr>
    </w:p>
    <w:p>
      <w:pPr>
        <w:ind w:left="120" w:right="120"/>
        <w:spacing w:after="0" w:line="259" w:lineRule="auto"/>
        <w:rPr>
          <w:sz w:val="20"/>
          <w:szCs w:val="20"/>
          <w:color w:val="auto"/>
        </w:rPr>
      </w:pPr>
      <w:r>
        <w:rPr>
          <w:rFonts w:ascii="Arial" w:cs="Arial" w:eastAsia="Arial" w:hAnsi="Arial"/>
          <w:sz w:val="18"/>
          <w:szCs w:val="18"/>
          <w:color w:val="auto"/>
        </w:rPr>
        <w:t>The primary objective of the Company’s investment activities is to preserve its capital for the purpose of funding operations and the Company does not enter into investments for trading or speculative purposes. The Company’s cash is deposited in highly rated financial institutions in the United States. The Company invests in money market funds and high-grade, commercial paper and corporate bonds, which management believes are subject to minimal credit and market risk.</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Marketable Securities</w:t>
      </w:r>
    </w:p>
    <w:p>
      <w:pPr>
        <w:spacing w:after="0" w:line="121" w:lineRule="exact"/>
        <w:rPr>
          <w:sz w:val="20"/>
          <w:szCs w:val="20"/>
          <w:color w:val="auto"/>
        </w:rPr>
      </w:pPr>
    </w:p>
    <w:p>
      <w:pPr>
        <w:ind w:left="120" w:right="120"/>
        <w:spacing w:after="0" w:line="263" w:lineRule="auto"/>
        <w:rPr>
          <w:sz w:val="20"/>
          <w:szCs w:val="20"/>
          <w:color w:val="auto"/>
        </w:rPr>
      </w:pPr>
      <w:r>
        <w:rPr>
          <w:rFonts w:ascii="Arial" w:cs="Arial" w:eastAsia="Arial" w:hAnsi="Arial"/>
          <w:sz w:val="18"/>
          <w:szCs w:val="18"/>
          <w:color w:val="auto"/>
        </w:rPr>
        <w:t>Marketable securities consist of investments in high-grade corporate obligations and government and government agency obligations that are classified as available-for-sale. Since these securities are available to fund current operations, they are classified as current assets on the consolidated balance sheets.</w:t>
      </w:r>
    </w:p>
    <w:p>
      <w:pPr>
        <w:spacing w:after="0" w:line="184" w:lineRule="exact"/>
        <w:rPr>
          <w:sz w:val="20"/>
          <w:szCs w:val="20"/>
          <w:color w:val="auto"/>
        </w:rPr>
      </w:pPr>
    </w:p>
    <w:p>
      <w:pPr>
        <w:ind w:left="120" w:right="160"/>
        <w:spacing w:after="0" w:line="254" w:lineRule="auto"/>
        <w:rPr>
          <w:sz w:val="20"/>
          <w:szCs w:val="20"/>
          <w:color w:val="auto"/>
        </w:rPr>
      </w:pPr>
      <w:r>
        <w:rPr>
          <w:rFonts w:ascii="Arial" w:cs="Arial" w:eastAsia="Arial" w:hAnsi="Arial"/>
          <w:sz w:val="18"/>
          <w:szCs w:val="18"/>
          <w:color w:val="auto"/>
        </w:rPr>
        <w:t>The Company adjusts the cost of available-for-sale debt securities for amortization of premiums and accretion of discounts to maturity. The Company includes such amortization and accretion as a component of interest income. Realized gains and losses and declines in value, if any, that the Company judges to be other-than-temporary on available-for-sale securities are reported as a component of interest income. To determine whether an other-than-temporary impairment exists, the Company considers whether it intends to sell the debt security and, if the Company does not intend to sell the debt security, it considers available evidence to assess whether it is more likely than not that it will be required to sell the security before the recovery of its amortized cost basis. During the nine months ended September 30, 2021 and 2020, the Company determined it did not have any securities that were other-than- temporarily impaired.</w:t>
      </w:r>
    </w:p>
    <w:p>
      <w:pPr>
        <w:sectPr>
          <w:pgSz w:w="11900" w:h="16838" w:orient="portrait"/>
          <w:cols w:equalWidth="0" w:num="1">
            <w:col w:w="11120"/>
          </w:cols>
          <w:pgMar w:left="320" w:top="486" w:right="459" w:bottom="1440" w:gutter="0" w:footer="0" w:header="0"/>
        </w:sectPr>
      </w:pPr>
    </w:p>
    <w:p>
      <w:pPr>
        <w:spacing w:after="0" w:line="127" w:lineRule="exact"/>
        <w:rPr>
          <w:sz w:val="20"/>
          <w:szCs w:val="20"/>
          <w:color w:val="auto"/>
        </w:rPr>
      </w:pPr>
    </w:p>
    <w:p>
      <w:pPr>
        <w:jc w:val="center"/>
        <w:ind w:right="-119"/>
        <w:spacing w:after="0"/>
        <w:rPr>
          <w:sz w:val="20"/>
          <w:szCs w:val="20"/>
          <w:color w:val="auto"/>
        </w:rPr>
      </w:pPr>
      <w:r>
        <w:rPr>
          <w:rFonts w:ascii="Arial" w:cs="Arial" w:eastAsia="Arial" w:hAnsi="Arial"/>
          <w:sz w:val="13"/>
          <w:szCs w:val="13"/>
          <w:color w:val="auto"/>
        </w:rPr>
        <w:t>8</w:t>
      </w:r>
    </w:p>
    <w:p>
      <w:pPr>
        <w:sectPr>
          <w:pgSz w:w="11900" w:h="16838" w:orient="portrait"/>
          <w:cols w:equalWidth="0" w:num="1">
            <w:col w:w="11120"/>
          </w:cols>
          <w:pgMar w:left="320" w:top="486" w:right="459" w:bottom="1440" w:gutter="0" w:footer="0" w:header="0"/>
          <w:type w:val="continuous"/>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552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120"/>
        <w:spacing w:after="0" w:line="301" w:lineRule="auto"/>
        <w:rPr>
          <w:sz w:val="20"/>
          <w:szCs w:val="20"/>
          <w:color w:val="auto"/>
        </w:rPr>
      </w:pPr>
      <w:r>
        <w:rPr>
          <w:rFonts w:ascii="Arial" w:cs="Arial" w:eastAsia="Arial" w:hAnsi="Arial"/>
          <w:sz w:val="16"/>
          <w:szCs w:val="16"/>
          <w:color w:val="auto"/>
        </w:rPr>
        <w:t>Marketable securities are stated at fair value, including accrued interest, with their unrealized gains and losses included as a component of accumulated other comprehensive income or loss, which is a separate component of stockholders’ equity. The fair value of these securities is based on quoted prices and observable inputs on a recurring basis. Realized gains and losses are determined on the specific identification method. During the nine months ended September 30, 2021 and 2020, the Company did not have any realized gains or losses on marketable securities.</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Fair Value of Financial Instruments</w:t>
      </w:r>
    </w:p>
    <w:p>
      <w:pPr>
        <w:spacing w:after="0" w:line="121" w:lineRule="exact"/>
        <w:rPr>
          <w:sz w:val="20"/>
          <w:szCs w:val="20"/>
          <w:color w:val="auto"/>
        </w:rPr>
      </w:pPr>
    </w:p>
    <w:p>
      <w:pPr>
        <w:jc w:val="both"/>
        <w:ind w:left="120" w:right="120"/>
        <w:spacing w:after="0" w:line="311" w:lineRule="auto"/>
        <w:rPr>
          <w:sz w:val="20"/>
          <w:szCs w:val="20"/>
          <w:color w:val="auto"/>
        </w:rPr>
      </w:pPr>
      <w:r>
        <w:rPr>
          <w:rFonts w:ascii="Arial" w:cs="Arial" w:eastAsia="Arial" w:hAnsi="Arial"/>
          <w:sz w:val="16"/>
          <w:szCs w:val="16"/>
          <w:color w:val="auto"/>
        </w:rPr>
        <w:t>The carrying amounts of the Company’s financial instruments, which include cash equivalents and marketable securities, approximate their fair values. The fair value of the Company’s financial instruments reflects the amounts that would be received upon sale of an asset or paid to transfer a liability in an orderly transaction between market participants at the measurement date. The fair value hierarchy has the following three levels:</w:t>
      </w:r>
    </w:p>
    <w:p>
      <w:pPr>
        <w:spacing w:after="0" w:line="4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Level 1—quoted prices in active markets for identical assets and liabilities.</w:t>
      </w:r>
    </w:p>
    <w:p>
      <w:pPr>
        <w:spacing w:after="0" w:line="117" w:lineRule="exact"/>
        <w:rPr>
          <w:sz w:val="20"/>
          <w:szCs w:val="20"/>
          <w:color w:val="auto"/>
        </w:rPr>
      </w:pPr>
    </w:p>
    <w:p>
      <w:pPr>
        <w:ind w:left="560" w:right="340"/>
        <w:spacing w:after="0" w:line="277" w:lineRule="auto"/>
        <w:rPr>
          <w:sz w:val="20"/>
          <w:szCs w:val="20"/>
          <w:color w:val="auto"/>
        </w:rPr>
      </w:pPr>
      <w:r>
        <w:rPr>
          <w:rFonts w:ascii="Arial" w:cs="Arial" w:eastAsia="Arial" w:hAnsi="Arial"/>
          <w:sz w:val="18"/>
          <w:szCs w:val="18"/>
          <w:color w:val="auto"/>
        </w:rPr>
        <w:t>Level 2—observable inputs other than Level 1 inputs. Examples of Level 2 inputs include quoted prices in active markets for similar assets or liabilities and quoted prices for identical assets or liabilities in markets that are not active.</w:t>
      </w:r>
    </w:p>
    <w:p>
      <w:pPr>
        <w:spacing w:after="0" w:line="62" w:lineRule="exact"/>
        <w:rPr>
          <w:sz w:val="20"/>
          <w:szCs w:val="20"/>
          <w:color w:val="auto"/>
        </w:rPr>
      </w:pPr>
    </w:p>
    <w:p>
      <w:pPr>
        <w:ind w:left="560" w:right="300"/>
        <w:spacing w:after="0" w:line="277" w:lineRule="auto"/>
        <w:rPr>
          <w:sz w:val="20"/>
          <w:szCs w:val="20"/>
          <w:color w:val="auto"/>
        </w:rPr>
      </w:pPr>
      <w:r>
        <w:rPr>
          <w:rFonts w:ascii="Arial" w:cs="Arial" w:eastAsia="Arial" w:hAnsi="Arial"/>
          <w:sz w:val="18"/>
          <w:szCs w:val="18"/>
          <w:color w:val="auto"/>
        </w:rPr>
        <w:t>Level 3—unobservable inputs that reflect the Company’s own assumptions about the assumptions market participants would use in pricing the asset or liability.</w:t>
      </w:r>
    </w:p>
    <w:p>
      <w:pPr>
        <w:spacing w:after="0" w:line="170" w:lineRule="exact"/>
        <w:rPr>
          <w:sz w:val="20"/>
          <w:szCs w:val="20"/>
          <w:color w:val="auto"/>
        </w:rPr>
      </w:pPr>
    </w:p>
    <w:p>
      <w:pPr>
        <w:ind w:left="120"/>
        <w:spacing w:after="0" w:line="275" w:lineRule="auto"/>
        <w:rPr>
          <w:sz w:val="20"/>
          <w:szCs w:val="20"/>
          <w:color w:val="auto"/>
        </w:rPr>
      </w:pPr>
      <w:r>
        <w:rPr>
          <w:rFonts w:ascii="Arial" w:cs="Arial" w:eastAsia="Arial" w:hAnsi="Arial"/>
          <w:sz w:val="17"/>
          <w:szCs w:val="17"/>
          <w:color w:val="auto"/>
        </w:rPr>
        <w:t>Financial assets and liabilities are classified in their entirety within the fair value hierarchy based on the lowest level of input that is significant to the fair value measurement. The Company measures the fair value of its marketable securities by taking into consideration valuations obtained from third- party pricing sources. The pricing services utilize industry standard valuation models, including both income and market based approaches, for which all significant inputs are observable, either directly or indirectly, to estimate fair value. These inputs include reported trades of and broker-dealer quotes on the same or similar securities, issuer credit spreads, benchmark securities and other observable inputs.</w:t>
      </w:r>
    </w:p>
    <w:p>
      <w:pPr>
        <w:spacing w:after="0" w:line="176" w:lineRule="exact"/>
        <w:rPr>
          <w:sz w:val="20"/>
          <w:szCs w:val="20"/>
          <w:color w:val="auto"/>
        </w:rPr>
      </w:pPr>
    </w:p>
    <w:p>
      <w:pPr>
        <w:ind w:left="120" w:right="160"/>
        <w:spacing w:after="0" w:line="275" w:lineRule="auto"/>
        <w:rPr>
          <w:sz w:val="20"/>
          <w:szCs w:val="20"/>
          <w:color w:val="auto"/>
        </w:rPr>
      </w:pPr>
      <w:r>
        <w:rPr>
          <w:rFonts w:ascii="Arial" w:cs="Arial" w:eastAsia="Arial" w:hAnsi="Arial"/>
          <w:sz w:val="17"/>
          <w:szCs w:val="17"/>
          <w:color w:val="auto"/>
        </w:rPr>
        <w:t>As of September 30, 2021, the Company’s financial assets valued based on Level 1 inputs consisted of cash and cash equivalents in a money market fund, its financial assets valued based on Level 2 inputs consisted of high-grade corporate and government agency bonds and commercial paper, and it had no financial assets valued based on Level 3 inputs. During the nine months ended September 30, 2021 and 2020, the Company did not have any transfers of financial assets between Levels 1 and 2. As of September 30, 2021 and December 31, 2020, the Company did not have any financial liabilities that were recorded at fair value on a recurring basis on the balance sheet.</w:t>
      </w:r>
    </w:p>
    <w:p>
      <w:pPr>
        <w:spacing w:after="0" w:line="28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Research and Development Costs</w:t>
      </w:r>
    </w:p>
    <w:p>
      <w:pPr>
        <w:spacing w:after="0" w:line="121" w:lineRule="exact"/>
        <w:rPr>
          <w:sz w:val="20"/>
          <w:szCs w:val="20"/>
          <w:color w:val="auto"/>
        </w:rPr>
      </w:pPr>
    </w:p>
    <w:p>
      <w:pPr>
        <w:ind w:left="120" w:right="40"/>
        <w:spacing w:after="0" w:line="271" w:lineRule="auto"/>
        <w:rPr>
          <w:sz w:val="20"/>
          <w:szCs w:val="20"/>
          <w:color w:val="auto"/>
        </w:rPr>
      </w:pPr>
      <w:r>
        <w:rPr>
          <w:rFonts w:ascii="Arial" w:cs="Arial" w:eastAsia="Arial" w:hAnsi="Arial"/>
          <w:sz w:val="17"/>
          <w:szCs w:val="17"/>
          <w:color w:val="auto"/>
        </w:rPr>
        <w:t>Research and development costs are expensed as incurred. Research and development costs are comprised of costs incurred in performing research and development activities, including internal costs (including stock-based compensation), costs for consultants, milestone payments under licensing agreements, and other costs associated with the Company’s preclinical and clinical programs. In particular, the Company has conducted safety studies in animals, optimized and implemented the manufacturing of our drug, and conducted Phase 1-3 clinical trials, all of which are considered research and development expenditures. Management uses significant judgment in estimating the amount of research and development costs recognized in each reporting period. Management analyzes and estimates the progress of its preclinical studies and clinical trials, completion of milestone events per underlying agreements, invoices received and contracted costs when estimating the research and development costs to accrue in each reporting period. Actual results could differ from the Company’s estimates.</w:t>
      </w:r>
    </w:p>
    <w:p>
      <w:pPr>
        <w:spacing w:after="0" w:line="28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Patents</w:t>
      </w:r>
    </w:p>
    <w:p>
      <w:pPr>
        <w:spacing w:after="0" w:line="121" w:lineRule="exact"/>
        <w:rPr>
          <w:sz w:val="20"/>
          <w:szCs w:val="20"/>
          <w:color w:val="auto"/>
        </w:rPr>
      </w:pPr>
    </w:p>
    <w:p>
      <w:pPr>
        <w:ind w:left="120" w:right="360"/>
        <w:spacing w:after="0" w:line="277" w:lineRule="auto"/>
        <w:rPr>
          <w:sz w:val="20"/>
          <w:szCs w:val="20"/>
          <w:color w:val="auto"/>
        </w:rPr>
      </w:pPr>
      <w:r>
        <w:rPr>
          <w:rFonts w:ascii="Arial" w:cs="Arial" w:eastAsia="Arial" w:hAnsi="Arial"/>
          <w:sz w:val="18"/>
          <w:szCs w:val="18"/>
          <w:color w:val="auto"/>
        </w:rPr>
        <w:t>Costs to secure and defend patents are expensed as incurred and are classified as general and administrative expense in the Company’s consolidated statements of operations.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Stock-Based Compensation</w:t>
      </w:r>
    </w:p>
    <w:p>
      <w:pPr>
        <w:spacing w:after="0" w:line="108" w:lineRule="exact"/>
        <w:rPr>
          <w:sz w:val="20"/>
          <w:szCs w:val="20"/>
          <w:color w:val="auto"/>
        </w:rPr>
      </w:pPr>
    </w:p>
    <w:p>
      <w:pPr>
        <w:ind w:left="120" w:right="20"/>
        <w:spacing w:after="0" w:line="271" w:lineRule="auto"/>
        <w:rPr>
          <w:sz w:val="20"/>
          <w:szCs w:val="20"/>
          <w:color w:val="auto"/>
        </w:rPr>
      </w:pPr>
      <w:r>
        <w:rPr>
          <w:rFonts w:ascii="Arial" w:cs="Arial" w:eastAsia="Arial" w:hAnsi="Arial"/>
          <w:sz w:val="17"/>
          <w:szCs w:val="17"/>
          <w:color w:val="auto"/>
        </w:rPr>
        <w:t>The Company recognizes stock-based compensation expense based on the grant date fair value of stock options granted to employees, officers, and directors. The Company uses the Black-Scholes option pricing model to determine the grant date fair value as management believes it is the most appropriate valuation method for its option grants. The Black-Scholes model requires inputs for risk-free interest rate, dividend yield, volatility and expected lives of the options. The expected lives for options granted represent the period of time that options granted are expected to be outstanding. The Company uses the simplified method for determining the expected lives of options. Expected volatility is based upon an industry estimate or blended rate including the Company’s historical trading activity. The risk-free rate for periods within the expected life of the option is based on the U.S. Treasury yield curve in effect at the time of the grant. The Company estimates the forfeiture rate based on historical data. This analysis is re-evaluated at least annually and the forfeiture rate is adjusted as necessary.</w:t>
      </w:r>
    </w:p>
    <w:p>
      <w:pPr>
        <w:spacing w:after="0" w:line="165" w:lineRule="exact"/>
        <w:rPr>
          <w:sz w:val="20"/>
          <w:szCs w:val="20"/>
          <w:color w:val="auto"/>
        </w:rPr>
      </w:pPr>
    </w:p>
    <w:p>
      <w:pPr>
        <w:ind w:left="120" w:right="60"/>
        <w:spacing w:after="0" w:line="301" w:lineRule="auto"/>
        <w:rPr>
          <w:sz w:val="20"/>
          <w:szCs w:val="20"/>
          <w:color w:val="auto"/>
        </w:rPr>
      </w:pPr>
      <w:r>
        <w:rPr>
          <w:rFonts w:ascii="Arial" w:cs="Arial" w:eastAsia="Arial" w:hAnsi="Arial"/>
          <w:sz w:val="16"/>
          <w:szCs w:val="16"/>
          <w:color w:val="auto"/>
        </w:rPr>
        <w:t>Certain of the employee stock options granted by the Company are structured to qualify as incentive stock options (“ISOs”). Under current tax regulations, the Company does not receive a tax deduction for the issuance, exercise or disposition of ISOs if the employee meets certain holding requirements. If the employee does not meet the holding requirements, a disqualifying disposition occurs, at which time the Company may receive a tax deduction. The Company does not record tax benefits related to ISOs unless and until a disqualifying disposition is reported. In the event of a</w:t>
      </w:r>
    </w:p>
    <w:p>
      <w:pPr>
        <w:sectPr>
          <w:pgSz w:w="11900" w:h="16838" w:orient="portrait"/>
          <w:cols w:equalWidth="0" w:num="1">
            <w:col w:w="11120"/>
          </w:cols>
          <w:pgMar w:left="320" w:top="486" w:right="459" w:bottom="1440" w:gutter="0" w:footer="0" w:header="0"/>
        </w:sectPr>
      </w:pPr>
    </w:p>
    <w:p>
      <w:pPr>
        <w:spacing w:after="0" w:line="90" w:lineRule="exact"/>
        <w:rPr>
          <w:sz w:val="20"/>
          <w:szCs w:val="20"/>
          <w:color w:val="auto"/>
        </w:rPr>
      </w:pPr>
    </w:p>
    <w:p>
      <w:pPr>
        <w:jc w:val="center"/>
        <w:ind w:right="-119"/>
        <w:spacing w:after="0"/>
        <w:rPr>
          <w:sz w:val="20"/>
          <w:szCs w:val="20"/>
          <w:color w:val="auto"/>
        </w:rPr>
      </w:pPr>
      <w:r>
        <w:rPr>
          <w:rFonts w:ascii="Arial" w:cs="Arial" w:eastAsia="Arial" w:hAnsi="Arial"/>
          <w:sz w:val="13"/>
          <w:szCs w:val="13"/>
          <w:color w:val="auto"/>
        </w:rPr>
        <w:t>9</w:t>
      </w:r>
    </w:p>
    <w:p>
      <w:pPr>
        <w:sectPr>
          <w:pgSz w:w="11900" w:h="16838" w:orient="portrait"/>
          <w:cols w:equalWidth="0" w:num="1">
            <w:col w:w="11120"/>
          </w:cols>
          <w:pgMar w:left="320" w:top="486" w:right="459" w:bottom="1440" w:gutter="0" w:footer="0" w:header="0"/>
          <w:type w:val="continuous"/>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400"/>
        <w:spacing w:after="0" w:line="263" w:lineRule="auto"/>
        <w:rPr>
          <w:sz w:val="20"/>
          <w:szCs w:val="20"/>
          <w:color w:val="auto"/>
        </w:rPr>
      </w:pPr>
      <w:r>
        <w:rPr>
          <w:rFonts w:ascii="Arial" w:cs="Arial" w:eastAsia="Arial" w:hAnsi="Arial"/>
          <w:sz w:val="18"/>
          <w:szCs w:val="18"/>
          <w:color w:val="auto"/>
        </w:rPr>
        <w:t>disqualifying disposition, the entire tax benefit is recorded as a reduction of income tax expense. The Company has not recognized any income tax benefit for its share-based compensation arrangements due to the fact that the Company does not believe it is more likely than not it will realize the related deferred tax assets.</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Income Taxes</w:t>
      </w:r>
    </w:p>
    <w:p>
      <w:pPr>
        <w:spacing w:after="0" w:line="121" w:lineRule="exact"/>
        <w:rPr>
          <w:sz w:val="20"/>
          <w:szCs w:val="20"/>
          <w:color w:val="auto"/>
        </w:rPr>
      </w:pPr>
    </w:p>
    <w:p>
      <w:pPr>
        <w:ind w:left="120" w:right="60"/>
        <w:spacing w:after="0" w:line="259" w:lineRule="auto"/>
        <w:rPr>
          <w:sz w:val="20"/>
          <w:szCs w:val="20"/>
          <w:color w:val="auto"/>
        </w:rPr>
      </w:pPr>
      <w:r>
        <w:rPr>
          <w:rFonts w:ascii="Arial" w:cs="Arial" w:eastAsia="Arial" w:hAnsi="Arial"/>
          <w:sz w:val="18"/>
          <w:szCs w:val="18"/>
          <w:color w:val="auto"/>
        </w:rPr>
        <w:t>The Company uses the asset and liability method to account for income taxes. Deferred tax assets and liabilities are determined based on the expected future tax consequences of temporary differences between the Company’s financial statement carrying amounts and the tax basis of assets and liabilities using enacted tax rates expected to be in effect in the years in which the differences are expected to reverse. The Company currently maintains a 100% valuation allowance on its deferred tax assets.</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Comprehensive Loss</w:t>
      </w:r>
    </w:p>
    <w:p>
      <w:pPr>
        <w:spacing w:after="0" w:line="121" w:lineRule="exact"/>
        <w:rPr>
          <w:sz w:val="20"/>
          <w:szCs w:val="20"/>
          <w:color w:val="auto"/>
        </w:rPr>
      </w:pPr>
    </w:p>
    <w:p>
      <w:pPr>
        <w:ind w:left="120" w:right="80"/>
        <w:spacing w:after="0" w:line="263" w:lineRule="auto"/>
        <w:rPr>
          <w:sz w:val="20"/>
          <w:szCs w:val="20"/>
          <w:color w:val="auto"/>
        </w:rPr>
      </w:pPr>
      <w:r>
        <w:rPr>
          <w:rFonts w:ascii="Arial" w:cs="Arial" w:eastAsia="Arial" w:hAnsi="Arial"/>
          <w:sz w:val="18"/>
          <w:szCs w:val="18"/>
          <w:color w:val="auto"/>
        </w:rPr>
        <w:t>Comprehensive loss is defined as the change in equity of a business enterprise during a period from transactions and other events and circumstances from non-owner sources. Changes in unrealized gains and losses on marketable securities represent the only difference between the Company’s net loss and comprehensive loss.</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Basic and Diluted Loss Per Common Share</w:t>
      </w:r>
    </w:p>
    <w:p>
      <w:pPr>
        <w:spacing w:after="0" w:line="121" w:lineRule="exact"/>
        <w:rPr>
          <w:sz w:val="20"/>
          <w:szCs w:val="20"/>
          <w:color w:val="auto"/>
        </w:rPr>
      </w:pPr>
    </w:p>
    <w:p>
      <w:pPr>
        <w:ind w:left="120" w:right="20"/>
        <w:spacing w:after="0" w:line="255" w:lineRule="auto"/>
        <w:rPr>
          <w:sz w:val="20"/>
          <w:szCs w:val="20"/>
          <w:color w:val="auto"/>
        </w:rPr>
      </w:pPr>
      <w:r>
        <w:rPr>
          <w:rFonts w:ascii="Arial" w:cs="Arial" w:eastAsia="Arial" w:hAnsi="Arial"/>
          <w:sz w:val="18"/>
          <w:szCs w:val="18"/>
          <w:color w:val="auto"/>
        </w:rPr>
        <w:t>Basic net loss per share is computed using the weighted average number of common shares outstanding during the period, excluding any restricted stock that has been issued but is not yet vested. Diluted net loss per common share is computed using the weighted average number of common shares outstanding and the weighted average dilutive potential common shares outstanding using the treasury stock method. However, for the nine months ended September 30, 2021 and 2020, diluted net loss per share is the same as basic net loss per share because the inclusion of weighted average shares of unvested restricted common stock, common stock issuable upon the exercise of stock options, and common stock issuable upon the conversion of preferred stock would be anti-dilutive.</w:t>
      </w:r>
    </w:p>
    <w:p>
      <w:pPr>
        <w:spacing w:after="0" w:line="192" w:lineRule="exact"/>
        <w:rPr>
          <w:sz w:val="20"/>
          <w:szCs w:val="20"/>
          <w:color w:val="auto"/>
        </w:rPr>
      </w:pPr>
    </w:p>
    <w:p>
      <w:pPr>
        <w:ind w:left="120"/>
        <w:spacing w:after="0" w:line="277" w:lineRule="auto"/>
        <w:rPr>
          <w:sz w:val="20"/>
          <w:szCs w:val="20"/>
          <w:color w:val="auto"/>
        </w:rPr>
      </w:pPr>
      <w:r>
        <w:rPr>
          <w:rFonts w:ascii="Arial" w:cs="Arial" w:eastAsia="Arial" w:hAnsi="Arial"/>
          <w:sz w:val="18"/>
          <w:szCs w:val="18"/>
          <w:color w:val="auto"/>
        </w:rPr>
        <w:t>The following table summarizes outstanding securities not included in the computation of diluted net loss per common share, as their inclusion would be anti-dilutive:</w:t>
      </w:r>
    </w:p>
    <w:p>
      <w:pPr>
        <w:spacing w:after="0" w:line="202" w:lineRule="exact"/>
        <w:rPr>
          <w:sz w:val="20"/>
          <w:szCs w:val="20"/>
          <w:color w:val="auto"/>
        </w:rPr>
      </w:pPr>
    </w:p>
    <w:tbl>
      <w:tblPr>
        <w:tblLayout w:type="fixed"/>
        <w:tblInd w:w="1440" w:type="dxa"/>
        <w:tblCellMar>
          <w:top w:w="0" w:type="dxa"/>
          <w:left w:w="0" w:type="dxa"/>
          <w:bottom w:w="0" w:type="dxa"/>
          <w:right w:w="0" w:type="dxa"/>
        </w:tblCellMar>
      </w:tblPr>
      <w:tr>
        <w:trPr>
          <w:trHeight w:val="171"/>
        </w:trPr>
        <w:tc>
          <w:tcPr>
            <w:tcW w:w="6100" w:type="dxa"/>
            <w:vAlign w:val="bottom"/>
          </w:tcPr>
          <w:p>
            <w:pPr>
              <w:spacing w:after="0"/>
              <w:rPr>
                <w:sz w:val="14"/>
                <w:szCs w:val="14"/>
                <w:color w:val="auto"/>
              </w:rPr>
            </w:pPr>
          </w:p>
        </w:tc>
        <w:tc>
          <w:tcPr>
            <w:tcW w:w="2260" w:type="dxa"/>
            <w:vAlign w:val="bottom"/>
            <w:gridSpan w:val="4"/>
          </w:tcPr>
          <w:p>
            <w:pPr>
              <w:jc w:val="right"/>
              <w:ind w:right="80"/>
              <w:spacing w:after="0"/>
              <w:rPr>
                <w:sz w:val="20"/>
                <w:szCs w:val="20"/>
                <w:color w:val="auto"/>
              </w:rPr>
            </w:pPr>
            <w:r>
              <w:rPr>
                <w:rFonts w:ascii="Arial" w:cs="Arial" w:eastAsia="Arial" w:hAnsi="Arial"/>
                <w:sz w:val="14"/>
                <w:szCs w:val="14"/>
                <w:b w:val="1"/>
                <w:bCs w:val="1"/>
                <w:color w:val="auto"/>
                <w:w w:val="93"/>
              </w:rPr>
              <w:t>Nine Months Ended September 30,</w:t>
            </w:r>
          </w:p>
        </w:tc>
      </w:tr>
      <w:tr>
        <w:trPr>
          <w:trHeight w:val="155"/>
        </w:trPr>
        <w:tc>
          <w:tcPr>
            <w:tcW w:w="6100" w:type="dxa"/>
            <w:vAlign w:val="bottom"/>
            <w:tcBorders>
              <w:bottom w:val="single" w:sz="8" w:color="CCEEFF"/>
            </w:tcBorders>
          </w:tcPr>
          <w:p>
            <w:pPr>
              <w:spacing w:after="0"/>
              <w:rPr>
                <w:sz w:val="13"/>
                <w:szCs w:val="13"/>
                <w:color w:val="auto"/>
              </w:rPr>
            </w:pPr>
          </w:p>
        </w:tc>
        <w:tc>
          <w:tcPr>
            <w:tcW w:w="980" w:type="dxa"/>
            <w:vAlign w:val="bottom"/>
            <w:tcBorders>
              <w:top w:val="single" w:sz="8" w:color="auto"/>
              <w:bottom w:val="single" w:sz="8" w:color="auto"/>
            </w:tcBorders>
          </w:tcPr>
          <w:p>
            <w:pPr>
              <w:jc w:val="right"/>
              <w:ind w:right="259"/>
              <w:spacing w:after="0" w:line="155" w:lineRule="exact"/>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bottom w:val="single" w:sz="8" w:color="CCEEFF"/>
            </w:tcBorders>
          </w:tcPr>
          <w:p>
            <w:pPr>
              <w:spacing w:after="0"/>
              <w:rPr>
                <w:sz w:val="13"/>
                <w:szCs w:val="13"/>
                <w:color w:val="auto"/>
              </w:rPr>
            </w:pPr>
          </w:p>
        </w:tc>
        <w:tc>
          <w:tcPr>
            <w:tcW w:w="1000" w:type="dxa"/>
            <w:vAlign w:val="bottom"/>
            <w:tcBorders>
              <w:top w:val="single" w:sz="8" w:color="auto"/>
              <w:bottom w:val="single" w:sz="8" w:color="auto"/>
            </w:tcBorders>
          </w:tcPr>
          <w:p>
            <w:pPr>
              <w:jc w:val="right"/>
              <w:ind w:right="276"/>
              <w:spacing w:after="0" w:line="155" w:lineRule="exact"/>
              <w:rPr>
                <w:sz w:val="20"/>
                <w:szCs w:val="20"/>
                <w:color w:val="auto"/>
              </w:rPr>
            </w:pPr>
            <w:r>
              <w:rPr>
                <w:rFonts w:ascii="Arial" w:cs="Arial" w:eastAsia="Arial" w:hAnsi="Arial"/>
                <w:sz w:val="14"/>
                <w:szCs w:val="14"/>
                <w:b w:val="1"/>
                <w:bCs w:val="1"/>
                <w:color w:val="auto"/>
              </w:rPr>
              <w:t>2020</w:t>
            </w:r>
          </w:p>
        </w:tc>
        <w:tc>
          <w:tcPr>
            <w:tcW w:w="60" w:type="dxa"/>
            <w:vAlign w:val="bottom"/>
            <w:tcBorders>
              <w:bottom w:val="single" w:sz="8" w:color="CCEEFF"/>
            </w:tcBorders>
          </w:tcPr>
          <w:p>
            <w:pPr>
              <w:spacing w:after="0"/>
              <w:rPr>
                <w:sz w:val="13"/>
                <w:szCs w:val="13"/>
                <w:color w:val="auto"/>
              </w:rPr>
            </w:pPr>
          </w:p>
        </w:tc>
      </w:tr>
      <w:tr>
        <w:trPr>
          <w:trHeight w:val="209"/>
        </w:trPr>
        <w:tc>
          <w:tcPr>
            <w:tcW w:w="6100" w:type="dxa"/>
            <w:vAlign w:val="bottom"/>
            <w:shd w:val="clear" w:color="auto" w:fill="CCEEFF"/>
          </w:tcPr>
          <w:p>
            <w:pPr>
              <w:spacing w:after="0"/>
              <w:rPr>
                <w:sz w:val="20"/>
                <w:szCs w:val="20"/>
                <w:color w:val="auto"/>
              </w:rPr>
            </w:pPr>
            <w:r>
              <w:rPr>
                <w:rFonts w:ascii="Arial" w:cs="Arial" w:eastAsia="Arial" w:hAnsi="Arial"/>
                <w:sz w:val="18"/>
                <w:szCs w:val="18"/>
                <w:color w:val="auto"/>
              </w:rPr>
              <w:t>Common stock options</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2,254,629</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1,810,753</w:t>
            </w:r>
          </w:p>
        </w:tc>
        <w:tc>
          <w:tcPr>
            <w:tcW w:w="60" w:type="dxa"/>
            <w:vAlign w:val="bottom"/>
            <w:shd w:val="clear" w:color="auto" w:fill="CCEEFF"/>
          </w:tcPr>
          <w:p>
            <w:pPr>
              <w:spacing w:after="0"/>
              <w:rPr>
                <w:sz w:val="18"/>
                <w:szCs w:val="18"/>
                <w:color w:val="auto"/>
              </w:rPr>
            </w:pPr>
          </w:p>
        </w:tc>
      </w:tr>
      <w:tr>
        <w:trPr>
          <w:trHeight w:val="230"/>
        </w:trPr>
        <w:tc>
          <w:tcPr>
            <w:tcW w:w="6100" w:type="dxa"/>
            <w:vAlign w:val="bottom"/>
          </w:tcPr>
          <w:p>
            <w:pPr>
              <w:spacing w:after="0"/>
              <w:rPr>
                <w:sz w:val="20"/>
                <w:szCs w:val="20"/>
                <w:color w:val="auto"/>
              </w:rPr>
            </w:pPr>
            <w:r>
              <w:rPr>
                <w:rFonts w:ascii="Arial" w:cs="Arial" w:eastAsia="Arial" w:hAnsi="Arial"/>
                <w:sz w:val="18"/>
                <w:szCs w:val="18"/>
                <w:color w:val="auto"/>
              </w:rPr>
              <w:t>Preferred stock</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1,969,797</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1,969,797</w:t>
            </w:r>
          </w:p>
        </w:tc>
      </w:tr>
    </w:tbl>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Recent Accounting Pronouncements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3. Liquidity and Uncertainties</w:t>
      </w:r>
    </w:p>
    <w:p>
      <w:pPr>
        <w:spacing w:after="0" w:line="121" w:lineRule="exact"/>
        <w:rPr>
          <w:sz w:val="20"/>
          <w:szCs w:val="20"/>
          <w:color w:val="auto"/>
        </w:rPr>
      </w:pPr>
    </w:p>
    <w:p>
      <w:pPr>
        <w:ind w:left="120" w:right="20"/>
        <w:spacing w:after="0" w:line="279" w:lineRule="auto"/>
        <w:rPr>
          <w:sz w:val="20"/>
          <w:szCs w:val="20"/>
          <w:color w:val="auto"/>
        </w:rPr>
      </w:pPr>
      <w:r>
        <w:rPr>
          <w:rFonts w:ascii="Arial" w:cs="Arial" w:eastAsia="Arial" w:hAnsi="Arial"/>
          <w:sz w:val="17"/>
          <w:szCs w:val="17"/>
          <w:color w:val="auto"/>
        </w:rPr>
        <w:t>The Company is subject to risks common to development stage companies in the biopharmaceutical industry including, but not limited to, uncertainty of product development and commercialization, dependence on key personnel, uncertainty of market acceptance of products and product reimbursement, product liability, uncertain protection of proprietary technology, potential inability to raise additional financing necessary for development and commercialization, and compliance with the U.S. Food and Drug Administration and other government regulations.</w:t>
      </w:r>
    </w:p>
    <w:p>
      <w:pPr>
        <w:spacing w:after="0" w:line="63" w:lineRule="exact"/>
        <w:rPr>
          <w:sz w:val="20"/>
          <w:szCs w:val="20"/>
          <w:color w:val="auto"/>
        </w:rPr>
      </w:pPr>
    </w:p>
    <w:p>
      <w:pPr>
        <w:ind w:left="120" w:right="60"/>
        <w:spacing w:after="0" w:line="289" w:lineRule="auto"/>
        <w:rPr>
          <w:sz w:val="20"/>
          <w:szCs w:val="20"/>
          <w:color w:val="auto"/>
        </w:rPr>
      </w:pPr>
      <w:r>
        <w:rPr>
          <w:rFonts w:ascii="Arial" w:cs="Arial" w:eastAsia="Arial" w:hAnsi="Arial"/>
          <w:sz w:val="16"/>
          <w:szCs w:val="16"/>
          <w:color w:val="auto"/>
        </w:rPr>
        <w:t>The Company has incurred losses since inception, including approximately $177.3 million for the nine months ended September 30, 2021, resulting in an accumulated deficit of approximately $602.8 million as of September 30, 2021. Management expects to incur losses for the foreseeable future. To date, the Company has funded its operations primarily through proceeds from sales of the Company’s capital stock. The Company believes that its cash, cash equivalents and marketable securities at September 30, 2021 will be sufficient to fund operations past one year from the issuance of these financial statements. To meet its future capital needs, the Company intends to raise additional capital through debt or equity financings, collaborations, partnerships or other strategic transactions. However, there can be no assurance that the Company will be able to complete any such transactions on acceptable terms or otherwise. The inability of the Company to obtain sufficient funds on acceptable terms when needed could have a material adverse effect on the Company’s business, results of operations and financial condition. The Company has the ability to delay certain research activities and related clinical expenses if necessary due to liquidity concerns until a date when those concerns are relieved.</w:t>
      </w:r>
    </w:p>
    <w:p>
      <w:pPr>
        <w:spacing w:after="0" w:line="9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120"/>
          </w:cols>
          <w:pgMar w:left="320" w:top="486" w:right="45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4. Cash, Cash Equivalents and Marketable Securities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6"/>
          <w:szCs w:val="16"/>
          <w:color w:val="auto"/>
        </w:rPr>
        <w:t>A summary of cash, cash equivalents and available-for-sale marketable securities held by the Company as of September 30, 2021 and December 31,</w:t>
      </w:r>
    </w:p>
    <w:p>
      <w:pPr>
        <w:spacing w:after="0" w:line="4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2020 is as follows (in thousands):</w:t>
      </w:r>
    </w:p>
    <w:p>
      <w:pPr>
        <w:spacing w:after="0" w:line="243" w:lineRule="exact"/>
        <w:rPr>
          <w:sz w:val="20"/>
          <w:szCs w:val="20"/>
          <w:color w:val="auto"/>
        </w:rPr>
      </w:pPr>
    </w:p>
    <w:tbl>
      <w:tblPr>
        <w:tblLayout w:type="fixed"/>
        <w:tblInd w:w="5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8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20" w:type="dxa"/>
            <w:vAlign w:val="bottom"/>
            <w:tcBorders>
              <w:bottom w:val="single" w:sz="8" w:color="auto"/>
            </w:tcBorders>
            <w:gridSpan w:val="6"/>
          </w:tcPr>
          <w:p>
            <w:pPr>
              <w:jc w:val="right"/>
              <w:ind w:right="820"/>
              <w:spacing w:after="0"/>
              <w:rPr>
                <w:sz w:val="20"/>
                <w:szCs w:val="20"/>
                <w:color w:val="auto"/>
              </w:rPr>
            </w:pPr>
            <w:r>
              <w:rPr>
                <w:rFonts w:ascii="Arial" w:cs="Arial" w:eastAsia="Arial" w:hAnsi="Arial"/>
                <w:sz w:val="14"/>
                <w:szCs w:val="14"/>
                <w:b w:val="1"/>
                <w:bCs w:val="1"/>
                <w:color w:val="auto"/>
              </w:rPr>
              <w:t>September 30, 2021</w:t>
            </w: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5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920" w:type="dxa"/>
            <w:vAlign w:val="bottom"/>
            <w:gridSpan w:val="3"/>
          </w:tcPr>
          <w:p>
            <w:pPr>
              <w:spacing w:after="0" w:line="147" w:lineRule="exact"/>
              <w:rPr>
                <w:sz w:val="20"/>
                <w:szCs w:val="20"/>
                <w:color w:val="auto"/>
              </w:rPr>
            </w:pPr>
            <w:r>
              <w:rPr>
                <w:rFonts w:ascii="Arial" w:cs="Arial" w:eastAsia="Arial" w:hAnsi="Arial"/>
                <w:sz w:val="14"/>
                <w:szCs w:val="14"/>
                <w:b w:val="1"/>
                <w:bCs w:val="1"/>
                <w:color w:val="auto"/>
              </w:rPr>
              <w:t>Unrealized</w:t>
            </w:r>
          </w:p>
        </w:tc>
        <w:tc>
          <w:tcPr>
            <w:tcW w:w="240" w:type="dxa"/>
            <w:vAlign w:val="bottom"/>
          </w:tcPr>
          <w:p>
            <w:pPr>
              <w:spacing w:after="0"/>
              <w:rPr>
                <w:sz w:val="12"/>
                <w:szCs w:val="12"/>
                <w:color w:val="auto"/>
              </w:rPr>
            </w:pPr>
          </w:p>
        </w:tc>
        <w:tc>
          <w:tcPr>
            <w:tcW w:w="1180" w:type="dxa"/>
            <w:vAlign w:val="bottom"/>
            <w:gridSpan w:val="3"/>
          </w:tcPr>
          <w:p>
            <w:pPr>
              <w:ind w:left="20"/>
              <w:spacing w:after="0" w:line="147" w:lineRule="exact"/>
              <w:rPr>
                <w:sz w:val="20"/>
                <w:szCs w:val="20"/>
                <w:color w:val="auto"/>
              </w:rPr>
            </w:pPr>
            <w:r>
              <w:rPr>
                <w:rFonts w:ascii="Arial" w:cs="Arial" w:eastAsia="Arial" w:hAnsi="Arial"/>
                <w:sz w:val="14"/>
                <w:szCs w:val="14"/>
                <w:b w:val="1"/>
                <w:bCs w:val="1"/>
                <w:color w:val="auto"/>
              </w:rPr>
              <w:t>Unrealized</w:t>
            </w:r>
          </w:p>
        </w:tc>
        <w:tc>
          <w:tcPr>
            <w:tcW w:w="100" w:type="dxa"/>
            <w:vAlign w:val="bottom"/>
          </w:tcPr>
          <w:p>
            <w:pPr>
              <w:spacing w:after="0"/>
              <w:rPr>
                <w:sz w:val="12"/>
                <w:szCs w:val="12"/>
                <w:color w:val="auto"/>
              </w:rPr>
            </w:pPr>
          </w:p>
        </w:tc>
        <w:tc>
          <w:tcPr>
            <w:tcW w:w="600" w:type="dxa"/>
            <w:vAlign w:val="bottom"/>
          </w:tcPr>
          <w:p>
            <w:pPr>
              <w:jc w:val="center"/>
              <w:ind w:right="14"/>
              <w:spacing w:after="0" w:line="147" w:lineRule="exact"/>
              <w:rPr>
                <w:sz w:val="20"/>
                <w:szCs w:val="20"/>
                <w:color w:val="auto"/>
              </w:rPr>
            </w:pPr>
            <w:r>
              <w:rPr>
                <w:rFonts w:ascii="Arial" w:cs="Arial" w:eastAsia="Arial" w:hAnsi="Arial"/>
                <w:sz w:val="14"/>
                <w:szCs w:val="14"/>
                <w:b w:val="1"/>
                <w:bCs w:val="1"/>
                <w:color w:val="auto"/>
              </w:rPr>
              <w:t>Fair</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gridSpan w:val="3"/>
          </w:tcPr>
          <w:p>
            <w:pPr>
              <w:ind w:left="120"/>
              <w:spacing w:after="0"/>
              <w:rPr>
                <w:sz w:val="20"/>
                <w:szCs w:val="20"/>
                <w:color w:val="auto"/>
              </w:rPr>
            </w:pPr>
            <w:r>
              <w:rPr>
                <w:rFonts w:ascii="Arial" w:cs="Arial" w:eastAsia="Arial" w:hAnsi="Arial"/>
                <w:sz w:val="14"/>
                <w:szCs w:val="14"/>
                <w:b w:val="1"/>
                <w:bCs w:val="1"/>
                <w:color w:val="auto"/>
              </w:rPr>
              <w:t>Cost</w:t>
            </w:r>
          </w:p>
        </w:tc>
        <w:tc>
          <w:tcPr>
            <w:tcW w:w="120" w:type="dxa"/>
            <w:vAlign w:val="bottom"/>
          </w:tcPr>
          <w:p>
            <w:pPr>
              <w:spacing w:after="0"/>
              <w:rPr>
                <w:sz w:val="14"/>
                <w:szCs w:val="14"/>
                <w:color w:val="auto"/>
              </w:rPr>
            </w:pPr>
          </w:p>
        </w:tc>
        <w:tc>
          <w:tcPr>
            <w:tcW w:w="80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98"/>
              </w:rPr>
              <w:t>gains</w:t>
            </w: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gridSpan w:val="2"/>
          </w:tcPr>
          <w:p>
            <w:pPr>
              <w:jc w:val="right"/>
              <w:ind w:right="660"/>
              <w:spacing w:after="0"/>
              <w:rPr>
                <w:sz w:val="20"/>
                <w:szCs w:val="20"/>
                <w:color w:val="auto"/>
              </w:rPr>
            </w:pPr>
            <w:r>
              <w:rPr>
                <w:rFonts w:ascii="Arial" w:cs="Arial" w:eastAsia="Arial" w:hAnsi="Arial"/>
                <w:sz w:val="14"/>
                <w:szCs w:val="14"/>
                <w:b w:val="1"/>
                <w:bCs w:val="1"/>
                <w:color w:val="auto"/>
                <w:w w:val="82"/>
              </w:rPr>
              <w:t>losses</w:t>
            </w:r>
          </w:p>
        </w:tc>
        <w:tc>
          <w:tcPr>
            <w:tcW w:w="100" w:type="dxa"/>
            <w:vAlign w:val="bottom"/>
          </w:tcPr>
          <w:p>
            <w:pPr>
              <w:spacing w:after="0"/>
              <w:rPr>
                <w:sz w:val="14"/>
                <w:szCs w:val="14"/>
                <w:color w:val="auto"/>
              </w:rPr>
            </w:pPr>
          </w:p>
        </w:tc>
        <w:tc>
          <w:tcPr>
            <w:tcW w:w="6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4"/>
              </w:rPr>
              <w:t>value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8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tcPr>
          <w:p>
            <w:pPr>
              <w:spacing w:after="0"/>
              <w:rPr>
                <w:sz w:val="20"/>
                <w:szCs w:val="20"/>
                <w:color w:val="auto"/>
              </w:rPr>
            </w:pPr>
            <w:r>
              <w:rPr>
                <w:rFonts w:ascii="Arial" w:cs="Arial" w:eastAsia="Arial" w:hAnsi="Arial"/>
                <w:sz w:val="18"/>
                <w:szCs w:val="18"/>
                <w:color w:val="auto"/>
              </w:rPr>
              <w:t>Cash (Level 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2,116</w:t>
            </w:r>
          </w:p>
        </w:tc>
        <w:tc>
          <w:tcPr>
            <w:tcW w:w="480" w:type="dxa"/>
            <w:vAlign w:val="bottom"/>
          </w:tcPr>
          <w:p>
            <w:pPr>
              <w:spacing w:after="0"/>
              <w:rPr>
                <w:sz w:val="18"/>
                <w:szCs w:val="18"/>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80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38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2,116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Money market funds (Level 1)</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47,058</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47,058</w:t>
            </w:r>
          </w:p>
        </w:tc>
        <w:tc>
          <w:tcPr>
            <w:tcW w:w="0" w:type="dxa"/>
            <w:vAlign w:val="bottom"/>
          </w:tcPr>
          <w:p>
            <w:pPr>
              <w:spacing w:after="0"/>
              <w:rPr>
                <w:sz w:val="1"/>
                <w:szCs w:val="1"/>
                <w:color w:val="auto"/>
              </w:rPr>
            </w:pPr>
          </w:p>
        </w:tc>
      </w:tr>
      <w:tr>
        <w:trPr>
          <w:trHeight w:val="223"/>
        </w:trPr>
        <w:tc>
          <w:tcPr>
            <w:tcW w:w="5840" w:type="dxa"/>
            <w:vAlign w:val="bottom"/>
            <w:gridSpan w:val="2"/>
          </w:tcPr>
          <w:p>
            <w:pPr>
              <w:spacing w:after="0"/>
              <w:rPr>
                <w:sz w:val="20"/>
                <w:szCs w:val="20"/>
                <w:color w:val="auto"/>
              </w:rPr>
            </w:pPr>
            <w:r>
              <w:rPr>
                <w:rFonts w:ascii="Arial" w:cs="Arial" w:eastAsia="Arial" w:hAnsi="Arial"/>
                <w:sz w:val="18"/>
                <w:szCs w:val="18"/>
                <w:color w:val="auto"/>
              </w:rPr>
              <w:t>Total cash and cash equivalents</w:t>
            </w: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49,174</w:t>
            </w:r>
          </w:p>
        </w:tc>
        <w:tc>
          <w:tcPr>
            <w:tcW w:w="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49,174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Marketable securities:</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tcPr>
          <w:p>
            <w:pPr>
              <w:spacing w:after="0"/>
              <w:rPr>
                <w:sz w:val="20"/>
                <w:szCs w:val="20"/>
                <w:color w:val="auto"/>
              </w:rPr>
            </w:pPr>
            <w:r>
              <w:rPr>
                <w:rFonts w:ascii="Arial" w:cs="Arial" w:eastAsia="Arial" w:hAnsi="Arial"/>
                <w:sz w:val="18"/>
                <w:szCs w:val="18"/>
                <w:color w:val="auto"/>
              </w:rPr>
              <w:t>Corporate debt securities due within 1 year of date of purchase (Level 2)</w:t>
            </w:r>
          </w:p>
        </w:tc>
        <w:tc>
          <w:tcPr>
            <w:tcW w:w="10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w w:val="89"/>
              </w:rPr>
              <w:t>233,697</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8"/>
                <w:szCs w:val="18"/>
                <w:color w:val="auto"/>
              </w:rPr>
              <w:t>21</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gridSpan w:val="2"/>
          </w:tcPr>
          <w:p>
            <w:pPr>
              <w:jc w:val="right"/>
              <w:ind w:right="44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8"/>
                <w:szCs w:val="18"/>
                <w:color w:val="auto"/>
              </w:rPr>
            </w:pP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w w:val="89"/>
              </w:rPr>
              <w:t>233,705</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8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9"/>
              </w:rPr>
              <w:t>U.S. government and government sponsored entities due within 1 year of</w:t>
            </w: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date of purchase (Level 2)</w:t>
            </w:r>
          </w:p>
        </w:tc>
        <w:tc>
          <w:tcPr>
            <w:tcW w:w="100" w:type="dxa"/>
            <w:vAlign w:val="bottom"/>
            <w:shd w:val="clear" w:color="auto" w:fill="CCEEFF"/>
          </w:tcPr>
          <w:p>
            <w:pPr>
              <w:spacing w:after="0"/>
              <w:rPr>
                <w:sz w:val="20"/>
                <w:szCs w:val="20"/>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12,000</w:t>
            </w:r>
          </w:p>
        </w:tc>
        <w:tc>
          <w:tcPr>
            <w:tcW w:w="4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w:t>
            </w:r>
          </w:p>
        </w:tc>
        <w:tc>
          <w:tcPr>
            <w:tcW w:w="2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12,001</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820" w:type="dxa"/>
            <w:vAlign w:val="bottom"/>
          </w:tcPr>
          <w:p>
            <w:pPr>
              <w:spacing w:after="0" w:line="201" w:lineRule="exact"/>
              <w:rPr>
                <w:sz w:val="20"/>
                <w:szCs w:val="20"/>
                <w:color w:val="auto"/>
              </w:rPr>
            </w:pPr>
            <w:r>
              <w:rPr>
                <w:rFonts w:ascii="Arial" w:cs="Arial" w:eastAsia="Arial" w:hAnsi="Arial"/>
                <w:sz w:val="18"/>
                <w:szCs w:val="18"/>
                <w:color w:val="auto"/>
              </w:rPr>
              <w:t>Corporate debt securities due within 1 to 2 years of date of purchase</w:t>
            </w: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840" w:type="dxa"/>
            <w:vAlign w:val="bottom"/>
            <w:gridSpan w:val="2"/>
          </w:tcPr>
          <w:p>
            <w:pPr>
              <w:spacing w:after="0"/>
              <w:rPr>
                <w:sz w:val="20"/>
                <w:szCs w:val="20"/>
                <w:color w:val="auto"/>
              </w:rPr>
            </w:pPr>
            <w:r>
              <w:rPr>
                <w:rFonts w:ascii="Arial" w:cs="Arial" w:eastAsia="Arial" w:hAnsi="Arial"/>
                <w:sz w:val="18"/>
                <w:szCs w:val="18"/>
                <w:color w:val="auto"/>
              </w:rPr>
              <w:t>(Level 2)</w:t>
            </w:r>
          </w:p>
        </w:tc>
        <w:tc>
          <w:tcPr>
            <w:tcW w:w="10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4,269</w:t>
            </w: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40" w:type="dxa"/>
            <w:vAlign w:val="bottom"/>
            <w:gridSpan w:val="2"/>
          </w:tcPr>
          <w:p>
            <w:pPr>
              <w:jc w:val="right"/>
              <w:ind w:right="44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0"/>
                <w:szCs w:val="20"/>
                <w:color w:val="auto"/>
              </w:rPr>
            </w:pP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4,264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8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Total cash, cash equivalents and marketable securities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299,140</w:t>
            </w:r>
          </w:p>
        </w:tc>
        <w:tc>
          <w:tcPr>
            <w:tcW w:w="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8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22</w:t>
            </w:r>
          </w:p>
        </w:tc>
        <w:tc>
          <w:tcPr>
            <w:tcW w:w="38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9"/>
              </w:rPr>
              <w:t>299,144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680" w:type="dxa"/>
            <w:vAlign w:val="bottom"/>
            <w:tcBorders>
              <w:top w:val="single" w:sz="8" w:color="auto"/>
              <w:bottom w:val="single" w:sz="8" w:color="auto"/>
            </w:tcBorders>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20" w:type="dxa"/>
            <w:vAlign w:val="bottom"/>
          </w:tcPr>
          <w:p>
            <w:pPr>
              <w:spacing w:after="0"/>
              <w:rPr>
                <w:sz w:val="24"/>
                <w:szCs w:val="24"/>
                <w:color w:val="auto"/>
              </w:rPr>
            </w:pPr>
          </w:p>
        </w:tc>
        <w:tc>
          <w:tcPr>
            <w:tcW w:w="58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20" w:type="dxa"/>
            <w:vAlign w:val="bottom"/>
            <w:tcBorders>
              <w:bottom w:val="single" w:sz="8" w:color="auto"/>
            </w:tcBorders>
            <w:gridSpan w:val="6"/>
          </w:tcPr>
          <w:p>
            <w:pPr>
              <w:jc w:val="right"/>
              <w:ind w:right="840"/>
              <w:spacing w:after="0"/>
              <w:rPr>
                <w:sz w:val="20"/>
                <w:szCs w:val="20"/>
                <w:color w:val="auto"/>
              </w:rPr>
            </w:pPr>
            <w:r>
              <w:rPr>
                <w:rFonts w:ascii="Arial" w:cs="Arial" w:eastAsia="Arial" w:hAnsi="Arial"/>
                <w:sz w:val="14"/>
                <w:szCs w:val="14"/>
                <w:b w:val="1"/>
                <w:bCs w:val="1"/>
                <w:color w:val="auto"/>
              </w:rPr>
              <w:t>December 31, 2020</w:t>
            </w:r>
          </w:p>
        </w:tc>
        <w:tc>
          <w:tcPr>
            <w:tcW w:w="1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5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920" w:type="dxa"/>
            <w:vAlign w:val="bottom"/>
            <w:gridSpan w:val="3"/>
          </w:tcPr>
          <w:p>
            <w:pPr>
              <w:spacing w:after="0" w:line="147" w:lineRule="exact"/>
              <w:rPr>
                <w:sz w:val="20"/>
                <w:szCs w:val="20"/>
                <w:color w:val="auto"/>
              </w:rPr>
            </w:pPr>
            <w:r>
              <w:rPr>
                <w:rFonts w:ascii="Arial" w:cs="Arial" w:eastAsia="Arial" w:hAnsi="Arial"/>
                <w:sz w:val="14"/>
                <w:szCs w:val="14"/>
                <w:b w:val="1"/>
                <w:bCs w:val="1"/>
                <w:color w:val="auto"/>
              </w:rPr>
              <w:t>Unrealized</w:t>
            </w:r>
          </w:p>
        </w:tc>
        <w:tc>
          <w:tcPr>
            <w:tcW w:w="240" w:type="dxa"/>
            <w:vAlign w:val="bottom"/>
          </w:tcPr>
          <w:p>
            <w:pPr>
              <w:spacing w:after="0"/>
              <w:rPr>
                <w:sz w:val="12"/>
                <w:szCs w:val="12"/>
                <w:color w:val="auto"/>
              </w:rPr>
            </w:pPr>
          </w:p>
        </w:tc>
        <w:tc>
          <w:tcPr>
            <w:tcW w:w="1180" w:type="dxa"/>
            <w:vAlign w:val="bottom"/>
            <w:gridSpan w:val="3"/>
          </w:tcPr>
          <w:p>
            <w:pPr>
              <w:ind w:left="20"/>
              <w:spacing w:after="0" w:line="147" w:lineRule="exact"/>
              <w:rPr>
                <w:sz w:val="20"/>
                <w:szCs w:val="20"/>
                <w:color w:val="auto"/>
              </w:rPr>
            </w:pPr>
            <w:r>
              <w:rPr>
                <w:rFonts w:ascii="Arial" w:cs="Arial" w:eastAsia="Arial" w:hAnsi="Arial"/>
                <w:sz w:val="14"/>
                <w:szCs w:val="14"/>
                <w:b w:val="1"/>
                <w:bCs w:val="1"/>
                <w:color w:val="auto"/>
              </w:rPr>
              <w:t>Unrealized</w:t>
            </w:r>
          </w:p>
        </w:tc>
        <w:tc>
          <w:tcPr>
            <w:tcW w:w="100" w:type="dxa"/>
            <w:vAlign w:val="bottom"/>
          </w:tcPr>
          <w:p>
            <w:pPr>
              <w:spacing w:after="0"/>
              <w:rPr>
                <w:sz w:val="12"/>
                <w:szCs w:val="12"/>
                <w:color w:val="auto"/>
              </w:rPr>
            </w:pPr>
          </w:p>
        </w:tc>
        <w:tc>
          <w:tcPr>
            <w:tcW w:w="600" w:type="dxa"/>
            <w:vAlign w:val="bottom"/>
          </w:tcPr>
          <w:p>
            <w:pPr>
              <w:jc w:val="center"/>
              <w:ind w:right="14"/>
              <w:spacing w:after="0" w:line="147" w:lineRule="exact"/>
              <w:rPr>
                <w:sz w:val="20"/>
                <w:szCs w:val="20"/>
                <w:color w:val="auto"/>
              </w:rPr>
            </w:pPr>
            <w:r>
              <w:rPr>
                <w:rFonts w:ascii="Arial" w:cs="Arial" w:eastAsia="Arial" w:hAnsi="Arial"/>
                <w:sz w:val="14"/>
                <w:szCs w:val="14"/>
                <w:b w:val="1"/>
                <w:bCs w:val="1"/>
                <w:color w:val="auto"/>
              </w:rPr>
              <w:t>Fair</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gridSpan w:val="3"/>
          </w:tcPr>
          <w:p>
            <w:pPr>
              <w:ind w:left="120"/>
              <w:spacing w:after="0"/>
              <w:rPr>
                <w:sz w:val="20"/>
                <w:szCs w:val="20"/>
                <w:color w:val="auto"/>
              </w:rPr>
            </w:pPr>
            <w:r>
              <w:rPr>
                <w:rFonts w:ascii="Arial" w:cs="Arial" w:eastAsia="Arial" w:hAnsi="Arial"/>
                <w:sz w:val="14"/>
                <w:szCs w:val="14"/>
                <w:b w:val="1"/>
                <w:bCs w:val="1"/>
                <w:color w:val="auto"/>
              </w:rPr>
              <w:t>Cost</w:t>
            </w:r>
          </w:p>
        </w:tc>
        <w:tc>
          <w:tcPr>
            <w:tcW w:w="120" w:type="dxa"/>
            <w:vAlign w:val="bottom"/>
          </w:tcPr>
          <w:p>
            <w:pPr>
              <w:spacing w:after="0"/>
              <w:rPr>
                <w:sz w:val="14"/>
                <w:szCs w:val="14"/>
                <w:color w:val="auto"/>
              </w:rPr>
            </w:pPr>
          </w:p>
        </w:tc>
        <w:tc>
          <w:tcPr>
            <w:tcW w:w="80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98"/>
              </w:rPr>
              <w:t>gains</w:t>
            </w: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gridSpan w:val="2"/>
          </w:tcPr>
          <w:p>
            <w:pPr>
              <w:jc w:val="right"/>
              <w:ind w:right="660"/>
              <w:spacing w:after="0"/>
              <w:rPr>
                <w:sz w:val="20"/>
                <w:szCs w:val="20"/>
                <w:color w:val="auto"/>
              </w:rPr>
            </w:pPr>
            <w:r>
              <w:rPr>
                <w:rFonts w:ascii="Arial" w:cs="Arial" w:eastAsia="Arial" w:hAnsi="Arial"/>
                <w:sz w:val="14"/>
                <w:szCs w:val="14"/>
                <w:b w:val="1"/>
                <w:bCs w:val="1"/>
                <w:color w:val="auto"/>
                <w:w w:val="82"/>
              </w:rPr>
              <w:t>losses</w:t>
            </w:r>
          </w:p>
        </w:tc>
        <w:tc>
          <w:tcPr>
            <w:tcW w:w="100" w:type="dxa"/>
            <w:vAlign w:val="bottom"/>
          </w:tcPr>
          <w:p>
            <w:pPr>
              <w:spacing w:after="0"/>
              <w:rPr>
                <w:sz w:val="14"/>
                <w:szCs w:val="14"/>
                <w:color w:val="auto"/>
              </w:rPr>
            </w:pPr>
          </w:p>
        </w:tc>
        <w:tc>
          <w:tcPr>
            <w:tcW w:w="6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4"/>
              </w:rPr>
              <w:t>value</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8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tcPr>
          <w:p>
            <w:pPr>
              <w:spacing w:after="0"/>
              <w:rPr>
                <w:sz w:val="20"/>
                <w:szCs w:val="20"/>
                <w:color w:val="auto"/>
              </w:rPr>
            </w:pPr>
            <w:r>
              <w:rPr>
                <w:rFonts w:ascii="Arial" w:cs="Arial" w:eastAsia="Arial" w:hAnsi="Arial"/>
                <w:sz w:val="18"/>
                <w:szCs w:val="18"/>
                <w:color w:val="auto"/>
              </w:rPr>
              <w:t>Cash (Level 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716</w:t>
            </w:r>
          </w:p>
        </w:tc>
        <w:tc>
          <w:tcPr>
            <w:tcW w:w="480" w:type="dxa"/>
            <w:vAlign w:val="bottom"/>
          </w:tcPr>
          <w:p>
            <w:pPr>
              <w:spacing w:after="0"/>
              <w:rPr>
                <w:sz w:val="18"/>
                <w:szCs w:val="18"/>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80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38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716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Money market funds (Level 1)</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53,288</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53,288</w:t>
            </w:r>
          </w:p>
        </w:tc>
        <w:tc>
          <w:tcPr>
            <w:tcW w:w="0" w:type="dxa"/>
            <w:vAlign w:val="bottom"/>
          </w:tcPr>
          <w:p>
            <w:pPr>
              <w:spacing w:after="0"/>
              <w:rPr>
                <w:sz w:val="1"/>
                <w:szCs w:val="1"/>
                <w:color w:val="auto"/>
              </w:rPr>
            </w:pPr>
          </w:p>
        </w:tc>
      </w:tr>
      <w:tr>
        <w:trPr>
          <w:trHeight w:val="223"/>
        </w:trPr>
        <w:tc>
          <w:tcPr>
            <w:tcW w:w="5840" w:type="dxa"/>
            <w:vAlign w:val="bottom"/>
            <w:gridSpan w:val="2"/>
          </w:tcPr>
          <w:p>
            <w:pPr>
              <w:spacing w:after="0"/>
              <w:rPr>
                <w:sz w:val="20"/>
                <w:szCs w:val="20"/>
                <w:color w:val="auto"/>
              </w:rPr>
            </w:pPr>
            <w:r>
              <w:rPr>
                <w:rFonts w:ascii="Arial" w:cs="Arial" w:eastAsia="Arial" w:hAnsi="Arial"/>
                <w:sz w:val="18"/>
                <w:szCs w:val="18"/>
                <w:color w:val="auto"/>
              </w:rPr>
              <w:t>Total cash and cash equivalents</w:t>
            </w: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54,004</w:t>
            </w:r>
          </w:p>
        </w:tc>
        <w:tc>
          <w:tcPr>
            <w:tcW w:w="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54,004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Marketable securities:</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tcPr>
          <w:p>
            <w:pPr>
              <w:spacing w:after="0"/>
              <w:rPr>
                <w:sz w:val="20"/>
                <w:szCs w:val="20"/>
                <w:color w:val="auto"/>
              </w:rPr>
            </w:pPr>
            <w:r>
              <w:rPr>
                <w:rFonts w:ascii="Arial" w:cs="Arial" w:eastAsia="Arial" w:hAnsi="Arial"/>
                <w:sz w:val="18"/>
                <w:szCs w:val="18"/>
                <w:color w:val="auto"/>
              </w:rPr>
              <w:t>Corporate debt securities due within 1 year of date of purchase (Level 2)</w:t>
            </w:r>
          </w:p>
        </w:tc>
        <w:tc>
          <w:tcPr>
            <w:tcW w:w="10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w w:val="89"/>
              </w:rPr>
              <w:t>227,172</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8"/>
                <w:szCs w:val="18"/>
                <w:color w:val="auto"/>
              </w:rPr>
              <w:t>80</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gridSpan w:val="2"/>
          </w:tcPr>
          <w:p>
            <w:pPr>
              <w:jc w:val="right"/>
              <w:ind w:right="440"/>
              <w:spacing w:after="0"/>
              <w:rPr>
                <w:sz w:val="20"/>
                <w:szCs w:val="20"/>
                <w:color w:val="auto"/>
              </w:rPr>
            </w:pPr>
            <w:r>
              <w:rPr>
                <w:rFonts w:ascii="Arial" w:cs="Arial" w:eastAsia="Arial" w:hAnsi="Arial"/>
                <w:sz w:val="18"/>
                <w:szCs w:val="18"/>
                <w:color w:val="auto"/>
              </w:rPr>
              <w:t>(36)</w:t>
            </w:r>
          </w:p>
        </w:tc>
        <w:tc>
          <w:tcPr>
            <w:tcW w:w="100" w:type="dxa"/>
            <w:vAlign w:val="bottom"/>
          </w:tcPr>
          <w:p>
            <w:pPr>
              <w:spacing w:after="0"/>
              <w:rPr>
                <w:sz w:val="18"/>
                <w:szCs w:val="18"/>
                <w:color w:val="auto"/>
              </w:rPr>
            </w:pP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w w:val="89"/>
              </w:rPr>
              <w:t>227,216</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8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Corporate debt securities due within 1 to 2 years of date of purchase</w:t>
            </w: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(Level 2)</w:t>
            </w:r>
          </w:p>
        </w:tc>
        <w:tc>
          <w:tcPr>
            <w:tcW w:w="100" w:type="dxa"/>
            <w:vAlign w:val="bottom"/>
            <w:shd w:val="clear" w:color="auto" w:fill="CCEEFF"/>
          </w:tcPr>
          <w:p>
            <w:pPr>
              <w:spacing w:after="0"/>
              <w:rPr>
                <w:sz w:val="20"/>
                <w:szCs w:val="20"/>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2,926</w:t>
            </w:r>
          </w:p>
        </w:tc>
        <w:tc>
          <w:tcPr>
            <w:tcW w:w="4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w:t>
            </w:r>
          </w:p>
        </w:tc>
        <w:tc>
          <w:tcPr>
            <w:tcW w:w="2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20"/>
                <w:szCs w:val="20"/>
                <w:color w:val="auto"/>
              </w:rPr>
            </w:pP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2,929</w:t>
            </w:r>
          </w:p>
        </w:tc>
        <w:tc>
          <w:tcPr>
            <w:tcW w:w="0" w:type="dxa"/>
            <w:vAlign w:val="bottom"/>
          </w:tcPr>
          <w:p>
            <w:pPr>
              <w:spacing w:after="0"/>
              <w:rPr>
                <w:sz w:val="1"/>
                <w:szCs w:val="1"/>
                <w:color w:val="auto"/>
              </w:rPr>
            </w:pPr>
          </w:p>
        </w:tc>
      </w:tr>
      <w:tr>
        <w:trPr>
          <w:trHeight w:val="223"/>
        </w:trPr>
        <w:tc>
          <w:tcPr>
            <w:tcW w:w="5840" w:type="dxa"/>
            <w:vAlign w:val="bottom"/>
            <w:gridSpan w:val="2"/>
          </w:tcPr>
          <w:p>
            <w:pPr>
              <w:spacing w:after="0"/>
              <w:rPr>
                <w:sz w:val="20"/>
                <w:szCs w:val="20"/>
                <w:color w:val="auto"/>
              </w:rPr>
            </w:pPr>
            <w:r>
              <w:rPr>
                <w:rFonts w:ascii="Arial" w:cs="Arial" w:eastAsia="Arial" w:hAnsi="Arial"/>
                <w:sz w:val="18"/>
                <w:szCs w:val="18"/>
                <w:color w:val="auto"/>
              </w:rPr>
              <w:t>Total cash, cash equivalents and marketable securities</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284,102</w:t>
            </w:r>
          </w:p>
        </w:tc>
        <w:tc>
          <w:tcPr>
            <w:tcW w:w="20" w:type="dxa"/>
            <w:vAlign w:val="bottom"/>
            <w:tcBorders>
              <w:bottom w:val="single" w:sz="8" w:color="auto"/>
            </w:tcBorders>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w:t>
            </w: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w:t>
            </w:r>
          </w:p>
        </w:tc>
        <w:tc>
          <w:tcPr>
            <w:tcW w:w="5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284,149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5. Accrued Liabilities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Accrued liabilities as of September 30, 2021 and December 31, 2020 consisted of the following (in thousands):</w:t>
      </w:r>
    </w:p>
    <w:p>
      <w:pPr>
        <w:spacing w:after="0" w:line="244" w:lineRule="exact"/>
        <w:rPr>
          <w:sz w:val="20"/>
          <w:szCs w:val="20"/>
          <w:color w:val="auto"/>
        </w:rPr>
      </w:pPr>
    </w:p>
    <w:tbl>
      <w:tblPr>
        <w:tblLayout w:type="fixed"/>
        <w:tblInd w:w="1440" w:type="dxa"/>
        <w:tblCellMar>
          <w:top w:w="0" w:type="dxa"/>
          <w:left w:w="0" w:type="dxa"/>
          <w:bottom w:w="0" w:type="dxa"/>
          <w:right w:w="0" w:type="dxa"/>
        </w:tblCellMar>
      </w:tblPr>
      <w:tr>
        <w:trPr>
          <w:trHeight w:val="162"/>
        </w:trPr>
        <w:tc>
          <w:tcPr>
            <w:tcW w:w="5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3"/>
          </w:tcPr>
          <w:p>
            <w:pPr>
              <w:ind w:left="40"/>
              <w:spacing w:after="0"/>
              <w:rPr>
                <w:sz w:val="20"/>
                <w:szCs w:val="20"/>
                <w:color w:val="auto"/>
              </w:rPr>
            </w:pPr>
            <w:r>
              <w:rPr>
                <w:rFonts w:ascii="Arial" w:cs="Arial" w:eastAsia="Arial" w:hAnsi="Arial"/>
                <w:sz w:val="14"/>
                <w:szCs w:val="14"/>
                <w:b w:val="1"/>
                <w:bCs w:val="1"/>
                <w:color w:val="auto"/>
              </w:rPr>
              <w:t>September 30,</w:t>
            </w:r>
          </w:p>
        </w:tc>
        <w:tc>
          <w:tcPr>
            <w:tcW w:w="880" w:type="dxa"/>
            <w:vAlign w:val="bottom"/>
            <w:gridSpan w:val="3"/>
          </w:tcPr>
          <w:p>
            <w:pPr>
              <w:spacing w:after="0"/>
              <w:rPr>
                <w:sz w:val="20"/>
                <w:szCs w:val="20"/>
                <w:color w:val="auto"/>
              </w:rPr>
            </w:pPr>
            <w:r>
              <w:rPr>
                <w:rFonts w:ascii="Arial" w:cs="Arial" w:eastAsia="Arial" w:hAnsi="Arial"/>
                <w:sz w:val="14"/>
                <w:szCs w:val="14"/>
                <w:b w:val="1"/>
                <w:bCs w:val="1"/>
                <w:color w:val="auto"/>
                <w:w w:val="94"/>
              </w:rPr>
              <w:t>December 31,</w:t>
            </w:r>
          </w:p>
        </w:tc>
      </w:tr>
      <w:tr>
        <w:trPr>
          <w:trHeight w:val="171"/>
        </w:trPr>
        <w:tc>
          <w:tcPr>
            <w:tcW w:w="554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355"/>
              <w:spacing w:after="0"/>
              <w:rPr>
                <w:sz w:val="20"/>
                <w:szCs w:val="20"/>
                <w:color w:val="auto"/>
              </w:rPr>
            </w:pPr>
            <w:r>
              <w:rPr>
                <w:rFonts w:ascii="Arial" w:cs="Arial" w:eastAsia="Arial" w:hAnsi="Arial"/>
                <w:sz w:val="14"/>
                <w:szCs w:val="14"/>
                <w:b w:val="1"/>
                <w:bCs w:val="1"/>
                <w:color w:val="auto"/>
              </w:rPr>
              <w:t>2021</w:t>
            </w:r>
          </w:p>
        </w:tc>
        <w:tc>
          <w:tcPr>
            <w:tcW w:w="20" w:type="dxa"/>
            <w:vAlign w:val="bottom"/>
            <w:tcBorders>
              <w:bottom w:val="single" w:sz="8" w:color="CCEEFF"/>
            </w:tcBorders>
          </w:tcPr>
          <w:p>
            <w:pPr>
              <w:spacing w:after="0"/>
              <w:rPr>
                <w:sz w:val="14"/>
                <w:szCs w:val="14"/>
                <w:color w:val="auto"/>
              </w:rPr>
            </w:pPr>
          </w:p>
        </w:tc>
        <w:tc>
          <w:tcPr>
            <w:tcW w:w="74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2020</w:t>
            </w:r>
          </w:p>
        </w:tc>
        <w:tc>
          <w:tcPr>
            <w:tcW w:w="40" w:type="dxa"/>
            <w:vAlign w:val="bottom"/>
            <w:tcBorders>
              <w:bottom w:val="single" w:sz="8" w:color="CCEEFF"/>
            </w:tcBorders>
          </w:tcPr>
          <w:p>
            <w:pPr>
              <w:spacing w:after="0"/>
              <w:rPr>
                <w:sz w:val="14"/>
                <w:szCs w:val="14"/>
                <w:color w:val="auto"/>
              </w:rPr>
            </w:pPr>
          </w:p>
        </w:tc>
      </w:tr>
      <w:tr>
        <w:trPr>
          <w:trHeight w:val="209"/>
        </w:trPr>
        <w:tc>
          <w:tcPr>
            <w:tcW w:w="5540" w:type="dxa"/>
            <w:vAlign w:val="bottom"/>
            <w:shd w:val="clear" w:color="auto" w:fill="CCEEFF"/>
          </w:tcPr>
          <w:p>
            <w:pPr>
              <w:spacing w:after="0"/>
              <w:rPr>
                <w:sz w:val="20"/>
                <w:szCs w:val="20"/>
                <w:color w:val="auto"/>
              </w:rPr>
            </w:pPr>
            <w:r>
              <w:rPr>
                <w:rFonts w:ascii="Arial" w:cs="Arial" w:eastAsia="Arial" w:hAnsi="Arial"/>
                <w:sz w:val="18"/>
                <w:szCs w:val="18"/>
                <w:color w:val="auto"/>
              </w:rPr>
              <w:t>Contract research organization costs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40,807</w:t>
            </w:r>
          </w:p>
        </w:tc>
        <w:tc>
          <w:tcPr>
            <w:tcW w:w="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31,646</w:t>
            </w:r>
          </w:p>
        </w:tc>
        <w:tc>
          <w:tcPr>
            <w:tcW w:w="40" w:type="dxa"/>
            <w:vAlign w:val="bottom"/>
            <w:shd w:val="clear" w:color="auto" w:fill="CCEEFF"/>
          </w:tcPr>
          <w:p>
            <w:pPr>
              <w:spacing w:after="0"/>
              <w:rPr>
                <w:sz w:val="18"/>
                <w:szCs w:val="18"/>
                <w:color w:val="auto"/>
              </w:rPr>
            </w:pPr>
          </w:p>
        </w:tc>
      </w:tr>
      <w:tr>
        <w:trPr>
          <w:trHeight w:val="216"/>
        </w:trPr>
        <w:tc>
          <w:tcPr>
            <w:tcW w:w="5540" w:type="dxa"/>
            <w:vAlign w:val="bottom"/>
          </w:tcPr>
          <w:p>
            <w:pPr>
              <w:spacing w:after="0"/>
              <w:rPr>
                <w:sz w:val="20"/>
                <w:szCs w:val="20"/>
                <w:color w:val="auto"/>
              </w:rPr>
            </w:pPr>
            <w:r>
              <w:rPr>
                <w:rFonts w:ascii="Arial" w:cs="Arial" w:eastAsia="Arial" w:hAnsi="Arial"/>
                <w:sz w:val="18"/>
                <w:szCs w:val="18"/>
                <w:color w:val="auto"/>
              </w:rPr>
              <w:t>Other clinical study related costs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5,507</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3,901</w:t>
            </w:r>
          </w:p>
        </w:tc>
      </w:tr>
      <w:tr>
        <w:trPr>
          <w:trHeight w:val="216"/>
        </w:trPr>
        <w:tc>
          <w:tcPr>
            <w:tcW w:w="5540" w:type="dxa"/>
            <w:vAlign w:val="bottom"/>
            <w:shd w:val="clear" w:color="auto" w:fill="CCEEFF"/>
          </w:tcPr>
          <w:p>
            <w:pPr>
              <w:spacing w:after="0"/>
              <w:rPr>
                <w:sz w:val="20"/>
                <w:szCs w:val="20"/>
                <w:color w:val="auto"/>
              </w:rPr>
            </w:pPr>
            <w:r>
              <w:rPr>
                <w:rFonts w:ascii="Arial" w:cs="Arial" w:eastAsia="Arial" w:hAnsi="Arial"/>
                <w:sz w:val="18"/>
                <w:szCs w:val="18"/>
                <w:color w:val="auto"/>
              </w:rPr>
              <w:t>Compensation and benefits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4,970</w:t>
            </w: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4,686</w:t>
            </w:r>
          </w:p>
        </w:tc>
      </w:tr>
      <w:tr>
        <w:trPr>
          <w:trHeight w:val="216"/>
        </w:trPr>
        <w:tc>
          <w:tcPr>
            <w:tcW w:w="5540" w:type="dxa"/>
            <w:vAlign w:val="bottom"/>
          </w:tcPr>
          <w:p>
            <w:pPr>
              <w:spacing w:after="0"/>
              <w:rPr>
                <w:sz w:val="20"/>
                <w:szCs w:val="20"/>
                <w:color w:val="auto"/>
              </w:rPr>
            </w:pPr>
            <w:r>
              <w:rPr>
                <w:rFonts w:ascii="Arial" w:cs="Arial" w:eastAsia="Arial" w:hAnsi="Arial"/>
                <w:sz w:val="18"/>
                <w:szCs w:val="18"/>
                <w:color w:val="auto"/>
              </w:rPr>
              <w:t>Professional fees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1,711</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830</w:t>
            </w:r>
          </w:p>
        </w:tc>
      </w:tr>
      <w:tr>
        <w:trPr>
          <w:trHeight w:val="216"/>
        </w:trPr>
        <w:tc>
          <w:tcPr>
            <w:tcW w:w="554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5,506</w:t>
            </w: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4,159</w:t>
            </w:r>
          </w:p>
        </w:tc>
      </w:tr>
      <w:tr>
        <w:trPr>
          <w:trHeight w:val="223"/>
        </w:trPr>
        <w:tc>
          <w:tcPr>
            <w:tcW w:w="5540" w:type="dxa"/>
            <w:vAlign w:val="bottom"/>
          </w:tcPr>
          <w:p>
            <w:pPr>
              <w:spacing w:after="0"/>
              <w:rPr>
                <w:sz w:val="20"/>
                <w:szCs w:val="20"/>
                <w:color w:val="auto"/>
              </w:rPr>
            </w:pPr>
            <w:r>
              <w:rPr>
                <w:rFonts w:ascii="Arial" w:cs="Arial" w:eastAsia="Arial" w:hAnsi="Arial"/>
                <w:sz w:val="18"/>
                <w:szCs w:val="18"/>
                <w:color w:val="auto"/>
              </w:rPr>
              <w:t>Total accrued liabilities</w:t>
            </w:r>
          </w:p>
        </w:tc>
        <w:tc>
          <w:tcPr>
            <w:tcW w:w="20" w:type="dxa"/>
            <w:vAlign w:val="bottom"/>
            <w:tcBorders>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58,501</w:t>
            </w:r>
          </w:p>
        </w:tc>
        <w:tc>
          <w:tcPr>
            <w:tcW w:w="20" w:type="dxa"/>
            <w:vAlign w:val="bottom"/>
            <w:tcBorders>
              <w:bottom w:val="single" w:sz="8" w:color="auto"/>
            </w:tcBorders>
          </w:tcPr>
          <w:p>
            <w:pPr>
              <w:spacing w:after="0"/>
              <w:rPr>
                <w:sz w:val="19"/>
                <w:szCs w:val="19"/>
                <w:color w:val="auto"/>
              </w:rPr>
            </w:pPr>
          </w:p>
        </w:tc>
        <w:tc>
          <w:tcPr>
            <w:tcW w:w="74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45,222</w:t>
            </w:r>
          </w:p>
        </w:tc>
        <w:tc>
          <w:tcPr>
            <w:tcW w:w="40" w:type="dxa"/>
            <w:vAlign w:val="bottom"/>
          </w:tcPr>
          <w:p>
            <w:pPr>
              <w:spacing w:after="0"/>
              <w:rPr>
                <w:sz w:val="19"/>
                <w:szCs w:val="19"/>
                <w:color w:val="auto"/>
              </w:rPr>
            </w:pPr>
          </w:p>
        </w:tc>
      </w:tr>
      <w:tr>
        <w:trPr>
          <w:trHeight w:val="20"/>
        </w:trPr>
        <w:tc>
          <w:tcPr>
            <w:tcW w:w="5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319" w:lineRule="exact"/>
        <w:rPr>
          <w:sz w:val="20"/>
          <w:szCs w:val="20"/>
          <w:color w:val="auto"/>
        </w:rPr>
      </w:pPr>
    </w:p>
    <w:p>
      <w:pPr>
        <w:ind w:left="120" w:right="9120" w:hanging="4"/>
        <w:spacing w:after="0" w:line="425" w:lineRule="auto"/>
        <w:tabs>
          <w:tab w:leader="none" w:pos="300" w:val="left"/>
        </w:tabs>
        <w:numPr>
          <w:ilvl w:val="0"/>
          <w:numId w:val="5"/>
        </w:numPr>
        <w:rPr>
          <w:rFonts w:ascii="Arial" w:cs="Arial" w:eastAsia="Arial" w:hAnsi="Arial"/>
          <w:sz w:val="16"/>
          <w:szCs w:val="16"/>
          <w:b w:val="1"/>
          <w:bCs w:val="1"/>
          <w:color w:val="auto"/>
        </w:rPr>
      </w:pPr>
      <w:r>
        <w:rPr>
          <w:rFonts w:ascii="Arial" w:cs="Arial" w:eastAsia="Arial" w:hAnsi="Arial"/>
          <w:sz w:val="16"/>
          <w:szCs w:val="16"/>
          <w:b w:val="1"/>
          <w:bCs w:val="1"/>
          <w:color w:val="auto"/>
        </w:rPr>
        <w:t>Stockholders’ Equity Common Stock</w:t>
      </w:r>
    </w:p>
    <w:p>
      <w:pPr>
        <w:jc w:val="both"/>
        <w:ind w:left="120"/>
        <w:spacing w:after="0" w:line="263" w:lineRule="auto"/>
        <w:rPr>
          <w:sz w:val="20"/>
          <w:szCs w:val="20"/>
          <w:color w:val="auto"/>
        </w:rPr>
      </w:pPr>
      <w:r>
        <w:rPr>
          <w:rFonts w:ascii="Arial" w:cs="Arial" w:eastAsia="Arial" w:hAnsi="Arial"/>
          <w:sz w:val="18"/>
          <w:szCs w:val="18"/>
          <w:color w:val="auto"/>
        </w:rPr>
        <w:t>Each common stockholder generally is entitled to one vote for each share of common stock held, subject to limitations as may be established for certain other classes and series of stock of the Company from time to time. Each share of common stock is entitled to receive dividends, as and when declared by the Company’s board of directors.</w:t>
      </w:r>
    </w:p>
    <w:p>
      <w:pPr>
        <w:spacing w:after="0" w:line="18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Company has never declared cash dividends on its common stock and does not expect to do so in the foreseeable future.</w:t>
      </w:r>
    </w:p>
    <w:p>
      <w:pPr>
        <w:spacing w:after="0" w:line="158"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040"/>
          </w:cols>
          <w:pgMar w:left="320" w:top="486" w:right="5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ind w:left="120" w:right="40"/>
        <w:spacing w:after="0" w:line="269" w:lineRule="auto"/>
        <w:rPr>
          <w:sz w:val="20"/>
          <w:szCs w:val="20"/>
          <w:color w:val="auto"/>
        </w:rPr>
      </w:pPr>
      <w:r>
        <w:rPr>
          <w:rFonts w:ascii="Arial" w:cs="Arial" w:eastAsia="Arial" w:hAnsi="Arial"/>
          <w:sz w:val="17"/>
          <w:szCs w:val="17"/>
          <w:color w:val="auto"/>
        </w:rPr>
        <w:t>The Series A Preferred Stock has a par value of $0.0001 per share and is convertible into shares of the common stock at a one-to-one ratio, subject to adjustment as provided in the Certificate of Designation of Preferences, Rights and Limitations of Series A Convertible Preferred Stock, that the Company filed with the Secretary of State of the State of Delaware on June 21, 2017 (the “Series A Certificate”). The terms of the Series A Preferred Stock are set forth in the Series A Certificate. Each share of the Series A Preferred Stock is convertible into shares of Common Stock following notice that may be given at the holder’s option. Upon any liquidation, dissolution or winding-up of the Company, whether voluntary or involuntary, after the satisfaction in full of the debts of the Company and the payment of any liquidation preference owed to the holders of shares of capital stock of the Company ranking prior to the Series A Preferred Stock upon liquidation, the holders of the Series A Preferred Stock shall participate pari passu with the holders of the Common Stock (on an as-if-converted-to-Common-Stock basis) in the net assets of the Company. Shares of the Series A Preferred Stock will generally have no voting rights, except as required by law. Shares of the Series A Preferred Stock will be entitled to receive dividends before shares of any other class or series of capital stock of the Company (other than dividends in the form of the Common Stock) equal to the dividend payable on each share of the Common Stock, on an as-converted basis.</w:t>
      </w:r>
    </w:p>
    <w:p>
      <w:pPr>
        <w:spacing w:after="0" w:line="28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At-The-Market Issuance Sales Agreement</w:t>
      </w:r>
    </w:p>
    <w:p>
      <w:pPr>
        <w:spacing w:after="0" w:line="121" w:lineRule="exact"/>
        <w:rPr>
          <w:sz w:val="20"/>
          <w:szCs w:val="20"/>
          <w:color w:val="auto"/>
        </w:rPr>
      </w:pPr>
    </w:p>
    <w:p>
      <w:pPr>
        <w:ind w:left="120"/>
        <w:spacing w:after="0" w:line="293" w:lineRule="auto"/>
        <w:rPr>
          <w:sz w:val="20"/>
          <w:szCs w:val="20"/>
          <w:color w:val="auto"/>
        </w:rPr>
      </w:pPr>
      <w:r>
        <w:rPr>
          <w:rFonts w:ascii="Arial" w:cs="Arial" w:eastAsia="Arial" w:hAnsi="Arial"/>
          <w:sz w:val="16"/>
          <w:szCs w:val="16"/>
          <w:color w:val="auto"/>
        </w:rPr>
        <w:t>In November 2020, the Company entered into an at-the-market sales agreement (the “2020 Sales Agreement”), with Cowen and Company, LLC (“Cowen”), pursuant to which the Company could, from time to time, issue and sell shares of its common stock. The 2020 Sales Agreement authorized an aggregate offering of up to $200 million in shares of our common stock, at the Company’s option, through Cowen as its sales agent. Sales of common stock through Cowen could be made by any method that is deemed an “at-the-market” offering as defined in Rule 415 promulgated under the Securities Act of 1933, as amended, including by means of ordinary brokers’ transactions at market prices, in block transactions or as otherwise agreed by the Company and Cowen. The 2020 Sales Agreement was terminated in June 2021 when the Company filed a new shelf registration statement.</w:t>
      </w:r>
    </w:p>
    <w:p>
      <w:pPr>
        <w:spacing w:after="0" w:line="164" w:lineRule="exact"/>
        <w:rPr>
          <w:sz w:val="20"/>
          <w:szCs w:val="20"/>
          <w:color w:val="auto"/>
        </w:rPr>
      </w:pPr>
    </w:p>
    <w:p>
      <w:pPr>
        <w:jc w:val="both"/>
        <w:ind w:left="120" w:right="360"/>
        <w:spacing w:after="0" w:line="263" w:lineRule="auto"/>
        <w:rPr>
          <w:sz w:val="20"/>
          <w:szCs w:val="20"/>
          <w:color w:val="auto"/>
        </w:rPr>
      </w:pPr>
      <w:r>
        <w:rPr>
          <w:rFonts w:ascii="Arial" w:cs="Arial" w:eastAsia="Arial" w:hAnsi="Arial"/>
          <w:sz w:val="18"/>
          <w:szCs w:val="18"/>
          <w:color w:val="auto"/>
        </w:rPr>
        <w:t>Under the 2020 Sales Agreement the Company sold 1,126,733 shares for an aggregate of approximately $137.4 million in gross proceeds, with net proceeds to the Company of approximately $134.8 million after deducting commissions and other transaction costs. Of those shares sold, 1,087,126 were sold in 2021, and 39,607 were sold in 2020.</w:t>
      </w:r>
    </w:p>
    <w:p>
      <w:pPr>
        <w:spacing w:after="0" w:line="184" w:lineRule="exact"/>
        <w:rPr>
          <w:sz w:val="20"/>
          <w:szCs w:val="20"/>
          <w:color w:val="auto"/>
        </w:rPr>
      </w:pPr>
    </w:p>
    <w:p>
      <w:pPr>
        <w:ind w:left="120"/>
        <w:spacing w:after="0" w:line="254" w:lineRule="auto"/>
        <w:rPr>
          <w:sz w:val="20"/>
          <w:szCs w:val="20"/>
          <w:color w:val="auto"/>
        </w:rPr>
      </w:pPr>
      <w:r>
        <w:rPr>
          <w:rFonts w:ascii="Arial" w:cs="Arial" w:eastAsia="Arial" w:hAnsi="Arial"/>
          <w:sz w:val="18"/>
          <w:szCs w:val="18"/>
          <w:color w:val="auto"/>
        </w:rPr>
        <w:t>In June 2021, the Company filed with the SEC and had declared effective a new shelf registration statement on Form S-3 and, in connection therewith, entered into a new at-the-market sales agreement (the “2021 Sales Agreement”) with Cowen. The terms of the 2021 Sales Agreement are substantially the same as the 2020 Sales Agreement. The 2021 Sales Agreement authorizes an aggregate offering of up to $200 million in shares of our common stock, from time to time, at the Company’s option, through Cowen as its sales agent. The 2021 Sales Agreement supersedes the 2020 Sales Agreement. Subject to the terms and conditions of the 2021 Sales Agreement, Cowen will use commercially reasonable efforts consistent with its normal trading and sales practices to sell the common stock based upon the Company’s instructions (including any price, time or size limits or other customary parameters or conditions the Company may impose).</w:t>
      </w:r>
    </w:p>
    <w:p>
      <w:pPr>
        <w:spacing w:after="0" w:line="195" w:lineRule="exact"/>
        <w:rPr>
          <w:sz w:val="20"/>
          <w:szCs w:val="20"/>
          <w:color w:val="auto"/>
        </w:rPr>
      </w:pPr>
    </w:p>
    <w:p>
      <w:pPr>
        <w:ind w:left="120" w:right="140"/>
        <w:spacing w:after="0" w:line="311" w:lineRule="auto"/>
        <w:rPr>
          <w:sz w:val="20"/>
          <w:szCs w:val="20"/>
          <w:color w:val="auto"/>
        </w:rPr>
      </w:pPr>
      <w:r>
        <w:rPr>
          <w:rFonts w:ascii="Arial" w:cs="Arial" w:eastAsia="Arial" w:hAnsi="Arial"/>
          <w:sz w:val="16"/>
          <w:szCs w:val="16"/>
          <w:color w:val="auto"/>
        </w:rPr>
        <w:t>As of September 30, 2021, 260,164 shares had been sold under the 2021 Sales Agreement for an aggregate of approximately $21.5 million in gross proceeds, with net proceeds to the Company of approximately $20.9 million after deducting commissions and other transaction costs. As of September 30, 2021, $178.5 million remained reserved and available for sale under the 2021 Sales Agreement and the Company’s related prospectus supplement.</w:t>
      </w:r>
    </w:p>
    <w:p>
      <w:pPr>
        <w:spacing w:after="0" w:line="25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7. Stock-based Compensation</w:t>
      </w:r>
    </w:p>
    <w:p>
      <w:pPr>
        <w:spacing w:after="0" w:line="121" w:lineRule="exact"/>
        <w:rPr>
          <w:sz w:val="20"/>
          <w:szCs w:val="20"/>
          <w:color w:val="auto"/>
        </w:rPr>
      </w:pPr>
    </w:p>
    <w:p>
      <w:pPr>
        <w:ind w:left="120"/>
        <w:spacing w:after="0" w:line="284" w:lineRule="auto"/>
        <w:rPr>
          <w:sz w:val="20"/>
          <w:szCs w:val="20"/>
          <w:color w:val="auto"/>
        </w:rPr>
      </w:pPr>
      <w:r>
        <w:rPr>
          <w:rFonts w:ascii="Arial" w:cs="Arial" w:eastAsia="Arial" w:hAnsi="Arial"/>
          <w:sz w:val="16"/>
          <w:szCs w:val="16"/>
          <w:color w:val="auto"/>
        </w:rPr>
        <w:t>The 2015 Stock Plan, as amended, is our primary plan through which equity based grants are awarded. The 2015 Stock Plan provides for the grant of incentive stock options, non-statutory stock options, restricted stock and other stock-based compensation awards to employees, officers, directors, and consultants of the Company. The administration of the 2015 Stock Plan is under the general supervision of the Compensation Committee of the Board of Directors. The terms of stock options awarded under the 2015 Stock Plan, in general, are determined by the Compensation Committee, provided the exercise price per share generally shall not be set at less than the fair market value of a share of the common stock on the date of grant and the term shall not be greater than ten years from the date the option is granted. Effective June 17, 2021, the 2015 Stock Plan was amended by stockholder vote</w:t>
      </w:r>
    </w:p>
    <w:p>
      <w:pPr>
        <w:spacing w:after="0" w:line="4" w:lineRule="exact"/>
        <w:rPr>
          <w:sz w:val="20"/>
          <w:szCs w:val="20"/>
          <w:color w:val="auto"/>
        </w:rPr>
      </w:pPr>
    </w:p>
    <w:p>
      <w:pPr>
        <w:ind w:left="120" w:right="280"/>
        <w:spacing w:after="0" w:line="255" w:lineRule="auto"/>
        <w:rPr>
          <w:sz w:val="20"/>
          <w:szCs w:val="20"/>
          <w:color w:val="auto"/>
        </w:rPr>
      </w:pPr>
      <w:r>
        <w:rPr>
          <w:rFonts w:ascii="Arial" w:cs="Arial" w:eastAsia="Arial" w:hAnsi="Arial"/>
          <w:sz w:val="18"/>
          <w:szCs w:val="18"/>
          <w:color w:val="auto"/>
        </w:rPr>
        <w:t>to, among other things, increase the number of authorized shares by 1,200,000. As of September 30, 2021, the Company had options outstanding to purchase 2,254,629 shares of its common stock, which includes options outstanding under its 2006 Stock Plan. As of September 30, 2021, 1,714,543 shares were available for future issuance.</w:t>
      </w:r>
    </w:p>
    <w:p>
      <w:pPr>
        <w:spacing w:after="0" w:line="190"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table summarizes stock option activity during the nine months ended September 30, 2021:</w:t>
      </w:r>
    </w:p>
    <w:p>
      <w:pPr>
        <w:spacing w:after="0" w:line="231"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62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6280" w:type="dxa"/>
            <w:vAlign w:val="bottom"/>
          </w:tcPr>
          <w:p>
            <w:pPr>
              <w:spacing w:after="0"/>
              <w:rPr>
                <w:sz w:val="12"/>
                <w:szCs w:val="12"/>
                <w:color w:val="auto"/>
              </w:rPr>
            </w:pPr>
          </w:p>
        </w:tc>
        <w:tc>
          <w:tcPr>
            <w:tcW w:w="1200" w:type="dxa"/>
            <w:vAlign w:val="bottom"/>
            <w:gridSpan w:val="2"/>
            <w:vMerge w:val="restart"/>
          </w:tcPr>
          <w:p>
            <w:pPr>
              <w:jc w:val="right"/>
              <w:ind w:right="600"/>
              <w:spacing w:after="0"/>
              <w:rPr>
                <w:sz w:val="20"/>
                <w:szCs w:val="20"/>
                <w:color w:val="auto"/>
              </w:rPr>
            </w:pPr>
            <w:r>
              <w:rPr>
                <w:rFonts w:ascii="Arial" w:cs="Arial" w:eastAsia="Arial" w:hAnsi="Arial"/>
                <w:sz w:val="14"/>
                <w:szCs w:val="14"/>
                <w:b w:val="1"/>
                <w:bCs w:val="1"/>
                <w:color w:val="auto"/>
              </w:rPr>
              <w:t>Shares</w:t>
            </w:r>
          </w:p>
        </w:tc>
        <w:tc>
          <w:tcPr>
            <w:tcW w:w="100" w:type="dxa"/>
            <w:vAlign w:val="bottom"/>
          </w:tcPr>
          <w:p>
            <w:pPr>
              <w:spacing w:after="0"/>
              <w:rPr>
                <w:sz w:val="12"/>
                <w:szCs w:val="12"/>
                <w:color w:val="auto"/>
              </w:rPr>
            </w:pPr>
          </w:p>
        </w:tc>
        <w:tc>
          <w:tcPr>
            <w:tcW w:w="7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71"/>
        </w:trPr>
        <w:tc>
          <w:tcPr>
            <w:tcW w:w="628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880" w:type="dxa"/>
            <w:vAlign w:val="bottom"/>
            <w:gridSpan w:val="3"/>
          </w:tcPr>
          <w:p>
            <w:pPr>
              <w:spacing w:after="0"/>
              <w:rPr>
                <w:sz w:val="20"/>
                <w:szCs w:val="20"/>
                <w:color w:val="auto"/>
              </w:rPr>
            </w:pPr>
            <w:r>
              <w:rPr>
                <w:rFonts w:ascii="Arial" w:cs="Arial" w:eastAsia="Arial" w:hAnsi="Arial"/>
                <w:sz w:val="14"/>
                <w:szCs w:val="14"/>
                <w:b w:val="1"/>
                <w:bCs w:val="1"/>
                <w:color w:val="auto"/>
                <w:w w:val="92"/>
              </w:rPr>
              <w:t>exercise price</w:t>
            </w:r>
          </w:p>
        </w:tc>
        <w:tc>
          <w:tcPr>
            <w:tcW w:w="0" w:type="dxa"/>
            <w:vAlign w:val="bottom"/>
          </w:tcPr>
          <w:p>
            <w:pPr>
              <w:spacing w:after="0"/>
              <w:rPr>
                <w:sz w:val="1"/>
                <w:szCs w:val="1"/>
                <w:color w:val="auto"/>
              </w:rPr>
            </w:pPr>
          </w:p>
        </w:tc>
      </w:tr>
      <w:tr>
        <w:trPr>
          <w:trHeight w:val="210"/>
        </w:trPr>
        <w:tc>
          <w:tcPr>
            <w:tcW w:w="62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Outstanding at January 1, 2021</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1,837,540</w:t>
            </w:r>
          </w:p>
        </w:tc>
        <w:tc>
          <w:tcPr>
            <w:tcW w:w="4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71.80</w:t>
            </w: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tcPr>
          <w:p>
            <w:pPr>
              <w:spacing w:after="0"/>
              <w:rPr>
                <w:sz w:val="20"/>
                <w:szCs w:val="20"/>
                <w:color w:val="auto"/>
              </w:rPr>
            </w:pPr>
            <w:r>
              <w:rPr>
                <w:rFonts w:ascii="Arial" w:cs="Arial" w:eastAsia="Arial" w:hAnsi="Arial"/>
                <w:sz w:val="18"/>
                <w:szCs w:val="18"/>
                <w:color w:val="auto"/>
              </w:rPr>
              <w:t>Options granted</w:t>
            </w:r>
          </w:p>
        </w:tc>
        <w:tc>
          <w:tcPr>
            <w:tcW w:w="1200" w:type="dxa"/>
            <w:vAlign w:val="bottom"/>
            <w:gridSpan w:val="2"/>
          </w:tcPr>
          <w:p>
            <w:pPr>
              <w:jc w:val="right"/>
              <w:ind w:right="420"/>
              <w:spacing w:after="0"/>
              <w:rPr>
                <w:sz w:val="20"/>
                <w:szCs w:val="20"/>
                <w:color w:val="auto"/>
              </w:rPr>
            </w:pPr>
            <w:r>
              <w:rPr>
                <w:rFonts w:ascii="Arial" w:cs="Arial" w:eastAsia="Arial" w:hAnsi="Arial"/>
                <w:sz w:val="18"/>
                <w:szCs w:val="18"/>
                <w:color w:val="auto"/>
              </w:rPr>
              <w:t>602,059</w:t>
            </w:r>
          </w:p>
        </w:tc>
        <w:tc>
          <w:tcPr>
            <w:tcW w:w="100" w:type="dxa"/>
            <w:vAlign w:val="bottom"/>
          </w:tcPr>
          <w:p>
            <w:pPr>
              <w:spacing w:after="0"/>
              <w:rPr>
                <w:sz w:val="18"/>
                <w:szCs w:val="18"/>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113.04</w:t>
            </w:r>
          </w:p>
        </w:tc>
        <w:tc>
          <w:tcPr>
            <w:tcW w:w="0" w:type="dxa"/>
            <w:vAlign w:val="bottom"/>
          </w:tcPr>
          <w:p>
            <w:pPr>
              <w:spacing w:after="0"/>
              <w:rPr>
                <w:sz w:val="1"/>
                <w:szCs w:val="1"/>
                <w:color w:val="auto"/>
              </w:rPr>
            </w:pPr>
          </w:p>
        </w:tc>
      </w:tr>
      <w:tr>
        <w:trPr>
          <w:trHeight w:val="216"/>
        </w:trPr>
        <w:tc>
          <w:tcPr>
            <w:tcW w:w="6280" w:type="dxa"/>
            <w:vAlign w:val="bottom"/>
            <w:shd w:val="clear" w:color="auto" w:fill="CCEEFF"/>
          </w:tcPr>
          <w:p>
            <w:pPr>
              <w:spacing w:after="0"/>
              <w:rPr>
                <w:sz w:val="20"/>
                <w:szCs w:val="20"/>
                <w:color w:val="auto"/>
              </w:rPr>
            </w:pPr>
            <w:r>
              <w:rPr>
                <w:rFonts w:ascii="Arial" w:cs="Arial" w:eastAsia="Arial" w:hAnsi="Arial"/>
                <w:sz w:val="18"/>
                <w:szCs w:val="18"/>
                <w:color w:val="auto"/>
              </w:rPr>
              <w:t>Options exercised</w:t>
            </w:r>
          </w:p>
        </w:tc>
        <w:tc>
          <w:tcPr>
            <w:tcW w:w="12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(4,775)</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101.79</w:t>
            </w:r>
          </w:p>
        </w:tc>
        <w:tc>
          <w:tcPr>
            <w:tcW w:w="0" w:type="dxa"/>
            <w:vAlign w:val="bottom"/>
          </w:tcPr>
          <w:p>
            <w:pPr>
              <w:spacing w:after="0"/>
              <w:rPr>
                <w:sz w:val="1"/>
                <w:szCs w:val="1"/>
                <w:color w:val="auto"/>
              </w:rPr>
            </w:pPr>
          </w:p>
        </w:tc>
      </w:tr>
      <w:tr>
        <w:trPr>
          <w:trHeight w:val="223"/>
        </w:trPr>
        <w:tc>
          <w:tcPr>
            <w:tcW w:w="6280" w:type="dxa"/>
            <w:vAlign w:val="bottom"/>
          </w:tcPr>
          <w:p>
            <w:pPr>
              <w:spacing w:after="0"/>
              <w:rPr>
                <w:sz w:val="20"/>
                <w:szCs w:val="20"/>
                <w:color w:val="auto"/>
              </w:rPr>
            </w:pPr>
            <w:r>
              <w:rPr>
                <w:rFonts w:ascii="Arial" w:cs="Arial" w:eastAsia="Arial" w:hAnsi="Arial"/>
                <w:sz w:val="18"/>
                <w:szCs w:val="18"/>
                <w:color w:val="auto"/>
              </w:rPr>
              <w:t>Options cancelled</w:t>
            </w:r>
          </w:p>
        </w:tc>
        <w:tc>
          <w:tcPr>
            <w:tcW w:w="1200" w:type="dxa"/>
            <w:vAlign w:val="bottom"/>
            <w:gridSpan w:val="2"/>
          </w:tcPr>
          <w:p>
            <w:pPr>
              <w:jc w:val="right"/>
              <w:ind w:right="360"/>
              <w:spacing w:after="0"/>
              <w:rPr>
                <w:sz w:val="20"/>
                <w:szCs w:val="20"/>
                <w:color w:val="auto"/>
              </w:rPr>
            </w:pPr>
            <w:r>
              <w:rPr>
                <w:rFonts w:ascii="Arial" w:cs="Arial" w:eastAsia="Arial" w:hAnsi="Arial"/>
                <w:sz w:val="18"/>
                <w:szCs w:val="18"/>
                <w:color w:val="auto"/>
              </w:rPr>
              <w:t>(180,195)</w:t>
            </w:r>
          </w:p>
        </w:tc>
        <w:tc>
          <w:tcPr>
            <w:tcW w:w="100" w:type="dxa"/>
            <w:vAlign w:val="bottom"/>
          </w:tcPr>
          <w:p>
            <w:pPr>
              <w:spacing w:after="0"/>
              <w:rPr>
                <w:sz w:val="19"/>
                <w:szCs w:val="19"/>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114.37</w:t>
            </w:r>
          </w:p>
        </w:tc>
        <w:tc>
          <w:tcPr>
            <w:tcW w:w="0" w:type="dxa"/>
            <w:vAlign w:val="bottom"/>
          </w:tcPr>
          <w:p>
            <w:pPr>
              <w:spacing w:after="0"/>
              <w:rPr>
                <w:sz w:val="1"/>
                <w:szCs w:val="1"/>
                <w:color w:val="auto"/>
              </w:rPr>
            </w:pPr>
          </w:p>
        </w:tc>
      </w:tr>
      <w:tr>
        <w:trPr>
          <w:trHeight w:val="216"/>
        </w:trPr>
        <w:tc>
          <w:tcPr>
            <w:tcW w:w="628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September 30, 2021</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2,254,629</w:t>
            </w:r>
          </w:p>
        </w:tc>
        <w:tc>
          <w:tcPr>
            <w:tcW w:w="42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79.34</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spacing w:after="0"/>
              <w:rPr>
                <w:sz w:val="20"/>
                <w:szCs w:val="20"/>
                <w:color w:val="auto"/>
              </w:rPr>
            </w:pPr>
            <w:r>
              <w:rPr>
                <w:rFonts w:ascii="Arial" w:cs="Arial" w:eastAsia="Arial" w:hAnsi="Arial"/>
                <w:sz w:val="18"/>
                <w:szCs w:val="18"/>
                <w:color w:val="auto"/>
              </w:rPr>
              <w:t>Exercisable at September 30, 2021</w:t>
            </w:r>
          </w:p>
        </w:tc>
        <w:tc>
          <w:tcPr>
            <w:tcW w:w="12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6280" w:type="dxa"/>
            <w:vAlign w:val="bottom"/>
            <w:vMerge w:val="continue"/>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4"/>
              </w:rPr>
              <w:t>1,392,219</w:t>
            </w:r>
          </w:p>
        </w:tc>
        <w:tc>
          <w:tcPr>
            <w:tcW w:w="420" w:type="dxa"/>
            <w:vAlign w:val="bottom"/>
          </w:tcPr>
          <w:p>
            <w:pPr>
              <w:spacing w:after="0"/>
              <w:rPr>
                <w:sz w:val="18"/>
                <w:szCs w:val="18"/>
                <w:color w:val="auto"/>
              </w:rPr>
            </w:pPr>
          </w:p>
        </w:tc>
        <w:tc>
          <w:tcPr>
            <w:tcW w:w="10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61.07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133" w:lineRule="exact"/>
        <w:rPr>
          <w:sz w:val="20"/>
          <w:szCs w:val="20"/>
          <w:color w:val="auto"/>
        </w:rPr>
      </w:pPr>
    </w:p>
    <w:p>
      <w:pPr>
        <w:sectPr>
          <w:pgSz w:w="11900" w:h="16838" w:orient="portrait"/>
          <w:cols w:equalWidth="0" w:num="1">
            <w:col w:w="11120"/>
          </w:cols>
          <w:pgMar w:left="320" w:top="486" w:right="459" w:bottom="1440" w:gutter="0" w:footer="0" w:header="0"/>
        </w:sectPr>
      </w:pPr>
    </w:p>
    <w:p>
      <w:pPr>
        <w:jc w:val="center"/>
        <w:ind w:right="-139"/>
        <w:spacing w:after="0"/>
        <w:rPr>
          <w:sz w:val="20"/>
          <w:szCs w:val="20"/>
          <w:color w:val="auto"/>
        </w:rPr>
      </w:pPr>
      <w:r>
        <w:rPr>
          <w:rFonts w:ascii="Arial" w:cs="Arial" w:eastAsia="Arial" w:hAnsi="Arial"/>
          <w:sz w:val="16"/>
          <w:szCs w:val="16"/>
          <w:color w:val="auto"/>
        </w:rPr>
        <w:t>12</w:t>
      </w:r>
    </w:p>
    <w:p>
      <w:pPr>
        <w:sectPr>
          <w:pgSz w:w="11900" w:h="16838" w:orient="portrait"/>
          <w:cols w:equalWidth="0" w:num="1">
            <w:col w:w="11120"/>
          </w:cols>
          <w:pgMar w:left="320" w:top="486" w:right="459" w:bottom="1440" w:gutter="0" w:footer="0" w:header="0"/>
          <w:type w:val="continuous"/>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63" w:lineRule="auto"/>
        <w:rPr>
          <w:sz w:val="20"/>
          <w:szCs w:val="20"/>
          <w:color w:val="auto"/>
        </w:rPr>
      </w:pPr>
      <w:r>
        <w:rPr>
          <w:rFonts w:ascii="Arial" w:cs="Arial" w:eastAsia="Arial" w:hAnsi="Arial"/>
          <w:sz w:val="18"/>
          <w:szCs w:val="18"/>
          <w:color w:val="auto"/>
        </w:rPr>
        <w:t>The total cash received by the Company as a result of stock option exercises was $0.5 million and $0.5 million, respectively, for the nine months ended September 30, 2021 and 2020. The weighted-average grant date fair values, based on the Black-Scholes option model, of options granted during the nine months ended September 30, 2021 and 2020 were $75.71 and $65.65, respectively.</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Stock-Based Compensation Expense</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Stock-based compensation expense during the nine months ended September 30, 2021 and 2020 was as follows (in thousands):</w:t>
      </w:r>
    </w:p>
    <w:p>
      <w:pPr>
        <w:spacing w:after="0" w:line="231" w:lineRule="exact"/>
        <w:rPr>
          <w:sz w:val="20"/>
          <w:szCs w:val="20"/>
          <w:color w:val="auto"/>
        </w:rPr>
      </w:pPr>
    </w:p>
    <w:tbl>
      <w:tblPr>
        <w:tblLayout w:type="fixed"/>
        <w:tblInd w:w="5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5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820" w:type="dxa"/>
            <w:vAlign w:val="bottom"/>
            <w:gridSpan w:val="6"/>
          </w:tcPr>
          <w:p>
            <w:pPr>
              <w:jc w:val="right"/>
              <w:ind w:right="420"/>
              <w:spacing w:after="0"/>
              <w:rPr>
                <w:sz w:val="20"/>
                <w:szCs w:val="20"/>
                <w:color w:val="auto"/>
              </w:rPr>
            </w:pPr>
            <w:r>
              <w:rPr>
                <w:rFonts w:ascii="Arial" w:cs="Arial" w:eastAsia="Arial" w:hAnsi="Arial"/>
                <w:sz w:val="14"/>
                <w:szCs w:val="14"/>
                <w:b w:val="1"/>
                <w:bCs w:val="1"/>
                <w:color w:val="auto"/>
                <w:w w:val="99"/>
              </w:rPr>
              <w:t>Three Months Ended</w:t>
            </w:r>
          </w:p>
        </w:tc>
        <w:tc>
          <w:tcPr>
            <w:tcW w:w="100" w:type="dxa"/>
            <w:vAlign w:val="bottom"/>
          </w:tcPr>
          <w:p>
            <w:pPr>
              <w:spacing w:after="0"/>
              <w:rPr>
                <w:sz w:val="14"/>
                <w:szCs w:val="14"/>
                <w:color w:val="auto"/>
              </w:rPr>
            </w:pPr>
          </w:p>
        </w:tc>
        <w:tc>
          <w:tcPr>
            <w:tcW w:w="1480" w:type="dxa"/>
            <w:vAlign w:val="bottom"/>
            <w:gridSpan w:val="6"/>
          </w:tcPr>
          <w:p>
            <w:pPr>
              <w:ind w:left="6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5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820" w:type="dxa"/>
            <w:vAlign w:val="bottom"/>
            <w:gridSpan w:val="6"/>
          </w:tcPr>
          <w:p>
            <w:pPr>
              <w:jc w:val="right"/>
              <w:ind w:right="640"/>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4"/>
                <w:szCs w:val="14"/>
                <w:color w:val="auto"/>
              </w:rPr>
            </w:pPr>
          </w:p>
        </w:tc>
        <w:tc>
          <w:tcPr>
            <w:tcW w:w="1480" w:type="dxa"/>
            <w:vAlign w:val="bottom"/>
            <w:gridSpan w:val="6"/>
          </w:tcPr>
          <w:p>
            <w:pPr>
              <w:ind w:left="24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5520" w:type="dxa"/>
            <w:vAlign w:val="bottom"/>
            <w:tcBorders>
              <w:bottom w:val="single" w:sz="8" w:color="CCEEFF"/>
            </w:tcBorders>
          </w:tcPr>
          <w:p>
            <w:pPr>
              <w:spacing w:after="0"/>
              <w:rPr>
                <w:sz w:val="13"/>
                <w:szCs w:val="13"/>
                <w:color w:val="auto"/>
              </w:rPr>
            </w:pPr>
          </w:p>
        </w:tc>
        <w:tc>
          <w:tcPr>
            <w:tcW w:w="1180" w:type="dxa"/>
            <w:vAlign w:val="bottom"/>
            <w:tcBorders>
              <w:bottom w:val="single" w:sz="8" w:color="CCEEFF"/>
            </w:tcBorders>
          </w:tcPr>
          <w:p>
            <w:pPr>
              <w:spacing w:after="0"/>
              <w:rPr>
                <w:sz w:val="13"/>
                <w:szCs w:val="13"/>
                <w:color w:val="auto"/>
              </w:rPr>
            </w:pPr>
          </w:p>
        </w:tc>
        <w:tc>
          <w:tcPr>
            <w:tcW w:w="560" w:type="dxa"/>
            <w:vAlign w:val="bottom"/>
            <w:tcBorders>
              <w:top w:val="single" w:sz="8" w:color="auto"/>
              <w:bottom w:val="single" w:sz="8" w:color="auto"/>
            </w:tcBorders>
          </w:tcPr>
          <w:p>
            <w:pPr>
              <w:jc w:val="right"/>
              <w:ind w:right="58"/>
              <w:spacing w:after="0" w:line="155" w:lineRule="exact"/>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bottom w:val="single" w:sz="8" w:color="CCEEFF"/>
            </w:tcBorders>
          </w:tcPr>
          <w:p>
            <w:pPr>
              <w:spacing w:after="0"/>
              <w:rPr>
                <w:sz w:val="13"/>
                <w:szCs w:val="13"/>
                <w:color w:val="auto"/>
              </w:rPr>
            </w:pPr>
          </w:p>
        </w:tc>
        <w:tc>
          <w:tcPr>
            <w:tcW w:w="180" w:type="dxa"/>
            <w:vAlign w:val="bottom"/>
            <w:tcBorders>
              <w:top w:val="single" w:sz="8" w:color="auto"/>
              <w:bottom w:val="single" w:sz="8" w:color="CCEEFF"/>
            </w:tcBorders>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460" w:type="dxa"/>
            <w:vAlign w:val="bottom"/>
            <w:tcBorders>
              <w:top w:val="single" w:sz="8" w:color="auto"/>
              <w:bottom w:val="single" w:sz="8" w:color="auto"/>
            </w:tcBorders>
          </w:tcPr>
          <w:p>
            <w:pPr>
              <w:jc w:val="right"/>
              <w:ind w:right="53"/>
              <w:spacing w:after="0" w:line="155" w:lineRule="exact"/>
              <w:rPr>
                <w:sz w:val="20"/>
                <w:szCs w:val="20"/>
                <w:color w:val="auto"/>
              </w:rPr>
            </w:pPr>
            <w:r>
              <w:rPr>
                <w:rFonts w:ascii="Arial" w:cs="Arial" w:eastAsia="Arial" w:hAnsi="Arial"/>
                <w:sz w:val="14"/>
                <w:szCs w:val="14"/>
                <w:b w:val="1"/>
                <w:bCs w:val="1"/>
                <w:color w:val="auto"/>
                <w:w w:val="96"/>
              </w:rPr>
              <w:t>2020</w:t>
            </w:r>
          </w:p>
        </w:tc>
        <w:tc>
          <w:tcPr>
            <w:tcW w:w="340" w:type="dxa"/>
            <w:vAlign w:val="bottom"/>
            <w:tcBorders>
              <w:bottom w:val="single" w:sz="8" w:color="CCEEFF"/>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500" w:type="dxa"/>
            <w:vAlign w:val="bottom"/>
            <w:tcBorders>
              <w:top w:val="single" w:sz="8" w:color="auto"/>
              <w:bottom w:val="single" w:sz="8" w:color="auto"/>
            </w:tcBorders>
          </w:tcPr>
          <w:p>
            <w:pPr>
              <w:ind w:left="60"/>
              <w:spacing w:after="0" w:line="155" w:lineRule="exact"/>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bottom w:val="single" w:sz="8" w:color="CCEEFF"/>
            </w:tcBorders>
          </w:tcPr>
          <w:p>
            <w:pPr>
              <w:spacing w:after="0"/>
              <w:rPr>
                <w:sz w:val="13"/>
                <w:szCs w:val="13"/>
                <w:color w:val="auto"/>
              </w:rPr>
            </w:pPr>
          </w:p>
        </w:tc>
        <w:tc>
          <w:tcPr>
            <w:tcW w:w="180" w:type="dxa"/>
            <w:vAlign w:val="bottom"/>
            <w:tcBorders>
              <w:top w:val="single" w:sz="8" w:color="auto"/>
              <w:bottom w:val="single" w:sz="8" w:color="CCEEFF"/>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500" w:type="dxa"/>
            <w:vAlign w:val="bottom"/>
            <w:tcBorders>
              <w:top w:val="single" w:sz="8" w:color="auto"/>
              <w:bottom w:val="single" w:sz="8" w:color="auto"/>
            </w:tcBorders>
          </w:tcPr>
          <w:p>
            <w:pPr>
              <w:jc w:val="right"/>
              <w:ind w:right="73"/>
              <w:spacing w:after="0" w:line="155" w:lineRule="exact"/>
              <w:rPr>
                <w:sz w:val="20"/>
                <w:szCs w:val="20"/>
                <w:color w:val="auto"/>
              </w:rPr>
            </w:pPr>
            <w:r>
              <w:rPr>
                <w:rFonts w:ascii="Arial" w:cs="Arial" w:eastAsia="Arial" w:hAnsi="Arial"/>
                <w:sz w:val="14"/>
                <w:szCs w:val="14"/>
                <w:b w:val="1"/>
                <w:bCs w:val="1"/>
                <w:color w:val="auto"/>
              </w:rPr>
              <w:t>2020</w:t>
            </w:r>
          </w:p>
        </w:tc>
        <w:tc>
          <w:tcPr>
            <w:tcW w:w="4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20" w:type="dxa"/>
            <w:vAlign w:val="bottom"/>
            <w:shd w:val="clear" w:color="auto" w:fill="CCEEFF"/>
          </w:tcPr>
          <w:p>
            <w:pPr>
              <w:spacing w:after="0"/>
              <w:rPr>
                <w:sz w:val="20"/>
                <w:szCs w:val="20"/>
                <w:color w:val="auto"/>
              </w:rPr>
            </w:pPr>
            <w:r>
              <w:rPr>
                <w:rFonts w:ascii="Arial" w:cs="Arial" w:eastAsia="Arial" w:hAnsi="Arial"/>
                <w:sz w:val="18"/>
                <w:szCs w:val="18"/>
                <w:color w:val="auto"/>
              </w:rPr>
              <w:t>Stock-based compensation expense by type of award:</w:t>
            </w:r>
          </w:p>
        </w:tc>
        <w:tc>
          <w:tcPr>
            <w:tcW w:w="1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20" w:type="dxa"/>
            <w:vAlign w:val="bottom"/>
          </w:tcPr>
          <w:p>
            <w:pPr>
              <w:ind w:left="340"/>
              <w:spacing w:after="0"/>
              <w:rPr>
                <w:sz w:val="20"/>
                <w:szCs w:val="20"/>
                <w:color w:val="auto"/>
              </w:rPr>
            </w:pPr>
            <w:r>
              <w:rPr>
                <w:rFonts w:ascii="Arial" w:cs="Arial" w:eastAsia="Arial" w:hAnsi="Arial"/>
                <w:sz w:val="18"/>
                <w:szCs w:val="18"/>
                <w:color w:val="auto"/>
              </w:rPr>
              <w:t>Stock options</w:t>
            </w:r>
          </w:p>
        </w:tc>
        <w:tc>
          <w:tcPr>
            <w:tcW w:w="118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89"/>
              </w:rPr>
              <w:t>$ 6,241</w:t>
            </w:r>
          </w:p>
        </w:tc>
        <w:tc>
          <w:tcPr>
            <w:tcW w:w="160" w:type="dxa"/>
            <w:vAlign w:val="bottom"/>
          </w:tcPr>
          <w:p>
            <w:pPr>
              <w:spacing w:after="0"/>
              <w:rPr>
                <w:sz w:val="18"/>
                <w:szCs w:val="18"/>
                <w:color w:val="auto"/>
              </w:rPr>
            </w:pPr>
          </w:p>
        </w:tc>
        <w:tc>
          <w:tcPr>
            <w:tcW w:w="3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340"/>
              <w:spacing w:after="0"/>
              <w:rPr>
                <w:sz w:val="20"/>
                <w:szCs w:val="20"/>
                <w:color w:val="auto"/>
              </w:rPr>
            </w:pPr>
            <w:r>
              <w:rPr>
                <w:rFonts w:ascii="Arial" w:cs="Arial" w:eastAsia="Arial" w:hAnsi="Arial"/>
                <w:sz w:val="18"/>
                <w:szCs w:val="18"/>
                <w:color w:val="auto"/>
                <w:w w:val="97"/>
              </w:rPr>
              <w:t>5,061</w:t>
            </w: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w w:val="87"/>
              </w:rPr>
              <w:t>20,517</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540" w:type="dxa"/>
            <w:vAlign w:val="bottom"/>
            <w:gridSpan w:val="2"/>
          </w:tcPr>
          <w:p>
            <w:pPr>
              <w:jc w:val="right"/>
              <w:ind w:right="40"/>
              <w:spacing w:after="0"/>
              <w:rPr>
                <w:sz w:val="20"/>
                <w:szCs w:val="20"/>
                <w:color w:val="auto"/>
              </w:rPr>
            </w:pPr>
            <w:r>
              <w:rPr>
                <w:rFonts w:ascii="Arial" w:cs="Arial" w:eastAsia="Arial" w:hAnsi="Arial"/>
                <w:sz w:val="18"/>
                <w:szCs w:val="18"/>
                <w:color w:val="auto"/>
                <w:w w:val="87"/>
              </w:rPr>
              <w:t>15,596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5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20" w:type="dxa"/>
            <w:vAlign w:val="bottom"/>
            <w:shd w:val="clear" w:color="auto" w:fill="CCEEFF"/>
          </w:tcPr>
          <w:p>
            <w:pPr>
              <w:spacing w:after="0"/>
              <w:rPr>
                <w:sz w:val="20"/>
                <w:szCs w:val="20"/>
                <w:color w:val="auto"/>
              </w:rPr>
            </w:pPr>
            <w:r>
              <w:rPr>
                <w:rFonts w:ascii="Arial" w:cs="Arial" w:eastAsia="Arial" w:hAnsi="Arial"/>
                <w:sz w:val="18"/>
                <w:szCs w:val="18"/>
                <w:color w:val="auto"/>
              </w:rPr>
              <w:t>Total stock-based compensation expense</w:t>
            </w:r>
          </w:p>
        </w:tc>
        <w:tc>
          <w:tcPr>
            <w:tcW w:w="11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$ 6,241</w:t>
            </w:r>
          </w:p>
        </w:tc>
        <w:tc>
          <w:tcPr>
            <w:tcW w:w="16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97"/>
              </w:rPr>
              <w:t>5,061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7"/>
              </w:rPr>
              <w:t>20,517</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5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7"/>
              </w:rPr>
              <w:t>15,596</w:t>
            </w:r>
          </w:p>
        </w:tc>
        <w:tc>
          <w:tcPr>
            <w:tcW w:w="0" w:type="dxa"/>
            <w:vAlign w:val="bottom"/>
          </w:tcPr>
          <w:p>
            <w:pPr>
              <w:spacing w:after="0"/>
              <w:rPr>
                <w:sz w:val="1"/>
                <w:szCs w:val="1"/>
                <w:color w:val="auto"/>
              </w:rPr>
            </w:pPr>
          </w:p>
        </w:tc>
      </w:tr>
      <w:tr>
        <w:trPr>
          <w:trHeight w:val="20"/>
        </w:trPr>
        <w:tc>
          <w:tcPr>
            <w:tcW w:w="5540" w:type="dxa"/>
            <w:vAlign w:val="bottom"/>
            <w:gridSpan w:val="2"/>
            <w:vMerge w:val="restart"/>
          </w:tcPr>
          <w:p>
            <w:pPr>
              <w:spacing w:after="0"/>
              <w:rPr>
                <w:sz w:val="20"/>
                <w:szCs w:val="20"/>
                <w:color w:val="auto"/>
              </w:rPr>
            </w:pPr>
            <w:r>
              <w:rPr>
                <w:rFonts w:ascii="Arial" w:cs="Arial" w:eastAsia="Arial" w:hAnsi="Arial"/>
                <w:sz w:val="18"/>
                <w:szCs w:val="18"/>
                <w:color w:val="auto"/>
              </w:rPr>
              <w:t>Effect of stock-based compensation expense by line item:</w:t>
            </w:r>
          </w:p>
        </w:tc>
        <w:tc>
          <w:tcPr>
            <w:tcW w:w="118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540" w:type="dxa"/>
            <w:vAlign w:val="bottom"/>
            <w:gridSpan w:val="2"/>
            <w:vMerge w:val="continue"/>
          </w:tcPr>
          <w:p>
            <w:pPr>
              <w:spacing w:after="0"/>
              <w:rPr>
                <w:sz w:val="18"/>
                <w:szCs w:val="18"/>
                <w:color w:val="auto"/>
              </w:rPr>
            </w:pPr>
          </w:p>
        </w:tc>
        <w:tc>
          <w:tcPr>
            <w:tcW w:w="1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Research and development</w:t>
            </w:r>
          </w:p>
        </w:tc>
        <w:tc>
          <w:tcPr>
            <w:tcW w:w="19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$ 2,622</w:t>
            </w:r>
          </w:p>
        </w:tc>
        <w:tc>
          <w:tcPr>
            <w:tcW w:w="3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97"/>
              </w:rPr>
              <w:t>2,266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8,120</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6,633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20" w:type="dxa"/>
            <w:vAlign w:val="bottom"/>
          </w:tcPr>
          <w:p>
            <w:pPr>
              <w:ind w:left="340"/>
              <w:spacing w:after="0"/>
              <w:rPr>
                <w:sz w:val="20"/>
                <w:szCs w:val="20"/>
                <w:color w:val="auto"/>
              </w:rPr>
            </w:pPr>
            <w:r>
              <w:rPr>
                <w:rFonts w:ascii="Arial" w:cs="Arial" w:eastAsia="Arial" w:hAnsi="Arial"/>
                <w:sz w:val="18"/>
                <w:szCs w:val="18"/>
                <w:color w:val="auto"/>
              </w:rPr>
              <w:t>General and administrative</w:t>
            </w:r>
          </w:p>
        </w:tc>
        <w:tc>
          <w:tcPr>
            <w:tcW w:w="118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3,619</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340"/>
              <w:spacing w:after="0"/>
              <w:rPr>
                <w:sz w:val="20"/>
                <w:szCs w:val="20"/>
                <w:color w:val="auto"/>
              </w:rPr>
            </w:pPr>
            <w:r>
              <w:rPr>
                <w:rFonts w:ascii="Arial" w:cs="Arial" w:eastAsia="Arial" w:hAnsi="Arial"/>
                <w:sz w:val="18"/>
                <w:szCs w:val="18"/>
                <w:color w:val="auto"/>
                <w:w w:val="97"/>
              </w:rPr>
              <w:t>2,795</w:t>
            </w:r>
          </w:p>
        </w:tc>
        <w:tc>
          <w:tcPr>
            <w:tcW w:w="100" w:type="dxa"/>
            <w:vAlign w:val="bottom"/>
          </w:tcPr>
          <w:p>
            <w:pPr>
              <w:spacing w:after="0"/>
              <w:rPr>
                <w:sz w:val="18"/>
                <w:szCs w:val="18"/>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w w:val="87"/>
              </w:rPr>
              <w:t>12,397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40"/>
              <w:spacing w:after="0"/>
              <w:rPr>
                <w:sz w:val="20"/>
                <w:szCs w:val="20"/>
                <w:color w:val="auto"/>
              </w:rPr>
            </w:pPr>
            <w:r>
              <w:rPr>
                <w:rFonts w:ascii="Arial" w:cs="Arial" w:eastAsia="Arial" w:hAnsi="Arial"/>
                <w:sz w:val="18"/>
                <w:szCs w:val="18"/>
                <w:color w:val="auto"/>
              </w:rPr>
              <w:t>8,963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5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20" w:type="dxa"/>
            <w:vAlign w:val="bottom"/>
            <w:shd w:val="clear" w:color="auto" w:fill="CCEEFF"/>
          </w:tcPr>
          <w:p>
            <w:pPr>
              <w:spacing w:after="0"/>
              <w:rPr>
                <w:sz w:val="20"/>
                <w:szCs w:val="20"/>
                <w:color w:val="auto"/>
              </w:rPr>
            </w:pPr>
            <w:r>
              <w:rPr>
                <w:rFonts w:ascii="Arial" w:cs="Arial" w:eastAsia="Arial" w:hAnsi="Arial"/>
                <w:sz w:val="18"/>
                <w:szCs w:val="18"/>
                <w:color w:val="auto"/>
              </w:rPr>
              <w:t>Total stock-based compensation expense included in net loss</w:t>
            </w:r>
          </w:p>
        </w:tc>
        <w:tc>
          <w:tcPr>
            <w:tcW w:w="11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$ 6,241</w:t>
            </w:r>
          </w:p>
        </w:tc>
        <w:tc>
          <w:tcPr>
            <w:tcW w:w="16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97"/>
              </w:rPr>
              <w:t>5,061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7"/>
              </w:rPr>
              <w:t>20,517</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5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7"/>
              </w:rPr>
              <w:t>15,596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5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both"/>
        <w:ind w:left="120" w:right="420"/>
        <w:spacing w:after="0" w:line="277" w:lineRule="auto"/>
        <w:rPr>
          <w:sz w:val="20"/>
          <w:szCs w:val="20"/>
          <w:color w:val="auto"/>
        </w:rPr>
      </w:pPr>
      <w:r>
        <w:rPr>
          <w:rFonts w:ascii="Arial" w:cs="Arial" w:eastAsia="Arial" w:hAnsi="Arial"/>
          <w:sz w:val="18"/>
          <w:szCs w:val="18"/>
          <w:color w:val="auto"/>
        </w:rPr>
        <w:t>Unrecognized stock-based compensation expense on stock options as of September 30, 2021 was $52.6 million with a weighted average remaining period of 2.85 years.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8. Commitments and Contingencies</w:t>
      </w:r>
    </w:p>
    <w:p>
      <w:pPr>
        <w:spacing w:after="0" w:line="121" w:lineRule="exact"/>
        <w:rPr>
          <w:sz w:val="20"/>
          <w:szCs w:val="20"/>
          <w:color w:val="auto"/>
        </w:rPr>
      </w:pPr>
    </w:p>
    <w:p>
      <w:pPr>
        <w:ind w:left="120" w:right="120"/>
        <w:spacing w:after="0" w:line="293" w:lineRule="auto"/>
        <w:rPr>
          <w:sz w:val="20"/>
          <w:szCs w:val="20"/>
          <w:color w:val="auto"/>
        </w:rPr>
      </w:pPr>
      <w:r>
        <w:rPr>
          <w:rFonts w:ascii="Arial" w:cs="Arial" w:eastAsia="Arial" w:hAnsi="Arial"/>
          <w:sz w:val="16"/>
          <w:szCs w:val="16"/>
          <w:color w:val="auto"/>
        </w:rPr>
        <w:t>The Company has a Research, Development and Commercialization Agreement with Hoffmann-La Roche (“Roche”) which grants the Company a sole and exclusive license to develop, use, sell, offer for sale and import any Licensed Product as defined by the agreement. The agreement requires future milestone payments to Roche. Remaining milestones under the agreement total $8 million and are earned by achieving specified objectives related to future regulatory approval in the United States and Europe of a product developed from resmetirom. A single-digit royalty payment range is based on net sales of products developed from resmetirom, subject to certain reductions. The Company has not achieved any additional product development or regulatory milestones and had no Licensed Product sales for the nine months ended September 30, 2021 and 2020.</w:t>
      </w:r>
    </w:p>
    <w:p>
      <w:pPr>
        <w:spacing w:after="0" w:line="16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Company has entered into customary contractual arrangements and letters of intent in support of its Phase 3 clinical trials.</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9. Subsequent Event</w:t>
      </w:r>
    </w:p>
    <w:p>
      <w:pPr>
        <w:spacing w:after="0" w:line="121" w:lineRule="exact"/>
        <w:rPr>
          <w:sz w:val="20"/>
          <w:szCs w:val="20"/>
          <w:color w:val="auto"/>
        </w:rPr>
      </w:pPr>
    </w:p>
    <w:p>
      <w:pPr>
        <w:ind w:left="120" w:right="40"/>
        <w:spacing w:after="0" w:line="279" w:lineRule="auto"/>
        <w:rPr>
          <w:sz w:val="20"/>
          <w:szCs w:val="20"/>
          <w:color w:val="auto"/>
        </w:rPr>
      </w:pPr>
      <w:r>
        <w:rPr>
          <w:rFonts w:ascii="Arial" w:cs="Arial" w:eastAsia="Arial" w:hAnsi="Arial"/>
          <w:sz w:val="17"/>
          <w:szCs w:val="17"/>
          <w:color w:val="auto"/>
        </w:rPr>
        <w:t>Since the end of the third quarter through November 2, 2021, the Company sold 236,879 shares under the 2021 Sales Agreement (described in Note 6) for an aggregate of approximately $19.4 million in gross proceeds. Net proceeds to the Company were approximately $19.0 million after deducting commissions and other transaction costs. After giving effect to such sales as of November 2, 2021, approximately $159.2 million remained reserved and available for sale under the 2021 Sales Agreement and the Company’s related prospectus supplement.</w:t>
      </w:r>
    </w:p>
    <w:p>
      <w:pPr>
        <w:spacing w:after="0" w:line="10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120"/>
          </w:cols>
          <w:pgMar w:left="320" w:top="486" w:right="4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21" w:lineRule="exact"/>
        <w:rPr>
          <w:sz w:val="20"/>
          <w:szCs w:val="20"/>
          <w:color w:val="auto"/>
        </w:rPr>
      </w:pPr>
    </w:p>
    <w:p>
      <w:pPr>
        <w:ind w:left="120" w:right="60"/>
        <w:spacing w:after="0" w:line="254" w:lineRule="auto"/>
        <w:rPr>
          <w:sz w:val="20"/>
          <w:szCs w:val="20"/>
          <w:color w:val="auto"/>
        </w:rPr>
      </w:pPr>
      <w:r>
        <w:rPr>
          <w:rFonts w:ascii="Arial" w:cs="Arial" w:eastAsia="Arial" w:hAnsi="Arial"/>
          <w:sz w:val="18"/>
          <w:szCs w:val="18"/>
          <w:color w:val="auto"/>
        </w:rPr>
        <w:t>This Quarterly Report on Form 10-Q includes “forward-looking statements” made pursuant to the safe harbor provisions of the Private Securities Litigation Reform Act of 1995, that are based on our beliefs and assumptions and on information currently available to us, but are subject to factors beyond our control. Forward-looking statements: reflect management’s current knowledge, assumptions, judgment and expectations regarding future performance or events; include all statements that are not historical facts; and can be identified by terms such as “allow,” “anticipates,” “appear,” “be,” “believes,” “continue,” “could,” “demonstrates,” ”design,” “estimates,” “expects,” “forecasts,” “future,” “help,” “hopeful,” “inform,” “goal,” “intends,” “may,” “might,” “plans,” “potential,” “predicts,” ”predictive,” “projects,” “seeks,” “should,” “will,” “will achieve,” “would” or similar expressions and the negatives of those terms. In particular, forward-looking statements contained in or incorporated by reference to this Quarterly Report relate to, among other things,</w:t>
      </w:r>
    </w:p>
    <w:p>
      <w:pPr>
        <w:spacing w:after="0" w:line="97" w:lineRule="exact"/>
        <w:rPr>
          <w:sz w:val="20"/>
          <w:szCs w:val="20"/>
          <w:color w:val="auto"/>
        </w:rPr>
      </w:pPr>
    </w:p>
    <w:p>
      <w:pPr>
        <w:ind w:left="1080" w:right="2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Anticipated or estimated future results, including the risks and uncertainties associated with our future operating performance and financial position,</w:t>
      </w:r>
    </w:p>
    <w:p>
      <w:pPr>
        <w:spacing w:after="0" w:line="75" w:lineRule="exact"/>
        <w:rPr>
          <w:rFonts w:ascii="Arial" w:cs="Arial" w:eastAsia="Arial" w:hAnsi="Arial"/>
          <w:sz w:val="18"/>
          <w:szCs w:val="18"/>
          <w:color w:val="auto"/>
        </w:rPr>
      </w:pPr>
    </w:p>
    <w:p>
      <w:pPr>
        <w:ind w:left="1080" w:right="260" w:hanging="424"/>
        <w:spacing w:after="0" w:line="342" w:lineRule="auto"/>
        <w:tabs>
          <w:tab w:leader="none" w:pos="1080" w:val="left"/>
        </w:tabs>
        <w:numPr>
          <w:ilvl w:val="0"/>
          <w:numId w:val="6"/>
        </w:numPr>
        <w:rPr>
          <w:rFonts w:ascii="Arial" w:cs="Arial" w:eastAsia="Arial" w:hAnsi="Arial"/>
          <w:sz w:val="16"/>
          <w:szCs w:val="16"/>
          <w:color w:val="auto"/>
        </w:rPr>
      </w:pPr>
      <w:r>
        <w:rPr>
          <w:rFonts w:ascii="Arial" w:cs="Arial" w:eastAsia="Arial" w:hAnsi="Arial"/>
          <w:sz w:val="16"/>
          <w:szCs w:val="16"/>
          <w:color w:val="auto"/>
        </w:rPr>
        <w:t>Our possible or assumed future results of operations and expenses, business strategies and plans (including ex-U.S. launch/partnering plans), capital needs and financing plans, market trends, competitive position, industry environment and potential growth opportunities,</w:t>
      </w:r>
    </w:p>
    <w:p>
      <w:pPr>
        <w:spacing w:after="0" w:line="29" w:lineRule="exact"/>
        <w:rPr>
          <w:rFonts w:ascii="Arial" w:cs="Arial" w:eastAsia="Arial" w:hAnsi="Arial"/>
          <w:sz w:val="16"/>
          <w:szCs w:val="16"/>
          <w:color w:val="auto"/>
        </w:rPr>
      </w:pPr>
    </w:p>
    <w:p>
      <w:pPr>
        <w:ind w:left="1080" w:right="48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clinical trials, research and development activities, and the timing and results associated with the future development of our lead product candidate, MGL-3196 (resmetirom), including sector leadership,</w:t>
      </w:r>
    </w:p>
    <w:p>
      <w:pPr>
        <w:spacing w:after="0" w:line="75" w:lineRule="exact"/>
        <w:rPr>
          <w:rFonts w:ascii="Arial" w:cs="Arial" w:eastAsia="Arial" w:hAnsi="Arial"/>
          <w:sz w:val="18"/>
          <w:szCs w:val="18"/>
          <w:color w:val="auto"/>
        </w:rPr>
      </w:pPr>
    </w:p>
    <w:p>
      <w:pPr>
        <w:ind w:left="1080" w:right="54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timing and completion of projected 2021 and 2022 clinical milestone events, including enrollment, top-line data and open label projections,</w:t>
      </w:r>
    </w:p>
    <w:p>
      <w:pPr>
        <w:spacing w:after="0" w:line="75" w:lineRule="exact"/>
        <w:rPr>
          <w:rFonts w:ascii="Arial" w:cs="Arial" w:eastAsia="Arial" w:hAnsi="Arial"/>
          <w:sz w:val="18"/>
          <w:szCs w:val="18"/>
          <w:color w:val="auto"/>
        </w:rPr>
      </w:pPr>
    </w:p>
    <w:p>
      <w:pPr>
        <w:ind w:left="1080" w:right="180" w:hanging="424"/>
        <w:spacing w:after="0" w:line="342" w:lineRule="auto"/>
        <w:tabs>
          <w:tab w:leader="none" w:pos="1080" w:val="left"/>
        </w:tabs>
        <w:numPr>
          <w:ilvl w:val="0"/>
          <w:numId w:val="6"/>
        </w:numPr>
        <w:rPr>
          <w:rFonts w:ascii="Arial" w:cs="Arial" w:eastAsia="Arial" w:hAnsi="Arial"/>
          <w:sz w:val="16"/>
          <w:szCs w:val="16"/>
          <w:color w:val="auto"/>
        </w:rPr>
      </w:pPr>
      <w:r>
        <w:rPr>
          <w:rFonts w:ascii="Arial" w:cs="Arial" w:eastAsia="Arial" w:hAnsi="Arial"/>
          <w:sz w:val="16"/>
          <w:szCs w:val="16"/>
          <w:color w:val="auto"/>
        </w:rPr>
        <w:t>Our primary and secondary study endpoints for resmetirom, and the potential for achieving such endpoints and projections, including non-alcoholic steatohepatitis (“NASH”) resolution, safety, fibrosis treatment, cardiovascular effects and lipid treatment with resmetirom,</w:t>
      </w:r>
    </w:p>
    <w:p>
      <w:pPr>
        <w:spacing w:after="0" w:line="29" w:lineRule="exact"/>
        <w:rPr>
          <w:rFonts w:ascii="Arial" w:cs="Arial" w:eastAsia="Arial" w:hAnsi="Arial"/>
          <w:sz w:val="16"/>
          <w:szCs w:val="16"/>
          <w:color w:val="auto"/>
        </w:rPr>
      </w:pPr>
    </w:p>
    <w:p>
      <w:pPr>
        <w:ind w:left="1080" w:right="30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Optimal dosing levels for resmetirom and projections regarding potential NASH or nonalcoholic fatty liver disease (“NAFLD”) patient benefits with resmetirom,</w:t>
      </w:r>
    </w:p>
    <w:p>
      <w:pPr>
        <w:spacing w:after="0" w:line="75" w:lineRule="exact"/>
        <w:rPr>
          <w:rFonts w:ascii="Arial" w:cs="Arial" w:eastAsia="Arial" w:hAnsi="Arial"/>
          <w:sz w:val="18"/>
          <w:szCs w:val="18"/>
          <w:color w:val="auto"/>
        </w:rPr>
      </w:pPr>
    </w:p>
    <w:p>
      <w:pPr>
        <w:ind w:left="1080" w:right="14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predictive power of resmetirom liver fat reduction on NASH resolution with fibrosis reduction or improvement, and potential NASH or NAFLD patient risk profile benefits with resmetirom,</w:t>
      </w:r>
    </w:p>
    <w:p>
      <w:pPr>
        <w:spacing w:after="0" w:line="75" w:lineRule="exact"/>
        <w:rPr>
          <w:rFonts w:ascii="Arial" w:cs="Arial" w:eastAsia="Arial" w:hAnsi="Arial"/>
          <w:sz w:val="18"/>
          <w:szCs w:val="18"/>
          <w:color w:val="auto"/>
        </w:rPr>
      </w:pPr>
    </w:p>
    <w:p>
      <w:pPr>
        <w:ind w:left="1080" w:right="24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predictive power of liver fibrosis reduction with resmetirom using non-invasive tests and the predictive power of non-invasive tests generally, including for purposes of recruiting and conducting a NASH clinical trial,</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Market demand for and acceptance of our products,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Research, development and commercialization of new products,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Obtaining and maintaining regulatory approvals, including, but not limited to, potential regulatory delays or rejections,</w:t>
      </w:r>
    </w:p>
    <w:p>
      <w:pPr>
        <w:spacing w:after="0" w:line="130" w:lineRule="exact"/>
        <w:rPr>
          <w:rFonts w:ascii="Arial" w:cs="Arial" w:eastAsia="Arial" w:hAnsi="Arial"/>
          <w:sz w:val="18"/>
          <w:szCs w:val="18"/>
          <w:color w:val="auto"/>
        </w:rPr>
      </w:pPr>
    </w:p>
    <w:p>
      <w:pPr>
        <w:ind w:left="1080" w:hanging="424"/>
        <w:spacing w:after="0" w:line="259"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Risks associated with meeting the objectives of our clinical studies, including, but not limited to our ability to achieve enrollment objectives concerning patient numbers (including an adequate safety database) and/or timing for our studies, any delays or failures in enrollment, the occurrence of adverse safety events, and the risks of successfully conducting trials that are substantially larger than our past trials,</w:t>
      </w:r>
    </w:p>
    <w:p>
      <w:pPr>
        <w:spacing w:after="0" w:line="92" w:lineRule="exact"/>
        <w:rPr>
          <w:rFonts w:ascii="Arial" w:cs="Arial" w:eastAsia="Arial" w:hAnsi="Arial"/>
          <w:sz w:val="18"/>
          <w:szCs w:val="18"/>
          <w:color w:val="auto"/>
        </w:rPr>
      </w:pPr>
    </w:p>
    <w:p>
      <w:pPr>
        <w:ind w:left="1080" w:right="8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Risks related to our ability to accomplish our business development objectives and realize the anticipated benefit of any such transactions, and</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Assumptions underlying any of the foregoing.</w:t>
      </w:r>
    </w:p>
    <w:p>
      <w:pPr>
        <w:spacing w:after="0" w:line="225" w:lineRule="exact"/>
        <w:rPr>
          <w:sz w:val="20"/>
          <w:szCs w:val="20"/>
          <w:color w:val="auto"/>
        </w:rPr>
      </w:pPr>
    </w:p>
    <w:p>
      <w:pPr>
        <w:ind w:left="120" w:right="80"/>
        <w:spacing w:after="0" w:line="311" w:lineRule="auto"/>
        <w:rPr>
          <w:sz w:val="20"/>
          <w:szCs w:val="20"/>
          <w:color w:val="auto"/>
        </w:rPr>
      </w:pPr>
      <w:r>
        <w:rPr>
          <w:rFonts w:ascii="Arial" w:cs="Arial" w:eastAsia="Arial" w:hAnsi="Arial"/>
          <w:sz w:val="16"/>
          <w:szCs w:val="16"/>
          <w:color w:val="auto"/>
        </w:rPr>
        <w:t>We caution you that the foregoing list may not include all of the forward-looking statements made in this Quarterly Report. Although management presently believes that the expectations reflected in such forward-looking statements are reasonable, it can give no assurance that such expectations will prove to be correct and you should be aware that actual results could differ materially from those contained in the forward-looking statements.</w:t>
      </w:r>
    </w:p>
    <w:p>
      <w:pPr>
        <w:spacing w:after="0" w:line="149" w:lineRule="exact"/>
        <w:rPr>
          <w:sz w:val="20"/>
          <w:szCs w:val="20"/>
          <w:color w:val="auto"/>
        </w:rPr>
      </w:pPr>
    </w:p>
    <w:p>
      <w:pPr>
        <w:ind w:left="120"/>
        <w:spacing w:after="0" w:line="269" w:lineRule="auto"/>
        <w:rPr>
          <w:sz w:val="20"/>
          <w:szCs w:val="20"/>
          <w:color w:val="auto"/>
        </w:rPr>
      </w:pPr>
      <w:r>
        <w:rPr>
          <w:rFonts w:ascii="Arial" w:cs="Arial" w:eastAsia="Arial" w:hAnsi="Arial"/>
          <w:sz w:val="17"/>
          <w:szCs w:val="17"/>
          <w:color w:val="auto"/>
        </w:rPr>
        <w:t>Forward-looking statements are subject to a number of risks and uncertainties including, but not limited to: our clinical development of resmetirom; enrollment uncertainties, generally and in relation to COVID-19 shelter-in-place and social distancing measures and individual precautionary measures that may be implemented or continued for an uncertain period of time; outcomes or trends from competitive studies; future topline data timing or results; the risks of achieving potential benefits in studies that includes substantially more patients than our prior studies; the timing and outcomes of clinical studies of resmetirom; and the uncertainties inherent in clinical testing. Undue reliance should not be placed on forward-looking statements, which speak only as of the date they are made. Madrigal undertakes no obligation to update any forward-looking statements to reflect new information, events or circumstances after the date they are made, or to reflect the occurrence of unanticipated events. Please refer to Madrigal’s submissions filed or furnished with the U.S. Securities and Exchange Commission for more detailed information regarding these risks and uncertainties and other factors that may cause actual results to differ materially from those expressed or implied. We specifically discuss these risks and uncertainties in greater detail in the section appearing in Part I, Item 1A of our Annual Report on Form 10-K for the year ended December 31, 2020, filed with the SEC on February 25, 2021, as well as in our other filings with the SEC. You should read the 2020 Annual Report on Form 10-K, this Quarterly Report, and the other documents that we file or have</w:t>
      </w:r>
    </w:p>
    <w:p>
      <w:pPr>
        <w:sectPr>
          <w:pgSz w:w="11900" w:h="16838" w:orient="portrait"/>
          <w:cols w:equalWidth="0" w:num="1">
            <w:col w:w="11120"/>
          </w:cols>
          <w:pgMar w:left="320" w:top="486" w:right="459" w:bottom="1440" w:gutter="0" w:footer="0" w:header="0"/>
        </w:sectPr>
      </w:pPr>
    </w:p>
    <w:p>
      <w:pPr>
        <w:spacing w:after="0" w:line="111" w:lineRule="exact"/>
        <w:rPr>
          <w:sz w:val="20"/>
          <w:szCs w:val="20"/>
          <w:color w:val="auto"/>
        </w:rPr>
      </w:pPr>
    </w:p>
    <w:p>
      <w:pPr>
        <w:jc w:val="center"/>
        <w:ind w:right="-139"/>
        <w:spacing w:after="0"/>
        <w:rPr>
          <w:sz w:val="20"/>
          <w:szCs w:val="20"/>
          <w:color w:val="auto"/>
        </w:rPr>
      </w:pPr>
      <w:r>
        <w:rPr>
          <w:rFonts w:ascii="Arial" w:cs="Arial" w:eastAsia="Arial" w:hAnsi="Arial"/>
          <w:sz w:val="16"/>
          <w:szCs w:val="16"/>
          <w:color w:val="auto"/>
        </w:rPr>
        <w:t>14</w:t>
      </w:r>
    </w:p>
    <w:p>
      <w:pPr>
        <w:sectPr>
          <w:pgSz w:w="11900" w:h="16838" w:orient="portrait"/>
          <w:cols w:equalWidth="0" w:num="1">
            <w:col w:w="11120"/>
          </w:cols>
          <w:pgMar w:left="320" w:top="486" w:right="459" w:bottom="1440" w:gutter="0" w:footer="0" w:header="0"/>
          <w:type w:val="continuous"/>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20"/>
        <w:spacing w:after="0" w:line="257" w:lineRule="auto"/>
        <w:rPr>
          <w:sz w:val="20"/>
          <w:szCs w:val="20"/>
          <w:color w:val="auto"/>
        </w:rPr>
      </w:pPr>
      <w:r>
        <w:rPr>
          <w:rFonts w:ascii="Arial" w:cs="Arial" w:eastAsia="Arial" w:hAnsi="Arial"/>
          <w:sz w:val="18"/>
          <w:szCs w:val="18"/>
          <w:color w:val="auto"/>
        </w:rPr>
        <w:t>filed with the SEC, with the understanding that our actual future results may be materially different from the results expressed or implied by these forward-looking statements. Moreover, we operate in an evolving environment. New risks and uncertainties emerge from time to time and it is not possible for our management to predict all risks and uncertainties, nor can we assess the impact of all factors on our business or the extent to which any factor, or combination of factors, may cause actual future results to be materially different from those expressed or implied by any forward-looking statements.</w:t>
      </w:r>
    </w:p>
    <w:p>
      <w:pPr>
        <w:spacing w:after="0" w:line="161" w:lineRule="exact"/>
        <w:rPr>
          <w:sz w:val="20"/>
          <w:szCs w:val="20"/>
          <w:color w:val="auto"/>
        </w:rPr>
      </w:pPr>
    </w:p>
    <w:p>
      <w:pPr>
        <w:ind w:left="120"/>
        <w:spacing w:after="0" w:line="311" w:lineRule="auto"/>
        <w:rPr>
          <w:sz w:val="20"/>
          <w:szCs w:val="20"/>
          <w:color w:val="auto"/>
        </w:rPr>
      </w:pPr>
      <w:r>
        <w:rPr>
          <w:rFonts w:ascii="Arial" w:cs="Arial" w:eastAsia="Arial" w:hAnsi="Arial"/>
          <w:sz w:val="16"/>
          <w:szCs w:val="16"/>
          <w:color w:val="auto"/>
        </w:rPr>
        <w:t>Except as required by applicable law or the rules of the NASDAQ Stock Market, or NASDAQ, we assume no obligation to update any forward-looking statements publicly, or to update the reasons actual results could differ materially from those anticipated in these forward-looking statements, even if new information becomes available in the future. We qualify all of our forward-looking statements by these cautionary statements.</w:t>
      </w:r>
    </w:p>
    <w:p>
      <w:pPr>
        <w:spacing w:after="0" w:line="200" w:lineRule="exact"/>
        <w:rPr>
          <w:sz w:val="20"/>
          <w:szCs w:val="20"/>
          <w:color w:val="auto"/>
        </w:rPr>
      </w:pPr>
    </w:p>
    <w:p>
      <w:pPr>
        <w:spacing w:after="0" w:line="219"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040"/>
          </w:cols>
          <w:pgMar w:left="320" w:top="486" w:right="5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108" w:lineRule="exact"/>
        <w:rPr>
          <w:sz w:val="20"/>
          <w:szCs w:val="20"/>
          <w:color w:val="auto"/>
        </w:rPr>
      </w:pPr>
    </w:p>
    <w:p>
      <w:pPr>
        <w:ind w:left="120" w:right="40"/>
        <w:spacing w:after="0" w:line="269" w:lineRule="auto"/>
        <w:rPr>
          <w:sz w:val="20"/>
          <w:szCs w:val="20"/>
          <w:color w:val="auto"/>
        </w:rPr>
      </w:pPr>
      <w:r>
        <w:rPr>
          <w:rFonts w:ascii="Arial" w:cs="Arial" w:eastAsia="Arial" w:hAnsi="Arial"/>
          <w:sz w:val="17"/>
          <w:szCs w:val="17"/>
          <w:i w:val="1"/>
          <w:iCs w:val="1"/>
          <w:color w:val="auto"/>
        </w:rPr>
        <w:t>The consolidated financial statements, included elsewhere in this Quarterly Report on Form 10-Q, and this Management’s Discussion and Analysis of Financial Condition and Results of Operations should be read together with our audited financial statements and accompanying notes for year ended December 31, 2020 and the related Management’s Discussion and Analysis of Financial Condition and Results of Operations, both of which are included in our Annual Report on Form 10-K. In addition to historical information, this discussion and analysis contains forward-looking statements within the meaning of Section 27A of the Securities Act of 1933, as amended, or the Securities Act, and Section 21E of the Securities Exchange Act of 1934, as amended, or the Exchange Act, that involve risks and uncertainties, such as statements of our plans, objectives, expectations and intentions. As disclosed in this report, our actual results could differ materially from those discussed in these forward-looking statements. Factors that could cause or contribute to such differences include, but are not limited to, those discussed in “Cautionary Note Regarding Forward-Looking Statements” in this Form 10-Q and in the “Risk Factors” sections contained in Part I, Item 1A of our Annual Report on Form 10-K for the year ended December 31, 2020, filed with the SEC on February 25, 2021. Our operating results are not necessarily indicative of results that may occur for the full fiscal year or any other future period.</w:t>
      </w:r>
    </w:p>
    <w:p>
      <w:pPr>
        <w:spacing w:after="0" w:line="28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About Madrigal Pharmaceuticals, Inc.</w:t>
      </w:r>
    </w:p>
    <w:p>
      <w:pPr>
        <w:spacing w:after="0" w:line="108" w:lineRule="exact"/>
        <w:rPr>
          <w:sz w:val="20"/>
          <w:szCs w:val="20"/>
          <w:color w:val="auto"/>
        </w:rPr>
      </w:pPr>
    </w:p>
    <w:p>
      <w:pPr>
        <w:ind w:left="120" w:right="20"/>
        <w:spacing w:after="0" w:line="279" w:lineRule="auto"/>
        <w:rPr>
          <w:sz w:val="20"/>
          <w:szCs w:val="20"/>
          <w:color w:val="auto"/>
        </w:rPr>
      </w:pPr>
      <w:r>
        <w:rPr>
          <w:rFonts w:ascii="Arial" w:cs="Arial" w:eastAsia="Arial" w:hAnsi="Arial"/>
          <w:sz w:val="17"/>
          <w:szCs w:val="17"/>
          <w:i w:val="1"/>
          <w:iCs w:val="1"/>
          <w:color w:val="auto"/>
        </w:rPr>
        <w:t xml:space="preserve">Our Focus. </w:t>
      </w:r>
      <w:r>
        <w:rPr>
          <w:rFonts w:ascii="Arial" w:cs="Arial" w:eastAsia="Arial" w:hAnsi="Arial"/>
          <w:sz w:val="17"/>
          <w:szCs w:val="17"/>
          <w:color w:val="auto"/>
        </w:rPr>
        <w:t>We are a clinical-stage biopharmaceutical company focused on the development and commercialization of innovative therapeutic candidates</w:t>
      </w:r>
      <w:r>
        <w:rPr>
          <w:rFonts w:ascii="Arial" w:cs="Arial" w:eastAsia="Arial" w:hAnsi="Arial"/>
          <w:sz w:val="17"/>
          <w:szCs w:val="17"/>
          <w:i w:val="1"/>
          <w:iCs w:val="1"/>
          <w:color w:val="auto"/>
        </w:rPr>
        <w:t xml:space="preserve"> </w:t>
      </w:r>
      <w:r>
        <w:rPr>
          <w:rFonts w:ascii="Arial" w:cs="Arial" w:eastAsia="Arial" w:hAnsi="Arial"/>
          <w:sz w:val="17"/>
          <w:szCs w:val="17"/>
          <w:color w:val="auto"/>
        </w:rPr>
        <w:t>for the treatment of cardiovascular, metabolic, and liver diseases. Our lead product candidate, MGL-3196 (resmetirom), is a proprietary, liver-directed, selective thyroid hormone receptor-ß, or THR-ß, agonist being developed as a once-daily oral pill that can potentially be used to treat a number of disease states with high unmet medical need, including non-alcoholic steatohepatitis, or NASH.</w:t>
      </w:r>
    </w:p>
    <w:p>
      <w:pPr>
        <w:spacing w:after="0" w:line="131" w:lineRule="exact"/>
        <w:rPr>
          <w:sz w:val="20"/>
          <w:szCs w:val="20"/>
          <w:color w:val="auto"/>
        </w:rPr>
      </w:pPr>
    </w:p>
    <w:p>
      <w:pPr>
        <w:ind w:left="120"/>
        <w:spacing w:after="0" w:line="289" w:lineRule="auto"/>
        <w:rPr>
          <w:sz w:val="20"/>
          <w:szCs w:val="20"/>
          <w:color w:val="auto"/>
        </w:rPr>
      </w:pPr>
      <w:r>
        <w:rPr>
          <w:rFonts w:ascii="Arial" w:cs="Arial" w:eastAsia="Arial" w:hAnsi="Arial"/>
          <w:sz w:val="16"/>
          <w:szCs w:val="16"/>
          <w:i w:val="1"/>
          <w:iCs w:val="1"/>
          <w:color w:val="auto"/>
        </w:rPr>
        <w:t xml:space="preserve">Our Patient Market Opportunity. </w:t>
      </w:r>
      <w:r>
        <w:rPr>
          <w:rFonts w:ascii="Arial" w:cs="Arial" w:eastAsia="Arial" w:hAnsi="Arial"/>
          <w:sz w:val="16"/>
          <w:szCs w:val="16"/>
          <w:color w:val="auto"/>
        </w:rPr>
        <w:t>NASH is a serious inflammatory form of nonalcoholic fatty liver disease, or NAFLD. NAFLD has become the most</w:t>
      </w:r>
      <w:r>
        <w:rPr>
          <w:rFonts w:ascii="Arial" w:cs="Arial" w:eastAsia="Arial" w:hAnsi="Arial"/>
          <w:sz w:val="16"/>
          <w:szCs w:val="16"/>
          <w:i w:val="1"/>
          <w:iCs w:val="1"/>
          <w:color w:val="auto"/>
        </w:rPr>
        <w:t xml:space="preserve"> </w:t>
      </w:r>
      <w:r>
        <w:rPr>
          <w:rFonts w:ascii="Arial" w:cs="Arial" w:eastAsia="Arial" w:hAnsi="Arial"/>
          <w:sz w:val="16"/>
          <w:szCs w:val="16"/>
          <w:color w:val="auto"/>
        </w:rPr>
        <w:t>common liver disease in the United States and other developed countries and is characterized by an accumulation of fat in the liver with no other apparent causes. NASH can progress to cirrhosis or liver failure, require liver transplantation and can also result in liver cancer. Progression of NASH to end stage liver disease will soon surpass all other causes of liver failure requiring liver transplantation. Importantly, beyond these critical conditions, NASH and NAFLD patients additionally suffer heightened cardiovascular risk and, in fact, die more frequently from cardiovascular events than from liver disease. NASH and NAFLD have grown as a consequence of rising worldwide obesity-related disorders. In 2016, in the United States alone, NAFLD was estimated to affect approximately 26% of the population, or an estimated 85 million people, and approximately 20% of this population was projected to progress from NAFLD to NASH. Current estimates place NASH prevalence at approximately 17 million people in the United States, or five percent of the population. Slightly lower prevalence is seen in the EU and Asia, with approximately 2.5-4.5% of the population having NASH.</w:t>
      </w:r>
    </w:p>
    <w:p>
      <w:pPr>
        <w:spacing w:after="0" w:line="126" w:lineRule="exact"/>
        <w:rPr>
          <w:sz w:val="20"/>
          <w:szCs w:val="20"/>
          <w:color w:val="auto"/>
        </w:rPr>
      </w:pPr>
    </w:p>
    <w:p>
      <w:pPr>
        <w:ind w:left="120" w:right="60"/>
        <w:spacing w:after="0" w:line="289" w:lineRule="auto"/>
        <w:rPr>
          <w:sz w:val="20"/>
          <w:szCs w:val="20"/>
          <w:color w:val="auto"/>
        </w:rPr>
      </w:pPr>
      <w:r>
        <w:rPr>
          <w:rFonts w:ascii="Arial" w:cs="Arial" w:eastAsia="Arial" w:hAnsi="Arial"/>
          <w:sz w:val="16"/>
          <w:szCs w:val="16"/>
          <w:i w:val="1"/>
          <w:iCs w:val="1"/>
          <w:color w:val="auto"/>
        </w:rPr>
        <w:t xml:space="preserve">Our Completed Studies. </w:t>
      </w:r>
      <w:r>
        <w:rPr>
          <w:rFonts w:ascii="Arial" w:cs="Arial" w:eastAsia="Arial" w:hAnsi="Arial"/>
          <w:sz w:val="16"/>
          <w:szCs w:val="16"/>
          <w:color w:val="auto"/>
        </w:rPr>
        <w:t>For NASH, we enrolled 125 patients in a Phase 2 clinical trial with resmetirom. We achieved the 12-week primary endpoint for</w:t>
      </w:r>
      <w:r>
        <w:rPr>
          <w:rFonts w:ascii="Arial" w:cs="Arial" w:eastAsia="Arial" w:hAnsi="Arial"/>
          <w:sz w:val="16"/>
          <w:szCs w:val="16"/>
          <w:i w:val="1"/>
          <w:iCs w:val="1"/>
          <w:color w:val="auto"/>
        </w:rPr>
        <w:t xml:space="preserve"> </w:t>
      </w:r>
      <w:r>
        <w:rPr>
          <w:rFonts w:ascii="Arial" w:cs="Arial" w:eastAsia="Arial" w:hAnsi="Arial"/>
          <w:sz w:val="16"/>
          <w:szCs w:val="16"/>
          <w:color w:val="auto"/>
        </w:rPr>
        <w:t>this Phase 2 clinical trial and reported the results in December 2017, and we reported positive topline 36-week results at the conclusion of the Phase 2 clinical trial in May 2018. We also completed a 36-week, open-label extension study in 31 participating NASH patients from our Phase 2 clinical trial, which included 14 patients who received placebo in the main study. We also completed a 116 patient Phase 2 clinical trial and announced results in February 2018 for the use of resmetirom in patients with heterozygous familial hypercholesterolemia, or HeFH. In addition to the NASH and HeFH Phase 2 clinical trials, resmetirom has also been studied in multiple completed Phase 1 trials in a total of more than 300 subjects. Resmetirom appeared to be safe and was well-tolerated in these trials, which included a single ascending dose trial, a multiple ascending dose trial, several drug interaction studies, a multiple dose mass balance study, a single dose relative bioavailability study of tablet formulation versus capsule formulation, a multiple dose drug interaction study, a multiple dose drug interaction with food effect study, and a hepatic impairment study.</w:t>
      </w:r>
    </w:p>
    <w:p>
      <w:pPr>
        <w:spacing w:after="0" w:line="139" w:lineRule="exact"/>
        <w:rPr>
          <w:sz w:val="20"/>
          <w:szCs w:val="20"/>
          <w:color w:val="auto"/>
        </w:rPr>
      </w:pPr>
    </w:p>
    <w:p>
      <w:pPr>
        <w:ind w:left="120" w:right="60"/>
        <w:spacing w:after="0" w:line="287" w:lineRule="auto"/>
        <w:rPr>
          <w:sz w:val="20"/>
          <w:szCs w:val="20"/>
          <w:color w:val="auto"/>
        </w:rPr>
      </w:pPr>
      <w:r>
        <w:rPr>
          <w:rFonts w:ascii="Arial" w:cs="Arial" w:eastAsia="Arial" w:hAnsi="Arial"/>
          <w:sz w:val="16"/>
          <w:szCs w:val="16"/>
          <w:i w:val="1"/>
          <w:iCs w:val="1"/>
          <w:color w:val="auto"/>
        </w:rPr>
        <w:t xml:space="preserve">Our Ongoing and Planned Studies. </w:t>
      </w:r>
      <w:r>
        <w:rPr>
          <w:rFonts w:ascii="Arial" w:cs="Arial" w:eastAsia="Arial" w:hAnsi="Arial"/>
          <w:sz w:val="16"/>
          <w:szCs w:val="16"/>
          <w:color w:val="auto"/>
        </w:rPr>
        <w:t>On March 28, 2019, the Company announced that it had initiated MAESTRO-NASH, a Phase 3 trial in NASH with</w:t>
      </w:r>
      <w:r>
        <w:rPr>
          <w:rFonts w:ascii="Arial" w:cs="Arial" w:eastAsia="Arial" w:hAnsi="Arial"/>
          <w:sz w:val="16"/>
          <w:szCs w:val="16"/>
          <w:i w:val="1"/>
          <w:iCs w:val="1"/>
          <w:color w:val="auto"/>
        </w:rPr>
        <w:t xml:space="preserve"> </w:t>
      </w:r>
      <w:r>
        <w:rPr>
          <w:rFonts w:ascii="Arial" w:cs="Arial" w:eastAsia="Arial" w:hAnsi="Arial"/>
          <w:sz w:val="16"/>
          <w:szCs w:val="16"/>
          <w:color w:val="auto"/>
        </w:rPr>
        <w:t>its once daily, oral thyroid hormone receptor beta selective agonist, resmetirom. This double-blind, placebo-controlled study is being conducted at more than 200 sites in the United States and the rest of the world. Patients with liver biopsy confirmed NASH with stage 2 or 3 fibrosis are being randomized 1:1:1 to receive a single oral daily dose of placebo, resmetirom 80 mg or resmetirom 100 mg. A second liver biopsy at week 52 in the first 900 patients will be the basis of filing for Subpart H-accelerated approval; the primary endpoint will be the percent of patients treated with either dose of resmetirom as compared with placebo who achieve NASH resolution on the week 52 liver biopsy, defined as the absence of hepatocyte ballooning (score=0), and minimal lobular inflammation (score 0-1), associated with at least a 2-point reduction in NAS (NAFLD Activity Score), and no worsening of fibrosis stage. Two key secondary endpoints are reduction in LDL-cholesterol and a 1-point or more improvement in fibrosis stage on the week 52 biopsy with no worsening of NASH. Patients will continue in the study for a total of approximately 54 months, and will be evaluated for a composite clinical outcome including cirrhosis on liver biopsy, or a liver related event such as hepatic decompensation. The total anticipated enrollment is approximately 2,000 patients, and will include up to 15% high risk F1 fibrosis stage NASH patients whose efficacy responses will be evaluated as exploratory</w:t>
      </w:r>
    </w:p>
    <w:p>
      <w:pPr>
        <w:spacing w:after="0" w:line="10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120"/>
          </w:cols>
          <w:pgMar w:left="320" w:top="486" w:right="4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80"/>
        <w:spacing w:after="0" w:line="268" w:lineRule="auto"/>
        <w:rPr>
          <w:sz w:val="20"/>
          <w:szCs w:val="20"/>
          <w:color w:val="auto"/>
        </w:rPr>
      </w:pPr>
      <w:r>
        <w:rPr>
          <w:rFonts w:ascii="Arial" w:cs="Arial" w:eastAsia="Arial" w:hAnsi="Arial"/>
          <w:sz w:val="17"/>
          <w:szCs w:val="17"/>
          <w:color w:val="auto"/>
        </w:rPr>
        <w:t>endpoints. On June 30, 2021 we announced our achievement of the requisite enrollment of patients to support the planned Subpart H (Accelerated Approval of New Drugs for Serious or Life-Threatening Illnesses) submission to the US Food and Drug Administration (FDA). On December 18, 2019 the Company announced it had opened for enrollment MAESTRO-NAFLD-1, a 52-week, non-invasive, multi-center, double-blind, placebo-controlled Phase 3 clinical study of patients with biopsy-confirmed or presumed NASH recruited from sites in the U.S. Key endpoints are safety, including safety biomarkers. Secondary endpoints include LDL cholesterol, lipid biomarkers, MRI-PDFF, NASH and fibrosis biomarkers. Except for serial liver biopsies, the study protocol is similar to the MAESTRO-NASH study with resmetirom doses of 80 mg or 100 mg or placebo. In October 2020, we completed enrollment of the double-blind, placebo-controlled arms of the study. Enrollment objectives for this study have been exceeded, with approximately 1,300 patients enrolled overall. The MAESTRO-NAFLD-1 study will help support the adequacy of the safety database at the time of NDA submission for Subpart H approval for treatment of NASH in patients with F2 or F3 fibrosis (MAESTRO-NASH, NASH resolution surrogate endpoint). On July 13, 2021 we announced first patient dosed in a planned 52-week open label active treatment extension study of MAESTRO-NAFLD-1, named MAESTRO-NAFLD-Open Label Extension (OLE). The OLE study allows patients who complete MAESTRO-NAFLD-1 to consent to 52 weeks of active treatment with resmetirom, making this treatment available to both patients who were assigned to placebo in MAESTRO-NAFLD-1 and patients who were on resmetirom in MAESTRO-NAFLD-1.</w:t>
      </w:r>
    </w:p>
    <w:p>
      <w:pPr>
        <w:spacing w:after="0" w:line="294"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COVID-19 Pandemic Effects on Madrigal</w:t>
      </w:r>
    </w:p>
    <w:p>
      <w:pPr>
        <w:spacing w:after="0" w:line="104" w:lineRule="exact"/>
        <w:rPr>
          <w:sz w:val="20"/>
          <w:szCs w:val="20"/>
          <w:color w:val="auto"/>
        </w:rPr>
      </w:pPr>
    </w:p>
    <w:p>
      <w:pPr>
        <w:ind w:left="120" w:right="20"/>
        <w:spacing w:after="0" w:line="291" w:lineRule="auto"/>
        <w:rPr>
          <w:sz w:val="20"/>
          <w:szCs w:val="20"/>
          <w:color w:val="auto"/>
        </w:rPr>
      </w:pPr>
      <w:r>
        <w:rPr>
          <w:rFonts w:ascii="Arial" w:cs="Arial" w:eastAsia="Arial" w:hAnsi="Arial"/>
          <w:sz w:val="16"/>
          <w:szCs w:val="16"/>
          <w:color w:val="auto"/>
        </w:rPr>
        <w:t>In April 2020 we announced that in response to guidance from regulatory agencies, measures for COVID-19 at impacted sites have been put in place for our Phase 3 MAESTRO-NASH and MAESTRO-NAFLD-1 studies, allowing both studies to continue without changes to the protocol. At a recently conducted Data Monitoring Committee (DMC) meeting it was recommended that Phase 3 studies proceed without modification. The COVID-19 pandemic had no material adverse impact on our operating results, MAESTRO-NAFLD-1 study or liquidity for the period ended September 30, 2021 and year ended December 31, 2020, but it did introduce clinical trial and operational risks and uncertainties that are both general in nature and relate specifically to our MAESTRO-NASH study. These risks and uncertainties, which are beyond our control, are summarized in the section entitled “Risk Factors” in Part I, Item 1A of our Annual Report on Form 10-K for the year ended December 31, 2020, filed with the SEC on February 25, 2021.</w:t>
      </w:r>
    </w:p>
    <w:p>
      <w:pPr>
        <w:spacing w:after="0" w:line="23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Basis of Presentation</w:t>
      </w:r>
    </w:p>
    <w:p>
      <w:pPr>
        <w:spacing w:after="0" w:line="108"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104" w:lineRule="exact"/>
        <w:rPr>
          <w:sz w:val="20"/>
          <w:szCs w:val="20"/>
          <w:color w:val="auto"/>
        </w:rPr>
      </w:pPr>
    </w:p>
    <w:p>
      <w:pPr>
        <w:ind w:left="120" w:right="40"/>
        <w:spacing w:after="0" w:line="291" w:lineRule="auto"/>
        <w:rPr>
          <w:sz w:val="20"/>
          <w:szCs w:val="20"/>
          <w:color w:val="auto"/>
        </w:rPr>
      </w:pPr>
      <w:r>
        <w:rPr>
          <w:rFonts w:ascii="Arial" w:cs="Arial" w:eastAsia="Arial" w:hAnsi="Arial"/>
          <w:sz w:val="16"/>
          <w:szCs w:val="16"/>
          <w:color w:val="auto"/>
        </w:rPr>
        <w:t>Research and development expenses primarily consist of costs associated with our research activities, including the preclinical and clinical development of our product candidates. We expense our research and development expenses as incurred. We contract with clinical research organizations to manage our clinical trials under agreed upon budgets for each study, with oversight by our clinical program managers. We account for nonrefundable advance payments for goods and services that will be used in future research and development activities as expenses when the service has been performed or when the goods have been received. Manufacturing expense includes costs associated with drug formulation development and clinical drug production. We do not track employee and facility related research and development costs by project, as we typically use our employee and infrastructure resources across multiple research and development programs. We believe that the allocation of such costs would be arbitrary and not be meaningful.</w:t>
      </w:r>
    </w:p>
    <w:p>
      <w:pPr>
        <w:spacing w:after="0" w:line="16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Our research and development expenses consist primarily of:</w:t>
      </w:r>
    </w:p>
    <w:p>
      <w:pPr>
        <w:spacing w:after="0" w:line="104" w:lineRule="exact"/>
        <w:rPr>
          <w:sz w:val="20"/>
          <w:szCs w:val="20"/>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salaries and related expense, including stock-based compensation;</w:t>
      </w:r>
    </w:p>
    <w:p>
      <w:pPr>
        <w:spacing w:after="0" w:line="103" w:lineRule="exact"/>
        <w:rPr>
          <w:rFonts w:ascii="Arial" w:cs="Arial" w:eastAsia="Arial" w:hAnsi="Arial"/>
          <w:sz w:val="18"/>
          <w:szCs w:val="18"/>
          <w:color w:val="auto"/>
        </w:rPr>
      </w:pPr>
    </w:p>
    <w:p>
      <w:pPr>
        <w:ind w:left="1080" w:right="220" w:hanging="424"/>
        <w:spacing w:after="0" w:line="277"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external expenses paid to clinical trial sites, contract research organizations, laboratories, database software and consultants that conduct clinical trials;</w:t>
      </w:r>
    </w:p>
    <w:p>
      <w:pPr>
        <w:spacing w:after="0" w:line="48"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6"/>
          <w:szCs w:val="16"/>
          <w:color w:val="auto"/>
        </w:rPr>
      </w:pPr>
      <w:r>
        <w:rPr>
          <w:rFonts w:ascii="Arial" w:cs="Arial" w:eastAsia="Arial" w:hAnsi="Arial"/>
          <w:sz w:val="16"/>
          <w:szCs w:val="16"/>
          <w:color w:val="auto"/>
        </w:rPr>
        <w:t>expenses related to development and the production of nonclinical and clinical trial supplies, including fees paid to contract manufacturers;</w:t>
      </w:r>
    </w:p>
    <w:p>
      <w:pPr>
        <w:spacing w:after="0" w:line="126" w:lineRule="exact"/>
        <w:rPr>
          <w:rFonts w:ascii="Arial" w:cs="Arial" w:eastAsia="Arial" w:hAnsi="Arial"/>
          <w:sz w:val="16"/>
          <w:szCs w:val="16"/>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expenses related to preclinical studies;</w:t>
      </w:r>
    </w:p>
    <w:p>
      <w:pPr>
        <w:spacing w:after="0" w:line="103"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expenses related to compliance with drug development regulatory requirements; and</w:t>
      </w:r>
    </w:p>
    <w:p>
      <w:pPr>
        <w:spacing w:after="0" w:line="103"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other allocated expenses, which include direct and allocated expenses for depreciation of equipment and other supplies.</w:t>
      </w:r>
    </w:p>
    <w:p>
      <w:pPr>
        <w:spacing w:after="0" w:line="90" w:lineRule="exact"/>
        <w:rPr>
          <w:sz w:val="20"/>
          <w:szCs w:val="20"/>
          <w:color w:val="auto"/>
        </w:rPr>
      </w:pPr>
    </w:p>
    <w:p>
      <w:pPr>
        <w:ind w:left="120" w:right="120"/>
        <w:spacing w:after="0" w:line="290" w:lineRule="auto"/>
        <w:rPr>
          <w:sz w:val="20"/>
          <w:szCs w:val="20"/>
          <w:color w:val="auto"/>
        </w:rPr>
      </w:pPr>
      <w:r>
        <w:rPr>
          <w:rFonts w:ascii="Arial" w:cs="Arial" w:eastAsia="Arial" w:hAnsi="Arial"/>
          <w:sz w:val="16"/>
          <w:szCs w:val="16"/>
          <w:color w:val="auto"/>
        </w:rPr>
        <w:t>We expect to continue to incur substantial expenses related to our development activities for the foreseeable future as we conduct our clinical studies programs, manufacturing and toxicology studies. Product candidates in later stages of clinical development generally have higher development costs than those in earlier stages of clinical development, primarily due to the increased size and duration of later stage clinical trials, additional drug manufacturing requirements, and later stage toxicology studies such as carcinogenicity studies. Our research and development expenses have increased period over period in each of 2021 and 2020 and we expect that our research and development expenses will increase substantially in the future. The process of conducting preclinical studies and clinical trials necessary to obtain regulatory approval is costly and time consuming. The probability of success for each product candidate is affected by numerous factors, including preclinical data, clinical data, competition, manufacturing capability and commercial viability. Accordingly, we may never succeed in achieving marketing approval for any of our product candidates.</w:t>
      </w:r>
    </w:p>
    <w:p>
      <w:pPr>
        <w:spacing w:after="0" w:line="138" w:lineRule="exact"/>
        <w:rPr>
          <w:sz w:val="20"/>
          <w:szCs w:val="20"/>
          <w:color w:val="auto"/>
        </w:rPr>
      </w:pPr>
    </w:p>
    <w:p>
      <w:pPr>
        <w:ind w:left="120"/>
        <w:spacing w:after="0" w:line="273" w:lineRule="auto"/>
        <w:rPr>
          <w:sz w:val="20"/>
          <w:szCs w:val="20"/>
          <w:color w:val="auto"/>
        </w:rPr>
      </w:pPr>
      <w:r>
        <w:rPr>
          <w:rFonts w:ascii="Arial" w:cs="Arial" w:eastAsia="Arial" w:hAnsi="Arial"/>
          <w:sz w:val="17"/>
          <w:szCs w:val="17"/>
          <w:color w:val="auto"/>
        </w:rPr>
        <w:t>Completion dates and costs for our clinical development programs as well as our research program can vary significantly for each current and future product candidate and are difficult to predict. As a result, we cannot estimate with any degree of certainty the costs we will incur in connection with the development of our product candidates at this point in time. We expect that we will make determinations as to which programs and product candidates to pursue and how much funding to direct to each program and product candidate on an ongoing basis in response to the scientific success of research, results of ongoing and future clinical trials, potential collaborative agreements with respect to programs or potential product candidates, as well as ongoing assessments as to each current or future product candidate’s commercial potential.</w:t>
      </w:r>
    </w:p>
    <w:p>
      <w:pPr>
        <w:sectPr>
          <w:pgSz w:w="11900" w:h="16838" w:orient="portrait"/>
          <w:cols w:equalWidth="0" w:num="1">
            <w:col w:w="11120"/>
          </w:cols>
          <w:pgMar w:left="320" w:top="486" w:right="459" w:bottom="1440" w:gutter="0" w:footer="0" w:header="0"/>
        </w:sectPr>
      </w:pPr>
    </w:p>
    <w:p>
      <w:pPr>
        <w:spacing w:after="0" w:line="110" w:lineRule="exact"/>
        <w:rPr>
          <w:sz w:val="20"/>
          <w:szCs w:val="20"/>
          <w:color w:val="auto"/>
        </w:rPr>
      </w:pPr>
    </w:p>
    <w:p>
      <w:pPr>
        <w:jc w:val="center"/>
        <w:ind w:right="-139"/>
        <w:spacing w:after="0"/>
        <w:rPr>
          <w:sz w:val="20"/>
          <w:szCs w:val="20"/>
          <w:color w:val="auto"/>
        </w:rPr>
      </w:pPr>
      <w:r>
        <w:rPr>
          <w:rFonts w:ascii="Arial" w:cs="Arial" w:eastAsia="Arial" w:hAnsi="Arial"/>
          <w:sz w:val="16"/>
          <w:szCs w:val="16"/>
          <w:color w:val="auto"/>
        </w:rPr>
        <w:t>17</w:t>
      </w:r>
    </w:p>
    <w:p>
      <w:pPr>
        <w:sectPr>
          <w:pgSz w:w="11900" w:h="16838" w:orient="portrait"/>
          <w:cols w:equalWidth="0" w:num="1">
            <w:col w:w="11120"/>
          </w:cols>
          <w:pgMar w:left="320" w:top="486" w:right="459" w:bottom="1440" w:gutter="0" w:footer="0" w:header="0"/>
          <w:type w:val="continuous"/>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552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117" w:lineRule="exact"/>
        <w:rPr>
          <w:sz w:val="20"/>
          <w:szCs w:val="20"/>
          <w:color w:val="auto"/>
        </w:rPr>
      </w:pPr>
    </w:p>
    <w:p>
      <w:pPr>
        <w:ind w:left="120" w:right="40"/>
        <w:spacing w:after="0" w:line="254" w:lineRule="auto"/>
        <w:rPr>
          <w:sz w:val="20"/>
          <w:szCs w:val="20"/>
          <w:color w:val="auto"/>
        </w:rPr>
      </w:pPr>
      <w:r>
        <w:rPr>
          <w:rFonts w:ascii="Arial" w:cs="Arial" w:eastAsia="Arial" w:hAnsi="Arial"/>
          <w:sz w:val="18"/>
          <w:szCs w:val="18"/>
          <w:color w:val="auto"/>
        </w:rPr>
        <w:t>General and administrative expenses consist primarily of salaries, benefits and stock-based compensation expenses for non-R&amp;D employees, management costs, costs associated with obtaining and maintaining our patent portfolio, professional fees for accounting, auditing, consulting and legal services, liability insurance, and allocated overhead expenses. We expect that our general and administrative expenses may increase in the future as we advance our clinical and preclinical development programs for resmetirom and expand our operating activities, including substantially expanding our workforce for commercial hires, and maintaining and expanding our patent portfolio. We expect these potential increases will likely include management and personnel costs, legal fees, accounting fees, directors’ and officers’ liability insurance premiums and expenses associated with investor relations.</w:t>
      </w:r>
    </w:p>
    <w:p>
      <w:pPr>
        <w:spacing w:after="0" w:line="29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1" w:lineRule="exact"/>
        <w:rPr>
          <w:sz w:val="20"/>
          <w:szCs w:val="20"/>
          <w:color w:val="auto"/>
        </w:rPr>
      </w:pPr>
    </w:p>
    <w:p>
      <w:pPr>
        <w:ind w:left="120" w:right="60"/>
        <w:spacing w:after="0" w:line="269" w:lineRule="auto"/>
        <w:rPr>
          <w:sz w:val="20"/>
          <w:szCs w:val="20"/>
          <w:color w:val="auto"/>
        </w:rPr>
      </w:pPr>
      <w:r>
        <w:rPr>
          <w:rFonts w:ascii="Arial" w:cs="Arial" w:eastAsia="Arial" w:hAnsi="Arial"/>
          <w:sz w:val="17"/>
          <w:szCs w:val="17"/>
          <w:color w:val="auto"/>
        </w:rPr>
        <w:t>Our management’s discussion and analysis of our financial condition and results of operations are based on our financial statements, which have been prepared in accordance with generally accepted accounting principles in the United States. The preparation of these financial statements requires us to make estimates and judgments that affect the reported amount of assets, liabilities, and expenses and the disclosure of contingent assets and liabilities as of the date of the financial statements. On an ongoing basis, we evaluate our estimates and judgments, including those related to accrued research and development expenses and stock-based compensation expense. We base our estimates on historical experience, known trends and events, and various other factors that are believed to be reasonable under the circumstances, the results of which form the basis for making judgments about the carrying value of assets and liabilities that are not readily apparent from other sources. Actual results may differ materially from these estimates under different assumptions or conditions. There have been no material changes in our critical accounting policies and significant judgments and estimates during the nine months ended September 30, 2021, as compared to those disclosed in our Annual Report on Form 10-K for the fiscal year ended December 31, 2020 filed with the SEC on February 25, 2021.</w:t>
      </w:r>
    </w:p>
    <w:p>
      <w:pPr>
        <w:spacing w:after="0" w:line="28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Three months Ended September 30, 2021 and 2020</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6"/>
          <w:szCs w:val="16"/>
          <w:color w:val="auto"/>
        </w:rPr>
        <w:t>The following table provides comparative unaudited results of operations for the three months ended September 30, 2021 and 2020 (in thousands):</w:t>
      </w:r>
    </w:p>
    <w:p>
      <w:pPr>
        <w:spacing w:after="0" w:line="280" w:lineRule="exact"/>
        <w:rPr>
          <w:sz w:val="20"/>
          <w:szCs w:val="20"/>
          <w:color w:val="auto"/>
        </w:rPr>
      </w:pPr>
    </w:p>
    <w:tbl>
      <w:tblPr>
        <w:tblLayout w:type="fixed"/>
        <w:tblInd w:w="560" w:type="dxa"/>
        <w:tblCellMar>
          <w:top w:w="0" w:type="dxa"/>
          <w:left w:w="0" w:type="dxa"/>
          <w:bottom w:w="0" w:type="dxa"/>
          <w:right w:w="0" w:type="dxa"/>
        </w:tblCellMar>
      </w:tblPr>
      <w:tr>
        <w:trPr>
          <w:trHeight w:val="171"/>
        </w:trPr>
        <w:tc>
          <w:tcPr>
            <w:tcW w:w="5760" w:type="dxa"/>
            <w:vAlign w:val="bottom"/>
          </w:tcPr>
          <w:p>
            <w:pPr>
              <w:spacing w:after="0"/>
              <w:rPr>
                <w:sz w:val="14"/>
                <w:szCs w:val="14"/>
                <w:color w:val="auto"/>
              </w:rPr>
            </w:pPr>
          </w:p>
        </w:tc>
        <w:tc>
          <w:tcPr>
            <w:tcW w:w="2700" w:type="dxa"/>
            <w:vAlign w:val="bottom"/>
            <w:gridSpan w:val="6"/>
          </w:tcPr>
          <w:p>
            <w:pPr>
              <w:jc w:val="right"/>
              <w:ind w:right="420"/>
              <w:spacing w:after="0"/>
              <w:rPr>
                <w:sz w:val="20"/>
                <w:szCs w:val="20"/>
                <w:color w:val="auto"/>
              </w:rPr>
            </w:pPr>
            <w:r>
              <w:rPr>
                <w:rFonts w:ascii="Arial" w:cs="Arial" w:eastAsia="Arial" w:hAnsi="Arial"/>
                <w:sz w:val="14"/>
                <w:szCs w:val="14"/>
                <w:b w:val="1"/>
                <w:bCs w:val="1"/>
                <w:color w:val="auto"/>
                <w:w w:val="94"/>
              </w:rPr>
              <w:t>Three Months Ended September 30,</w:t>
            </w:r>
          </w:p>
        </w:tc>
        <w:tc>
          <w:tcPr>
            <w:tcW w:w="1660" w:type="dxa"/>
            <w:vAlign w:val="bottom"/>
            <w:gridSpan w:val="4"/>
          </w:tcPr>
          <w:p>
            <w:pPr>
              <w:jc w:val="right"/>
              <w:ind w:right="320"/>
              <w:spacing w:after="0"/>
              <w:rPr>
                <w:sz w:val="20"/>
                <w:szCs w:val="20"/>
                <w:color w:val="auto"/>
              </w:rPr>
            </w:pPr>
            <w:r>
              <w:rPr>
                <w:rFonts w:ascii="Arial" w:cs="Arial" w:eastAsia="Arial" w:hAnsi="Arial"/>
                <w:sz w:val="14"/>
                <w:szCs w:val="14"/>
                <w:b w:val="1"/>
                <w:bCs w:val="1"/>
                <w:color w:val="auto"/>
                <w:w w:val="94"/>
              </w:rPr>
              <w:t>Increase / (Decrease)</w:t>
            </w:r>
          </w:p>
        </w:tc>
      </w:tr>
      <w:tr>
        <w:trPr>
          <w:trHeight w:val="155"/>
        </w:trPr>
        <w:tc>
          <w:tcPr>
            <w:tcW w:w="5760" w:type="dxa"/>
            <w:vAlign w:val="bottom"/>
            <w:tcBorders>
              <w:bottom w:val="single" w:sz="8" w:color="CCEEFF"/>
            </w:tcBorders>
          </w:tcPr>
          <w:p>
            <w:pPr>
              <w:spacing w:after="0"/>
              <w:rPr>
                <w:sz w:val="13"/>
                <w:szCs w:val="13"/>
                <w:color w:val="auto"/>
              </w:rPr>
            </w:pPr>
          </w:p>
        </w:tc>
        <w:tc>
          <w:tcPr>
            <w:tcW w:w="220" w:type="dxa"/>
            <w:vAlign w:val="bottom"/>
            <w:tcBorders>
              <w:top w:val="single" w:sz="8" w:color="auto"/>
              <w:bottom w:val="single" w:sz="8" w:color="auto"/>
            </w:tcBorders>
          </w:tcPr>
          <w:p>
            <w:pPr>
              <w:spacing w:after="0"/>
              <w:rPr>
                <w:sz w:val="13"/>
                <w:szCs w:val="13"/>
                <w:color w:val="auto"/>
              </w:rPr>
            </w:pPr>
          </w:p>
        </w:tc>
        <w:tc>
          <w:tcPr>
            <w:tcW w:w="740" w:type="dxa"/>
            <w:vAlign w:val="bottom"/>
            <w:tcBorders>
              <w:top w:val="single" w:sz="8" w:color="auto"/>
              <w:bottom w:val="single" w:sz="8" w:color="auto"/>
            </w:tcBorders>
          </w:tcPr>
          <w:p>
            <w:pPr>
              <w:jc w:val="right"/>
              <w:ind w:right="254"/>
              <w:spacing w:after="0" w:line="155" w:lineRule="exact"/>
              <w:rPr>
                <w:sz w:val="20"/>
                <w:szCs w:val="20"/>
                <w:color w:val="auto"/>
              </w:rPr>
            </w:pPr>
            <w:r>
              <w:rPr>
                <w:rFonts w:ascii="Arial" w:cs="Arial" w:eastAsia="Arial" w:hAnsi="Arial"/>
                <w:sz w:val="14"/>
                <w:szCs w:val="14"/>
                <w:b w:val="1"/>
                <w:bCs w:val="1"/>
                <w:color w:val="auto"/>
              </w:rPr>
              <w:t>2021</w:t>
            </w:r>
          </w:p>
        </w:tc>
        <w:tc>
          <w:tcPr>
            <w:tcW w:w="400" w:type="dxa"/>
            <w:vAlign w:val="bottom"/>
            <w:tcBorders>
              <w:top w:val="single" w:sz="8" w:color="auto"/>
              <w:bottom w:val="single" w:sz="8" w:color="CCEEFF"/>
            </w:tcBorders>
          </w:tcPr>
          <w:p>
            <w:pPr>
              <w:spacing w:after="0"/>
              <w:rPr>
                <w:sz w:val="13"/>
                <w:szCs w:val="13"/>
                <w:color w:val="auto"/>
              </w:rPr>
            </w:pPr>
          </w:p>
        </w:tc>
        <w:tc>
          <w:tcPr>
            <w:tcW w:w="220" w:type="dxa"/>
            <w:vAlign w:val="bottom"/>
            <w:tcBorders>
              <w:top w:val="single" w:sz="8" w:color="auto"/>
              <w:bottom w:val="single" w:sz="8" w:color="auto"/>
            </w:tcBorders>
          </w:tcPr>
          <w:p>
            <w:pPr>
              <w:spacing w:after="0"/>
              <w:rPr>
                <w:sz w:val="13"/>
                <w:szCs w:val="13"/>
                <w:color w:val="auto"/>
              </w:rPr>
            </w:pPr>
          </w:p>
        </w:tc>
        <w:tc>
          <w:tcPr>
            <w:tcW w:w="760" w:type="dxa"/>
            <w:vAlign w:val="bottom"/>
            <w:tcBorders>
              <w:top w:val="single" w:sz="8" w:color="auto"/>
              <w:bottom w:val="single" w:sz="8" w:color="auto"/>
            </w:tcBorders>
          </w:tcPr>
          <w:p>
            <w:pPr>
              <w:jc w:val="right"/>
              <w:ind w:right="254"/>
              <w:spacing w:after="0" w:line="155" w:lineRule="exact"/>
              <w:rPr>
                <w:sz w:val="20"/>
                <w:szCs w:val="20"/>
                <w:color w:val="auto"/>
              </w:rPr>
            </w:pPr>
            <w:r>
              <w:rPr>
                <w:rFonts w:ascii="Arial" w:cs="Arial" w:eastAsia="Arial" w:hAnsi="Arial"/>
                <w:sz w:val="14"/>
                <w:szCs w:val="14"/>
                <w:b w:val="1"/>
                <w:bCs w:val="1"/>
                <w:color w:val="auto"/>
              </w:rPr>
              <w:t>2020</w:t>
            </w:r>
          </w:p>
        </w:tc>
        <w:tc>
          <w:tcPr>
            <w:tcW w:w="360" w:type="dxa"/>
            <w:vAlign w:val="bottom"/>
            <w:tcBorders>
              <w:bottom w:val="single" w:sz="8" w:color="CCEEFF"/>
            </w:tcBorders>
          </w:tcPr>
          <w:p>
            <w:pPr>
              <w:spacing w:after="0"/>
              <w:rPr>
                <w:sz w:val="13"/>
                <w:szCs w:val="13"/>
                <w:color w:val="auto"/>
              </w:rPr>
            </w:pPr>
          </w:p>
        </w:tc>
        <w:tc>
          <w:tcPr>
            <w:tcW w:w="600" w:type="dxa"/>
            <w:vAlign w:val="bottom"/>
            <w:tcBorders>
              <w:top w:val="single" w:sz="8" w:color="auto"/>
              <w:bottom w:val="single" w:sz="8" w:color="auto"/>
            </w:tcBorders>
          </w:tcPr>
          <w:p>
            <w:pPr>
              <w:jc w:val="right"/>
              <w:ind w:right="176"/>
              <w:spacing w:after="0" w:line="155" w:lineRule="exact"/>
              <w:rPr>
                <w:sz w:val="20"/>
                <w:szCs w:val="20"/>
                <w:color w:val="auto"/>
              </w:rPr>
            </w:pPr>
            <w:r>
              <w:rPr>
                <w:rFonts w:ascii="Arial" w:cs="Arial" w:eastAsia="Arial" w:hAnsi="Arial"/>
                <w:sz w:val="14"/>
                <w:szCs w:val="14"/>
                <w:b w:val="1"/>
                <w:bCs w:val="1"/>
                <w:color w:val="auto"/>
              </w:rPr>
              <w:t>$</w:t>
            </w:r>
          </w:p>
        </w:tc>
        <w:tc>
          <w:tcPr>
            <w:tcW w:w="400" w:type="dxa"/>
            <w:vAlign w:val="bottom"/>
            <w:tcBorders>
              <w:top w:val="single" w:sz="8" w:color="auto"/>
              <w:bottom w:val="single" w:sz="8" w:color="CCEEFF"/>
            </w:tcBorders>
          </w:tcPr>
          <w:p>
            <w:pPr>
              <w:spacing w:after="0"/>
              <w:rPr>
                <w:sz w:val="13"/>
                <w:szCs w:val="13"/>
                <w:color w:val="auto"/>
              </w:rPr>
            </w:pPr>
          </w:p>
        </w:tc>
        <w:tc>
          <w:tcPr>
            <w:tcW w:w="400" w:type="dxa"/>
            <w:vAlign w:val="bottom"/>
            <w:tcBorders>
              <w:top w:val="single" w:sz="8" w:color="auto"/>
              <w:bottom w:val="single" w:sz="8" w:color="auto"/>
            </w:tcBorders>
          </w:tcPr>
          <w:p>
            <w:pPr>
              <w:jc w:val="right"/>
              <w:ind w:right="34"/>
              <w:spacing w:after="0" w:line="155" w:lineRule="exact"/>
              <w:rPr>
                <w:sz w:val="20"/>
                <w:szCs w:val="20"/>
                <w:color w:val="auto"/>
              </w:rPr>
            </w:pPr>
            <w:r>
              <w:rPr>
                <w:rFonts w:ascii="Arial" w:cs="Arial" w:eastAsia="Arial" w:hAnsi="Arial"/>
                <w:sz w:val="14"/>
                <w:szCs w:val="14"/>
                <w:b w:val="1"/>
                <w:bCs w:val="1"/>
                <w:color w:val="auto"/>
              </w:rPr>
              <w:t>%</w:t>
            </w:r>
          </w:p>
        </w:tc>
        <w:tc>
          <w:tcPr>
            <w:tcW w:w="260" w:type="dxa"/>
            <w:vAlign w:val="bottom"/>
            <w:tcBorders>
              <w:bottom w:val="single" w:sz="8" w:color="CCEEFF"/>
            </w:tcBorders>
          </w:tcPr>
          <w:p>
            <w:pPr>
              <w:spacing w:after="0"/>
              <w:rPr>
                <w:sz w:val="13"/>
                <w:szCs w:val="13"/>
                <w:color w:val="auto"/>
              </w:rPr>
            </w:pPr>
          </w:p>
        </w:tc>
      </w:tr>
      <w:tr>
        <w:trPr>
          <w:trHeight w:val="210"/>
        </w:trPr>
        <w:tc>
          <w:tcPr>
            <w:tcW w:w="57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Research and development Expenses</w:t>
            </w:r>
          </w:p>
        </w:tc>
        <w:tc>
          <w:tcPr>
            <w:tcW w:w="22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54,873</w:t>
            </w:r>
          </w:p>
        </w:tc>
        <w:tc>
          <w:tcPr>
            <w:tcW w:w="4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53,292</w:t>
            </w:r>
          </w:p>
        </w:tc>
        <w:tc>
          <w:tcPr>
            <w:tcW w:w="3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1,581</w:t>
            </w:r>
          </w:p>
        </w:tc>
        <w:tc>
          <w:tcPr>
            <w:tcW w:w="4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r>
      <w:tr>
        <w:trPr>
          <w:trHeight w:val="216"/>
        </w:trPr>
        <w:tc>
          <w:tcPr>
            <w:tcW w:w="5760" w:type="dxa"/>
            <w:vAlign w:val="bottom"/>
          </w:tcPr>
          <w:p>
            <w:pPr>
              <w:ind w:left="360"/>
              <w:spacing w:after="0"/>
              <w:rPr>
                <w:sz w:val="20"/>
                <w:szCs w:val="20"/>
                <w:color w:val="auto"/>
              </w:rPr>
            </w:pPr>
            <w:r>
              <w:rPr>
                <w:rFonts w:ascii="Arial" w:cs="Arial" w:eastAsia="Arial" w:hAnsi="Arial"/>
                <w:sz w:val="18"/>
                <w:szCs w:val="18"/>
                <w:color w:val="auto"/>
              </w:rPr>
              <w:t>General and administrative Expenses</w:t>
            </w:r>
          </w:p>
        </w:tc>
        <w:tc>
          <w:tcPr>
            <w:tcW w:w="220" w:type="dxa"/>
            <w:vAlign w:val="bottom"/>
          </w:tcPr>
          <w:p>
            <w:pPr>
              <w:spacing w:after="0"/>
              <w:rPr>
                <w:sz w:val="18"/>
                <w:szCs w:val="18"/>
                <w:color w:val="auto"/>
              </w:rPr>
            </w:pPr>
          </w:p>
        </w:tc>
        <w:tc>
          <w:tcPr>
            <w:tcW w:w="1140" w:type="dxa"/>
            <w:vAlign w:val="bottom"/>
            <w:gridSpan w:val="2"/>
          </w:tcPr>
          <w:p>
            <w:pPr>
              <w:jc w:val="right"/>
              <w:ind w:right="400"/>
              <w:spacing w:after="0"/>
              <w:rPr>
                <w:sz w:val="20"/>
                <w:szCs w:val="20"/>
                <w:color w:val="auto"/>
              </w:rPr>
            </w:pPr>
            <w:r>
              <w:rPr>
                <w:rFonts w:ascii="Arial" w:cs="Arial" w:eastAsia="Arial" w:hAnsi="Arial"/>
                <w:sz w:val="18"/>
                <w:szCs w:val="18"/>
                <w:color w:val="auto"/>
              </w:rPr>
              <w:t>8,287</w:t>
            </w:r>
          </w:p>
        </w:tc>
        <w:tc>
          <w:tcPr>
            <w:tcW w:w="220" w:type="dxa"/>
            <w:vAlign w:val="bottom"/>
          </w:tcPr>
          <w:p>
            <w:pPr>
              <w:spacing w:after="0"/>
              <w:rPr>
                <w:sz w:val="18"/>
                <w:szCs w:val="18"/>
                <w:color w:val="auto"/>
              </w:rPr>
            </w:pPr>
          </w:p>
        </w:tc>
        <w:tc>
          <w:tcPr>
            <w:tcW w:w="1120" w:type="dxa"/>
            <w:vAlign w:val="bottom"/>
            <w:gridSpan w:val="2"/>
          </w:tcPr>
          <w:p>
            <w:pPr>
              <w:jc w:val="right"/>
              <w:ind w:right="360"/>
              <w:spacing w:after="0"/>
              <w:rPr>
                <w:sz w:val="20"/>
                <w:szCs w:val="20"/>
                <w:color w:val="auto"/>
              </w:rPr>
            </w:pPr>
            <w:r>
              <w:rPr>
                <w:rFonts w:ascii="Arial" w:cs="Arial" w:eastAsia="Arial" w:hAnsi="Arial"/>
                <w:sz w:val="18"/>
                <w:szCs w:val="18"/>
                <w:color w:val="auto"/>
              </w:rPr>
              <w:t>5,494</w:t>
            </w:r>
          </w:p>
        </w:tc>
        <w:tc>
          <w:tcPr>
            <w:tcW w:w="1000" w:type="dxa"/>
            <w:vAlign w:val="bottom"/>
            <w:gridSpan w:val="2"/>
          </w:tcPr>
          <w:p>
            <w:pPr>
              <w:jc w:val="right"/>
              <w:ind w:right="400"/>
              <w:spacing w:after="0"/>
              <w:rPr>
                <w:sz w:val="20"/>
                <w:szCs w:val="20"/>
                <w:color w:val="auto"/>
              </w:rPr>
            </w:pPr>
            <w:r>
              <w:rPr>
                <w:rFonts w:ascii="Arial" w:cs="Arial" w:eastAsia="Arial" w:hAnsi="Arial"/>
                <w:sz w:val="18"/>
                <w:szCs w:val="18"/>
                <w:color w:val="auto"/>
              </w:rPr>
              <w:t>2,793</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51%</w:t>
            </w:r>
          </w:p>
        </w:tc>
      </w:tr>
      <w:tr>
        <w:trPr>
          <w:trHeight w:val="216"/>
        </w:trPr>
        <w:tc>
          <w:tcPr>
            <w:tcW w:w="57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Interest (income)</w:t>
            </w:r>
          </w:p>
        </w:tc>
        <w:tc>
          <w:tcPr>
            <w:tcW w:w="2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(60)</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(823)</w:t>
            </w:r>
          </w:p>
        </w:tc>
        <w:tc>
          <w:tcPr>
            <w:tcW w:w="10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(763)</w:t>
            </w: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(93%)</w:t>
            </w:r>
          </w:p>
        </w:tc>
      </w:tr>
      <w:tr>
        <w:trPr>
          <w:trHeight w:val="224"/>
        </w:trPr>
        <w:tc>
          <w:tcPr>
            <w:tcW w:w="5760" w:type="dxa"/>
            <w:vAlign w:val="bottom"/>
          </w:tcPr>
          <w:p>
            <w:pPr>
              <w:spacing w:after="0"/>
              <w:rPr>
                <w:sz w:val="19"/>
                <w:szCs w:val="19"/>
                <w:color w:val="auto"/>
              </w:rPr>
            </w:pPr>
          </w:p>
        </w:tc>
        <w:tc>
          <w:tcPr>
            <w:tcW w:w="22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63,100</w:t>
            </w:r>
          </w:p>
        </w:tc>
        <w:tc>
          <w:tcPr>
            <w:tcW w:w="400" w:type="dxa"/>
            <w:vAlign w:val="bottom"/>
          </w:tcPr>
          <w:p>
            <w:pPr>
              <w:spacing w:after="0"/>
              <w:rPr>
                <w:sz w:val="19"/>
                <w:szCs w:val="19"/>
                <w:color w:val="auto"/>
              </w:rPr>
            </w:pPr>
          </w:p>
        </w:tc>
        <w:tc>
          <w:tcPr>
            <w:tcW w:w="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57,963</w:t>
            </w:r>
          </w:p>
        </w:tc>
        <w:tc>
          <w:tcPr>
            <w:tcW w:w="360" w:type="dxa"/>
            <w:vAlign w:val="bottom"/>
          </w:tcPr>
          <w:p>
            <w:pPr>
              <w:spacing w:after="0"/>
              <w:rPr>
                <w:sz w:val="19"/>
                <w:szCs w:val="19"/>
                <w:color w:val="auto"/>
              </w:rPr>
            </w:pPr>
          </w:p>
        </w:tc>
        <w:tc>
          <w:tcPr>
            <w:tcW w:w="1000" w:type="dxa"/>
            <w:vAlign w:val="bottom"/>
            <w:gridSpan w:val="2"/>
          </w:tcPr>
          <w:p>
            <w:pPr>
              <w:jc w:val="right"/>
              <w:ind w:right="400"/>
              <w:spacing w:after="0"/>
              <w:rPr>
                <w:sz w:val="20"/>
                <w:szCs w:val="20"/>
                <w:color w:val="auto"/>
              </w:rPr>
            </w:pPr>
            <w:r>
              <w:rPr>
                <w:rFonts w:ascii="Arial" w:cs="Arial" w:eastAsia="Arial" w:hAnsi="Arial"/>
                <w:sz w:val="18"/>
                <w:szCs w:val="18"/>
                <w:color w:val="auto"/>
              </w:rPr>
              <w:t>5,137</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9%</w:t>
            </w:r>
          </w:p>
        </w:tc>
      </w:tr>
    </w:tbl>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Revenue</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had no revenue for the three months ended September 30, 2021 and 2020.</w:t>
      </w:r>
    </w:p>
    <w:p>
      <w:pPr>
        <w:spacing w:after="0" w:line="333"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Research and Development Expenses</w:t>
      </w:r>
    </w:p>
    <w:p>
      <w:pPr>
        <w:spacing w:after="0" w:line="117" w:lineRule="exact"/>
        <w:rPr>
          <w:sz w:val="20"/>
          <w:szCs w:val="20"/>
          <w:color w:val="auto"/>
        </w:rPr>
      </w:pPr>
    </w:p>
    <w:p>
      <w:pPr>
        <w:ind w:left="120"/>
        <w:spacing w:after="0" w:line="259" w:lineRule="auto"/>
        <w:rPr>
          <w:sz w:val="20"/>
          <w:szCs w:val="20"/>
          <w:color w:val="auto"/>
        </w:rPr>
      </w:pPr>
      <w:r>
        <w:rPr>
          <w:rFonts w:ascii="Arial" w:cs="Arial" w:eastAsia="Arial" w:hAnsi="Arial"/>
          <w:sz w:val="18"/>
          <w:szCs w:val="18"/>
          <w:color w:val="auto"/>
        </w:rPr>
        <w:t>Our research and development expenses were $54.9 million for the three months ended September 30, 2021, compared to $53.3 million in the corresponding period in 2020. Research and development expenses increased by $1.6 million in the 2021 period due primarily to the additional activities related to the Phase 3 clinical trials, and an increase in head count. We expect our research and development expenses to increase over time as we advance our clinical and preclinical development programs for resmetirom.</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General and Administrative Expenses</w:t>
      </w:r>
    </w:p>
    <w:p>
      <w:pPr>
        <w:spacing w:after="0" w:line="117" w:lineRule="exact"/>
        <w:rPr>
          <w:sz w:val="20"/>
          <w:szCs w:val="20"/>
          <w:color w:val="auto"/>
        </w:rPr>
      </w:pPr>
    </w:p>
    <w:p>
      <w:pPr>
        <w:ind w:left="120" w:right="320"/>
        <w:spacing w:after="0" w:line="255" w:lineRule="auto"/>
        <w:rPr>
          <w:sz w:val="20"/>
          <w:szCs w:val="20"/>
          <w:color w:val="auto"/>
        </w:rPr>
      </w:pPr>
      <w:r>
        <w:rPr>
          <w:rFonts w:ascii="Arial" w:cs="Arial" w:eastAsia="Arial" w:hAnsi="Arial"/>
          <w:sz w:val="18"/>
          <w:szCs w:val="18"/>
          <w:color w:val="auto"/>
        </w:rPr>
        <w:t>Our general and administrative expenses were $8.3 million for the three months ended September 30, 2021, compared to $5.5 million in the corresponding period in 2020. General and administrative expenses increased by $2.8 million in the 2021 period due primarily to increases in commercial preparation activities, including a corresponding increase in head count, and an increase in stock compensation expense. We believe our general and administrative expenses may increase over time as we advance our clinical and preclinical development programs for resmetirom and expand our operating activities, which will likely result in an increase in our headcount, consulting services, and related overhead needed to support those efforts.</w:t>
      </w:r>
    </w:p>
    <w:p>
      <w:pPr>
        <w:spacing w:after="0" w:line="300"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Interest Income</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6"/>
          <w:szCs w:val="16"/>
          <w:color w:val="auto"/>
        </w:rPr>
        <w:t>Our net interest income was $0.1 million for the three months ended September 30, 2021, compared to $0.8 million in the corresponding period in 2020.</w:t>
      </w:r>
    </w:p>
    <w:p>
      <w:pPr>
        <w:spacing w:after="0" w:line="4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decrease in interest income was due primarily to decreased interest rates over the period.</w:t>
      </w:r>
    </w:p>
    <w:p>
      <w:pPr>
        <w:sectPr>
          <w:pgSz w:w="11900" w:h="16838" w:orient="portrait"/>
          <w:cols w:equalWidth="0" w:num="1">
            <w:col w:w="11120"/>
          </w:cols>
          <w:pgMar w:left="320" w:top="486" w:right="459" w:bottom="1440" w:gutter="0" w:footer="0" w:header="0"/>
        </w:sectPr>
      </w:pPr>
    </w:p>
    <w:p>
      <w:pPr>
        <w:spacing w:after="0" w:line="143" w:lineRule="exact"/>
        <w:rPr>
          <w:sz w:val="20"/>
          <w:szCs w:val="20"/>
          <w:color w:val="auto"/>
        </w:rPr>
      </w:pPr>
    </w:p>
    <w:p>
      <w:pPr>
        <w:jc w:val="center"/>
        <w:ind w:right="-139"/>
        <w:spacing w:after="0"/>
        <w:rPr>
          <w:sz w:val="20"/>
          <w:szCs w:val="20"/>
          <w:color w:val="auto"/>
        </w:rPr>
      </w:pPr>
      <w:r>
        <w:rPr>
          <w:rFonts w:ascii="Arial" w:cs="Arial" w:eastAsia="Arial" w:hAnsi="Arial"/>
          <w:sz w:val="16"/>
          <w:szCs w:val="16"/>
          <w:color w:val="auto"/>
        </w:rPr>
        <w:t>18</w:t>
      </w:r>
    </w:p>
    <w:p>
      <w:pPr>
        <w:sectPr>
          <w:pgSz w:w="11900" w:h="16838" w:orient="portrait"/>
          <w:cols w:equalWidth="0" w:num="1">
            <w:col w:w="11120"/>
          </w:cols>
          <w:pgMar w:left="320" w:top="486" w:right="459" w:bottom="1440" w:gutter="0" w:footer="0" w:header="0"/>
          <w:type w:val="continuous"/>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Nine months Ended September 30, 2021 and 2020</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7"/>
          <w:szCs w:val="17"/>
          <w:color w:val="auto"/>
        </w:rPr>
        <w:t>The following table provides comparative unaudited results of operations for the nine months ended September 30, 2021 and 2020 (in thousands):</w:t>
      </w:r>
    </w:p>
    <w:p>
      <w:pPr>
        <w:spacing w:after="0" w:line="269" w:lineRule="exact"/>
        <w:rPr>
          <w:sz w:val="20"/>
          <w:szCs w:val="20"/>
          <w:color w:val="auto"/>
        </w:rPr>
      </w:pPr>
    </w:p>
    <w:tbl>
      <w:tblPr>
        <w:tblLayout w:type="fixed"/>
        <w:tblInd w:w="560" w:type="dxa"/>
        <w:tblCellMar>
          <w:top w:w="0" w:type="dxa"/>
          <w:left w:w="0" w:type="dxa"/>
          <w:bottom w:w="0" w:type="dxa"/>
          <w:right w:w="0" w:type="dxa"/>
        </w:tblCellMar>
      </w:tblPr>
      <w:tr>
        <w:trPr>
          <w:trHeight w:val="171"/>
        </w:trPr>
        <w:tc>
          <w:tcPr>
            <w:tcW w:w="452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500" w:type="dxa"/>
            <w:vAlign w:val="bottom"/>
            <w:gridSpan w:val="6"/>
          </w:tcPr>
          <w:p>
            <w:pPr>
              <w:jc w:val="right"/>
              <w:ind w:right="320"/>
              <w:spacing w:after="0"/>
              <w:rPr>
                <w:sz w:val="20"/>
                <w:szCs w:val="20"/>
                <w:color w:val="auto"/>
              </w:rPr>
            </w:pPr>
            <w:r>
              <w:rPr>
                <w:rFonts w:ascii="Arial" w:cs="Arial" w:eastAsia="Arial" w:hAnsi="Arial"/>
                <w:sz w:val="14"/>
                <w:szCs w:val="14"/>
                <w:b w:val="1"/>
                <w:bCs w:val="1"/>
                <w:color w:val="auto"/>
                <w:w w:val="93"/>
              </w:rPr>
              <w:t>Nine Months Ended September 30,</w:t>
            </w:r>
          </w:p>
        </w:tc>
        <w:tc>
          <w:tcPr>
            <w:tcW w:w="1620" w:type="dxa"/>
            <w:vAlign w:val="bottom"/>
            <w:gridSpan w:val="4"/>
          </w:tcPr>
          <w:p>
            <w:pPr>
              <w:jc w:val="right"/>
              <w:ind w:right="300"/>
              <w:spacing w:after="0"/>
              <w:rPr>
                <w:sz w:val="20"/>
                <w:szCs w:val="20"/>
                <w:color w:val="auto"/>
              </w:rPr>
            </w:pPr>
            <w:r>
              <w:rPr>
                <w:rFonts w:ascii="Arial" w:cs="Arial" w:eastAsia="Arial" w:hAnsi="Arial"/>
                <w:sz w:val="14"/>
                <w:szCs w:val="14"/>
                <w:b w:val="1"/>
                <w:bCs w:val="1"/>
                <w:color w:val="auto"/>
                <w:w w:val="92"/>
              </w:rPr>
              <w:t>Increase / (Decrease)</w:t>
            </w:r>
          </w:p>
        </w:tc>
      </w:tr>
      <w:tr>
        <w:trPr>
          <w:trHeight w:val="156"/>
        </w:trPr>
        <w:tc>
          <w:tcPr>
            <w:tcW w:w="4520" w:type="dxa"/>
            <w:vAlign w:val="bottom"/>
            <w:tcBorders>
              <w:bottom w:val="single" w:sz="8" w:color="CCEEFF"/>
            </w:tcBorders>
          </w:tcPr>
          <w:p>
            <w:pPr>
              <w:spacing w:after="0"/>
              <w:rPr>
                <w:sz w:val="13"/>
                <w:szCs w:val="13"/>
                <w:color w:val="auto"/>
              </w:rPr>
            </w:pPr>
          </w:p>
        </w:tc>
        <w:tc>
          <w:tcPr>
            <w:tcW w:w="1480" w:type="dxa"/>
            <w:vAlign w:val="bottom"/>
            <w:tcBorders>
              <w:bottom w:val="single" w:sz="8" w:color="CCEEFF"/>
            </w:tcBorders>
          </w:tcPr>
          <w:p>
            <w:pPr>
              <w:spacing w:after="0"/>
              <w:rPr>
                <w:sz w:val="13"/>
                <w:szCs w:val="13"/>
                <w:color w:val="auto"/>
              </w:rPr>
            </w:pPr>
          </w:p>
        </w:tc>
        <w:tc>
          <w:tcPr>
            <w:tcW w:w="200" w:type="dxa"/>
            <w:vAlign w:val="bottom"/>
            <w:tcBorders>
              <w:top w:val="single" w:sz="8" w:color="auto"/>
              <w:bottom w:val="single" w:sz="8" w:color="auto"/>
            </w:tcBorders>
          </w:tcPr>
          <w:p>
            <w:pPr>
              <w:spacing w:after="0"/>
              <w:rPr>
                <w:sz w:val="13"/>
                <w:szCs w:val="13"/>
                <w:color w:val="auto"/>
              </w:rPr>
            </w:pPr>
          </w:p>
        </w:tc>
        <w:tc>
          <w:tcPr>
            <w:tcW w:w="720" w:type="dxa"/>
            <w:vAlign w:val="bottom"/>
            <w:tcBorders>
              <w:top w:val="single" w:sz="8" w:color="auto"/>
              <w:bottom w:val="single" w:sz="8" w:color="auto"/>
            </w:tcBorders>
          </w:tcPr>
          <w:p>
            <w:pPr>
              <w:jc w:val="right"/>
              <w:ind w:right="233"/>
              <w:spacing w:after="0" w:line="155" w:lineRule="exact"/>
              <w:rPr>
                <w:sz w:val="20"/>
                <w:szCs w:val="20"/>
                <w:color w:val="auto"/>
              </w:rPr>
            </w:pPr>
            <w:r>
              <w:rPr>
                <w:rFonts w:ascii="Arial" w:cs="Arial" w:eastAsia="Arial" w:hAnsi="Arial"/>
                <w:sz w:val="14"/>
                <w:szCs w:val="14"/>
                <w:b w:val="1"/>
                <w:bCs w:val="1"/>
                <w:color w:val="auto"/>
              </w:rPr>
              <w:t>2021</w:t>
            </w:r>
          </w:p>
        </w:tc>
        <w:tc>
          <w:tcPr>
            <w:tcW w:w="340" w:type="dxa"/>
            <w:vAlign w:val="bottom"/>
            <w:tcBorders>
              <w:top w:val="single" w:sz="8" w:color="auto"/>
              <w:bottom w:val="single" w:sz="8" w:color="CCEEFF"/>
            </w:tcBorders>
          </w:tcPr>
          <w:p>
            <w:pPr>
              <w:spacing w:after="0"/>
              <w:rPr>
                <w:sz w:val="13"/>
                <w:szCs w:val="13"/>
                <w:color w:val="auto"/>
              </w:rPr>
            </w:pPr>
          </w:p>
        </w:tc>
        <w:tc>
          <w:tcPr>
            <w:tcW w:w="200" w:type="dxa"/>
            <w:vAlign w:val="bottom"/>
            <w:tcBorders>
              <w:top w:val="single" w:sz="8" w:color="auto"/>
              <w:bottom w:val="single" w:sz="8" w:color="auto"/>
            </w:tcBorders>
          </w:tcPr>
          <w:p>
            <w:pPr>
              <w:spacing w:after="0"/>
              <w:rPr>
                <w:sz w:val="13"/>
                <w:szCs w:val="13"/>
                <w:color w:val="auto"/>
              </w:rPr>
            </w:pPr>
          </w:p>
        </w:tc>
        <w:tc>
          <w:tcPr>
            <w:tcW w:w="740" w:type="dxa"/>
            <w:vAlign w:val="bottom"/>
            <w:tcBorders>
              <w:top w:val="single" w:sz="8" w:color="auto"/>
              <w:bottom w:val="single" w:sz="8" w:color="auto"/>
            </w:tcBorders>
          </w:tcPr>
          <w:p>
            <w:pPr>
              <w:jc w:val="right"/>
              <w:ind w:right="233"/>
              <w:spacing w:after="0" w:line="155" w:lineRule="exact"/>
              <w:rPr>
                <w:sz w:val="20"/>
                <w:szCs w:val="20"/>
                <w:color w:val="auto"/>
              </w:rPr>
            </w:pPr>
            <w:r>
              <w:rPr>
                <w:rFonts w:ascii="Arial" w:cs="Arial" w:eastAsia="Arial" w:hAnsi="Arial"/>
                <w:sz w:val="14"/>
                <w:szCs w:val="14"/>
                <w:b w:val="1"/>
                <w:bCs w:val="1"/>
                <w:color w:val="auto"/>
              </w:rPr>
              <w:t>2020</w:t>
            </w:r>
          </w:p>
        </w:tc>
        <w:tc>
          <w:tcPr>
            <w:tcW w:w="300" w:type="dxa"/>
            <w:vAlign w:val="bottom"/>
            <w:tcBorders>
              <w:bottom w:val="single" w:sz="8" w:color="CCEEFF"/>
            </w:tcBorders>
          </w:tcPr>
          <w:p>
            <w:pPr>
              <w:spacing w:after="0"/>
              <w:rPr>
                <w:sz w:val="13"/>
                <w:szCs w:val="13"/>
                <w:color w:val="auto"/>
              </w:rPr>
            </w:pPr>
          </w:p>
        </w:tc>
        <w:tc>
          <w:tcPr>
            <w:tcW w:w="660" w:type="dxa"/>
            <w:vAlign w:val="bottom"/>
            <w:tcBorders>
              <w:top w:val="single" w:sz="8" w:color="auto"/>
              <w:bottom w:val="single" w:sz="8" w:color="auto"/>
            </w:tcBorders>
          </w:tcPr>
          <w:p>
            <w:pPr>
              <w:jc w:val="right"/>
              <w:ind w:right="215"/>
              <w:spacing w:after="0" w:line="155" w:lineRule="exact"/>
              <w:rPr>
                <w:sz w:val="20"/>
                <w:szCs w:val="20"/>
                <w:color w:val="auto"/>
              </w:rPr>
            </w:pPr>
            <w:r>
              <w:rPr>
                <w:rFonts w:ascii="Arial" w:cs="Arial" w:eastAsia="Arial" w:hAnsi="Arial"/>
                <w:sz w:val="14"/>
                <w:szCs w:val="14"/>
                <w:b w:val="1"/>
                <w:bCs w:val="1"/>
                <w:color w:val="auto"/>
              </w:rPr>
              <w:t>$</w:t>
            </w:r>
          </w:p>
        </w:tc>
        <w:tc>
          <w:tcPr>
            <w:tcW w:w="300" w:type="dxa"/>
            <w:vAlign w:val="bottom"/>
            <w:tcBorders>
              <w:top w:val="single" w:sz="8" w:color="auto"/>
              <w:bottom w:val="single" w:sz="8" w:color="CCEEFF"/>
            </w:tcBorders>
          </w:tcPr>
          <w:p>
            <w:pPr>
              <w:spacing w:after="0"/>
              <w:rPr>
                <w:sz w:val="13"/>
                <w:szCs w:val="13"/>
                <w:color w:val="auto"/>
              </w:rPr>
            </w:pPr>
          </w:p>
        </w:tc>
        <w:tc>
          <w:tcPr>
            <w:tcW w:w="400" w:type="dxa"/>
            <w:vAlign w:val="bottom"/>
            <w:tcBorders>
              <w:top w:val="single" w:sz="8" w:color="auto"/>
              <w:bottom w:val="single" w:sz="8" w:color="auto"/>
            </w:tcBorders>
          </w:tcPr>
          <w:p>
            <w:pPr>
              <w:jc w:val="right"/>
              <w:ind w:right="33"/>
              <w:spacing w:after="0" w:line="155" w:lineRule="exact"/>
              <w:rPr>
                <w:sz w:val="20"/>
                <w:szCs w:val="20"/>
                <w:color w:val="auto"/>
              </w:rPr>
            </w:pPr>
            <w:r>
              <w:rPr>
                <w:rFonts w:ascii="Arial" w:cs="Arial" w:eastAsia="Arial" w:hAnsi="Arial"/>
                <w:sz w:val="14"/>
                <w:szCs w:val="14"/>
                <w:b w:val="1"/>
                <w:bCs w:val="1"/>
                <w:color w:val="auto"/>
              </w:rPr>
              <w:t>%</w:t>
            </w:r>
          </w:p>
        </w:tc>
        <w:tc>
          <w:tcPr>
            <w:tcW w:w="260" w:type="dxa"/>
            <w:vAlign w:val="bottom"/>
            <w:tcBorders>
              <w:bottom w:val="single" w:sz="8" w:color="CCEEFF"/>
            </w:tcBorders>
          </w:tcPr>
          <w:p>
            <w:pPr>
              <w:spacing w:after="0"/>
              <w:rPr>
                <w:sz w:val="13"/>
                <w:szCs w:val="13"/>
                <w:color w:val="auto"/>
              </w:rPr>
            </w:pPr>
          </w:p>
        </w:tc>
      </w:tr>
      <w:tr>
        <w:trPr>
          <w:trHeight w:val="209"/>
        </w:trPr>
        <w:tc>
          <w:tcPr>
            <w:tcW w:w="45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Research and development Expenses</w:t>
            </w:r>
          </w:p>
        </w:tc>
        <w:tc>
          <w:tcPr>
            <w:tcW w:w="148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152,275</w:t>
            </w: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131,380</w:t>
            </w:r>
          </w:p>
        </w:tc>
        <w:tc>
          <w:tcPr>
            <w:tcW w:w="3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20,895</w:t>
            </w:r>
          </w:p>
        </w:tc>
        <w:tc>
          <w:tcPr>
            <w:tcW w:w="3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w:t>
            </w:r>
          </w:p>
        </w:tc>
      </w:tr>
      <w:tr>
        <w:trPr>
          <w:trHeight w:val="216"/>
        </w:trPr>
        <w:tc>
          <w:tcPr>
            <w:tcW w:w="4520" w:type="dxa"/>
            <w:vAlign w:val="bottom"/>
          </w:tcPr>
          <w:p>
            <w:pPr>
              <w:ind w:left="360"/>
              <w:spacing w:after="0"/>
              <w:rPr>
                <w:sz w:val="20"/>
                <w:szCs w:val="20"/>
                <w:color w:val="auto"/>
              </w:rPr>
            </w:pPr>
            <w:r>
              <w:rPr>
                <w:rFonts w:ascii="Arial" w:cs="Arial" w:eastAsia="Arial" w:hAnsi="Arial"/>
                <w:sz w:val="18"/>
                <w:szCs w:val="18"/>
                <w:color w:val="auto"/>
              </w:rPr>
              <w:t>General and administrative Expenses</w:t>
            </w:r>
          </w:p>
        </w:tc>
        <w:tc>
          <w:tcPr>
            <w:tcW w:w="1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jc w:val="right"/>
              <w:ind w:right="340"/>
              <w:spacing w:after="0"/>
              <w:rPr>
                <w:sz w:val="20"/>
                <w:szCs w:val="20"/>
                <w:color w:val="auto"/>
              </w:rPr>
            </w:pPr>
            <w:r>
              <w:rPr>
                <w:rFonts w:ascii="Arial" w:cs="Arial" w:eastAsia="Arial" w:hAnsi="Arial"/>
                <w:sz w:val="18"/>
                <w:szCs w:val="18"/>
                <w:color w:val="auto"/>
              </w:rPr>
              <w:t>25,606</w:t>
            </w:r>
          </w:p>
        </w:tc>
        <w:tc>
          <w:tcPr>
            <w:tcW w:w="200" w:type="dxa"/>
            <w:vAlign w:val="bottom"/>
          </w:tcPr>
          <w:p>
            <w:pPr>
              <w:spacing w:after="0"/>
              <w:rPr>
                <w:sz w:val="18"/>
                <w:szCs w:val="18"/>
                <w:color w:val="auto"/>
              </w:rPr>
            </w:pPr>
          </w:p>
        </w:tc>
        <w:tc>
          <w:tcPr>
            <w:tcW w:w="1040" w:type="dxa"/>
            <w:vAlign w:val="bottom"/>
            <w:gridSpan w:val="2"/>
          </w:tcPr>
          <w:p>
            <w:pPr>
              <w:jc w:val="right"/>
              <w:ind w:right="300"/>
              <w:spacing w:after="0"/>
              <w:rPr>
                <w:sz w:val="20"/>
                <w:szCs w:val="20"/>
                <w:color w:val="auto"/>
              </w:rPr>
            </w:pPr>
            <w:r>
              <w:rPr>
                <w:rFonts w:ascii="Arial" w:cs="Arial" w:eastAsia="Arial" w:hAnsi="Arial"/>
                <w:sz w:val="18"/>
                <w:szCs w:val="18"/>
                <w:color w:val="auto"/>
              </w:rPr>
              <w:t>15,738</w:t>
            </w:r>
          </w:p>
        </w:tc>
        <w:tc>
          <w:tcPr>
            <w:tcW w:w="960" w:type="dxa"/>
            <w:vAlign w:val="bottom"/>
            <w:gridSpan w:val="2"/>
          </w:tcPr>
          <w:p>
            <w:pPr>
              <w:jc w:val="right"/>
              <w:ind w:right="300"/>
              <w:spacing w:after="0"/>
              <w:rPr>
                <w:sz w:val="20"/>
                <w:szCs w:val="20"/>
                <w:color w:val="auto"/>
              </w:rPr>
            </w:pPr>
            <w:r>
              <w:rPr>
                <w:rFonts w:ascii="Arial" w:cs="Arial" w:eastAsia="Arial" w:hAnsi="Arial"/>
                <w:sz w:val="18"/>
                <w:szCs w:val="18"/>
                <w:color w:val="auto"/>
              </w:rPr>
              <w:t>9,868</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63%</w:t>
            </w:r>
          </w:p>
        </w:tc>
      </w:tr>
      <w:tr>
        <w:trPr>
          <w:trHeight w:val="216"/>
        </w:trPr>
        <w:tc>
          <w:tcPr>
            <w:tcW w:w="45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Interest (Income)</w:t>
            </w:r>
          </w:p>
        </w:tc>
        <w:tc>
          <w:tcPr>
            <w:tcW w:w="1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(311)</w:t>
            </w: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(3,897)</w:t>
            </w: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(3,586)</w:t>
            </w: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(92%)</w:t>
            </w:r>
          </w:p>
        </w:tc>
      </w:tr>
      <w:tr>
        <w:trPr>
          <w:trHeight w:val="216"/>
        </w:trPr>
        <w:tc>
          <w:tcPr>
            <w:tcW w:w="4520" w:type="dxa"/>
            <w:vAlign w:val="bottom"/>
          </w:tcPr>
          <w:p>
            <w:pPr>
              <w:ind w:left="360"/>
              <w:spacing w:after="0"/>
              <w:rPr>
                <w:sz w:val="20"/>
                <w:szCs w:val="20"/>
                <w:color w:val="auto"/>
              </w:rPr>
            </w:pPr>
            <w:r>
              <w:rPr>
                <w:rFonts w:ascii="Arial" w:cs="Arial" w:eastAsia="Arial" w:hAnsi="Arial"/>
                <w:sz w:val="18"/>
                <w:szCs w:val="18"/>
                <w:color w:val="auto"/>
              </w:rPr>
              <w:t>Other (income)</w:t>
            </w:r>
          </w:p>
        </w:tc>
        <w:tc>
          <w:tcPr>
            <w:tcW w:w="1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color w:val="auto"/>
              </w:rPr>
              <w:t>(273)</w:t>
            </w:r>
          </w:p>
        </w:tc>
        <w:tc>
          <w:tcPr>
            <w:tcW w:w="200" w:type="dxa"/>
            <w:vAlign w:val="bottom"/>
          </w:tcPr>
          <w:p>
            <w:pPr>
              <w:spacing w:after="0"/>
              <w:rPr>
                <w:sz w:val="18"/>
                <w:szCs w:val="18"/>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(100)</w:t>
            </w:r>
          </w:p>
        </w:tc>
        <w:tc>
          <w:tcPr>
            <w:tcW w:w="960" w:type="dxa"/>
            <w:vAlign w:val="bottom"/>
            <w:gridSpan w:val="2"/>
          </w:tcPr>
          <w:p>
            <w:pPr>
              <w:jc w:val="right"/>
              <w:ind w:right="300"/>
              <w:spacing w:after="0"/>
              <w:rPr>
                <w:sz w:val="20"/>
                <w:szCs w:val="20"/>
                <w:color w:val="auto"/>
              </w:rPr>
            </w:pPr>
            <w:r>
              <w:rPr>
                <w:rFonts w:ascii="Arial" w:cs="Arial" w:eastAsia="Arial" w:hAnsi="Arial"/>
                <w:sz w:val="18"/>
                <w:szCs w:val="18"/>
                <w:color w:val="auto"/>
              </w:rPr>
              <w:t>173</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173%</w:t>
            </w:r>
          </w:p>
        </w:tc>
      </w:tr>
      <w:tr>
        <w:trPr>
          <w:trHeight w:val="27"/>
        </w:trPr>
        <w:tc>
          <w:tcPr>
            <w:tcW w:w="45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400" w:type="dxa"/>
            <w:vAlign w:val="bottom"/>
          </w:tcPr>
          <w:p>
            <w:pPr>
              <w:spacing w:after="0"/>
              <w:rPr>
                <w:sz w:val="2"/>
                <w:szCs w:val="2"/>
                <w:color w:val="auto"/>
              </w:rPr>
            </w:pPr>
          </w:p>
        </w:tc>
        <w:tc>
          <w:tcPr>
            <w:tcW w:w="260" w:type="dxa"/>
            <w:vAlign w:val="bottom"/>
          </w:tcPr>
          <w:p>
            <w:pPr>
              <w:spacing w:after="0"/>
              <w:rPr>
                <w:sz w:val="2"/>
                <w:szCs w:val="2"/>
                <w:color w:val="auto"/>
              </w:rPr>
            </w:pPr>
          </w:p>
        </w:tc>
      </w:tr>
      <w:tr>
        <w:trPr>
          <w:trHeight w:val="216"/>
        </w:trPr>
        <w:tc>
          <w:tcPr>
            <w:tcW w:w="452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177,297</w:t>
            </w: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143,121</w:t>
            </w: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34,176</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w:t>
            </w:r>
          </w:p>
        </w:tc>
      </w:tr>
    </w:tbl>
    <w:p>
      <w:pPr>
        <w:spacing w:after="0" w:line="310"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Revenue</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had no revenue for the nine months ended September 30, 2021 and 2020.</w:t>
      </w:r>
    </w:p>
    <w:p>
      <w:pPr>
        <w:spacing w:after="0" w:line="333"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Research and Development Expenses</w:t>
      </w:r>
    </w:p>
    <w:p>
      <w:pPr>
        <w:spacing w:after="0" w:line="117" w:lineRule="exact"/>
        <w:rPr>
          <w:sz w:val="20"/>
          <w:szCs w:val="20"/>
          <w:color w:val="auto"/>
        </w:rPr>
      </w:pPr>
    </w:p>
    <w:p>
      <w:pPr>
        <w:ind w:left="120" w:right="340"/>
        <w:spacing w:after="0" w:line="301" w:lineRule="auto"/>
        <w:rPr>
          <w:sz w:val="20"/>
          <w:szCs w:val="20"/>
          <w:color w:val="auto"/>
        </w:rPr>
      </w:pPr>
      <w:r>
        <w:rPr>
          <w:rFonts w:ascii="Arial" w:cs="Arial" w:eastAsia="Arial" w:hAnsi="Arial"/>
          <w:sz w:val="16"/>
          <w:szCs w:val="16"/>
          <w:color w:val="auto"/>
        </w:rPr>
        <w:t>Our research and development expenses were $152.3 million for the nine months ended September 30, 2021, compared to $131.4 million in the corresponding period in 2020. Research and development expenses increased by $20.9 million in the 2021 period due primarily to the additional activities related to the Phase 3 clinical trials, an increase in head count, and an increase in stock compensation expense. We expect our research and development expenses to increase over time as we advance our clinical and preclinical development programs for resmetirom.</w:t>
      </w:r>
    </w:p>
    <w:p>
      <w:pPr>
        <w:spacing w:after="0" w:line="26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General and Administrative Expenses</w:t>
      </w:r>
    </w:p>
    <w:p>
      <w:pPr>
        <w:spacing w:after="0" w:line="117" w:lineRule="exact"/>
        <w:rPr>
          <w:sz w:val="20"/>
          <w:szCs w:val="20"/>
          <w:color w:val="auto"/>
        </w:rPr>
      </w:pPr>
    </w:p>
    <w:p>
      <w:pPr>
        <w:ind w:left="120" w:right="280"/>
        <w:spacing w:after="0" w:line="255" w:lineRule="auto"/>
        <w:rPr>
          <w:sz w:val="20"/>
          <w:szCs w:val="20"/>
          <w:color w:val="auto"/>
        </w:rPr>
      </w:pPr>
      <w:r>
        <w:rPr>
          <w:rFonts w:ascii="Arial" w:cs="Arial" w:eastAsia="Arial" w:hAnsi="Arial"/>
          <w:sz w:val="18"/>
          <w:szCs w:val="18"/>
          <w:color w:val="auto"/>
        </w:rPr>
        <w:t>Our general and administrative expenses were $25.6 million for the nine months ended September 30, 2021, compared to $15.8 million in the corresponding period in 2020. General and administrative expenses increased by $9.9 million in the 2021 period due primarily to increases in commercial preparation activities, including a corresponding increase in head count, and an increase in stock compensation expense. We believe our general and administrative expenses may increase over time as we advance our clinical and preclinical development programs for resmetirom, which will likely result in an increase in our headcount, commercially related activities, consulting services, and related overhead needed to support those efforts.</w:t>
      </w:r>
    </w:p>
    <w:p>
      <w:pPr>
        <w:spacing w:after="0" w:line="300"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Interest Income</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6"/>
          <w:szCs w:val="16"/>
          <w:color w:val="auto"/>
        </w:rPr>
        <w:t>Our net interest income was $0.3 million for the nine months ended September 30, 2021, compared to $3.9 million in the corresponding period in 2020.</w:t>
      </w:r>
    </w:p>
    <w:p>
      <w:pPr>
        <w:spacing w:after="0" w:line="4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decrease in interest income was due primarily to decreased interest rates over the period.</w:t>
      </w:r>
    </w:p>
    <w:p>
      <w:pPr>
        <w:spacing w:after="0" w:line="31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left="120" w:right="40"/>
        <w:spacing w:after="0" w:line="259" w:lineRule="auto"/>
        <w:rPr>
          <w:sz w:val="20"/>
          <w:szCs w:val="20"/>
          <w:color w:val="auto"/>
        </w:rPr>
      </w:pPr>
      <w:r>
        <w:rPr>
          <w:rFonts w:ascii="Arial" w:cs="Arial" w:eastAsia="Arial" w:hAnsi="Arial"/>
          <w:sz w:val="18"/>
          <w:szCs w:val="18"/>
          <w:color w:val="auto"/>
        </w:rPr>
        <w:t>Since inception, we have incurred significant net losses and we have funded our operations primarily through the issuance of shares of our capital stock. Our most significant use of capital pertains to salaries and benefits for our employees, including clinical, scientific, operational, commercial, financial and management personnel, and external research and development expenses, such as clinical trials and preclinical activity related to our product candidates.</w:t>
      </w:r>
    </w:p>
    <w:p>
      <w:pPr>
        <w:spacing w:after="0" w:line="187" w:lineRule="exact"/>
        <w:rPr>
          <w:sz w:val="20"/>
          <w:szCs w:val="20"/>
          <w:color w:val="auto"/>
        </w:rPr>
      </w:pPr>
    </w:p>
    <w:p>
      <w:pPr>
        <w:ind w:left="120" w:right="80"/>
        <w:spacing w:after="0" w:line="296" w:lineRule="auto"/>
        <w:rPr>
          <w:sz w:val="20"/>
          <w:szCs w:val="20"/>
          <w:color w:val="auto"/>
        </w:rPr>
      </w:pPr>
      <w:r>
        <w:rPr>
          <w:rFonts w:ascii="Arial" w:cs="Arial" w:eastAsia="Arial" w:hAnsi="Arial"/>
          <w:sz w:val="16"/>
          <w:szCs w:val="16"/>
          <w:color w:val="auto"/>
        </w:rPr>
        <w:t>As of September 30, 2021, we had cash, cash equivalents and marketable securities totaling $299.1 million compared to $284.1 million as of December 31, 2020, with the increase attributable to net proceeds of $151.2 million raised from the sale of 1,347,290 shares under our at-the-market (ATM) sales agreements, partially offset by funding of operations. Our cash and investment balances are held in a variety of interest bearing instruments, including obligations of U.S. government agencies, U.S. Treasury debt securities, corporate debt securities and money market funds. Cash in excess of immediate requirements is invested in accordance with our investment policy with a view toward capital preservation and liquidity.</w:t>
      </w:r>
    </w:p>
    <w:p>
      <w:pPr>
        <w:spacing w:after="0" w:line="161" w:lineRule="exact"/>
        <w:rPr>
          <w:sz w:val="20"/>
          <w:szCs w:val="20"/>
          <w:color w:val="auto"/>
        </w:rPr>
      </w:pPr>
    </w:p>
    <w:p>
      <w:pPr>
        <w:ind w:left="120"/>
        <w:spacing w:after="0" w:line="287" w:lineRule="auto"/>
        <w:rPr>
          <w:sz w:val="20"/>
          <w:szCs w:val="20"/>
          <w:color w:val="auto"/>
        </w:rPr>
      </w:pPr>
      <w:r>
        <w:rPr>
          <w:rFonts w:ascii="Arial" w:cs="Arial" w:eastAsia="Arial" w:hAnsi="Arial"/>
          <w:sz w:val="16"/>
          <w:szCs w:val="16"/>
          <w:color w:val="auto"/>
        </w:rPr>
        <w:t>We anticipate continuing to incur operating losses for the foreseeable future. While our rate of cash usage will likely increase in the future, in particular to support our product development and clinical trial efforts, we believe our available cash resources as of September 30, 2021 will be sufficient to fund our operations past one year from the issuance of the financial statements contained herein, and this outlook takes into account circumstances that are currently reasonably foreseeable in connection with the COVID-19 pandemic. For a description of COVID-19 pandemic risks, including risks and uncertainties beyond our control, see Part I, Item 1A, “Risk Factors” on Form 10-K for the year ended December 31, 2020, filed with the SEC on February 25, 2021. Our future long-term liquidity requirements will be substantial and will depend on many factors. To meet future long-term liquidity requirements, we will need to and intend to raise additional capital to fund our operations, primarily through equity or debt financings. We regularly consider fundraising opportunities and may decide, from time to time, to raise capital based on various factors, including market conditions and our plans of operation. This includes, but is not limited to, the use of the $200 million at-the-market sales agreement. Additional capital may not be available on terms acceptable to us, or at all. If adequate funds are not available, or if the terms of potential funding sources are unfavorable, our business and our ability to develop our product candidates would be harmed. Furthermore, any sales of additional equity securities may result in dilution to our stockholders, and any non-equity financing may include covenants that restrict our business.</w:t>
      </w:r>
    </w:p>
    <w:p>
      <w:pPr>
        <w:sectPr>
          <w:pgSz w:w="11900" w:h="16838" w:orient="portrait"/>
          <w:cols w:equalWidth="0" w:num="1">
            <w:col w:w="11120"/>
          </w:cols>
          <w:pgMar w:left="320" w:top="486" w:right="459" w:bottom="1440" w:gutter="0" w:footer="0" w:header="0"/>
        </w:sectPr>
      </w:pPr>
    </w:p>
    <w:p>
      <w:pPr>
        <w:spacing w:after="0" w:line="100" w:lineRule="exact"/>
        <w:rPr>
          <w:sz w:val="20"/>
          <w:szCs w:val="20"/>
          <w:color w:val="auto"/>
        </w:rPr>
      </w:pPr>
    </w:p>
    <w:p>
      <w:pPr>
        <w:jc w:val="center"/>
        <w:ind w:right="-139"/>
        <w:spacing w:after="0"/>
        <w:rPr>
          <w:sz w:val="20"/>
          <w:szCs w:val="20"/>
          <w:color w:val="auto"/>
        </w:rPr>
      </w:pPr>
      <w:r>
        <w:rPr>
          <w:rFonts w:ascii="Arial" w:cs="Arial" w:eastAsia="Arial" w:hAnsi="Arial"/>
          <w:sz w:val="16"/>
          <w:szCs w:val="16"/>
          <w:color w:val="auto"/>
        </w:rPr>
        <w:t>19</w:t>
      </w:r>
    </w:p>
    <w:p>
      <w:pPr>
        <w:sectPr>
          <w:pgSz w:w="11900" w:h="16838" w:orient="portrait"/>
          <w:cols w:equalWidth="0" w:num="1">
            <w:col w:w="11120"/>
          </w:cols>
          <w:pgMar w:left="320" w:top="486" w:right="459" w:bottom="1440" w:gutter="0" w:footer="0" w:header="0"/>
          <w:type w:val="continuous"/>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Cash Flows</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table provides a summary of our net cash flow activity (in thousands):</w:t>
      </w:r>
    </w:p>
    <w:p>
      <w:pPr>
        <w:spacing w:after="0" w:line="257" w:lineRule="exact"/>
        <w:rPr>
          <w:sz w:val="20"/>
          <w:szCs w:val="20"/>
          <w:color w:val="auto"/>
        </w:rPr>
      </w:pPr>
    </w:p>
    <w:tbl>
      <w:tblPr>
        <w:tblLayout w:type="fixed"/>
        <w:tblInd w:w="1440" w:type="dxa"/>
        <w:tblCellMar>
          <w:top w:w="0" w:type="dxa"/>
          <w:left w:w="0" w:type="dxa"/>
          <w:bottom w:w="0" w:type="dxa"/>
          <w:right w:w="0" w:type="dxa"/>
        </w:tblCellMar>
      </w:tblPr>
      <w:tr>
        <w:trPr>
          <w:trHeight w:val="171"/>
        </w:trPr>
        <w:tc>
          <w:tcPr>
            <w:tcW w:w="6000" w:type="dxa"/>
            <w:vAlign w:val="bottom"/>
          </w:tcPr>
          <w:p>
            <w:pPr>
              <w:spacing w:after="0"/>
              <w:rPr>
                <w:sz w:val="14"/>
                <w:szCs w:val="14"/>
                <w:color w:val="auto"/>
              </w:rPr>
            </w:pPr>
          </w:p>
        </w:tc>
        <w:tc>
          <w:tcPr>
            <w:tcW w:w="2360" w:type="dxa"/>
            <w:vAlign w:val="bottom"/>
            <w:gridSpan w:val="6"/>
          </w:tcPr>
          <w:p>
            <w:pPr>
              <w:jc w:val="right"/>
              <w:ind w:right="160"/>
              <w:spacing w:after="0"/>
              <w:rPr>
                <w:sz w:val="20"/>
                <w:szCs w:val="20"/>
                <w:color w:val="auto"/>
              </w:rPr>
            </w:pPr>
            <w:r>
              <w:rPr>
                <w:rFonts w:ascii="Arial" w:cs="Arial" w:eastAsia="Arial" w:hAnsi="Arial"/>
                <w:sz w:val="14"/>
                <w:szCs w:val="14"/>
                <w:b w:val="1"/>
                <w:bCs w:val="1"/>
                <w:color w:val="auto"/>
                <w:w w:val="94"/>
              </w:rPr>
              <w:t>Nine Months Ended September 30,</w:t>
            </w:r>
          </w:p>
        </w:tc>
      </w:tr>
      <w:tr>
        <w:trPr>
          <w:trHeight w:val="155"/>
        </w:trPr>
        <w:tc>
          <w:tcPr>
            <w:tcW w:w="6000" w:type="dxa"/>
            <w:vAlign w:val="bottom"/>
            <w:tcBorders>
              <w:bottom w:val="single" w:sz="8" w:color="CCEEFF"/>
            </w:tcBorders>
          </w:tcPr>
          <w:p>
            <w:pPr>
              <w:spacing w:after="0"/>
              <w:rPr>
                <w:sz w:val="13"/>
                <w:szCs w:val="13"/>
                <w:color w:val="auto"/>
              </w:rPr>
            </w:pPr>
          </w:p>
        </w:tc>
        <w:tc>
          <w:tcPr>
            <w:tcW w:w="180" w:type="dxa"/>
            <w:vAlign w:val="bottom"/>
            <w:tcBorders>
              <w:top w:val="single" w:sz="8" w:color="auto"/>
              <w:bottom w:val="single" w:sz="8" w:color="auto"/>
            </w:tcBorders>
          </w:tcPr>
          <w:p>
            <w:pPr>
              <w:spacing w:after="0"/>
              <w:rPr>
                <w:sz w:val="13"/>
                <w:szCs w:val="13"/>
                <w:color w:val="auto"/>
              </w:rPr>
            </w:pPr>
          </w:p>
        </w:tc>
        <w:tc>
          <w:tcPr>
            <w:tcW w:w="740" w:type="dxa"/>
            <w:vAlign w:val="bottom"/>
            <w:tcBorders>
              <w:top w:val="single" w:sz="8" w:color="auto"/>
              <w:bottom w:val="single" w:sz="8" w:color="auto"/>
            </w:tcBorders>
          </w:tcPr>
          <w:p>
            <w:pPr>
              <w:jc w:val="right"/>
              <w:ind w:right="234"/>
              <w:spacing w:after="0" w:line="155" w:lineRule="exact"/>
              <w:rPr>
                <w:sz w:val="20"/>
                <w:szCs w:val="20"/>
                <w:color w:val="auto"/>
              </w:rPr>
            </w:pPr>
            <w:r>
              <w:rPr>
                <w:rFonts w:ascii="Arial" w:cs="Arial" w:eastAsia="Arial" w:hAnsi="Arial"/>
                <w:sz w:val="14"/>
                <w:szCs w:val="14"/>
                <w:b w:val="1"/>
                <w:bCs w:val="1"/>
                <w:color w:val="auto"/>
              </w:rPr>
              <w:t>2021</w:t>
            </w:r>
          </w:p>
        </w:tc>
        <w:tc>
          <w:tcPr>
            <w:tcW w:w="380" w:type="dxa"/>
            <w:vAlign w:val="bottom"/>
            <w:tcBorders>
              <w:top w:val="single" w:sz="8" w:color="auto"/>
              <w:bottom w:val="single" w:sz="8" w:color="CCEEFF"/>
            </w:tcBorders>
          </w:tcPr>
          <w:p>
            <w:pPr>
              <w:spacing w:after="0"/>
              <w:rPr>
                <w:sz w:val="13"/>
                <w:szCs w:val="13"/>
                <w:color w:val="auto"/>
              </w:rPr>
            </w:pPr>
          </w:p>
        </w:tc>
        <w:tc>
          <w:tcPr>
            <w:tcW w:w="200" w:type="dxa"/>
            <w:vAlign w:val="bottom"/>
            <w:tcBorders>
              <w:top w:val="single" w:sz="8" w:color="auto"/>
              <w:bottom w:val="single" w:sz="8" w:color="auto"/>
            </w:tcBorders>
          </w:tcPr>
          <w:p>
            <w:pPr>
              <w:spacing w:after="0"/>
              <w:rPr>
                <w:sz w:val="13"/>
                <w:szCs w:val="13"/>
                <w:color w:val="auto"/>
              </w:rPr>
            </w:pPr>
          </w:p>
        </w:tc>
        <w:tc>
          <w:tcPr>
            <w:tcW w:w="760" w:type="dxa"/>
            <w:vAlign w:val="bottom"/>
            <w:tcBorders>
              <w:top w:val="single" w:sz="8" w:color="auto"/>
              <w:bottom w:val="single" w:sz="8" w:color="auto"/>
            </w:tcBorders>
          </w:tcPr>
          <w:p>
            <w:pPr>
              <w:jc w:val="right"/>
              <w:ind w:right="254"/>
              <w:spacing w:after="0" w:line="155" w:lineRule="exact"/>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3"/>
                <w:szCs w:val="13"/>
                <w:color w:val="auto"/>
              </w:rPr>
            </w:pPr>
          </w:p>
        </w:tc>
      </w:tr>
      <w:tr>
        <w:trPr>
          <w:trHeight w:val="209"/>
        </w:trPr>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(135,866)</w:t>
            </w: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(102,614)</w:t>
            </w:r>
          </w:p>
        </w:tc>
        <w:tc>
          <w:tcPr>
            <w:tcW w:w="100" w:type="dxa"/>
            <w:vAlign w:val="bottom"/>
            <w:shd w:val="clear" w:color="auto" w:fill="CCEEFF"/>
          </w:tcPr>
          <w:p>
            <w:pPr>
              <w:spacing w:after="0"/>
              <w:rPr>
                <w:sz w:val="18"/>
                <w:szCs w:val="18"/>
                <w:color w:val="auto"/>
              </w:rPr>
            </w:pPr>
          </w:p>
        </w:tc>
      </w:tr>
      <w:tr>
        <w:trPr>
          <w:trHeight w:val="216"/>
        </w:trPr>
        <w:tc>
          <w:tcPr>
            <w:tcW w:w="6000" w:type="dxa"/>
            <w:vAlign w:val="bottom"/>
          </w:tcPr>
          <w:p>
            <w:pPr>
              <w:spacing w:after="0"/>
              <w:rPr>
                <w:sz w:val="20"/>
                <w:szCs w:val="20"/>
                <w:color w:val="auto"/>
              </w:rPr>
            </w:pPr>
            <w:r>
              <w:rPr>
                <w:rFonts w:ascii="Arial" w:cs="Arial" w:eastAsia="Arial" w:hAnsi="Arial"/>
                <w:sz w:val="18"/>
                <w:szCs w:val="18"/>
                <w:color w:val="auto"/>
              </w:rPr>
              <w:t>Net cash (used in) provided by investing activities</w:t>
            </w:r>
          </w:p>
        </w:tc>
        <w:tc>
          <w:tcPr>
            <w:tcW w:w="180" w:type="dxa"/>
            <w:vAlign w:val="bottom"/>
          </w:tcPr>
          <w:p>
            <w:pPr>
              <w:spacing w:after="0"/>
              <w:rPr>
                <w:sz w:val="18"/>
                <w:szCs w:val="18"/>
                <w:color w:val="auto"/>
              </w:rPr>
            </w:pPr>
          </w:p>
        </w:tc>
        <w:tc>
          <w:tcPr>
            <w:tcW w:w="1120" w:type="dxa"/>
            <w:vAlign w:val="bottom"/>
            <w:gridSpan w:val="2"/>
          </w:tcPr>
          <w:p>
            <w:pPr>
              <w:jc w:val="right"/>
              <w:ind w:right="320"/>
              <w:spacing w:after="0"/>
              <w:rPr>
                <w:sz w:val="20"/>
                <w:szCs w:val="20"/>
                <w:color w:val="auto"/>
              </w:rPr>
            </w:pPr>
            <w:r>
              <w:rPr>
                <w:rFonts w:ascii="Arial" w:cs="Arial" w:eastAsia="Arial" w:hAnsi="Arial"/>
                <w:sz w:val="18"/>
                <w:szCs w:val="18"/>
                <w:color w:val="auto"/>
              </w:rPr>
              <w:t>(20,698)</w:t>
            </w:r>
          </w:p>
        </w:tc>
        <w:tc>
          <w:tcPr>
            <w:tcW w:w="20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164,578</w:t>
            </w:r>
          </w:p>
        </w:tc>
      </w:tr>
      <w:tr>
        <w:trPr>
          <w:trHeight w:val="216"/>
        </w:trPr>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financing activities</w:t>
            </w:r>
          </w:p>
        </w:tc>
        <w:tc>
          <w:tcPr>
            <w:tcW w:w="18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151,734</w:t>
            </w:r>
          </w:p>
        </w:tc>
        <w:tc>
          <w:tcPr>
            <w:tcW w:w="2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459</w:t>
            </w:r>
          </w:p>
        </w:tc>
      </w:tr>
      <w:tr>
        <w:trPr>
          <w:trHeight w:val="224"/>
        </w:trPr>
        <w:tc>
          <w:tcPr>
            <w:tcW w:w="6000" w:type="dxa"/>
            <w:vAlign w:val="bottom"/>
          </w:tcPr>
          <w:p>
            <w:pPr>
              <w:spacing w:after="0"/>
              <w:rPr>
                <w:sz w:val="20"/>
                <w:szCs w:val="20"/>
                <w:color w:val="auto"/>
              </w:rPr>
            </w:pPr>
            <w:r>
              <w:rPr>
                <w:rFonts w:ascii="Arial" w:cs="Arial" w:eastAsia="Arial" w:hAnsi="Arial"/>
                <w:sz w:val="18"/>
                <w:szCs w:val="18"/>
                <w:color w:val="auto"/>
              </w:rPr>
              <w:t>Net (decrease) increase in cash and cash equivalents</w:t>
            </w:r>
          </w:p>
        </w:tc>
        <w:tc>
          <w:tcPr>
            <w:tcW w:w="180" w:type="dxa"/>
            <w:vAlign w:val="bottom"/>
            <w:tcBorders>
              <w:top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(4,830)</w:t>
            </w:r>
          </w:p>
        </w:tc>
        <w:tc>
          <w:tcPr>
            <w:tcW w:w="380" w:type="dxa"/>
            <w:vAlign w:val="bottom"/>
          </w:tcPr>
          <w:p>
            <w:pPr>
              <w:spacing w:after="0"/>
              <w:rPr>
                <w:sz w:val="19"/>
                <w:szCs w:val="19"/>
                <w:color w:val="auto"/>
              </w:rPr>
            </w:pPr>
          </w:p>
        </w:tc>
        <w:tc>
          <w:tcPr>
            <w:tcW w:w="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62,423</w:t>
            </w:r>
          </w:p>
        </w:tc>
        <w:tc>
          <w:tcPr>
            <w:tcW w:w="100" w:type="dxa"/>
            <w:vAlign w:val="bottom"/>
          </w:tcPr>
          <w:p>
            <w:pPr>
              <w:spacing w:after="0"/>
              <w:rPr>
                <w:sz w:val="19"/>
                <w:szCs w:val="19"/>
                <w:color w:val="auto"/>
              </w:rPr>
            </w:pPr>
          </w:p>
        </w:tc>
      </w:tr>
    </w:tbl>
    <w:p>
      <w:pPr>
        <w:spacing w:after="0" w:line="201" w:lineRule="exact"/>
        <w:rPr>
          <w:sz w:val="20"/>
          <w:szCs w:val="20"/>
          <w:color w:val="auto"/>
        </w:rPr>
      </w:pPr>
    </w:p>
    <w:p>
      <w:pPr>
        <w:ind w:left="120" w:right="140"/>
        <w:spacing w:after="0" w:line="263" w:lineRule="auto"/>
        <w:rPr>
          <w:sz w:val="20"/>
          <w:szCs w:val="20"/>
          <w:color w:val="auto"/>
        </w:rPr>
      </w:pPr>
      <w:r>
        <w:rPr>
          <w:rFonts w:ascii="Arial" w:cs="Arial" w:eastAsia="Arial" w:hAnsi="Arial"/>
          <w:sz w:val="18"/>
          <w:szCs w:val="18"/>
          <w:color w:val="auto"/>
        </w:rPr>
        <w:t>Net cash used in operating activities was $135.9 million for the nine months ended September 30, 2021, compared to $102.6 million for the corresponding period in 2020. The use of cash in these periods resulted primarily from our losses from operations, as adjusted for non-cash charges for stock-based compensation, and changes in our working capital accounts.</w:t>
      </w:r>
    </w:p>
    <w:p>
      <w:pPr>
        <w:spacing w:after="0" w:line="184" w:lineRule="exact"/>
        <w:rPr>
          <w:sz w:val="20"/>
          <w:szCs w:val="20"/>
          <w:color w:val="auto"/>
        </w:rPr>
      </w:pPr>
    </w:p>
    <w:p>
      <w:pPr>
        <w:ind w:left="120"/>
        <w:spacing w:after="0"/>
        <w:rPr>
          <w:sz w:val="20"/>
          <w:szCs w:val="20"/>
          <w:color w:val="auto"/>
        </w:rPr>
      </w:pPr>
      <w:r>
        <w:rPr>
          <w:rFonts w:ascii="Arial" w:cs="Arial" w:eastAsia="Arial" w:hAnsi="Arial"/>
          <w:sz w:val="16"/>
          <w:szCs w:val="16"/>
          <w:color w:val="auto"/>
        </w:rPr>
        <w:t>Net cash used in investing activities was $20.7 million for the nine months ended September 30, 2021, compared to $164.6 million provided for the</w:t>
      </w:r>
    </w:p>
    <w:p>
      <w:pPr>
        <w:spacing w:after="0" w:line="46" w:lineRule="exact"/>
        <w:rPr>
          <w:sz w:val="20"/>
          <w:szCs w:val="20"/>
          <w:color w:val="auto"/>
        </w:rPr>
      </w:pPr>
    </w:p>
    <w:p>
      <w:pPr>
        <w:ind w:left="120"/>
        <w:spacing w:after="0"/>
        <w:rPr>
          <w:sz w:val="20"/>
          <w:szCs w:val="20"/>
          <w:color w:val="auto"/>
        </w:rPr>
      </w:pPr>
      <w:r>
        <w:rPr>
          <w:rFonts w:ascii="Arial" w:cs="Arial" w:eastAsia="Arial" w:hAnsi="Arial"/>
          <w:sz w:val="17"/>
          <w:szCs w:val="17"/>
          <w:color w:val="auto"/>
        </w:rPr>
        <w:t>corresponding period in 2020. Net cash used in investing activities for the nine months ended September 30, 2021 consisted of $339.4 million of</w:t>
      </w:r>
    </w:p>
    <w:p>
      <w:pPr>
        <w:spacing w:after="0" w:line="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purchases of marketable securities for our investment portfolio and $0.1 million of purchases of property and equipment, partially offset by</w:t>
      </w:r>
    </w:p>
    <w:p>
      <w:pPr>
        <w:spacing w:after="0" w:line="9" w:lineRule="exact"/>
        <w:rPr>
          <w:sz w:val="20"/>
          <w:szCs w:val="20"/>
          <w:color w:val="auto"/>
        </w:rPr>
      </w:pPr>
    </w:p>
    <w:p>
      <w:pPr>
        <w:ind w:left="120"/>
        <w:spacing w:after="0"/>
        <w:rPr>
          <w:sz w:val="20"/>
          <w:szCs w:val="20"/>
          <w:color w:val="auto"/>
        </w:rPr>
      </w:pPr>
      <w:r>
        <w:rPr>
          <w:rFonts w:ascii="Arial" w:cs="Arial" w:eastAsia="Arial" w:hAnsi="Arial"/>
          <w:sz w:val="16"/>
          <w:szCs w:val="16"/>
          <w:color w:val="auto"/>
        </w:rPr>
        <w:t>$318.8 million from sales and maturities of marketable securities. Net cash provided by investing activities for the nine months ended September 30,</w:t>
      </w:r>
    </w:p>
    <w:p>
      <w:pPr>
        <w:spacing w:after="0" w:line="32" w:lineRule="exact"/>
        <w:rPr>
          <w:sz w:val="20"/>
          <w:szCs w:val="20"/>
          <w:color w:val="auto"/>
        </w:rPr>
      </w:pPr>
    </w:p>
    <w:p>
      <w:pPr>
        <w:ind w:left="120"/>
        <w:spacing w:after="0"/>
        <w:rPr>
          <w:sz w:val="20"/>
          <w:szCs w:val="20"/>
          <w:color w:val="auto"/>
        </w:rPr>
      </w:pPr>
      <w:r>
        <w:rPr>
          <w:rFonts w:ascii="Arial" w:cs="Arial" w:eastAsia="Arial" w:hAnsi="Arial"/>
          <w:sz w:val="17"/>
          <w:szCs w:val="17"/>
          <w:color w:val="auto"/>
        </w:rPr>
        <w:t>2020 consisted of $378.1 million from sales and maturities of marketable securities, partially offset by $213.2 million of purchases of marketable</w:t>
      </w:r>
    </w:p>
    <w:p>
      <w:pPr>
        <w:spacing w:after="0" w:line="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securities for our investment portfolio and $0.3 million of purchases of property and equipment.</w:t>
      </w:r>
    </w:p>
    <w:p>
      <w:pPr>
        <w:spacing w:after="0" w:line="103" w:lineRule="exact"/>
        <w:rPr>
          <w:sz w:val="20"/>
          <w:szCs w:val="20"/>
          <w:color w:val="auto"/>
        </w:rPr>
      </w:pPr>
    </w:p>
    <w:p>
      <w:pPr>
        <w:ind w:left="120"/>
        <w:spacing w:after="0" w:line="286" w:lineRule="auto"/>
        <w:rPr>
          <w:sz w:val="20"/>
          <w:szCs w:val="20"/>
          <w:color w:val="auto"/>
        </w:rPr>
      </w:pPr>
      <w:r>
        <w:rPr>
          <w:rFonts w:ascii="Arial" w:cs="Arial" w:eastAsia="Arial" w:hAnsi="Arial"/>
          <w:sz w:val="17"/>
          <w:szCs w:val="17"/>
          <w:color w:val="auto"/>
        </w:rPr>
        <w:t>Net cash provided by financing activities was $151.7 million for the nine months ended September 30, 2021, which consisted of $151.2 million from net proceeds from issuances of stock under our At The Market (ATM) sales agreements and $0.5 million of proceeds from the exercise of stock options. Financing activities for the corresponding period in 2020 consisted of proceeds from the exercise of stock options.</w:t>
      </w:r>
    </w:p>
    <w:p>
      <w:pPr>
        <w:spacing w:after="0" w:line="26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121" w:lineRule="exact"/>
        <w:rPr>
          <w:sz w:val="20"/>
          <w:szCs w:val="20"/>
          <w:color w:val="auto"/>
        </w:rPr>
      </w:pPr>
    </w:p>
    <w:p>
      <w:pPr>
        <w:ind w:left="120" w:right="200"/>
        <w:spacing w:after="0" w:line="308" w:lineRule="auto"/>
        <w:rPr>
          <w:sz w:val="20"/>
          <w:szCs w:val="20"/>
          <w:color w:val="auto"/>
        </w:rPr>
      </w:pPr>
      <w:r>
        <w:rPr>
          <w:rFonts w:ascii="Arial" w:cs="Arial" w:eastAsia="Arial" w:hAnsi="Arial"/>
          <w:sz w:val="17"/>
          <w:szCs w:val="17"/>
          <w:color w:val="auto"/>
        </w:rPr>
        <w:t>No significant changes to contractual obligations and commitments occurred during the nine months ended September 30, 2021, as compared to those disclosed in our Annual Report on Form 10-K for the fiscal year ended December 31, 2020 filed with the SEC on February 25, 2021.</w:t>
      </w:r>
    </w:p>
    <w:p>
      <w:pPr>
        <w:spacing w:after="0" w:line="25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do not have any off balance sheet arrangements as defined in Item 303(a)(4)(ii) of Regulation S-K.</w:t>
      </w:r>
    </w:p>
    <w:p>
      <w:pPr>
        <w:spacing w:after="0" w:line="15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120"/>
          </w:cols>
          <w:pgMar w:left="320" w:top="486" w:right="4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17" w:lineRule="exact"/>
        <w:rPr>
          <w:sz w:val="20"/>
          <w:szCs w:val="20"/>
          <w:color w:val="auto"/>
        </w:rPr>
      </w:pPr>
    </w:p>
    <w:p>
      <w:pPr>
        <w:ind w:left="120"/>
        <w:spacing w:after="0" w:line="272" w:lineRule="auto"/>
        <w:rPr>
          <w:sz w:val="20"/>
          <w:szCs w:val="20"/>
          <w:color w:val="auto"/>
        </w:rPr>
      </w:pPr>
      <w:r>
        <w:rPr>
          <w:rFonts w:ascii="Arial" w:cs="Arial" w:eastAsia="Arial" w:hAnsi="Arial"/>
          <w:sz w:val="17"/>
          <w:szCs w:val="17"/>
          <w:color w:val="auto"/>
        </w:rPr>
        <w:t>Our exposure to market risk is confined to our cash, cash equivalents and marketable securities. We regularly review our investments and monitor the financial markets. We invest in high-quality financial instruments, primarily money market funds, U.S. government and agency securities, government-sponsored bond obligations and certain other corporate debt securities, with the effective duration of the portfolio less than twelve months and no security with a duration in excess of twenty-four months, which we believe are subject to limited credit risk. We currently do not hedge interest rate exposure. Due to the short-term duration of our investment portfolio and the current risk profile of our investments, we believe that an immediate 10% change in interest rates would not have a material effect on the fair market value of our portfolio. We do not believe that we have any material exposure to interest rate risk or changes in credit ratings arising from our investments.</w:t>
      </w:r>
    </w:p>
    <w:p>
      <w:pPr>
        <w:spacing w:after="0" w:line="28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Effects of Inflation</w:t>
      </w:r>
    </w:p>
    <w:p>
      <w:pPr>
        <w:spacing w:after="0" w:line="117" w:lineRule="exact"/>
        <w:rPr>
          <w:sz w:val="20"/>
          <w:szCs w:val="20"/>
          <w:color w:val="auto"/>
        </w:rPr>
      </w:pPr>
    </w:p>
    <w:p>
      <w:pPr>
        <w:ind w:left="120" w:right="120"/>
        <w:spacing w:after="0" w:line="277" w:lineRule="auto"/>
        <w:rPr>
          <w:sz w:val="20"/>
          <w:szCs w:val="20"/>
          <w:color w:val="auto"/>
        </w:rPr>
      </w:pPr>
      <w:r>
        <w:rPr>
          <w:rFonts w:ascii="Arial" w:cs="Arial" w:eastAsia="Arial" w:hAnsi="Arial"/>
          <w:sz w:val="18"/>
          <w:szCs w:val="18"/>
          <w:color w:val="auto"/>
        </w:rPr>
        <w:t>Inflation generally affects us with increased cost of labor and clinical trial costs. We do not believe that inflation and changing prices had a significant impact on our results of operations for any periods presented herein.</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4. Controls and Procedures.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Definition and Limitations of Disclosure Controls</w:t>
      </w:r>
    </w:p>
    <w:p>
      <w:pPr>
        <w:spacing w:after="0" w:line="117" w:lineRule="exact"/>
        <w:rPr>
          <w:sz w:val="20"/>
          <w:szCs w:val="20"/>
          <w:color w:val="auto"/>
        </w:rPr>
      </w:pPr>
    </w:p>
    <w:p>
      <w:pPr>
        <w:ind w:left="120" w:right="60"/>
        <w:spacing w:after="0" w:line="296" w:lineRule="auto"/>
        <w:rPr>
          <w:sz w:val="20"/>
          <w:szCs w:val="20"/>
          <w:color w:val="auto"/>
        </w:rPr>
      </w:pPr>
      <w:r>
        <w:rPr>
          <w:rFonts w:ascii="Arial" w:cs="Arial" w:eastAsia="Arial" w:hAnsi="Arial"/>
          <w:sz w:val="16"/>
          <w:szCs w:val="16"/>
          <w:color w:val="auto"/>
        </w:rPr>
        <w:t>Our disclosure controls and procedures (as defined in Rules 13a-15(e) and 15d-15(e) under the Exchange Act) are designed to provide reasonable assurance that information required to be disclosed by us in the reports that we file under the Exchange Act, such as this Quarterly Report,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Our management evaluates these controls and procedures on an ongoing basis.</w:t>
      </w:r>
    </w:p>
    <w:p>
      <w:pPr>
        <w:spacing w:after="0" w:line="53" w:lineRule="exact"/>
        <w:rPr>
          <w:sz w:val="20"/>
          <w:szCs w:val="20"/>
          <w:color w:val="auto"/>
        </w:rPr>
      </w:pPr>
    </w:p>
    <w:p>
      <w:pPr>
        <w:ind w:left="120" w:right="100"/>
        <w:spacing w:after="0" w:line="259" w:lineRule="auto"/>
        <w:rPr>
          <w:sz w:val="20"/>
          <w:szCs w:val="20"/>
          <w:color w:val="auto"/>
        </w:rPr>
      </w:pPr>
      <w:r>
        <w:rPr>
          <w:rFonts w:ascii="Arial" w:cs="Arial" w:eastAsia="Arial" w:hAnsi="Arial"/>
          <w:sz w:val="18"/>
          <w:szCs w:val="18"/>
          <w:color w:val="auto"/>
        </w:rPr>
        <w:t>We carried out an evaluation, under the supervision of and with the participation of our management, including our Chief Executive Officer and Chief Financial Officer, of the effectiveness of the design and operation of our disclosure controls and procedures as of the end of the period covered by this Quarterly Report. Based on the foregoing, our Chief Executive Officer and Chief Financial Officer concluded that our disclosure controls and procedures were effective at the reasonable assurance level.</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Limitations on the Effectiveness of Controls and Procedures</w:t>
      </w:r>
    </w:p>
    <w:p>
      <w:pPr>
        <w:spacing w:after="0" w:line="117" w:lineRule="exact"/>
        <w:rPr>
          <w:sz w:val="20"/>
          <w:szCs w:val="20"/>
          <w:color w:val="auto"/>
        </w:rPr>
      </w:pPr>
    </w:p>
    <w:p>
      <w:pPr>
        <w:ind w:left="120" w:right="80"/>
        <w:spacing w:after="0" w:line="255" w:lineRule="auto"/>
        <w:rPr>
          <w:sz w:val="20"/>
          <w:szCs w:val="20"/>
          <w:color w:val="auto"/>
        </w:rPr>
      </w:pPr>
      <w:r>
        <w:rPr>
          <w:rFonts w:ascii="Arial" w:cs="Arial" w:eastAsia="Arial" w:hAnsi="Arial"/>
          <w:sz w:val="18"/>
          <w:szCs w:val="18"/>
          <w:color w:val="auto"/>
        </w:rPr>
        <w:t>In designing and evaluating our disclosure controls and procedures, management recognizes that any controls and procedures, no matter how well designed and operated, can provide only reasonable, not absolute, assurance of achieving the desired control objectives. In addition, the design of disclosure controls and procedures must reflect the fact that there are resource constraints and that management is required to apply judgment in evaluating the benefits of possible controls and procedures relative to their costs. The design of any disclosure controls and procedures also is based in part upon certain assumptions about the likelihood of future events, and there can be no assurance that any design will succeed in achieving its stated goals under all potential future conditions.</w:t>
      </w:r>
    </w:p>
    <w:p>
      <w:pPr>
        <w:spacing w:after="0" w:line="30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117" w:lineRule="exact"/>
        <w:rPr>
          <w:sz w:val="20"/>
          <w:szCs w:val="20"/>
          <w:color w:val="auto"/>
        </w:rPr>
      </w:pPr>
    </w:p>
    <w:p>
      <w:pPr>
        <w:ind w:left="120" w:right="20"/>
        <w:spacing w:after="0" w:line="308" w:lineRule="auto"/>
        <w:rPr>
          <w:sz w:val="20"/>
          <w:szCs w:val="20"/>
          <w:color w:val="auto"/>
        </w:rPr>
      </w:pPr>
      <w:r>
        <w:rPr>
          <w:rFonts w:ascii="Arial" w:cs="Arial" w:eastAsia="Arial" w:hAnsi="Arial"/>
          <w:sz w:val="17"/>
          <w:szCs w:val="17"/>
          <w:color w:val="auto"/>
        </w:rPr>
        <w:t>There has been no change in our internal control over financial reporting (as defined in Rule 13a-15(f) under the Exchange Act) during our most recent fiscal quarter that has materially affected, or is reasonably likely to materially affect, our internal control over financial reporting.</w:t>
      </w:r>
    </w:p>
    <w:p>
      <w:pPr>
        <w:spacing w:after="0" w:line="7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020"/>
          </w:cols>
          <w:pgMar w:left="320" w:top="486" w:right="55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PART II – OTHER INFORMATION</w:t>
      </w:r>
    </w:p>
    <w:p>
      <w:pPr>
        <w:spacing w:after="0" w:line="131" w:lineRule="exact"/>
        <w:rPr>
          <w:sz w:val="20"/>
          <w:szCs w:val="20"/>
          <w:color w:val="auto"/>
        </w:rPr>
      </w:pPr>
    </w:p>
    <w:p>
      <w:pPr>
        <w:ind w:left="120"/>
        <w:spacing w:after="0"/>
        <w:tabs>
          <w:tab w:leader="none" w:pos="118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121" w:lineRule="exact"/>
        <w:rPr>
          <w:sz w:val="20"/>
          <w:szCs w:val="20"/>
          <w:color w:val="auto"/>
        </w:rPr>
      </w:pPr>
    </w:p>
    <w:p>
      <w:pPr>
        <w:ind w:left="120"/>
        <w:spacing w:after="0" w:line="277" w:lineRule="auto"/>
        <w:rPr>
          <w:sz w:val="20"/>
          <w:szCs w:val="20"/>
          <w:color w:val="auto"/>
        </w:rPr>
      </w:pPr>
      <w:r>
        <w:rPr>
          <w:rFonts w:ascii="Arial" w:cs="Arial" w:eastAsia="Arial" w:hAnsi="Arial"/>
          <w:sz w:val="18"/>
          <w:szCs w:val="18"/>
          <w:color w:val="auto"/>
        </w:rPr>
        <w:t>We are not party to any material pending legal proceedings. From time to time, we may be involved in legal proceedings arising in the ordinary course of business.</w:t>
      </w:r>
    </w:p>
    <w:p>
      <w:pPr>
        <w:spacing w:after="0" w:line="315" w:lineRule="exact"/>
        <w:rPr>
          <w:sz w:val="20"/>
          <w:szCs w:val="20"/>
          <w:color w:val="auto"/>
        </w:rPr>
      </w:pPr>
    </w:p>
    <w:p>
      <w:pPr>
        <w:ind w:left="120"/>
        <w:spacing w:after="0"/>
        <w:tabs>
          <w:tab w:leader="none" w:pos="11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Risk Factors.</w:t>
      </w:r>
    </w:p>
    <w:p>
      <w:pPr>
        <w:spacing w:after="0" w:line="121" w:lineRule="exact"/>
        <w:rPr>
          <w:sz w:val="20"/>
          <w:szCs w:val="20"/>
          <w:color w:val="auto"/>
        </w:rPr>
      </w:pPr>
    </w:p>
    <w:p>
      <w:pPr>
        <w:ind w:left="120" w:right="260"/>
        <w:spacing w:after="0" w:line="277" w:lineRule="auto"/>
        <w:rPr>
          <w:sz w:val="20"/>
          <w:szCs w:val="20"/>
          <w:color w:val="auto"/>
        </w:rPr>
      </w:pPr>
      <w:r>
        <w:rPr>
          <w:rFonts w:ascii="Arial" w:cs="Arial" w:eastAsia="Arial" w:hAnsi="Arial"/>
          <w:sz w:val="18"/>
          <w:szCs w:val="18"/>
          <w:color w:val="auto"/>
        </w:rPr>
        <w:t>There have been no material changes to the risk factors included in detail in the “Risk Factors” sections appearing in Part I, Item 1A of our Annual Report on Form 10-K for the year ended December 31, 2020, filed with the SEC on February 25, 2021.</w:t>
      </w:r>
    </w:p>
    <w:p>
      <w:pPr>
        <w:spacing w:after="0" w:line="315" w:lineRule="exact"/>
        <w:rPr>
          <w:sz w:val="20"/>
          <w:szCs w:val="20"/>
          <w:color w:val="auto"/>
        </w:rPr>
      </w:pPr>
    </w:p>
    <w:p>
      <w:pPr>
        <w:ind w:left="120"/>
        <w:spacing w:after="0"/>
        <w:tabs>
          <w:tab w:leader="none" w:pos="11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Unregistered Sales of Equity Securities and Use of Proceeds.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None.</w:t>
      </w:r>
    </w:p>
    <w:p>
      <w:pPr>
        <w:spacing w:after="0" w:line="370" w:lineRule="exact"/>
        <w:rPr>
          <w:sz w:val="20"/>
          <w:szCs w:val="20"/>
          <w:color w:val="auto"/>
        </w:rPr>
      </w:pPr>
    </w:p>
    <w:p>
      <w:pPr>
        <w:ind w:left="120"/>
        <w:spacing w:after="0"/>
        <w:tabs>
          <w:tab w:leader="none" w:pos="11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Defaults Upon Senior Securities.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None.</w:t>
      </w:r>
    </w:p>
    <w:p>
      <w:pPr>
        <w:spacing w:after="0" w:line="370" w:lineRule="exact"/>
        <w:rPr>
          <w:sz w:val="20"/>
          <w:szCs w:val="20"/>
          <w:color w:val="auto"/>
        </w:rPr>
      </w:pPr>
    </w:p>
    <w:p>
      <w:pPr>
        <w:ind w:left="120"/>
        <w:spacing w:after="0"/>
        <w:tabs>
          <w:tab w:leader="none" w:pos="11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Mine Safety Disclosures.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ind w:left="120"/>
        <w:spacing w:after="0"/>
        <w:tabs>
          <w:tab w:leader="none" w:pos="11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7"/>
          <w:szCs w:val="17"/>
          <w:b w:val="1"/>
          <w:bCs w:val="1"/>
          <w:color w:val="auto"/>
        </w:rPr>
        <w:t>Other Information.</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None.</w:t>
      </w:r>
    </w:p>
    <w:p>
      <w:pPr>
        <w:spacing w:after="0" w:line="370" w:lineRule="exact"/>
        <w:rPr>
          <w:sz w:val="20"/>
          <w:szCs w:val="20"/>
          <w:color w:val="auto"/>
        </w:rPr>
      </w:pPr>
    </w:p>
    <w:p>
      <w:pPr>
        <w:ind w:left="120"/>
        <w:spacing w:after="0"/>
        <w:tabs>
          <w:tab w:leader="none" w:pos="11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Exhibits.</w:t>
      </w:r>
    </w:p>
    <w:p>
      <w:pPr>
        <w:spacing w:after="0" w:line="121" w:lineRule="exact"/>
        <w:rPr>
          <w:sz w:val="20"/>
          <w:szCs w:val="20"/>
          <w:color w:val="auto"/>
        </w:rPr>
      </w:pPr>
    </w:p>
    <w:p>
      <w:pPr>
        <w:ind w:left="120" w:right="180"/>
        <w:spacing w:after="0" w:line="277" w:lineRule="auto"/>
        <w:rPr>
          <w:sz w:val="20"/>
          <w:szCs w:val="20"/>
          <w:color w:val="auto"/>
        </w:rPr>
      </w:pPr>
      <w:r>
        <w:rPr>
          <w:rFonts w:ascii="Arial" w:cs="Arial" w:eastAsia="Arial" w:hAnsi="Arial"/>
          <w:sz w:val="18"/>
          <w:szCs w:val="18"/>
          <w:color w:val="auto"/>
        </w:rPr>
        <w:t>The exhibits filed or furnished as part of this Quarterly Report on Form 10-Q are set forth on the Exhibit Index, which Exhibit Index is incorporated herein by reference.</w:t>
      </w:r>
    </w:p>
    <w:p>
      <w:pPr>
        <w:spacing w:after="0" w:line="103"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0940"/>
          </w:cols>
          <w:pgMar w:left="320" w:top="486" w:right="6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552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EXHIBIT INDEX</w:t>
      </w:r>
    </w:p>
    <w:p>
      <w:pPr>
        <w:spacing w:after="0" w:line="235"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94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4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560" w:type="dxa"/>
            <w:vAlign w:val="bottom"/>
            <w:gridSpan w:val="7"/>
            <w:vMerge w:val="restart"/>
          </w:tcPr>
          <w:p>
            <w:pPr>
              <w:ind w:left="600"/>
              <w:spacing w:after="0"/>
              <w:rPr>
                <w:sz w:val="20"/>
                <w:szCs w:val="20"/>
                <w:color w:val="auto"/>
              </w:rPr>
            </w:pPr>
            <w:r>
              <w:rPr>
                <w:rFonts w:ascii="Arial" w:cs="Arial" w:eastAsia="Arial" w:hAnsi="Arial"/>
                <w:sz w:val="14"/>
                <w:szCs w:val="14"/>
                <w:b w:val="1"/>
                <w:bCs w:val="1"/>
                <w:color w:val="auto"/>
              </w:rPr>
              <w:t>Exhibit Description</w:t>
            </w:r>
          </w:p>
        </w:tc>
        <w:tc>
          <w:tcPr>
            <w:tcW w:w="2680" w:type="dxa"/>
            <w:vAlign w:val="bottom"/>
          </w:tcPr>
          <w:p>
            <w:pPr>
              <w:jc w:val="center"/>
              <w:spacing w:after="0"/>
              <w:rPr>
                <w:sz w:val="20"/>
                <w:szCs w:val="20"/>
                <w:color w:val="auto"/>
              </w:rPr>
            </w:pPr>
            <w:r>
              <w:rPr>
                <w:rFonts w:ascii="Arial" w:cs="Arial" w:eastAsia="Arial" w:hAnsi="Arial"/>
                <w:sz w:val="14"/>
                <w:szCs w:val="14"/>
                <w:b w:val="1"/>
                <w:bCs w:val="1"/>
                <w:color w:val="auto"/>
                <w:w w:val="93"/>
              </w:rPr>
              <w:t>Incorporated by Reference</w:t>
            </w:r>
          </w:p>
        </w:tc>
        <w:tc>
          <w:tcPr>
            <w:tcW w:w="740" w:type="dxa"/>
            <w:vAlign w:val="bottom"/>
          </w:tcPr>
          <w:p>
            <w:pPr>
              <w:ind w:left="260"/>
              <w:spacing w:after="0"/>
              <w:rPr>
                <w:sz w:val="20"/>
                <w:szCs w:val="20"/>
                <w:color w:val="auto"/>
              </w:rPr>
            </w:pPr>
            <w:r>
              <w:rPr>
                <w:rFonts w:ascii="Arial" w:cs="Arial" w:eastAsia="Arial" w:hAnsi="Arial"/>
                <w:sz w:val="14"/>
                <w:szCs w:val="14"/>
                <w:b w:val="1"/>
                <w:bCs w:val="1"/>
                <w:color w:val="auto"/>
              </w:rPr>
              <w:t>Filed</w:t>
            </w:r>
          </w:p>
        </w:tc>
        <w:tc>
          <w:tcPr>
            <w:tcW w:w="0" w:type="dxa"/>
            <w:vAlign w:val="bottom"/>
          </w:tcPr>
          <w:p>
            <w:pPr>
              <w:spacing w:after="0"/>
              <w:rPr>
                <w:sz w:val="1"/>
                <w:szCs w:val="1"/>
                <w:color w:val="auto"/>
              </w:rPr>
            </w:pPr>
          </w:p>
        </w:tc>
      </w:tr>
      <w:tr>
        <w:trPr>
          <w:trHeight w:val="186"/>
        </w:trPr>
        <w:tc>
          <w:tcPr>
            <w:tcW w:w="940" w:type="dxa"/>
            <w:vAlign w:val="bottom"/>
          </w:tcPr>
          <w:p>
            <w:pPr>
              <w:spacing w:after="0"/>
              <w:rPr>
                <w:sz w:val="20"/>
                <w:szCs w:val="20"/>
                <w:color w:val="auto"/>
              </w:rPr>
            </w:pPr>
            <w:r>
              <w:rPr>
                <w:rFonts w:ascii="Arial" w:cs="Arial" w:eastAsia="Arial" w:hAnsi="Arial"/>
                <w:sz w:val="14"/>
                <w:szCs w:val="14"/>
                <w:b w:val="1"/>
                <w:bCs w:val="1"/>
                <w:color w:val="auto"/>
              </w:rPr>
              <w:t>Number</w:t>
            </w:r>
          </w:p>
        </w:tc>
        <w:tc>
          <w:tcPr>
            <w:tcW w:w="4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4560" w:type="dxa"/>
            <w:vAlign w:val="bottom"/>
            <w:gridSpan w:val="7"/>
            <w:vMerge w:val="continue"/>
          </w:tcPr>
          <w:p>
            <w:pPr>
              <w:spacing w:after="0"/>
              <w:rPr>
                <w:sz w:val="16"/>
                <w:szCs w:val="16"/>
                <w:color w:val="auto"/>
              </w:rPr>
            </w:pPr>
          </w:p>
        </w:tc>
        <w:tc>
          <w:tcPr>
            <w:tcW w:w="2680" w:type="dxa"/>
            <w:vAlign w:val="bottom"/>
          </w:tcPr>
          <w:p>
            <w:pPr>
              <w:jc w:val="center"/>
              <w:spacing w:after="0"/>
              <w:rPr>
                <w:sz w:val="20"/>
                <w:szCs w:val="20"/>
                <w:color w:val="auto"/>
              </w:rPr>
            </w:pPr>
            <w:r>
              <w:rPr>
                <w:rFonts w:ascii="Arial" w:cs="Arial" w:eastAsia="Arial" w:hAnsi="Arial"/>
                <w:sz w:val="14"/>
                <w:szCs w:val="14"/>
                <w:b w:val="1"/>
                <w:bCs w:val="1"/>
                <w:color w:val="auto"/>
              </w:rPr>
              <w:t>Form  File No.  Exhibit   Filing Date</w:t>
            </w:r>
          </w:p>
        </w:tc>
        <w:tc>
          <w:tcPr>
            <w:tcW w:w="740" w:type="dxa"/>
            <w:vAlign w:val="bottom"/>
          </w:tcPr>
          <w:p>
            <w:pPr>
              <w:ind w:left="120"/>
              <w:spacing w:after="0"/>
              <w:rPr>
                <w:sz w:val="20"/>
                <w:szCs w:val="20"/>
                <w:color w:val="auto"/>
              </w:rPr>
            </w:pPr>
            <w:r>
              <w:rPr>
                <w:rFonts w:ascii="Arial" w:cs="Arial" w:eastAsia="Arial" w:hAnsi="Arial"/>
                <w:sz w:val="14"/>
                <w:szCs w:val="14"/>
                <w:b w:val="1"/>
                <w:bCs w:val="1"/>
                <w:color w:val="auto"/>
              </w:rPr>
              <w:t>Herewith</w:t>
            </w:r>
          </w:p>
        </w:tc>
        <w:tc>
          <w:tcPr>
            <w:tcW w:w="0" w:type="dxa"/>
            <w:vAlign w:val="bottom"/>
          </w:tcPr>
          <w:p>
            <w:pPr>
              <w:spacing w:after="0"/>
              <w:rPr>
                <w:sz w:val="1"/>
                <w:szCs w:val="1"/>
                <w:color w:val="auto"/>
              </w:rPr>
            </w:pPr>
          </w:p>
        </w:tc>
      </w:tr>
      <w:tr>
        <w:trPr>
          <w:trHeight w:val="269"/>
        </w:trPr>
        <w:tc>
          <w:tcPr>
            <w:tcW w:w="940" w:type="dxa"/>
            <w:vAlign w:val="bottom"/>
          </w:tcPr>
          <w:p>
            <w:pPr>
              <w:spacing w:after="0"/>
              <w:rPr>
                <w:sz w:val="20"/>
                <w:szCs w:val="20"/>
                <w:color w:val="auto"/>
              </w:rPr>
            </w:pPr>
            <w:r>
              <w:rPr>
                <w:rFonts w:ascii="Arial" w:cs="Arial" w:eastAsia="Arial" w:hAnsi="Arial"/>
                <w:sz w:val="18"/>
                <w:szCs w:val="18"/>
                <w:color w:val="auto"/>
              </w:rPr>
              <w:t>31.1</w:t>
            </w:r>
          </w:p>
        </w:tc>
        <w:tc>
          <w:tcPr>
            <w:tcW w:w="6440" w:type="dxa"/>
            <w:vAlign w:val="bottom"/>
            <w:tcBorders>
              <w:bottom w:val="single" w:sz="8" w:color="0000EE"/>
            </w:tcBorders>
            <w:gridSpan w:val="6"/>
          </w:tcPr>
          <w:p>
            <w:pPr>
              <w:spacing w:after="0"/>
              <w:rPr>
                <w:rFonts w:ascii="Arial" w:cs="Arial" w:eastAsia="Arial" w:hAnsi="Arial"/>
                <w:sz w:val="18"/>
                <w:szCs w:val="18"/>
                <w:color w:val="0000EE"/>
                <w:w w:val="92"/>
              </w:rPr>
            </w:pPr>
            <w:hyperlink w:anchor="page26">
              <w:r>
                <w:rPr>
                  <w:rFonts w:ascii="Arial" w:cs="Arial" w:eastAsia="Arial" w:hAnsi="Arial"/>
                  <w:sz w:val="18"/>
                  <w:szCs w:val="18"/>
                  <w:color w:val="0000EE"/>
                  <w:w w:val="92"/>
                </w:rPr>
                <w:t>Certification of Principal Executive Officer pursuant to Rule 13a-14(a) or Rule 15d-14(a)</w:t>
              </w:r>
            </w:hyperlink>
          </w:p>
        </w:tc>
        <w:tc>
          <w:tcPr>
            <w:tcW w:w="220" w:type="dxa"/>
            <w:vAlign w:val="bottom"/>
            <w:gridSpan w:val="4"/>
          </w:tcPr>
          <w:p>
            <w:pPr>
              <w:spacing w:after="0"/>
              <w:rPr>
                <w:sz w:val="23"/>
                <w:szCs w:val="23"/>
                <w:color w:val="auto"/>
              </w:rPr>
            </w:pPr>
          </w:p>
        </w:tc>
        <w:tc>
          <w:tcPr>
            <w:tcW w:w="2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5900" w:type="dxa"/>
            <w:vAlign w:val="bottom"/>
            <w:tcBorders>
              <w:bottom w:val="single" w:sz="8" w:color="0000EE"/>
            </w:tcBorders>
            <w:gridSpan w:val="4"/>
          </w:tcPr>
          <w:p>
            <w:pPr>
              <w:spacing w:after="0" w:line="196" w:lineRule="exact"/>
              <w:rPr>
                <w:rFonts w:ascii="Arial" w:cs="Arial" w:eastAsia="Arial" w:hAnsi="Arial"/>
                <w:sz w:val="18"/>
                <w:szCs w:val="18"/>
                <w:color w:val="0000EE"/>
                <w:w w:val="89"/>
              </w:rPr>
            </w:pPr>
            <w:hyperlink w:anchor="page26">
              <w:r>
                <w:rPr>
                  <w:rFonts w:ascii="Arial" w:cs="Arial" w:eastAsia="Arial" w:hAnsi="Arial"/>
                  <w:sz w:val="18"/>
                  <w:szCs w:val="18"/>
                  <w:color w:val="0000EE"/>
                  <w:w w:val="89"/>
                </w:rPr>
                <w:t>of the Securities Exchange Act of 1934, as adopted pursuant to Section 302 of the</w:t>
              </w:r>
            </w:hyperlink>
          </w:p>
        </w:tc>
        <w:tc>
          <w:tcPr>
            <w:tcW w:w="760" w:type="dxa"/>
            <w:vAlign w:val="bottom"/>
            <w:gridSpan w:val="6"/>
          </w:tcPr>
          <w:p>
            <w:pPr>
              <w:spacing w:after="0"/>
              <w:rPr>
                <w:sz w:val="17"/>
                <w:szCs w:val="17"/>
                <w:color w:val="auto"/>
              </w:rPr>
            </w:pPr>
          </w:p>
        </w:tc>
        <w:tc>
          <w:tcPr>
            <w:tcW w:w="26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2100" w:type="dxa"/>
            <w:vAlign w:val="bottom"/>
            <w:tcBorders>
              <w:bottom w:val="single" w:sz="8" w:color="0000EE"/>
            </w:tcBorders>
            <w:gridSpan w:val="3"/>
          </w:tcPr>
          <w:p>
            <w:pPr>
              <w:spacing w:after="0" w:line="196" w:lineRule="exact"/>
              <w:rPr>
                <w:rFonts w:ascii="Arial" w:cs="Arial" w:eastAsia="Arial" w:hAnsi="Arial"/>
                <w:sz w:val="18"/>
                <w:szCs w:val="18"/>
                <w:color w:val="0000EE"/>
                <w:w w:val="90"/>
              </w:rPr>
            </w:pPr>
            <w:hyperlink w:anchor="page26">
              <w:r>
                <w:rPr>
                  <w:rFonts w:ascii="Arial" w:cs="Arial" w:eastAsia="Arial" w:hAnsi="Arial"/>
                  <w:sz w:val="18"/>
                  <w:szCs w:val="18"/>
                  <w:color w:val="0000EE"/>
                  <w:w w:val="90"/>
                </w:rPr>
                <w:t>Sarbanes-Oxley Act of 2002.</w:t>
              </w:r>
            </w:hyperlink>
          </w:p>
        </w:tc>
        <w:tc>
          <w:tcPr>
            <w:tcW w:w="4560" w:type="dxa"/>
            <w:vAlign w:val="bottom"/>
            <w:gridSpan w:val="7"/>
          </w:tcPr>
          <w:p>
            <w:pPr>
              <w:spacing w:after="0"/>
              <w:rPr>
                <w:sz w:val="17"/>
                <w:szCs w:val="17"/>
                <w:color w:val="auto"/>
              </w:rPr>
            </w:pPr>
          </w:p>
        </w:tc>
        <w:tc>
          <w:tcPr>
            <w:tcW w:w="2680" w:type="dxa"/>
            <w:vAlign w:val="bottom"/>
          </w:tcPr>
          <w:p>
            <w:pPr>
              <w:spacing w:after="0"/>
              <w:rPr>
                <w:sz w:val="17"/>
                <w:szCs w:val="17"/>
                <w:color w:val="auto"/>
              </w:rPr>
            </w:pPr>
          </w:p>
        </w:tc>
        <w:tc>
          <w:tcPr>
            <w:tcW w:w="740" w:type="dxa"/>
            <w:vAlign w:val="bottom"/>
          </w:tcPr>
          <w:p>
            <w:pPr>
              <w:ind w:left="600"/>
              <w:spacing w:after="0" w:line="196" w:lineRule="exact"/>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304"/>
        </w:trPr>
        <w:tc>
          <w:tcPr>
            <w:tcW w:w="940" w:type="dxa"/>
            <w:vAlign w:val="bottom"/>
          </w:tcPr>
          <w:p>
            <w:pPr>
              <w:spacing w:after="0"/>
              <w:rPr>
                <w:sz w:val="20"/>
                <w:szCs w:val="20"/>
                <w:color w:val="auto"/>
              </w:rPr>
            </w:pPr>
            <w:r>
              <w:rPr>
                <w:rFonts w:ascii="Arial" w:cs="Arial" w:eastAsia="Arial" w:hAnsi="Arial"/>
                <w:sz w:val="18"/>
                <w:szCs w:val="18"/>
                <w:color w:val="auto"/>
              </w:rPr>
              <w:t>31.2</w:t>
            </w:r>
          </w:p>
        </w:tc>
        <w:tc>
          <w:tcPr>
            <w:tcW w:w="6600" w:type="dxa"/>
            <w:vAlign w:val="bottom"/>
            <w:tcBorders>
              <w:bottom w:val="single" w:sz="8" w:color="0000EE"/>
            </w:tcBorders>
            <w:gridSpan w:val="9"/>
          </w:tcPr>
          <w:p>
            <w:pPr>
              <w:spacing w:after="0"/>
              <w:rPr>
                <w:rFonts w:ascii="Arial" w:cs="Arial" w:eastAsia="Arial" w:hAnsi="Arial"/>
                <w:sz w:val="18"/>
                <w:szCs w:val="18"/>
                <w:color w:val="0000EE"/>
                <w:w w:val="92"/>
              </w:rPr>
            </w:pPr>
            <w:hyperlink w:anchor="page27">
              <w:r>
                <w:rPr>
                  <w:rFonts w:ascii="Arial" w:cs="Arial" w:eastAsia="Arial" w:hAnsi="Arial"/>
                  <w:sz w:val="18"/>
                  <w:szCs w:val="18"/>
                  <w:color w:val="0000EE"/>
                  <w:w w:val="92"/>
                </w:rPr>
                <w:t>Certification of Principal Financial Officer pursuant to Rule 13a-14(a) or Rule 15d-14(a) of</w:t>
              </w:r>
            </w:hyperlink>
          </w:p>
        </w:tc>
        <w:tc>
          <w:tcPr>
            <w:tcW w:w="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6460" w:type="dxa"/>
            <w:vAlign w:val="bottom"/>
            <w:tcBorders>
              <w:bottom w:val="single" w:sz="8" w:color="0000EE"/>
            </w:tcBorders>
            <w:gridSpan w:val="7"/>
          </w:tcPr>
          <w:p>
            <w:pPr>
              <w:spacing w:after="0" w:line="196" w:lineRule="exact"/>
              <w:rPr>
                <w:rFonts w:ascii="Arial" w:cs="Arial" w:eastAsia="Arial" w:hAnsi="Arial"/>
                <w:sz w:val="18"/>
                <w:szCs w:val="18"/>
                <w:color w:val="0000EE"/>
                <w:w w:val="89"/>
              </w:rPr>
            </w:pPr>
            <w:hyperlink w:anchor="page27">
              <w:r>
                <w:rPr>
                  <w:rFonts w:ascii="Arial" w:cs="Arial" w:eastAsia="Arial" w:hAnsi="Arial"/>
                  <w:sz w:val="18"/>
                  <w:szCs w:val="18"/>
                  <w:color w:val="0000EE"/>
                  <w:w w:val="89"/>
                </w:rPr>
                <w:t>the Securities Exchange Act of 1934, as adopted pursuant to Section 302 of the Sarbanes-</w:t>
              </w:r>
            </w:hyperlink>
          </w:p>
        </w:tc>
        <w:tc>
          <w:tcPr>
            <w:tcW w:w="200" w:type="dxa"/>
            <w:vAlign w:val="bottom"/>
            <w:gridSpan w:val="3"/>
          </w:tcPr>
          <w:p>
            <w:pPr>
              <w:spacing w:after="0"/>
              <w:rPr>
                <w:sz w:val="17"/>
                <w:szCs w:val="17"/>
                <w:color w:val="auto"/>
              </w:rPr>
            </w:pPr>
          </w:p>
        </w:tc>
        <w:tc>
          <w:tcPr>
            <w:tcW w:w="26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1400" w:type="dxa"/>
            <w:vAlign w:val="bottom"/>
            <w:tcBorders>
              <w:bottom w:val="single" w:sz="8" w:color="0000EE"/>
            </w:tcBorders>
            <w:gridSpan w:val="2"/>
          </w:tcPr>
          <w:p>
            <w:pPr>
              <w:spacing w:after="0" w:line="196" w:lineRule="exact"/>
              <w:rPr>
                <w:rFonts w:ascii="Arial" w:cs="Arial" w:eastAsia="Arial" w:hAnsi="Arial"/>
                <w:sz w:val="18"/>
                <w:szCs w:val="18"/>
                <w:color w:val="0000EE"/>
                <w:w w:val="93"/>
              </w:rPr>
            </w:pPr>
            <w:hyperlink w:anchor="page27">
              <w:r>
                <w:rPr>
                  <w:rFonts w:ascii="Arial" w:cs="Arial" w:eastAsia="Arial" w:hAnsi="Arial"/>
                  <w:sz w:val="18"/>
                  <w:szCs w:val="18"/>
                  <w:color w:val="0000EE"/>
                  <w:w w:val="93"/>
                </w:rPr>
                <w:t>Oxley Act of 2002.</w:t>
              </w:r>
            </w:hyperlink>
          </w:p>
        </w:tc>
        <w:tc>
          <w:tcPr>
            <w:tcW w:w="5260" w:type="dxa"/>
            <w:vAlign w:val="bottom"/>
            <w:gridSpan w:val="8"/>
          </w:tcPr>
          <w:p>
            <w:pPr>
              <w:spacing w:after="0"/>
              <w:rPr>
                <w:sz w:val="17"/>
                <w:szCs w:val="17"/>
                <w:color w:val="auto"/>
              </w:rPr>
            </w:pPr>
          </w:p>
        </w:tc>
        <w:tc>
          <w:tcPr>
            <w:tcW w:w="2680" w:type="dxa"/>
            <w:vAlign w:val="bottom"/>
          </w:tcPr>
          <w:p>
            <w:pPr>
              <w:spacing w:after="0"/>
              <w:rPr>
                <w:sz w:val="17"/>
                <w:szCs w:val="17"/>
                <w:color w:val="auto"/>
              </w:rPr>
            </w:pPr>
          </w:p>
        </w:tc>
        <w:tc>
          <w:tcPr>
            <w:tcW w:w="740" w:type="dxa"/>
            <w:vAlign w:val="bottom"/>
          </w:tcPr>
          <w:p>
            <w:pPr>
              <w:ind w:left="600"/>
              <w:spacing w:after="0" w:line="196" w:lineRule="exact"/>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304"/>
        </w:trPr>
        <w:tc>
          <w:tcPr>
            <w:tcW w:w="940" w:type="dxa"/>
            <w:vAlign w:val="bottom"/>
          </w:tcPr>
          <w:p>
            <w:pPr>
              <w:spacing w:after="0"/>
              <w:rPr>
                <w:sz w:val="20"/>
                <w:szCs w:val="20"/>
                <w:color w:val="auto"/>
              </w:rPr>
            </w:pPr>
            <w:r>
              <w:rPr>
                <w:rFonts w:ascii="Arial" w:cs="Arial" w:eastAsia="Arial" w:hAnsi="Arial"/>
                <w:sz w:val="18"/>
                <w:szCs w:val="18"/>
                <w:color w:val="auto"/>
              </w:rPr>
              <w:t>32.1*</w:t>
            </w:r>
          </w:p>
        </w:tc>
        <w:tc>
          <w:tcPr>
            <w:tcW w:w="6660" w:type="dxa"/>
            <w:vAlign w:val="bottom"/>
            <w:gridSpan w:val="10"/>
          </w:tcPr>
          <w:p>
            <w:pPr>
              <w:spacing w:after="0"/>
              <w:rPr>
                <w:rFonts w:ascii="Arial" w:cs="Arial" w:eastAsia="Arial" w:hAnsi="Arial"/>
                <w:sz w:val="18"/>
                <w:szCs w:val="18"/>
                <w:color w:val="0000EE"/>
                <w:w w:val="93"/>
              </w:rPr>
            </w:pPr>
            <w:hyperlink w:anchor="page28">
              <w:r>
                <w:rPr>
                  <w:rFonts w:ascii="Arial" w:cs="Arial" w:eastAsia="Arial" w:hAnsi="Arial"/>
                  <w:sz w:val="18"/>
                  <w:szCs w:val="18"/>
                  <w:color w:val="0000EE"/>
                  <w:w w:val="93"/>
                </w:rPr>
                <w:t>Certifications of Principal Executive Officer and Principal Financial Officer, pursuant to 18</w:t>
              </w:r>
            </w:hyperlink>
          </w:p>
        </w:tc>
        <w:tc>
          <w:tcPr>
            <w:tcW w:w="2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6580" w:type="dxa"/>
            <w:vAlign w:val="bottom"/>
            <w:tcBorders>
              <w:top w:val="single" w:sz="8" w:color="0000EE"/>
            </w:tcBorders>
            <w:gridSpan w:val="8"/>
          </w:tcPr>
          <w:p>
            <w:pPr>
              <w:spacing w:after="0" w:line="196" w:lineRule="exact"/>
              <w:rPr>
                <w:rFonts w:ascii="Arial" w:cs="Arial" w:eastAsia="Arial" w:hAnsi="Arial"/>
                <w:sz w:val="18"/>
                <w:szCs w:val="18"/>
                <w:color w:val="0000EE"/>
                <w:w w:val="94"/>
              </w:rPr>
            </w:pPr>
            <w:hyperlink w:anchor="page28">
              <w:r>
                <w:rPr>
                  <w:rFonts w:ascii="Arial" w:cs="Arial" w:eastAsia="Arial" w:hAnsi="Arial"/>
                  <w:sz w:val="18"/>
                  <w:szCs w:val="18"/>
                  <w:color w:val="0000EE"/>
                  <w:w w:val="94"/>
                </w:rPr>
                <w:t>U.S.C. Section 1350, as adopted pursuant to Section 906 of the Sarbanes-Oxley Act of</w:t>
              </w:r>
            </w:hyperlink>
          </w:p>
        </w:tc>
        <w:tc>
          <w:tcPr>
            <w:tcW w:w="80" w:type="dxa"/>
            <w:vAlign w:val="bottom"/>
            <w:gridSpan w:val="2"/>
          </w:tcPr>
          <w:p>
            <w:pPr>
              <w:spacing w:after="0"/>
              <w:rPr>
                <w:sz w:val="17"/>
                <w:szCs w:val="17"/>
                <w:color w:val="auto"/>
              </w:rPr>
            </w:pPr>
          </w:p>
        </w:tc>
        <w:tc>
          <w:tcPr>
            <w:tcW w:w="26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40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4"/>
              </w:rPr>
            </w:pPr>
            <w:hyperlink w:anchor="page28">
              <w:r>
                <w:rPr>
                  <w:rFonts w:ascii="Arial" w:cs="Arial" w:eastAsia="Arial" w:hAnsi="Arial"/>
                  <w:sz w:val="18"/>
                  <w:szCs w:val="18"/>
                  <w:color w:val="0000EE"/>
                  <w:w w:val="84"/>
                </w:rPr>
                <w:t>2002.</w:t>
              </w:r>
            </w:hyperlink>
          </w:p>
        </w:tc>
        <w:tc>
          <w:tcPr>
            <w:tcW w:w="1000" w:type="dxa"/>
            <w:vAlign w:val="bottom"/>
            <w:tcBorders>
              <w:top w:val="single" w:sz="8" w:color="0000EE"/>
            </w:tcBorders>
          </w:tcPr>
          <w:p>
            <w:pPr>
              <w:spacing w:after="0"/>
              <w:rPr>
                <w:sz w:val="17"/>
                <w:szCs w:val="17"/>
                <w:color w:val="auto"/>
              </w:rPr>
            </w:pPr>
          </w:p>
        </w:tc>
        <w:tc>
          <w:tcPr>
            <w:tcW w:w="700" w:type="dxa"/>
            <w:vAlign w:val="bottom"/>
            <w:tcBorders>
              <w:top w:val="single" w:sz="8" w:color="0000EE"/>
            </w:tcBorders>
          </w:tcPr>
          <w:p>
            <w:pPr>
              <w:spacing w:after="0"/>
              <w:rPr>
                <w:sz w:val="17"/>
                <w:szCs w:val="17"/>
                <w:color w:val="auto"/>
              </w:rPr>
            </w:pPr>
          </w:p>
        </w:tc>
        <w:tc>
          <w:tcPr>
            <w:tcW w:w="3800" w:type="dxa"/>
            <w:vAlign w:val="bottom"/>
            <w:tcBorders>
              <w:top w:val="single" w:sz="8" w:color="0000EE"/>
            </w:tcBorders>
          </w:tcPr>
          <w:p>
            <w:pPr>
              <w:spacing w:after="0"/>
              <w:rPr>
                <w:sz w:val="17"/>
                <w:szCs w:val="17"/>
                <w:color w:val="auto"/>
              </w:rPr>
            </w:pPr>
          </w:p>
        </w:tc>
        <w:tc>
          <w:tcPr>
            <w:tcW w:w="340" w:type="dxa"/>
            <w:vAlign w:val="bottom"/>
            <w:tcBorders>
              <w:top w:val="single" w:sz="8" w:color="0000EE"/>
            </w:tcBorders>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680" w:type="dxa"/>
            <w:vAlign w:val="bottom"/>
          </w:tcPr>
          <w:p>
            <w:pPr>
              <w:spacing w:after="0"/>
              <w:rPr>
                <w:sz w:val="17"/>
                <w:szCs w:val="17"/>
                <w:color w:val="auto"/>
              </w:rPr>
            </w:pPr>
          </w:p>
        </w:tc>
        <w:tc>
          <w:tcPr>
            <w:tcW w:w="740" w:type="dxa"/>
            <w:vAlign w:val="bottom"/>
          </w:tcPr>
          <w:p>
            <w:pPr>
              <w:ind w:left="600"/>
              <w:spacing w:after="0" w:line="196" w:lineRule="exact"/>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344"/>
        </w:trPr>
        <w:tc>
          <w:tcPr>
            <w:tcW w:w="940" w:type="dxa"/>
            <w:vAlign w:val="bottom"/>
          </w:tcPr>
          <w:p>
            <w:pPr>
              <w:spacing w:after="0"/>
              <w:rPr>
                <w:sz w:val="20"/>
                <w:szCs w:val="20"/>
                <w:color w:val="auto"/>
              </w:rPr>
            </w:pPr>
            <w:r>
              <w:rPr>
                <w:rFonts w:ascii="Arial" w:cs="Arial" w:eastAsia="Arial" w:hAnsi="Arial"/>
                <w:sz w:val="18"/>
                <w:szCs w:val="18"/>
                <w:color w:val="auto"/>
              </w:rPr>
              <w:t>101.INS</w:t>
            </w:r>
          </w:p>
        </w:tc>
        <w:tc>
          <w:tcPr>
            <w:tcW w:w="6660" w:type="dxa"/>
            <w:vAlign w:val="bottom"/>
            <w:gridSpan w:val="10"/>
          </w:tcPr>
          <w:p>
            <w:pPr>
              <w:spacing w:after="0"/>
              <w:rPr>
                <w:sz w:val="20"/>
                <w:szCs w:val="20"/>
                <w:color w:val="auto"/>
              </w:rPr>
            </w:pPr>
            <w:r>
              <w:rPr>
                <w:rFonts w:ascii="Arial" w:cs="Arial" w:eastAsia="Arial" w:hAnsi="Arial"/>
                <w:sz w:val="18"/>
                <w:szCs w:val="18"/>
                <w:color w:val="auto"/>
              </w:rPr>
              <w:t>Inline XBRL Instance Document.</w:t>
            </w:r>
          </w:p>
        </w:tc>
        <w:tc>
          <w:tcPr>
            <w:tcW w:w="2680" w:type="dxa"/>
            <w:vAlign w:val="bottom"/>
          </w:tcPr>
          <w:p>
            <w:pPr>
              <w:spacing w:after="0"/>
              <w:rPr>
                <w:sz w:val="24"/>
                <w:szCs w:val="24"/>
                <w:color w:val="auto"/>
              </w:rPr>
            </w:pPr>
          </w:p>
        </w:tc>
        <w:tc>
          <w:tcPr>
            <w:tcW w:w="740" w:type="dxa"/>
            <w:vAlign w:val="bottom"/>
          </w:tcPr>
          <w:p>
            <w:pPr>
              <w:ind w:left="600"/>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324"/>
        </w:trPr>
        <w:tc>
          <w:tcPr>
            <w:tcW w:w="940" w:type="dxa"/>
            <w:vAlign w:val="bottom"/>
          </w:tcPr>
          <w:p>
            <w:pPr>
              <w:spacing w:after="0"/>
              <w:rPr>
                <w:sz w:val="20"/>
                <w:szCs w:val="20"/>
                <w:color w:val="auto"/>
              </w:rPr>
            </w:pPr>
            <w:r>
              <w:rPr>
                <w:rFonts w:ascii="Arial" w:cs="Arial" w:eastAsia="Arial" w:hAnsi="Arial"/>
                <w:sz w:val="18"/>
                <w:szCs w:val="18"/>
                <w:color w:val="auto"/>
              </w:rPr>
              <w:t>101.SCH</w:t>
            </w:r>
          </w:p>
        </w:tc>
        <w:tc>
          <w:tcPr>
            <w:tcW w:w="6660" w:type="dxa"/>
            <w:vAlign w:val="bottom"/>
            <w:gridSpan w:val="10"/>
          </w:tcPr>
          <w:p>
            <w:pPr>
              <w:spacing w:after="0"/>
              <w:rPr>
                <w:sz w:val="20"/>
                <w:szCs w:val="20"/>
                <w:color w:val="auto"/>
              </w:rPr>
            </w:pPr>
            <w:r>
              <w:rPr>
                <w:rFonts w:ascii="Arial" w:cs="Arial" w:eastAsia="Arial" w:hAnsi="Arial"/>
                <w:sz w:val="18"/>
                <w:szCs w:val="18"/>
                <w:color w:val="auto"/>
              </w:rPr>
              <w:t>Inline XBRL Taxonomy Extension Schema Document.</w:t>
            </w:r>
          </w:p>
        </w:tc>
        <w:tc>
          <w:tcPr>
            <w:tcW w:w="2680" w:type="dxa"/>
            <w:vAlign w:val="bottom"/>
          </w:tcPr>
          <w:p>
            <w:pPr>
              <w:spacing w:after="0"/>
              <w:rPr>
                <w:sz w:val="24"/>
                <w:szCs w:val="24"/>
                <w:color w:val="auto"/>
              </w:rPr>
            </w:pPr>
          </w:p>
        </w:tc>
        <w:tc>
          <w:tcPr>
            <w:tcW w:w="740" w:type="dxa"/>
            <w:vAlign w:val="bottom"/>
          </w:tcPr>
          <w:p>
            <w:pPr>
              <w:ind w:left="600"/>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324"/>
        </w:trPr>
        <w:tc>
          <w:tcPr>
            <w:tcW w:w="940" w:type="dxa"/>
            <w:vAlign w:val="bottom"/>
          </w:tcPr>
          <w:p>
            <w:pPr>
              <w:spacing w:after="0"/>
              <w:rPr>
                <w:sz w:val="20"/>
                <w:szCs w:val="20"/>
                <w:color w:val="auto"/>
              </w:rPr>
            </w:pPr>
            <w:r>
              <w:rPr>
                <w:rFonts w:ascii="Arial" w:cs="Arial" w:eastAsia="Arial" w:hAnsi="Arial"/>
                <w:sz w:val="18"/>
                <w:szCs w:val="18"/>
                <w:color w:val="auto"/>
              </w:rPr>
              <w:t>101.CAL</w:t>
            </w:r>
          </w:p>
        </w:tc>
        <w:tc>
          <w:tcPr>
            <w:tcW w:w="6660" w:type="dxa"/>
            <w:vAlign w:val="bottom"/>
            <w:gridSpan w:val="10"/>
          </w:tcPr>
          <w:p>
            <w:pPr>
              <w:spacing w:after="0"/>
              <w:rPr>
                <w:sz w:val="20"/>
                <w:szCs w:val="20"/>
                <w:color w:val="auto"/>
              </w:rPr>
            </w:pPr>
            <w:r>
              <w:rPr>
                <w:rFonts w:ascii="Arial" w:cs="Arial" w:eastAsia="Arial" w:hAnsi="Arial"/>
                <w:sz w:val="18"/>
                <w:szCs w:val="18"/>
                <w:color w:val="auto"/>
              </w:rPr>
              <w:t>Inline XBRL Taxonomy Extension Calculation Linkbase Document.</w:t>
            </w:r>
          </w:p>
        </w:tc>
        <w:tc>
          <w:tcPr>
            <w:tcW w:w="2680" w:type="dxa"/>
            <w:vAlign w:val="bottom"/>
          </w:tcPr>
          <w:p>
            <w:pPr>
              <w:spacing w:after="0"/>
              <w:rPr>
                <w:sz w:val="24"/>
                <w:szCs w:val="24"/>
                <w:color w:val="auto"/>
              </w:rPr>
            </w:pPr>
          </w:p>
        </w:tc>
        <w:tc>
          <w:tcPr>
            <w:tcW w:w="740" w:type="dxa"/>
            <w:vAlign w:val="bottom"/>
          </w:tcPr>
          <w:p>
            <w:pPr>
              <w:ind w:left="600"/>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324"/>
        </w:trPr>
        <w:tc>
          <w:tcPr>
            <w:tcW w:w="940" w:type="dxa"/>
            <w:vAlign w:val="bottom"/>
          </w:tcPr>
          <w:p>
            <w:pPr>
              <w:spacing w:after="0"/>
              <w:rPr>
                <w:sz w:val="20"/>
                <w:szCs w:val="20"/>
                <w:color w:val="auto"/>
              </w:rPr>
            </w:pPr>
            <w:r>
              <w:rPr>
                <w:rFonts w:ascii="Arial" w:cs="Arial" w:eastAsia="Arial" w:hAnsi="Arial"/>
                <w:sz w:val="18"/>
                <w:szCs w:val="18"/>
                <w:color w:val="auto"/>
              </w:rPr>
              <w:t>101.LAB</w:t>
            </w:r>
          </w:p>
        </w:tc>
        <w:tc>
          <w:tcPr>
            <w:tcW w:w="6660" w:type="dxa"/>
            <w:vAlign w:val="bottom"/>
            <w:gridSpan w:val="10"/>
          </w:tcPr>
          <w:p>
            <w:pPr>
              <w:spacing w:after="0"/>
              <w:rPr>
                <w:sz w:val="20"/>
                <w:szCs w:val="20"/>
                <w:color w:val="auto"/>
              </w:rPr>
            </w:pPr>
            <w:r>
              <w:rPr>
                <w:rFonts w:ascii="Arial" w:cs="Arial" w:eastAsia="Arial" w:hAnsi="Arial"/>
                <w:sz w:val="18"/>
                <w:szCs w:val="18"/>
                <w:color w:val="auto"/>
              </w:rPr>
              <w:t>Inline XBRL Taxonomy Extension Label Linkbase Document.</w:t>
            </w:r>
          </w:p>
        </w:tc>
        <w:tc>
          <w:tcPr>
            <w:tcW w:w="2680" w:type="dxa"/>
            <w:vAlign w:val="bottom"/>
          </w:tcPr>
          <w:p>
            <w:pPr>
              <w:spacing w:after="0"/>
              <w:rPr>
                <w:sz w:val="24"/>
                <w:szCs w:val="24"/>
                <w:color w:val="auto"/>
              </w:rPr>
            </w:pPr>
          </w:p>
        </w:tc>
        <w:tc>
          <w:tcPr>
            <w:tcW w:w="740" w:type="dxa"/>
            <w:vAlign w:val="bottom"/>
          </w:tcPr>
          <w:p>
            <w:pPr>
              <w:ind w:left="600"/>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324"/>
        </w:trPr>
        <w:tc>
          <w:tcPr>
            <w:tcW w:w="940" w:type="dxa"/>
            <w:vAlign w:val="bottom"/>
          </w:tcPr>
          <w:p>
            <w:pPr>
              <w:spacing w:after="0"/>
              <w:rPr>
                <w:sz w:val="20"/>
                <w:szCs w:val="20"/>
                <w:color w:val="auto"/>
              </w:rPr>
            </w:pPr>
            <w:r>
              <w:rPr>
                <w:rFonts w:ascii="Arial" w:cs="Arial" w:eastAsia="Arial" w:hAnsi="Arial"/>
                <w:sz w:val="18"/>
                <w:szCs w:val="18"/>
                <w:color w:val="auto"/>
              </w:rPr>
              <w:t>101.PRE</w:t>
            </w:r>
          </w:p>
        </w:tc>
        <w:tc>
          <w:tcPr>
            <w:tcW w:w="6660" w:type="dxa"/>
            <w:vAlign w:val="bottom"/>
            <w:gridSpan w:val="10"/>
          </w:tcPr>
          <w:p>
            <w:pPr>
              <w:spacing w:after="0"/>
              <w:rPr>
                <w:sz w:val="20"/>
                <w:szCs w:val="20"/>
                <w:color w:val="auto"/>
              </w:rPr>
            </w:pPr>
            <w:r>
              <w:rPr>
                <w:rFonts w:ascii="Arial" w:cs="Arial" w:eastAsia="Arial" w:hAnsi="Arial"/>
                <w:sz w:val="18"/>
                <w:szCs w:val="18"/>
                <w:color w:val="auto"/>
              </w:rPr>
              <w:t>Inline XBRL Taxonomy Extension Presentation Linkbase Document.</w:t>
            </w:r>
          </w:p>
        </w:tc>
        <w:tc>
          <w:tcPr>
            <w:tcW w:w="2680" w:type="dxa"/>
            <w:vAlign w:val="bottom"/>
          </w:tcPr>
          <w:p>
            <w:pPr>
              <w:spacing w:after="0"/>
              <w:rPr>
                <w:sz w:val="24"/>
                <w:szCs w:val="24"/>
                <w:color w:val="auto"/>
              </w:rPr>
            </w:pPr>
          </w:p>
        </w:tc>
        <w:tc>
          <w:tcPr>
            <w:tcW w:w="740" w:type="dxa"/>
            <w:vAlign w:val="bottom"/>
          </w:tcPr>
          <w:p>
            <w:pPr>
              <w:ind w:left="600"/>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324"/>
        </w:trPr>
        <w:tc>
          <w:tcPr>
            <w:tcW w:w="940" w:type="dxa"/>
            <w:vAlign w:val="bottom"/>
          </w:tcPr>
          <w:p>
            <w:pPr>
              <w:spacing w:after="0"/>
              <w:rPr>
                <w:sz w:val="20"/>
                <w:szCs w:val="20"/>
                <w:color w:val="auto"/>
              </w:rPr>
            </w:pPr>
            <w:r>
              <w:rPr>
                <w:rFonts w:ascii="Arial" w:cs="Arial" w:eastAsia="Arial" w:hAnsi="Arial"/>
                <w:sz w:val="18"/>
                <w:szCs w:val="18"/>
                <w:color w:val="auto"/>
              </w:rPr>
              <w:t>101.DEF</w:t>
            </w:r>
          </w:p>
        </w:tc>
        <w:tc>
          <w:tcPr>
            <w:tcW w:w="6660" w:type="dxa"/>
            <w:vAlign w:val="bottom"/>
            <w:gridSpan w:val="10"/>
          </w:tcPr>
          <w:p>
            <w:pPr>
              <w:spacing w:after="0"/>
              <w:rPr>
                <w:sz w:val="20"/>
                <w:szCs w:val="20"/>
                <w:color w:val="auto"/>
              </w:rPr>
            </w:pPr>
            <w:r>
              <w:rPr>
                <w:rFonts w:ascii="Arial" w:cs="Arial" w:eastAsia="Arial" w:hAnsi="Arial"/>
                <w:sz w:val="18"/>
                <w:szCs w:val="18"/>
                <w:color w:val="auto"/>
              </w:rPr>
              <w:t>Inline XBRL Taxonomy Extension Definition Linkbase Document.</w:t>
            </w:r>
          </w:p>
        </w:tc>
        <w:tc>
          <w:tcPr>
            <w:tcW w:w="2680" w:type="dxa"/>
            <w:vAlign w:val="bottom"/>
          </w:tcPr>
          <w:p>
            <w:pPr>
              <w:spacing w:after="0"/>
              <w:rPr>
                <w:sz w:val="24"/>
                <w:szCs w:val="24"/>
                <w:color w:val="auto"/>
              </w:rPr>
            </w:pPr>
          </w:p>
        </w:tc>
        <w:tc>
          <w:tcPr>
            <w:tcW w:w="740" w:type="dxa"/>
            <w:vAlign w:val="bottom"/>
          </w:tcPr>
          <w:p>
            <w:pPr>
              <w:ind w:left="600"/>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bl>
    <w:p>
      <w:pPr>
        <w:spacing w:after="0" w:line="94" w:lineRule="exact"/>
        <w:rPr>
          <w:sz w:val="20"/>
          <w:szCs w:val="20"/>
          <w:color w:val="auto"/>
        </w:rPr>
      </w:pPr>
    </w:p>
    <w:p>
      <w:pPr>
        <w:ind w:left="1060" w:right="3780" w:hanging="944"/>
        <w:spacing w:after="0" w:line="277" w:lineRule="auto"/>
        <w:tabs>
          <w:tab w:leader="none" w:pos="10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Inline XBRL for the cover page of this Quarterly Report on Form 10-Q, included in the Exhibit 101 Inline XBRL Document Set.</w:t>
      </w:r>
    </w:p>
    <w:p>
      <w:pPr>
        <w:spacing w:after="0" w:line="76" w:lineRule="exact"/>
        <w:rPr>
          <w:sz w:val="20"/>
          <w:szCs w:val="20"/>
          <w:color w:val="auto"/>
        </w:rPr>
      </w:pPr>
    </w:p>
    <w:p>
      <w:pPr>
        <w:ind w:left="540" w:right="60" w:hanging="424"/>
        <w:spacing w:after="0" w:line="259" w:lineRule="auto"/>
        <w:tabs>
          <w:tab w:leader="none" w:pos="54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certifications attached as Exhibit 32.1 that accompany this Quarterly Report pursuant to 18 U.S.C. Section 1350, as adopted pursuant to Section 906 of the Sarbanes-Oxley Act of 2002, shall not be deemed “filed” by the registrant for purposes of Section 18 of the Exchange Act and are not to be incorporated by reference into any of the registrant’s filings under the Securities Act or the Exchange Act, irrespective of any general incorporation language contained in any such filing.</w:t>
      </w:r>
    </w:p>
    <w:p>
      <w:pPr>
        <w:spacing w:after="0" w:line="11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140"/>
          </w:cols>
          <w:pgMar w:left="320" w:top="486" w:right="4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74865" cy="552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50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left="12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7"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MADRIGAL PHARMACEUTICALS, INC.</w:t>
      </w:r>
    </w:p>
    <w:p>
      <w:pPr>
        <w:spacing w:after="0" w:line="225" w:lineRule="exact"/>
        <w:rPr>
          <w:sz w:val="20"/>
          <w:szCs w:val="20"/>
          <w:color w:val="auto"/>
        </w:rPr>
      </w:pPr>
    </w:p>
    <w:p>
      <w:pPr>
        <w:ind w:left="120"/>
        <w:spacing w:after="0"/>
        <w:tabs>
          <w:tab w:leader="none" w:pos="5720" w:val="left"/>
          <w:tab w:leader="none" w:pos="6160" w:val="left"/>
        </w:tabs>
        <w:rPr>
          <w:sz w:val="20"/>
          <w:szCs w:val="20"/>
          <w:color w:val="auto"/>
        </w:rPr>
      </w:pPr>
      <w:r>
        <w:rPr>
          <w:rFonts w:ascii="Arial" w:cs="Arial" w:eastAsia="Arial" w:hAnsi="Arial"/>
          <w:sz w:val="18"/>
          <w:szCs w:val="18"/>
          <w:color w:val="auto"/>
        </w:rPr>
        <w:t>Date: November 4, 2021</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3922395</wp:posOffset>
            </wp:positionH>
            <wp:positionV relativeFrom="paragraph">
              <wp:posOffset>14605</wp:posOffset>
            </wp:positionV>
            <wp:extent cx="314579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1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Paul A. Friedman, M.D.</w:t>
      </w:r>
    </w:p>
    <w:p>
      <w:pPr>
        <w:spacing w:after="0" w:line="2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Chief Executive Officer and Chairman of the Board</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(Principal Executive Officer)</w:t>
      </w:r>
    </w:p>
    <w:p>
      <w:pPr>
        <w:spacing w:after="0" w:line="211" w:lineRule="exact"/>
        <w:rPr>
          <w:sz w:val="20"/>
          <w:szCs w:val="20"/>
          <w:color w:val="auto"/>
        </w:rPr>
      </w:pPr>
    </w:p>
    <w:p>
      <w:pPr>
        <w:ind w:left="120"/>
        <w:spacing w:after="0"/>
        <w:tabs>
          <w:tab w:leader="none" w:pos="5720" w:val="left"/>
          <w:tab w:leader="none" w:pos="6160" w:val="left"/>
        </w:tabs>
        <w:rPr>
          <w:sz w:val="20"/>
          <w:szCs w:val="20"/>
          <w:color w:val="auto"/>
        </w:rPr>
      </w:pPr>
      <w:r>
        <w:rPr>
          <w:rFonts w:ascii="Arial" w:cs="Arial" w:eastAsia="Arial" w:hAnsi="Arial"/>
          <w:sz w:val="18"/>
          <w:szCs w:val="18"/>
          <w:color w:val="auto"/>
        </w:rPr>
        <w:t>Date: November 4, 2021</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Alex G. Howarth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3922395</wp:posOffset>
            </wp:positionH>
            <wp:positionV relativeFrom="paragraph">
              <wp:posOffset>14605</wp:posOffset>
            </wp:positionV>
            <wp:extent cx="314579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1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Alex G. Howarth</w:t>
      </w:r>
    </w:p>
    <w:p>
      <w:pPr>
        <w:spacing w:after="0" w:line="2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(Principal Financial and Accounting Officer)</w:t>
      </w:r>
    </w:p>
    <w:p>
      <w:pPr>
        <w:sectPr>
          <w:pgSz w:w="11900" w:h="16838" w:orient="portrait"/>
          <w:cols w:equalWidth="0" w:num="1">
            <w:col w:w="10380"/>
          </w:cols>
          <w:pgMar w:left="320" w:top="486" w:right="1199" w:bottom="1440" w:gutter="0" w:footer="0" w:header="0"/>
        </w:sectPr>
      </w:pPr>
    </w:p>
    <w:bookmarkStart w:id="25" w:name="page26"/>
    <w:bookmarkEnd w:id="25"/>
    <w:p>
      <w:pPr>
        <w:ind w:left="10080"/>
        <w:spacing w:after="0"/>
        <w:rPr>
          <w:sz w:val="20"/>
          <w:szCs w:val="20"/>
          <w:color w:val="auto"/>
        </w:rPr>
      </w:pPr>
      <w:r>
        <w:rPr>
          <w:rFonts w:ascii="Arial" w:cs="Arial" w:eastAsia="Arial" w:hAnsi="Arial"/>
          <w:sz w:val="16"/>
          <w:szCs w:val="16"/>
          <w:b w:val="1"/>
          <w:bCs w:val="1"/>
          <w:color w:val="auto"/>
        </w:rPr>
        <w:t>Exhibit 31.1</w:t>
      </w:r>
    </w:p>
    <w:p>
      <w:pPr>
        <w:spacing w:after="0" w:line="248" w:lineRule="exact"/>
        <w:rPr>
          <w:sz w:val="20"/>
          <w:szCs w:val="20"/>
          <w:color w:val="auto"/>
        </w:rPr>
      </w:pPr>
    </w:p>
    <w:p>
      <w:pPr>
        <w:jc w:val="center"/>
        <w:ind w:right="20"/>
        <w:spacing w:after="0" w:line="282" w:lineRule="auto"/>
        <w:rPr>
          <w:sz w:val="20"/>
          <w:szCs w:val="20"/>
          <w:color w:val="auto"/>
        </w:rPr>
      </w:pPr>
      <w:r>
        <w:rPr>
          <w:rFonts w:ascii="Arial" w:cs="Arial" w:eastAsia="Arial" w:hAnsi="Arial"/>
          <w:sz w:val="18"/>
          <w:szCs w:val="18"/>
          <w:b w:val="1"/>
          <w:bCs w:val="1"/>
          <w:color w:val="auto"/>
        </w:rPr>
        <w:t>CERTIFICATION OF PRINCIPAL EXECUTIVE OFFICER PURSUANT TO EXCHANGE ACT RULES 13a-14(a) AND 15d-14(a) AS ADOPTED PURSUANT TO SECTION 302 OF THE SARBANES-OXLEY ACT OF 2002</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I, Paul A. Friedman, M.D., certify that:</w:t>
      </w:r>
    </w:p>
    <w:p>
      <w:pPr>
        <w:spacing w:after="0" w:line="131" w:lineRule="exact"/>
        <w:rPr>
          <w:sz w:val="20"/>
          <w:szCs w:val="20"/>
          <w:color w:val="auto"/>
        </w:rPr>
      </w:pPr>
    </w:p>
    <w:p>
      <w:pPr>
        <w:ind w:left="960" w:hanging="532"/>
        <w:spacing w:after="0"/>
        <w:tabs>
          <w:tab w:leader="none" w:pos="9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Madrigal Pharmaceuticals, Inc.;</w:t>
      </w:r>
    </w:p>
    <w:p>
      <w:pPr>
        <w:spacing w:after="0" w:line="130" w:lineRule="exact"/>
        <w:rPr>
          <w:rFonts w:ascii="Arial" w:cs="Arial" w:eastAsia="Arial" w:hAnsi="Arial"/>
          <w:sz w:val="18"/>
          <w:szCs w:val="18"/>
          <w:color w:val="auto"/>
        </w:rPr>
      </w:pPr>
    </w:p>
    <w:p>
      <w:pPr>
        <w:ind w:left="960" w:right="60" w:hanging="532"/>
        <w:spacing w:after="0" w:line="263" w:lineRule="auto"/>
        <w:tabs>
          <w:tab w:leader="none" w:pos="9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89" w:lineRule="exact"/>
        <w:rPr>
          <w:rFonts w:ascii="Arial" w:cs="Arial" w:eastAsia="Arial" w:hAnsi="Arial"/>
          <w:sz w:val="18"/>
          <w:szCs w:val="18"/>
          <w:color w:val="auto"/>
        </w:rPr>
      </w:pPr>
    </w:p>
    <w:p>
      <w:pPr>
        <w:ind w:left="960" w:right="340" w:hanging="532"/>
        <w:spacing w:after="0" w:line="342" w:lineRule="auto"/>
        <w:tabs>
          <w:tab w:leader="none" w:pos="9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9" w:lineRule="exact"/>
        <w:rPr>
          <w:rFonts w:ascii="Arial" w:cs="Arial" w:eastAsia="Arial" w:hAnsi="Arial"/>
          <w:sz w:val="16"/>
          <w:szCs w:val="16"/>
          <w:color w:val="auto"/>
        </w:rPr>
      </w:pPr>
    </w:p>
    <w:p>
      <w:pPr>
        <w:ind w:left="960" w:right="220" w:hanging="532"/>
        <w:spacing w:after="0" w:line="291" w:lineRule="auto"/>
        <w:tabs>
          <w:tab w:leader="none" w:pos="9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w:t>
      </w:r>
    </w:p>
    <w:p>
      <w:pPr>
        <w:ind w:left="960"/>
        <w:spacing w:after="0"/>
        <w:rPr>
          <w:rFonts w:ascii="Arial" w:cs="Arial" w:eastAsia="Arial" w:hAnsi="Arial"/>
          <w:sz w:val="16"/>
          <w:szCs w:val="16"/>
          <w:color w:val="auto"/>
        </w:rPr>
      </w:pPr>
      <w:r>
        <w:rPr>
          <w:rFonts w:ascii="Arial" w:cs="Arial" w:eastAsia="Arial" w:hAnsi="Arial"/>
          <w:sz w:val="18"/>
          <w:szCs w:val="18"/>
          <w:color w:val="auto"/>
        </w:rPr>
        <w:t>13a-15(f) and 15d-15(f)) for the registrant and have:</w:t>
      </w:r>
    </w:p>
    <w:p>
      <w:pPr>
        <w:spacing w:after="0" w:line="116" w:lineRule="exact"/>
        <w:rPr>
          <w:sz w:val="20"/>
          <w:szCs w:val="20"/>
          <w:color w:val="auto"/>
        </w:rPr>
      </w:pPr>
    </w:p>
    <w:p>
      <w:pPr>
        <w:ind w:left="960" w:right="20" w:hanging="532"/>
        <w:spacing w:after="0" w:line="263" w:lineRule="auto"/>
        <w:tabs>
          <w:tab w:leader="none" w:pos="9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89" w:lineRule="exact"/>
        <w:rPr>
          <w:rFonts w:ascii="Arial" w:cs="Arial" w:eastAsia="Arial" w:hAnsi="Arial"/>
          <w:sz w:val="18"/>
          <w:szCs w:val="18"/>
          <w:color w:val="auto"/>
        </w:rPr>
      </w:pPr>
    </w:p>
    <w:p>
      <w:pPr>
        <w:ind w:left="960" w:right="160" w:hanging="532"/>
        <w:spacing w:after="0" w:line="263" w:lineRule="auto"/>
        <w:tabs>
          <w:tab w:leader="none" w:pos="9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89" w:lineRule="exact"/>
        <w:rPr>
          <w:rFonts w:ascii="Arial" w:cs="Arial" w:eastAsia="Arial" w:hAnsi="Arial"/>
          <w:sz w:val="18"/>
          <w:szCs w:val="18"/>
          <w:color w:val="auto"/>
        </w:rPr>
      </w:pPr>
    </w:p>
    <w:p>
      <w:pPr>
        <w:jc w:val="both"/>
        <w:ind w:left="960" w:right="320" w:hanging="532"/>
        <w:spacing w:after="0" w:line="342" w:lineRule="auto"/>
        <w:tabs>
          <w:tab w:leader="none" w:pos="9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9" w:lineRule="exact"/>
        <w:rPr>
          <w:rFonts w:ascii="Arial" w:cs="Arial" w:eastAsia="Arial" w:hAnsi="Arial"/>
          <w:sz w:val="16"/>
          <w:szCs w:val="16"/>
          <w:color w:val="auto"/>
        </w:rPr>
      </w:pPr>
    </w:p>
    <w:p>
      <w:pPr>
        <w:ind w:left="960" w:right="20" w:hanging="532"/>
        <w:spacing w:after="0" w:line="263" w:lineRule="auto"/>
        <w:tabs>
          <w:tab w:leader="none" w:pos="9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89" w:lineRule="exact"/>
        <w:rPr>
          <w:sz w:val="20"/>
          <w:szCs w:val="20"/>
          <w:color w:val="auto"/>
        </w:rPr>
      </w:pPr>
    </w:p>
    <w:p>
      <w:pPr>
        <w:ind w:left="960" w:right="260" w:hanging="532"/>
        <w:spacing w:after="0" w:line="263" w:lineRule="auto"/>
        <w:tabs>
          <w:tab w:leader="none" w:pos="9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89" w:lineRule="exact"/>
        <w:rPr>
          <w:sz w:val="20"/>
          <w:szCs w:val="20"/>
          <w:color w:val="auto"/>
        </w:rPr>
      </w:pPr>
    </w:p>
    <w:p>
      <w:pPr>
        <w:ind w:left="960" w:right="560" w:hanging="532"/>
        <w:spacing w:after="0" w:line="342" w:lineRule="auto"/>
        <w:tabs>
          <w:tab w:leader="none" w:pos="9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9" w:lineRule="exact"/>
        <w:rPr>
          <w:rFonts w:ascii="Arial" w:cs="Arial" w:eastAsia="Arial" w:hAnsi="Arial"/>
          <w:sz w:val="16"/>
          <w:szCs w:val="16"/>
          <w:color w:val="auto"/>
        </w:rPr>
      </w:pPr>
    </w:p>
    <w:p>
      <w:pPr>
        <w:ind w:left="960" w:right="260" w:hanging="532"/>
        <w:spacing w:after="0" w:line="277" w:lineRule="auto"/>
        <w:tabs>
          <w:tab w:leader="none" w:pos="9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14605</wp:posOffset>
            </wp:positionV>
            <wp:extent cx="2794635"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279463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Paul A. Friedman, M.D.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 and Chairman of the Board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Executive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November 4, 2021</w:t>
      </w:r>
    </w:p>
    <w:p>
      <w:pPr>
        <w:sectPr>
          <w:pgSz w:w="11900" w:h="16838" w:orient="portrait"/>
          <w:cols w:equalWidth="0" w:num="1">
            <w:col w:w="11020"/>
          </w:cols>
          <w:pgMar w:left="440" w:top="121" w:right="439" w:bottom="1440" w:gutter="0" w:footer="0" w:header="0"/>
        </w:sectPr>
      </w:pPr>
    </w:p>
    <w:bookmarkStart w:id="26" w:name="page27"/>
    <w:bookmarkEnd w:id="26"/>
    <w:p>
      <w:pPr>
        <w:ind w:left="10080"/>
        <w:spacing w:after="0"/>
        <w:rPr>
          <w:sz w:val="20"/>
          <w:szCs w:val="20"/>
          <w:color w:val="auto"/>
        </w:rPr>
      </w:pPr>
      <w:r>
        <w:rPr>
          <w:rFonts w:ascii="Arial" w:cs="Arial" w:eastAsia="Arial" w:hAnsi="Arial"/>
          <w:sz w:val="16"/>
          <w:szCs w:val="16"/>
          <w:b w:val="1"/>
          <w:bCs w:val="1"/>
          <w:color w:val="auto"/>
        </w:rPr>
        <w:t>Exhibit 31.2</w:t>
      </w:r>
    </w:p>
    <w:p>
      <w:pPr>
        <w:spacing w:after="0" w:line="248" w:lineRule="exact"/>
        <w:rPr>
          <w:sz w:val="20"/>
          <w:szCs w:val="20"/>
          <w:color w:val="auto"/>
        </w:rPr>
      </w:pPr>
    </w:p>
    <w:p>
      <w:pPr>
        <w:jc w:val="center"/>
        <w:spacing w:after="0" w:line="282" w:lineRule="auto"/>
        <w:rPr>
          <w:sz w:val="20"/>
          <w:szCs w:val="20"/>
          <w:color w:val="auto"/>
        </w:rPr>
      </w:pPr>
      <w:r>
        <w:rPr>
          <w:rFonts w:ascii="Arial" w:cs="Arial" w:eastAsia="Arial" w:hAnsi="Arial"/>
          <w:sz w:val="18"/>
          <w:szCs w:val="18"/>
          <w:b w:val="1"/>
          <w:bCs w:val="1"/>
          <w:color w:val="auto"/>
        </w:rPr>
        <w:t>CERTIFICATION OF PRINCIPAL FINANCIAL OFFICER PURSUANT TO EXCHANGE ACT RULES 13a-14(a) AND 15d-14(a) AS ADOPTED PURSUANT TO SECTION 302 OF THE SARBANES-OXLEY ACT OF 2002</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I, Alex G. Howarth, certify that:</w:t>
      </w:r>
    </w:p>
    <w:p>
      <w:pPr>
        <w:spacing w:after="0" w:line="131" w:lineRule="exact"/>
        <w:rPr>
          <w:sz w:val="20"/>
          <w:szCs w:val="20"/>
          <w:color w:val="auto"/>
        </w:rPr>
      </w:pPr>
    </w:p>
    <w:p>
      <w:pPr>
        <w:ind w:left="960" w:hanging="532"/>
        <w:spacing w:after="0"/>
        <w:tabs>
          <w:tab w:leader="none" w:pos="9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Madrigal Pharmaceuticals, Inc.;</w:t>
      </w:r>
    </w:p>
    <w:p>
      <w:pPr>
        <w:spacing w:after="0" w:line="130" w:lineRule="exact"/>
        <w:rPr>
          <w:rFonts w:ascii="Arial" w:cs="Arial" w:eastAsia="Arial" w:hAnsi="Arial"/>
          <w:sz w:val="18"/>
          <w:szCs w:val="18"/>
          <w:color w:val="auto"/>
        </w:rPr>
      </w:pPr>
    </w:p>
    <w:p>
      <w:pPr>
        <w:ind w:left="960" w:right="60" w:hanging="532"/>
        <w:spacing w:after="0" w:line="263" w:lineRule="auto"/>
        <w:tabs>
          <w:tab w:leader="none" w:pos="9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89" w:lineRule="exact"/>
        <w:rPr>
          <w:rFonts w:ascii="Arial" w:cs="Arial" w:eastAsia="Arial" w:hAnsi="Arial"/>
          <w:sz w:val="18"/>
          <w:szCs w:val="18"/>
          <w:color w:val="auto"/>
        </w:rPr>
      </w:pPr>
    </w:p>
    <w:p>
      <w:pPr>
        <w:ind w:left="960" w:right="340" w:hanging="532"/>
        <w:spacing w:after="0" w:line="342" w:lineRule="auto"/>
        <w:tabs>
          <w:tab w:leader="none" w:pos="9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9" w:lineRule="exact"/>
        <w:rPr>
          <w:rFonts w:ascii="Arial" w:cs="Arial" w:eastAsia="Arial" w:hAnsi="Arial"/>
          <w:sz w:val="16"/>
          <w:szCs w:val="16"/>
          <w:color w:val="auto"/>
        </w:rPr>
      </w:pPr>
    </w:p>
    <w:p>
      <w:pPr>
        <w:ind w:left="960" w:right="220" w:hanging="532"/>
        <w:spacing w:after="0" w:line="291" w:lineRule="auto"/>
        <w:tabs>
          <w:tab w:leader="none" w:pos="9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w:t>
      </w:r>
    </w:p>
    <w:p>
      <w:pPr>
        <w:ind w:left="960"/>
        <w:spacing w:after="0"/>
        <w:rPr>
          <w:rFonts w:ascii="Arial" w:cs="Arial" w:eastAsia="Arial" w:hAnsi="Arial"/>
          <w:sz w:val="16"/>
          <w:szCs w:val="16"/>
          <w:color w:val="auto"/>
        </w:rPr>
      </w:pPr>
      <w:r>
        <w:rPr>
          <w:rFonts w:ascii="Arial" w:cs="Arial" w:eastAsia="Arial" w:hAnsi="Arial"/>
          <w:sz w:val="18"/>
          <w:szCs w:val="18"/>
          <w:color w:val="auto"/>
        </w:rPr>
        <w:t>13a-15(f) and 15d-15(f)) for the registrant and have:</w:t>
      </w:r>
    </w:p>
    <w:p>
      <w:pPr>
        <w:spacing w:after="0" w:line="116" w:lineRule="exact"/>
        <w:rPr>
          <w:sz w:val="20"/>
          <w:szCs w:val="20"/>
          <w:color w:val="auto"/>
        </w:rPr>
      </w:pPr>
    </w:p>
    <w:p>
      <w:pPr>
        <w:ind w:left="960" w:right="20" w:hanging="532"/>
        <w:spacing w:after="0" w:line="263" w:lineRule="auto"/>
        <w:tabs>
          <w:tab w:leader="none" w:pos="9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89" w:lineRule="exact"/>
        <w:rPr>
          <w:rFonts w:ascii="Arial" w:cs="Arial" w:eastAsia="Arial" w:hAnsi="Arial"/>
          <w:sz w:val="18"/>
          <w:szCs w:val="18"/>
          <w:color w:val="auto"/>
        </w:rPr>
      </w:pPr>
    </w:p>
    <w:p>
      <w:pPr>
        <w:ind w:left="960" w:right="160" w:hanging="532"/>
        <w:spacing w:after="0" w:line="263" w:lineRule="auto"/>
        <w:tabs>
          <w:tab w:leader="none" w:pos="9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89" w:lineRule="exact"/>
        <w:rPr>
          <w:rFonts w:ascii="Arial" w:cs="Arial" w:eastAsia="Arial" w:hAnsi="Arial"/>
          <w:sz w:val="18"/>
          <w:szCs w:val="18"/>
          <w:color w:val="auto"/>
        </w:rPr>
      </w:pPr>
    </w:p>
    <w:p>
      <w:pPr>
        <w:jc w:val="both"/>
        <w:ind w:left="960" w:right="320" w:hanging="532"/>
        <w:spacing w:after="0" w:line="342" w:lineRule="auto"/>
        <w:tabs>
          <w:tab w:leader="none" w:pos="960" w:val="left"/>
        </w:tabs>
        <w:numPr>
          <w:ilvl w:val="0"/>
          <w:numId w:val="1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9" w:lineRule="exact"/>
        <w:rPr>
          <w:rFonts w:ascii="Arial" w:cs="Arial" w:eastAsia="Arial" w:hAnsi="Arial"/>
          <w:sz w:val="16"/>
          <w:szCs w:val="16"/>
          <w:color w:val="auto"/>
        </w:rPr>
      </w:pPr>
    </w:p>
    <w:p>
      <w:pPr>
        <w:ind w:left="960" w:right="20" w:hanging="532"/>
        <w:spacing w:after="0" w:line="263" w:lineRule="auto"/>
        <w:tabs>
          <w:tab w:leader="none" w:pos="9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89" w:lineRule="exact"/>
        <w:rPr>
          <w:sz w:val="20"/>
          <w:szCs w:val="20"/>
          <w:color w:val="auto"/>
        </w:rPr>
      </w:pPr>
    </w:p>
    <w:p>
      <w:pPr>
        <w:ind w:left="960" w:right="260" w:hanging="532"/>
        <w:spacing w:after="0" w:line="263" w:lineRule="auto"/>
        <w:tabs>
          <w:tab w:leader="none" w:pos="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89" w:lineRule="exact"/>
        <w:rPr>
          <w:sz w:val="20"/>
          <w:szCs w:val="20"/>
          <w:color w:val="auto"/>
        </w:rPr>
      </w:pPr>
    </w:p>
    <w:p>
      <w:pPr>
        <w:ind w:left="960" w:right="560" w:hanging="532"/>
        <w:spacing w:after="0" w:line="342" w:lineRule="auto"/>
        <w:tabs>
          <w:tab w:leader="none" w:pos="9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9" w:lineRule="exact"/>
        <w:rPr>
          <w:rFonts w:ascii="Arial" w:cs="Arial" w:eastAsia="Arial" w:hAnsi="Arial"/>
          <w:sz w:val="16"/>
          <w:szCs w:val="16"/>
          <w:color w:val="auto"/>
        </w:rPr>
      </w:pPr>
    </w:p>
    <w:p>
      <w:pPr>
        <w:ind w:left="960" w:right="260" w:hanging="532"/>
        <w:spacing w:after="0" w:line="277" w:lineRule="auto"/>
        <w:tabs>
          <w:tab w:leader="none" w:pos="9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/s/ Alex G. Howarth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14605</wp:posOffset>
            </wp:positionV>
            <wp:extent cx="2794635"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Alex G. Howarth</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and Accounting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November 4, 2021</w:t>
      </w:r>
    </w:p>
    <w:p>
      <w:pPr>
        <w:sectPr>
          <w:pgSz w:w="11900" w:h="16838" w:orient="portrait"/>
          <w:cols w:equalWidth="0" w:num="1">
            <w:col w:w="11020"/>
          </w:cols>
          <w:pgMar w:left="440" w:top="121" w:right="439" w:bottom="1440" w:gutter="0" w:footer="0" w:header="0"/>
        </w:sectPr>
      </w:pPr>
    </w:p>
    <w:bookmarkStart w:id="27" w:name="page28"/>
    <w:bookmarkEnd w:id="27"/>
    <w:p>
      <w:pPr>
        <w:jc w:val="right"/>
        <w:spacing w:after="0"/>
        <w:rPr>
          <w:sz w:val="20"/>
          <w:szCs w:val="20"/>
          <w:color w:val="auto"/>
        </w:rPr>
      </w:pPr>
      <w:r>
        <w:rPr>
          <w:rFonts w:ascii="Arial" w:cs="Arial" w:eastAsia="Arial" w:hAnsi="Arial"/>
          <w:sz w:val="18"/>
          <w:szCs w:val="18"/>
          <w:b w:val="1"/>
          <w:bCs w:val="1"/>
          <w:color w:val="auto"/>
        </w:rPr>
        <w:t>Exhibit 32.1</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11" w:lineRule="exact"/>
        <w:rPr>
          <w:sz w:val="20"/>
          <w:szCs w:val="20"/>
          <w:color w:val="auto"/>
        </w:rPr>
      </w:pPr>
    </w:p>
    <w:p>
      <w:pPr>
        <w:ind w:right="80"/>
        <w:spacing w:after="0" w:line="263" w:lineRule="auto"/>
        <w:rPr>
          <w:sz w:val="20"/>
          <w:szCs w:val="20"/>
          <w:color w:val="auto"/>
        </w:rPr>
      </w:pPr>
      <w:r>
        <w:rPr>
          <w:rFonts w:ascii="Arial" w:cs="Arial" w:eastAsia="Arial" w:hAnsi="Arial"/>
          <w:sz w:val="18"/>
          <w:szCs w:val="18"/>
          <w:color w:val="auto"/>
        </w:rPr>
        <w:t>Pursuant to Section 906 of the Sarbanes-Oxley Act of 2002 (Subsections (a) and (b) of Section 1350 of Chapter 63 of Title 18 of the United States Code (18 U.S.C. Section 1350)), each of the undersigned officers of Madrigal Pharmaceuticals, Inc., a Delaware corporation (the “Company”), does hereby certify, to such officer’s knowledge, that:</w:t>
      </w:r>
    </w:p>
    <w:p>
      <w:pPr>
        <w:spacing w:after="0" w:line="184" w:lineRule="exact"/>
        <w:rPr>
          <w:sz w:val="20"/>
          <w:szCs w:val="20"/>
          <w:color w:val="auto"/>
        </w:rPr>
      </w:pPr>
    </w:p>
    <w:p>
      <w:pPr>
        <w:ind w:right="300"/>
        <w:spacing w:after="0" w:line="263" w:lineRule="auto"/>
        <w:rPr>
          <w:sz w:val="20"/>
          <w:szCs w:val="20"/>
          <w:color w:val="auto"/>
        </w:rPr>
      </w:pPr>
      <w:r>
        <w:rPr>
          <w:rFonts w:ascii="Arial" w:cs="Arial" w:eastAsia="Arial" w:hAnsi="Arial"/>
          <w:sz w:val="18"/>
          <w:szCs w:val="18"/>
          <w:color w:val="auto"/>
        </w:rPr>
        <w:t>The Quarterly Report on Form 10-Q for the quarterly period ended September 30, 2021 (the “Form 10-Q”)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211" w:lineRule="exact"/>
        <w:rPr>
          <w:sz w:val="20"/>
          <w:szCs w:val="20"/>
          <w:color w:val="auto"/>
        </w:rPr>
      </w:pPr>
    </w:p>
    <w:p>
      <w:pPr>
        <w:spacing w:after="0"/>
        <w:tabs>
          <w:tab w:leader="none" w:pos="5920" w:val="left"/>
        </w:tabs>
        <w:rPr>
          <w:sz w:val="20"/>
          <w:szCs w:val="20"/>
          <w:color w:val="auto"/>
        </w:rPr>
      </w:pPr>
      <w:r>
        <w:rPr>
          <w:rFonts w:ascii="Arial" w:cs="Arial" w:eastAsia="Arial" w:hAnsi="Arial"/>
          <w:sz w:val="18"/>
          <w:szCs w:val="18"/>
          <w:color w:val="auto"/>
        </w:rPr>
        <w:t>Dated: November 4, 2021</w:t>
      </w:r>
      <w:r>
        <w:rPr>
          <w:sz w:val="20"/>
          <w:szCs w:val="20"/>
          <w:color w:val="auto"/>
        </w:rPr>
        <w:tab/>
      </w:r>
      <w:r>
        <w:rPr>
          <w:rFonts w:ascii="Arial" w:cs="Arial" w:eastAsia="Arial" w:hAnsi="Arial"/>
          <w:sz w:val="16"/>
          <w:szCs w:val="16"/>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3777615</wp:posOffset>
            </wp:positionH>
            <wp:positionV relativeFrom="paragraph">
              <wp:posOffset>14605</wp:posOffset>
            </wp:positionV>
            <wp:extent cx="321437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214370" cy="8255"/>
                    </a:xfrm>
                    <a:prstGeom prst="rect">
                      <a:avLst/>
                    </a:prstGeom>
                    <a:noFill/>
                  </pic:spPr>
                </pic:pic>
              </a:graphicData>
            </a:graphic>
          </wp:anchor>
        </w:drawing>
      </w:r>
    </w:p>
    <w:p>
      <w:pPr>
        <w:spacing w:after="0" w:line="16"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Paul A. Friedman, M.D.</w:t>
      </w:r>
    </w:p>
    <w:p>
      <w:pPr>
        <w:spacing w:after="0" w:line="2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Chief Executive Officer and Chairman of the Board</w:t>
      </w:r>
    </w:p>
    <w:p>
      <w:pPr>
        <w:spacing w:after="0" w:line="9"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(Principal Executive Officer)</w:t>
      </w:r>
    </w:p>
    <w:p>
      <w:pPr>
        <w:spacing w:after="0" w:line="211" w:lineRule="exact"/>
        <w:rPr>
          <w:sz w:val="20"/>
          <w:szCs w:val="20"/>
          <w:color w:val="auto"/>
        </w:rPr>
      </w:pPr>
    </w:p>
    <w:p>
      <w:pPr>
        <w:spacing w:after="0"/>
        <w:tabs>
          <w:tab w:leader="none" w:pos="5920" w:val="left"/>
        </w:tabs>
        <w:rPr>
          <w:sz w:val="20"/>
          <w:szCs w:val="20"/>
          <w:color w:val="auto"/>
        </w:rPr>
      </w:pPr>
      <w:r>
        <w:rPr>
          <w:rFonts w:ascii="Arial" w:cs="Arial" w:eastAsia="Arial" w:hAnsi="Arial"/>
          <w:sz w:val="18"/>
          <w:szCs w:val="18"/>
          <w:color w:val="auto"/>
        </w:rPr>
        <w:t>Dated: November 4, 2021</w:t>
      </w:r>
      <w:r>
        <w:rPr>
          <w:sz w:val="20"/>
          <w:szCs w:val="20"/>
          <w:color w:val="auto"/>
        </w:rPr>
        <w:tab/>
      </w:r>
      <w:r>
        <w:rPr>
          <w:rFonts w:ascii="Arial" w:cs="Arial" w:eastAsia="Arial" w:hAnsi="Arial"/>
          <w:sz w:val="16"/>
          <w:szCs w:val="16"/>
          <w:color w:val="auto"/>
        </w:rPr>
        <w:t>/s/ Alex G. Howarth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3777615</wp:posOffset>
            </wp:positionH>
            <wp:positionV relativeFrom="paragraph">
              <wp:posOffset>14605</wp:posOffset>
            </wp:positionV>
            <wp:extent cx="321437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214370" cy="8255"/>
                    </a:xfrm>
                    <a:prstGeom prst="rect">
                      <a:avLst/>
                    </a:prstGeom>
                    <a:noFill/>
                  </pic:spPr>
                </pic:pic>
              </a:graphicData>
            </a:graphic>
          </wp:anchor>
        </w:drawing>
      </w:r>
    </w:p>
    <w:p>
      <w:pPr>
        <w:spacing w:after="0" w:line="16"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Alex G. Howarth</w:t>
      </w:r>
    </w:p>
    <w:p>
      <w:pPr>
        <w:spacing w:after="0" w:line="2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(Principal Financial and Accounting Officer)</w:t>
      </w:r>
    </w:p>
    <w:p>
      <w:pPr>
        <w:spacing w:after="0" w:line="211" w:lineRule="exact"/>
        <w:rPr>
          <w:sz w:val="20"/>
          <w:szCs w:val="20"/>
          <w:color w:val="auto"/>
        </w:rPr>
      </w:pPr>
    </w:p>
    <w:p>
      <w:pPr>
        <w:jc w:val="both"/>
        <w:ind w:right="240"/>
        <w:spacing w:after="0" w:line="311" w:lineRule="auto"/>
        <w:rPr>
          <w:sz w:val="20"/>
          <w:szCs w:val="20"/>
          <w:color w:val="auto"/>
        </w:rPr>
      </w:pPr>
      <w:r>
        <w:rPr>
          <w:rFonts w:ascii="Arial" w:cs="Arial" w:eastAsia="Arial" w:hAnsi="Arial"/>
          <w:sz w:val="16"/>
          <w:szCs w:val="16"/>
          <w:color w:val="auto"/>
        </w:rPr>
        <w:t>These certifications accompany the Form 10-Q, are not deemed filed with the Securities and Exchange Commission and are not to be incorporated by reference into any filing of the Company under the Securities Act of 1933, as amended, or the Securities Exchange Act of 1934, as amended (whether made before or after the date of the Form 10-Q), irrespective of any general incorporation language contained in such filing.</w:t>
      </w:r>
    </w:p>
    <w:sectPr>
      <w:pgSz w:w="11900" w:h="16838" w:orient="portrait"/>
      <w:cols w:equalWidth="0" w:num="1">
        <w:col w:w="11020"/>
      </w:cols>
      <w:pgMar w:left="440" w:top="121"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BD062C2"/>
    <w:multiLevelType w:val="hybridMultilevel"/>
    <w:lvl w:ilvl="0">
      <w:lvlJc w:val="left"/>
      <w:lvlText w:val="☒"/>
      <w:numFmt w:val="bullet"/>
      <w:start w:val="1"/>
    </w:lvl>
  </w:abstractNum>
  <w:abstractNum w:abstractNumId="1">
    <w:nsid w:val="12200854"/>
    <w:multiLevelType w:val="hybridMultilevel"/>
    <w:lvl w:ilvl="0">
      <w:lvlJc w:val="left"/>
      <w:lvlText w:val="☐"/>
      <w:numFmt w:val="bullet"/>
      <w:start w:val="1"/>
    </w:lvl>
  </w:abstractNum>
  <w:abstractNum w:abstractNumId="2">
    <w:nsid w:val="4DB127F8"/>
    <w:multiLevelType w:val="hybridMultilevel"/>
    <w:lvl w:ilvl="0">
      <w:lvlJc w:val="left"/>
      <w:lvlText w:val="%1."/>
      <w:numFmt w:val="decimal"/>
      <w:start w:val="1"/>
    </w:lvl>
  </w:abstractNum>
  <w:abstractNum w:abstractNumId="3">
    <w:nsid w:val="216231B"/>
    <w:multiLevelType w:val="hybridMultilevel"/>
    <w:lvl w:ilvl="0">
      <w:lvlJc w:val="left"/>
      <w:lvlText w:val="%1."/>
      <w:numFmt w:val="decimal"/>
      <w:start w:val="2"/>
    </w:lvl>
  </w:abstractNum>
  <w:abstractNum w:abstractNumId="4">
    <w:nsid w:val="1F16E9E8"/>
    <w:multiLevelType w:val="hybridMultilevel"/>
    <w:lvl w:ilvl="0">
      <w:lvlJc w:val="left"/>
      <w:lvlText w:val="%1."/>
      <w:numFmt w:val="decimal"/>
      <w:start w:val="6"/>
    </w:lvl>
  </w:abstractNum>
  <w:abstractNum w:abstractNumId="5">
    <w:nsid w:val="1190CDE7"/>
    <w:multiLevelType w:val="hybridMultilevel"/>
    <w:lvl w:ilvl="0">
      <w:lvlJc w:val="left"/>
      <w:lvlText w:val="•"/>
      <w:numFmt w:val="bullet"/>
      <w:start w:val="1"/>
    </w:lvl>
  </w:abstractNum>
  <w:abstractNum w:abstractNumId="6">
    <w:nsid w:val="66EF438D"/>
    <w:multiLevelType w:val="hybridMultilevel"/>
    <w:lvl w:ilvl="0">
      <w:lvlJc w:val="left"/>
      <w:lvlText w:val="•"/>
      <w:numFmt w:val="bullet"/>
      <w:start w:val="1"/>
    </w:lvl>
  </w:abstractNum>
  <w:abstractNum w:abstractNumId="7">
    <w:nsid w:val="140E0F76"/>
    <w:multiLevelType w:val="hybridMultilevel"/>
    <w:lvl w:ilvl="0">
      <w:lvlJc w:val="left"/>
      <w:lvlText w:val="%1"/>
      <w:numFmt w:val="decimal"/>
      <w:start w:val="104"/>
    </w:lvl>
  </w:abstractNum>
  <w:abstractNum w:abstractNumId="8">
    <w:nsid w:val="3352255A"/>
    <w:multiLevelType w:val="hybridMultilevel"/>
    <w:lvl w:ilvl="0">
      <w:lvlJc w:val="left"/>
      <w:lvlText w:val="*"/>
      <w:numFmt w:val="bullet"/>
      <w:start w:val="1"/>
    </w:lvl>
  </w:abstractNum>
  <w:abstractNum w:abstractNumId="9">
    <w:nsid w:val="109CF92E"/>
    <w:multiLevelType w:val="hybridMultilevel"/>
    <w:lvl w:ilvl="0">
      <w:lvlJc w:val="left"/>
      <w:lvlText w:val="%1."/>
      <w:numFmt w:val="decimal"/>
      <w:start w:val="1"/>
    </w:lvl>
  </w:abstractNum>
  <w:abstractNum w:abstractNumId="10">
    <w:nsid w:val="DED7263"/>
    <w:multiLevelType w:val="hybridMultilevel"/>
    <w:lvl w:ilvl="0">
      <w:lvlJc w:val="left"/>
      <w:lvlText w:val="(%1)"/>
      <w:numFmt w:val="lowerLetter"/>
      <w:start w:val="1"/>
    </w:lvl>
  </w:abstractNum>
  <w:abstractNum w:abstractNumId="11">
    <w:nsid w:val="7FDCC233"/>
    <w:multiLevelType w:val="hybridMultilevel"/>
    <w:lvl w:ilvl="0">
      <w:lvlJc w:val="left"/>
      <w:lvlText w:val="%1."/>
      <w:numFmt w:val="decimal"/>
      <w:start w:val="5"/>
    </w:lvl>
  </w:abstractNum>
  <w:abstractNum w:abstractNumId="12">
    <w:nsid w:val="1BEFD79F"/>
    <w:multiLevelType w:val="hybridMultilevel"/>
    <w:lvl w:ilvl="0">
      <w:lvlJc w:val="left"/>
      <w:lvlText w:val="(%1)"/>
      <w:numFmt w:val="lowerLetter"/>
      <w:start w:val="1"/>
    </w:lvl>
  </w:abstractNum>
  <w:abstractNum w:abstractNumId="13">
    <w:nsid w:val="41A7C4C9"/>
    <w:multiLevelType w:val="hybridMultilevel"/>
    <w:lvl w:ilvl="0">
      <w:lvlJc w:val="left"/>
      <w:lvlText w:val="%1."/>
      <w:numFmt w:val="decimal"/>
      <w:start w:val="1"/>
    </w:lvl>
  </w:abstractNum>
  <w:abstractNum w:abstractNumId="14">
    <w:nsid w:val="6B68079A"/>
    <w:multiLevelType w:val="hybridMultilevel"/>
    <w:lvl w:ilvl="0">
      <w:lvlJc w:val="left"/>
      <w:lvlText w:val="(%1)"/>
      <w:numFmt w:val="lowerLetter"/>
      <w:start w:val="1"/>
    </w:lvl>
  </w:abstractNum>
  <w:abstractNum w:abstractNumId="15">
    <w:nsid w:val="4E6AFB66"/>
    <w:multiLevelType w:val="hybridMultilevel"/>
    <w:lvl w:ilvl="0">
      <w:lvlJc w:val="left"/>
      <w:lvlText w:val="%1."/>
      <w:numFmt w:val="decimal"/>
      <w:start w:val="5"/>
    </w:lvl>
  </w:abstractNum>
  <w:abstractNum w:abstractNumId="16">
    <w:nsid w:val="25E45D32"/>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2021-11-04T05:23:55Z</dcterms:created>
  <dcterms:modified xsi:type="dcterms:W3CDTF">2021-11-04T05:23:55Z</dcterms:modified>
</cp:coreProperties>
</file>