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Madrigal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PAULSON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1,392,188.00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1,392,188.00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1,392,188.00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Items 5, 7 &amp; 9 (See Note 1 to Item 4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Madrigal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Four Tower Bridge, 200 Barr Harbor Drive, Suite 200 West Conshohocken, PA 19428</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Paulson &amp; Co. Inc.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 Exchange Place, Jersey City, New Jersey 07302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1,392,188</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1,392,188 (See Note 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1,392,188 (See Note 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Shared power to dispose or to direct the disposition of: 0 The aggregate percentage of Common Stock reported owned by each person named herein is based upon 22,939,969 shares of Common Stock outstanding as of February 12, 2026, which is the total number of shares of Common Stock outstanding as reported in the Issuer's Annual Report on Form 10-K filed with the Securities and Exchange Commission on February 19, 2026. Note 1: Paulson &amp; Co. Inc. ("Paulson") and its affiliates furnish investment advice to and manage onshore and offshore investment funds and separate managed accounts (such investment funds and accounts, the "Funds"). In its role as investment advisor, or manager, Paulson possesses voting and/or investment power over the securities of the Issuer described in this schedule that are owned by the Funds. All securities reported in this schedule are owned by the Funds. Paulson disclaims beneficial ownership of such securities.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securities reported in this schedule are owned by Paulson's advisory clients, none of which to Paulson's knowledge owns more than 5% of the class. Paulson itself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PAULSON &amp; CO. INC.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PAULSON &amp; CO. INC.</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Stuart L. Merzer, General Counsel &amp; Chief Compliance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5302</Characters>
  <CharactersWithSpaces>6327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