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2"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69" w:lineRule="exact"/>
        <w:rPr>
          <w:sz w:val="24"/>
          <w:szCs w:val="24"/>
          <w:color w:val="auto"/>
        </w:rPr>
      </w:pPr>
    </w:p>
    <w:p>
      <w:pPr>
        <w:jc w:val="center"/>
        <w:ind w:right="40"/>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3666490</wp:posOffset>
            </wp:positionH>
            <wp:positionV relativeFrom="paragraph">
              <wp:posOffset>-3175</wp:posOffset>
            </wp:positionV>
            <wp:extent cx="10179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905" cy="6985"/>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001-33277</w:t>
      </w:r>
    </w:p>
    <w:p>
      <w:pPr>
        <w:spacing w:after="0" w:line="9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MADRIGAL PHARMACEUTICALS, INC.</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6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221"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04-3508648</w:t>
            </w:r>
          </w:p>
        </w:tc>
      </w:tr>
      <w:tr>
        <w:trPr>
          <w:trHeight w:val="140"/>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06"/>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w w:val="98"/>
              </w:rPr>
              <w:t>Four Tower Bridge</w:t>
            </w:r>
          </w:p>
        </w:tc>
        <w:tc>
          <w:tcPr>
            <w:tcW w:w="1060" w:type="dxa"/>
            <w:vAlign w:val="bottom"/>
          </w:tcPr>
          <w:p>
            <w:pPr>
              <w:spacing w:after="0"/>
              <w:rPr>
                <w:sz w:val="24"/>
                <w:szCs w:val="24"/>
                <w:color w:val="auto"/>
              </w:rPr>
            </w:pPr>
          </w:p>
        </w:tc>
      </w:tr>
      <w:tr>
        <w:trPr>
          <w:trHeight w:val="159"/>
        </w:trPr>
        <w:tc>
          <w:tcPr>
            <w:tcW w:w="6100" w:type="dxa"/>
            <w:vAlign w:val="bottom"/>
          </w:tcPr>
          <w:p>
            <w:pPr>
              <w:jc w:val="center"/>
              <w:ind w:right="3935"/>
              <w:spacing w:after="0" w:line="159" w:lineRule="exact"/>
              <w:rPr>
                <w:sz w:val="20"/>
                <w:szCs w:val="20"/>
                <w:color w:val="auto"/>
              </w:rPr>
            </w:pPr>
            <w:r>
              <w:rPr>
                <w:rFonts w:ascii="Times New Roman" w:cs="Times New Roman" w:eastAsia="Times New Roman" w:hAnsi="Times New Roman"/>
                <w:sz w:val="14"/>
                <w:szCs w:val="14"/>
                <w:b w:val="1"/>
                <w:bCs w:val="1"/>
                <w:color w:val="auto"/>
              </w:rPr>
              <w:t>200 Barr Harbor Drive, Suite 200</w:t>
            </w:r>
          </w:p>
        </w:tc>
        <w:tc>
          <w:tcPr>
            <w:tcW w:w="1060" w:type="dxa"/>
            <w:vAlign w:val="bottom"/>
          </w:tcPr>
          <w:p>
            <w:pPr>
              <w:spacing w:after="0"/>
              <w:rPr>
                <w:sz w:val="13"/>
                <w:szCs w:val="13"/>
                <w:color w:val="auto"/>
              </w:rPr>
            </w:pPr>
          </w:p>
        </w:tc>
      </w:tr>
      <w:tr>
        <w:trPr>
          <w:trHeight w:val="197"/>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4"/>
                <w:szCs w:val="14"/>
                <w:b w:val="1"/>
                <w:bCs w:val="1"/>
                <w:color w:val="auto"/>
              </w:rPr>
              <w:t>West Conshohocken, Pennsylvania</w:t>
            </w:r>
          </w:p>
        </w:tc>
        <w:tc>
          <w:tcPr>
            <w:tcW w:w="10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19428</w:t>
            </w:r>
          </w:p>
        </w:tc>
      </w:tr>
      <w:tr>
        <w:trPr>
          <w:trHeight w:val="162"/>
        </w:trPr>
        <w:tc>
          <w:tcPr>
            <w:tcW w:w="6100" w:type="dxa"/>
            <w:vAlign w:val="bottom"/>
          </w:tcPr>
          <w:p>
            <w:pPr>
              <w:jc w:val="center"/>
              <w:ind w:right="393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422"/>
        </w:trPr>
        <w:tc>
          <w:tcPr>
            <w:tcW w:w="61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(267) 824-2827</w:t>
            </w:r>
          </w:p>
        </w:tc>
        <w:tc>
          <w:tcPr>
            <w:tcW w:w="1060" w:type="dxa"/>
            <w:vAlign w:val="bottom"/>
          </w:tcPr>
          <w:p>
            <w:pPr>
              <w:spacing w:after="0"/>
              <w:rPr>
                <w:sz w:val="24"/>
                <w:szCs w:val="24"/>
                <w:color w:val="auto"/>
              </w:rPr>
            </w:pPr>
          </w:p>
        </w:tc>
      </w:tr>
    </w:tbl>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8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6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4"/>
                <w:szCs w:val="1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91"/>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700"/>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45" w:lineRule="exact"/>
        <w:rPr>
          <w:sz w:val="24"/>
          <w:szCs w:val="24"/>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14" w:lineRule="exact"/>
        <w:rPr>
          <w:sz w:val="24"/>
          <w:szCs w:val="24"/>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3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x</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Accelerated filer</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o</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40" w:lineRule="exact"/>
        <w:rPr>
          <w:sz w:val="24"/>
          <w:szCs w:val="24"/>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30, 2025, the registrant had 22,711,420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20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8520" w:type="dxa"/>
            <w:vAlign w:val="bottom"/>
            <w:gridSpan w:val="1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1"/>
        </w:trPr>
        <w:tc>
          <w:tcPr>
            <w:tcW w:w="240" w:type="dxa"/>
            <w:vAlign w:val="bottom"/>
            <w:tcBorders>
              <w:top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Part I. Financial Information</w:t>
            </w:r>
          </w:p>
        </w:tc>
        <w:tc>
          <w:tcPr>
            <w:tcW w:w="6900" w:type="dxa"/>
            <w:vAlign w:val="bottom"/>
            <w:gridSpan w:val="11"/>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Financial Statements (Unaudited):</w:t>
            </w:r>
          </w:p>
        </w:tc>
        <w:tc>
          <w:tcPr>
            <w:tcW w:w="6580" w:type="dxa"/>
            <w:vAlign w:val="bottom"/>
            <w:gridSpan w:val="9"/>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Balance Sheets at September 30, 2025 and December 31, 2024</w:t>
            </w:r>
          </w:p>
        </w:tc>
        <w:tc>
          <w:tcPr>
            <w:tcW w:w="3520" w:type="dxa"/>
            <w:vAlign w:val="bottom"/>
            <w:gridSpan w:val="5"/>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and Nine Months Ended September 30, 2025 and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 for the Three and Nine Months Ended September 30, 2025 and 2024</w:t>
            </w:r>
          </w:p>
        </w:tc>
        <w:tc>
          <w:tcPr>
            <w:tcW w:w="1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and Nine Months Ended September 30, 2025 and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3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September 30, 2025 and 2024</w:t>
            </w:r>
          </w:p>
        </w:tc>
        <w:tc>
          <w:tcPr>
            <w:tcW w:w="1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080" w:type="dxa"/>
            <w:vAlign w:val="bottom"/>
            <w:tcBorders>
              <w:top w:val="single" w:sz="8" w:color="0000FF"/>
            </w:tcBorders>
            <w:gridSpan w:val="5"/>
          </w:tcPr>
          <w:p>
            <w:pPr>
              <w:spacing w:after="0"/>
              <w:rPr>
                <w:sz w:val="13"/>
                <w:szCs w:val="13"/>
                <w:color w:val="auto"/>
              </w:rPr>
            </w:pPr>
          </w:p>
        </w:tc>
        <w:tc>
          <w:tcPr>
            <w:tcW w:w="2300" w:type="dxa"/>
            <w:vAlign w:val="bottom"/>
            <w:gridSpan w:val="3"/>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13"/>
                <w:szCs w:val="13"/>
                <w:color w:val="auto"/>
              </w:rPr>
            </w:pPr>
          </w:p>
        </w:tc>
        <w:tc>
          <w:tcPr>
            <w:tcW w:w="3460" w:type="dxa"/>
            <w:vAlign w:val="bottom"/>
            <w:gridSpan w:val="4"/>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Part II. Other Information</w:t>
            </w:r>
          </w:p>
        </w:tc>
        <w:tc>
          <w:tcPr>
            <w:tcW w:w="7060" w:type="dxa"/>
            <w:vAlign w:val="bottom"/>
            <w:gridSpan w:val="12"/>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480" w:type="dxa"/>
            <w:vAlign w:val="bottom"/>
            <w:gridSpan w:val="14"/>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112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3"/>
          </w:tcPr>
          <w:p>
            <w:pPr>
              <w:spacing w:after="0"/>
              <w:rPr>
                <w:sz w:val="13"/>
                <w:szCs w:val="13"/>
                <w:color w:val="auto"/>
              </w:rPr>
            </w:pPr>
          </w:p>
        </w:tc>
        <w:tc>
          <w:tcPr>
            <w:tcW w:w="5120" w:type="dxa"/>
            <w:vAlign w:val="bottom"/>
            <w:gridSpan w:val="7"/>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140" w:type="dxa"/>
            <w:vAlign w:val="bottom"/>
            <w:gridSpan w:val="13"/>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7500" w:type="dxa"/>
            <w:vAlign w:val="bottom"/>
            <w:gridSpan w:val="15"/>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920" w:type="dxa"/>
            <w:vAlign w:val="bottom"/>
            <w:gridSpan w:val="17"/>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w:t>
      </w:r>
    </w:p>
    <w:p>
      <w:pPr>
        <w:spacing w:after="0" w:line="223" w:lineRule="exact"/>
        <w:rPr>
          <w:sz w:val="20"/>
          <w:szCs w:val="20"/>
          <w:color w:val="auto"/>
        </w:rPr>
      </w:pPr>
    </w:p>
    <w:p>
      <w:pPr>
        <w:ind w:left="1020" w:right="180" w:hanging="251"/>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Rezdiffra, our only approved product, for the treatment of metabolic dysfunction-associated steatohepatitis (“MASH”) with moderate to advanced liver fibrosis (consistent with stages F2 to F3 fibrosis);</w:t>
      </w:r>
    </w:p>
    <w:p>
      <w:pPr>
        <w:spacing w:after="0" w:line="2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full approval for Rezdiffra from the U.S. Food and Drug Administration and the European Commission;</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or in a timely manner, report positive results from our outcomes trials;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to expand Rezdiffra’s indication to a broader MASH patient population;</w:t>
      </w:r>
    </w:p>
    <w:p>
      <w:pPr>
        <w:spacing w:after="0" w:line="83" w:lineRule="exact"/>
        <w:rPr>
          <w:rFonts w:ascii="Times New Roman" w:cs="Times New Roman" w:eastAsia="Times New Roman" w:hAnsi="Times New Roman"/>
          <w:sz w:val="14"/>
          <w:szCs w:val="14"/>
          <w:color w:val="auto"/>
        </w:rPr>
      </w:pPr>
    </w:p>
    <w:p>
      <w:pPr>
        <w:ind w:left="1020" w:right="6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potential sector leadership;</w:t>
      </w:r>
    </w:p>
    <w:p>
      <w:pPr>
        <w:spacing w:after="0" w:line="5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scale our operations in Europe to successfully commercialize Rezdiffra;</w:t>
      </w:r>
    </w:p>
    <w:p>
      <w:pPr>
        <w:spacing w:after="0" w:line="83" w:lineRule="exact"/>
        <w:rPr>
          <w:rFonts w:ascii="Times New Roman" w:cs="Times New Roman" w:eastAsia="Times New Roman" w:hAnsi="Times New Roman"/>
          <w:sz w:val="14"/>
          <w:szCs w:val="14"/>
          <w:color w:val="auto"/>
        </w:rPr>
      </w:pPr>
    </w:p>
    <w:p>
      <w:pPr>
        <w:ind w:left="1020" w:right="8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possible or assumed future business strategies and plans (including potential ex-U.S. commercial or partnering opportunities) and potential growth opportunities and our ability to acquire or in-license new product candidates and technologies;</w:t>
      </w:r>
    </w:p>
    <w:p>
      <w:pPr>
        <w:spacing w:after="0" w:line="50" w:lineRule="exact"/>
        <w:rPr>
          <w:rFonts w:ascii="Times New Roman" w:cs="Times New Roman" w:eastAsia="Times New Roman" w:hAnsi="Times New Roman"/>
          <w:sz w:val="14"/>
          <w:szCs w:val="14"/>
          <w:color w:val="auto"/>
        </w:rPr>
      </w:pPr>
    </w:p>
    <w:p>
      <w:pPr>
        <w:ind w:left="1020" w:right="12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related to clinical trials, including anticipated timing of receipt of data from our clinical trials, our ability to successfully conduct our current or any future clinical trials necessary for regulatory approval and our ability to delay certain research activities and related clinical expenses as necessary;</w:t>
      </w:r>
    </w:p>
    <w:p>
      <w:pPr>
        <w:spacing w:after="0" w:line="39"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an effective commercial organization, including sales and marketing representatives, and the ability of third parties on which we rely to manufacture sufficient quantities of Rezdiffra or any other future product candidate for our commercial or clinical needs;</w:t>
      </w:r>
    </w:p>
    <w:p>
      <w:pPr>
        <w:spacing w:after="0" w:line="28" w:lineRule="exact"/>
        <w:rPr>
          <w:rFonts w:ascii="Times New Roman" w:cs="Times New Roman" w:eastAsia="Times New Roman" w:hAnsi="Times New Roman"/>
          <w:sz w:val="14"/>
          <w:szCs w:val="14"/>
          <w:color w:val="auto"/>
        </w:rPr>
      </w:pPr>
    </w:p>
    <w:p>
      <w:pPr>
        <w:ind w:left="1020" w:right="20" w:hanging="251"/>
        <w:spacing w:after="0" w:line="262"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estimated future results, including our future operating performance and financial position, estimates of our expenses and liquidity and our ability to raise additional capital as needed, our ability to achieve or maintain profitability, our ability to comply with the covenants included in our loan facility and our ability to comply with our obligations under our agreements related to Rezdiffra, including our license agreement with Hoffman-La-Roche; and</w:t>
      </w:r>
    </w:p>
    <w:p>
      <w:pPr>
        <w:spacing w:after="0" w:line="45" w:lineRule="exact"/>
        <w:rPr>
          <w:rFonts w:ascii="Times New Roman" w:cs="Times New Roman" w:eastAsia="Times New Roman" w:hAnsi="Times New Roman"/>
          <w:sz w:val="14"/>
          <w:szCs w:val="14"/>
          <w:color w:val="auto"/>
        </w:rPr>
      </w:pPr>
    </w:p>
    <w:p>
      <w:pPr>
        <w:ind w:left="1020" w:right="320" w:hanging="251"/>
        <w:spacing w:after="0" w:line="271"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spacing w:after="0" w:line="13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IA, “Risk Factors” in our Annual Report on Form 10-K for the fiscal year ended December 31, 2024 and Part II, Item 1A, “Risk Factors” in this Quarterly Report and elsewhere in this Quarterly Report. Other sections of this Quarterly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any reason, even if new information becomes available in the future. You are advised, however, to consult any further disclosure we make in our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6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100,019</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826,232</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receivables,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13,786</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1,346,680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1,032,927</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Right-of-use asset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1,362,457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1,042,247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44,941</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169,277</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117,569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long 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118,587</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736,725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287,864</w:t>
            </w:r>
          </w:p>
        </w:tc>
        <w:tc>
          <w:tcPr>
            <w:tcW w:w="0" w:type="dxa"/>
            <w:vAlign w:val="bottom"/>
          </w:tcPr>
          <w:p>
            <w:pPr>
              <w:spacing w:after="0"/>
              <w:rPr>
                <w:sz w:val="1"/>
                <w:szCs w:val="1"/>
                <w:color w:val="auto"/>
              </w:rPr>
            </w:pPr>
          </w:p>
        </w:tc>
      </w:tr>
      <w:tr>
        <w:trPr>
          <w:trHeight w:val="1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par value $0.0001 per share authorized: 5,000,000 shares at September 30, 2025 and December 31, 2024; 2,369,797 and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2,369,797 shares issued and outstanding at September 30, 2025 and December 31, 2024, respectively</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par value $0.0001 per share authorized: 200,000,000 at September 30, 2025 and December 31, 2024; 22,704,303 and</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22,004,679 shares issued and outstanding at September 30, 2025 and December 31, 2024, respectively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2,656,553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2,556,095</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(2,031,891)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(1,802,182)</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625,732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754,383</w:t>
            </w:r>
          </w:p>
        </w:tc>
        <w:tc>
          <w:tcPr>
            <w:tcW w:w="0" w:type="dxa"/>
            <w:vAlign w:val="bottom"/>
          </w:tcPr>
          <w:p>
            <w:pPr>
              <w:spacing w:after="0"/>
              <w:rPr>
                <w:sz w:val="1"/>
                <w:szCs w:val="1"/>
                <w:color w:val="auto"/>
              </w:rPr>
            </w:pPr>
          </w:p>
        </w:tc>
      </w:tr>
      <w:tr>
        <w:trPr>
          <w:trHeight w:val="187"/>
        </w:trPr>
        <w:tc>
          <w:tcPr>
            <w:tcW w:w="8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1,362,457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1,042,247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2"/>
                <w:szCs w:val="12"/>
                <w:color w:val="auto"/>
              </w:rPr>
            </w:pPr>
          </w:p>
        </w:tc>
        <w:tc>
          <w:tcPr>
            <w:tcW w:w="2680" w:type="dxa"/>
            <w:vAlign w:val="bottom"/>
            <w:gridSpan w:val="4"/>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30"/>
        </w:trPr>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0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287,268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637,320</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76,813</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209,117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107,585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573,851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293,834</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877,808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507,692</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(113,975)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(240,488)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(430,879)</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(406,476)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weighted average number of common shares outstanding</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22,482,502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21,745,929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22,261,718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21,052,544</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24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0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(106,964)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(406,476)</w:t>
            </w:r>
          </w:p>
        </w:tc>
      </w:tr>
      <w:tr>
        <w:trPr>
          <w:trHeight w:val="19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(loss) on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foreign currency (loss) gain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50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Comprehensive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(105,325)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(405,673)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ectPr>
          <w:pgSz w:w="11900" w:h="16838" w:orient="portrait"/>
          <w:cols w:equalWidth="0" w:num="1">
            <w:col w:w="11240"/>
          </w:cols>
          <w:pgMar w:left="300" w:top="123" w:right="359" w:bottom="1440" w:gutter="0" w:footer="0" w:header="0"/>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Preferred stock</w:t>
            </w:r>
          </w:p>
        </w:tc>
      </w:tr>
      <w:tr>
        <w:trPr>
          <w:trHeight w:val="182"/>
        </w:trPr>
        <w:tc>
          <w:tcPr>
            <w:tcW w:w="348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 and foreign</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 and foreign</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 and foreign</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64"/>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shares and sale of warrants in</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9"/>
        </w:trPr>
        <w:tc>
          <w:tcPr>
            <w:tcW w:w="3480" w:type="dxa"/>
            <w:vAlign w:val="bottom"/>
          </w:tcPr>
          <w:p>
            <w:pPr>
              <w:ind w:left="380"/>
              <w:spacing w:after="0" w:line="159" w:lineRule="exact"/>
              <w:rPr>
                <w:sz w:val="20"/>
                <w:szCs w:val="20"/>
                <w:color w:val="auto"/>
              </w:rPr>
            </w:pPr>
            <w:r>
              <w:rPr>
                <w:rFonts w:ascii="Times New Roman" w:cs="Times New Roman" w:eastAsia="Times New Roman" w:hAnsi="Times New Roman"/>
                <w:sz w:val="14"/>
                <w:szCs w:val="14"/>
                <w:color w:val="auto"/>
              </w:rPr>
              <w:t>equity offerings, excluding to related parties, net of</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 of warrants to related parties in equity offerings,</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9"/>
        </w:trPr>
        <w:tc>
          <w:tcPr>
            <w:tcW w:w="3480" w:type="dxa"/>
            <w:vAlign w:val="bottom"/>
          </w:tcPr>
          <w:p>
            <w:pPr>
              <w:ind w:left="380"/>
              <w:spacing w:after="0" w:line="159" w:lineRule="exact"/>
              <w:rPr>
                <w:sz w:val="20"/>
                <w:szCs w:val="20"/>
                <w:color w:val="auto"/>
              </w:rPr>
            </w:pPr>
            <w:r>
              <w:rPr>
                <w:rFonts w:ascii="Times New Roman" w:cs="Times New Roman" w:eastAsia="Times New Roman" w:hAnsi="Times New Roman"/>
                <w:sz w:val="14"/>
                <w:szCs w:val="14"/>
                <w:color w:val="auto"/>
              </w:rPr>
              <w:t>exercise of common stock options, and restricted</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vesting,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4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4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820" w:type="dxa"/>
            <w:vAlign w:val="bottom"/>
          </w:tcPr>
          <w:p>
            <w:pPr>
              <w:jc w:val="center"/>
              <w:ind w:right="51"/>
              <w:spacing w:after="0" w:line="10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9"/>
        </w:trPr>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1"/>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22,004,679</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2,556,095</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(1,802,182)</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754,383</w:t>
            </w:r>
          </w:p>
        </w:tc>
        <w:tc>
          <w:tcPr>
            <w:tcW w:w="0" w:type="dxa"/>
            <w:vAlign w:val="bottom"/>
          </w:tcPr>
          <w:p>
            <w:pPr>
              <w:spacing w:after="0"/>
              <w:rPr>
                <w:sz w:val="1"/>
                <w:szCs w:val="1"/>
                <w:color w:val="auto"/>
              </w:rPr>
            </w:pPr>
          </w:p>
        </w:tc>
      </w:tr>
      <w:tr>
        <w:trPr>
          <w:trHeight w:val="202"/>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183,037</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8,640</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20,931</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7"/>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22,187,716</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2,585,666</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(1,875,420)</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710,637</w:t>
            </w:r>
          </w:p>
        </w:tc>
        <w:tc>
          <w:tcPr>
            <w:tcW w:w="0" w:type="dxa"/>
            <w:vAlign w:val="bottom"/>
          </w:tcPr>
          <w:p>
            <w:pPr>
              <w:spacing w:after="0"/>
              <w:rPr>
                <w:sz w:val="1"/>
                <w:szCs w:val="1"/>
                <w:color w:val="auto"/>
              </w:rPr>
            </w:pPr>
          </w:p>
        </w:tc>
      </w:tr>
      <w:tr>
        <w:trPr>
          <w:trHeight w:val="202"/>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25,159</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207"/>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(42,281)</w:t>
            </w: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22,221,116</w:t>
            </w:r>
          </w:p>
        </w:tc>
        <w:tc>
          <w:tcPr>
            <w:tcW w:w="6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2,612,566</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(1,917,701)</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695,978</w:t>
            </w:r>
          </w:p>
        </w:tc>
        <w:tc>
          <w:tcPr>
            <w:tcW w:w="0" w:type="dxa"/>
            <w:vAlign w:val="bottom"/>
          </w:tcPr>
          <w:p>
            <w:pPr>
              <w:spacing w:after="0"/>
              <w:rPr>
                <w:sz w:val="1"/>
                <w:szCs w:val="1"/>
                <w:color w:val="auto"/>
              </w:rPr>
            </w:pPr>
          </w:p>
        </w:tc>
      </w:tr>
      <w:tr>
        <w:trPr>
          <w:trHeight w:val="202"/>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483,187</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17,735</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26,252</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7"/>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0" w:type="dxa"/>
            <w:vAlign w:val="bottom"/>
          </w:tcPr>
          <w:p>
            <w:pPr>
              <w:spacing w:after="0"/>
              <w:rPr>
                <w:sz w:val="1"/>
                <w:szCs w:val="1"/>
                <w:color w:val="auto"/>
              </w:rPr>
            </w:pPr>
          </w:p>
        </w:tc>
      </w:tr>
      <w:tr>
        <w:trPr>
          <w:trHeight w:val="177"/>
        </w:trPr>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22,704,303</w:t>
            </w:r>
          </w:p>
        </w:tc>
        <w:tc>
          <w:tcPr>
            <w:tcW w:w="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2,656,553</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(2,031,891)</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625,732</w:t>
            </w: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19,875,427</w:t>
            </w:r>
          </w:p>
        </w:tc>
        <w:tc>
          <w:tcPr>
            <w:tcW w:w="60" w:type="dxa"/>
            <w:vAlign w:val="bottom"/>
          </w:tcPr>
          <w:p>
            <w:pPr>
              <w:spacing w:after="0"/>
              <w:rPr>
                <w:sz w:val="24"/>
                <w:szCs w:val="24"/>
                <w:color w:val="auto"/>
              </w:rPr>
            </w:pPr>
          </w:p>
        </w:tc>
        <w:tc>
          <w:tcPr>
            <w:tcW w:w="6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1,741,153</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(1,336,290)</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405,333</w:t>
            </w:r>
          </w:p>
        </w:tc>
        <w:tc>
          <w:tcPr>
            <w:tcW w:w="0" w:type="dxa"/>
            <w:vAlign w:val="bottom"/>
          </w:tcPr>
          <w:p>
            <w:pPr>
              <w:spacing w:after="0"/>
              <w:rPr>
                <w:sz w:val="1"/>
                <w:szCs w:val="1"/>
                <w:color w:val="auto"/>
              </w:rPr>
            </w:pPr>
          </w:p>
        </w:tc>
      </w:tr>
      <w:tr>
        <w:trPr>
          <w:trHeight w:val="530"/>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311,560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311,560</w:t>
            </w:r>
          </w:p>
        </w:tc>
        <w:tc>
          <w:tcPr>
            <w:tcW w:w="0" w:type="dxa"/>
            <w:vAlign w:val="bottom"/>
          </w:tcPr>
          <w:p>
            <w:pPr>
              <w:spacing w:after="0"/>
              <w:rPr>
                <w:sz w:val="1"/>
                <w:szCs w:val="1"/>
                <w:color w:val="auto"/>
              </w:rPr>
            </w:pPr>
          </w:p>
        </w:tc>
      </w:tr>
      <w:tr>
        <w:trPr>
          <w:trHeight w:val="530"/>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59,236</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262,145</w:t>
            </w:r>
          </w:p>
        </w:tc>
        <w:tc>
          <w:tcPr>
            <w:tcW w:w="0" w:type="dxa"/>
            <w:vAlign w:val="bottom"/>
          </w:tcPr>
          <w:p>
            <w:pPr>
              <w:spacing w:after="0"/>
              <w:rPr>
                <w:sz w:val="1"/>
                <w:szCs w:val="1"/>
                <w:color w:val="auto"/>
              </w:rPr>
            </w:pPr>
          </w:p>
        </w:tc>
      </w:tr>
      <w:tr>
        <w:trPr>
          <w:trHeight w:val="361"/>
        </w:trPr>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-3839210</wp:posOffset>
            </wp:positionV>
            <wp:extent cx="708787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870" cy="1346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-3576320</wp:posOffset>
            </wp:positionV>
            <wp:extent cx="7087870" cy="229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870" cy="22923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-3118485</wp:posOffset>
            </wp:positionV>
            <wp:extent cx="708787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-2855595</wp:posOffset>
            </wp:positionV>
            <wp:extent cx="708787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-2498725</wp:posOffset>
            </wp:positionV>
            <wp:extent cx="7087870" cy="229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870" cy="22923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-2141220</wp:posOffset>
            </wp:positionV>
            <wp:extent cx="708787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870" cy="1346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-1878965</wp:posOffset>
            </wp:positionV>
            <wp:extent cx="7087870" cy="229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870" cy="22923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-1420495</wp:posOffset>
            </wp:positionV>
            <wp:extent cx="708787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870" cy="1282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-1157605</wp:posOffset>
            </wp:positionV>
            <wp:extent cx="708787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870" cy="13462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-895350</wp:posOffset>
            </wp:positionV>
            <wp:extent cx="7087870" cy="336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870" cy="33655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-221615</wp:posOffset>
            </wp:positionV>
            <wp:extent cx="7087870" cy="229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870" cy="229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
            <w:col w:w="5940"/>
          </w:cols>
          <w:pgMar w:left="300" w:top="123" w:right="359" w:bottom="1440" w:gutter="0" w:footer="0" w:header="0"/>
          <w:type w:val="continuous"/>
        </w:sect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96"/>
        </w:trPr>
        <w:tc>
          <w:tcPr>
            <w:tcW w:w="60" w:type="dxa"/>
            <w:vAlign w:val="bottom"/>
          </w:tcPr>
          <w:p>
            <w:pPr>
              <w:spacing w:after="0"/>
              <w:rPr>
                <w:sz w:val="24"/>
                <w:szCs w:val="24"/>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207"/>
        </w:trPr>
        <w:tc>
          <w:tcPr>
            <w:tcW w:w="60" w:type="dxa"/>
            <w:vAlign w:val="bottom"/>
          </w:tcPr>
          <w:p>
            <w:pPr>
              <w:spacing w:after="0"/>
              <w:rPr>
                <w:sz w:val="18"/>
                <w:szCs w:val="18"/>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(147,541)</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(147,541)</w:t>
            </w:r>
          </w:p>
        </w:tc>
      </w:tr>
      <w:tr>
        <w:trPr>
          <w:trHeight w:val="187"/>
        </w:trPr>
        <w:tc>
          <w:tcPr>
            <w:tcW w:w="60" w:type="dxa"/>
            <w:vAlign w:val="bottom"/>
          </w:tcPr>
          <w:p>
            <w:pPr>
              <w:spacing w:after="0"/>
              <w:rPr>
                <w:sz w:val="16"/>
                <w:szCs w:val="16"/>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20,684,663</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2,334,760</w:t>
            </w:r>
          </w:p>
        </w:tc>
        <w:tc>
          <w:tcPr>
            <w:tcW w:w="6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(1,483,831)</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850,759</w:t>
            </w:r>
          </w:p>
        </w:tc>
      </w:tr>
      <w:tr>
        <w:trPr>
          <w:trHeight w:val="171"/>
        </w:trPr>
        <w:tc>
          <w:tcPr>
            <w:tcW w:w="60" w:type="dxa"/>
            <w:vAlign w:val="bottom"/>
          </w:tcPr>
          <w:p>
            <w:pPr>
              <w:spacing w:after="0"/>
              <w:rPr>
                <w:sz w:val="14"/>
                <w:szCs w:val="14"/>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shares in equity offerings,</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5"/>
        </w:trPr>
        <w:tc>
          <w:tcPr>
            <w:tcW w:w="60" w:type="dxa"/>
            <w:vAlign w:val="bottom"/>
          </w:tcPr>
          <w:p>
            <w:pPr>
              <w:spacing w:after="0"/>
              <w:rPr>
                <w:sz w:val="16"/>
                <w:szCs w:val="16"/>
                <w:color w:val="auto"/>
              </w:rPr>
            </w:pPr>
          </w:p>
        </w:tc>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excluding to related parties, net of transaction costs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346,153</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85,950</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85,950</w:t>
            </w:r>
          </w:p>
        </w:tc>
      </w:tr>
      <w:tr>
        <w:trPr>
          <w:trHeight w:val="166"/>
        </w:trPr>
        <w:tc>
          <w:tcPr>
            <w:tcW w:w="60" w:type="dxa"/>
            <w:vAlign w:val="bottom"/>
          </w:tcPr>
          <w:p>
            <w:pPr>
              <w:spacing w:after="0"/>
              <w:rPr>
                <w:sz w:val="14"/>
                <w:szCs w:val="14"/>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60" w:type="dxa"/>
            <w:vAlign w:val="bottom"/>
          </w:tcPr>
          <w:p>
            <w:pPr>
              <w:spacing w:after="0"/>
              <w:rPr>
                <w:sz w:val="16"/>
                <w:szCs w:val="16"/>
                <w:color w:val="auto"/>
              </w:rPr>
            </w:pPr>
          </w:p>
        </w:tc>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670,077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48,174</w:t>
            </w:r>
          </w:p>
        </w:tc>
      </w:tr>
      <w:tr>
        <w:trPr>
          <w:trHeight w:val="171"/>
        </w:trPr>
        <w:tc>
          <w:tcPr>
            <w:tcW w:w="60" w:type="dxa"/>
            <w:vAlign w:val="bottom"/>
          </w:tcPr>
          <w:p>
            <w:pPr>
              <w:spacing w:after="0"/>
              <w:rPr>
                <w:sz w:val="14"/>
                <w:szCs w:val="14"/>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5"/>
        </w:trPr>
        <w:tc>
          <w:tcPr>
            <w:tcW w:w="60" w:type="dxa"/>
            <w:vAlign w:val="bottom"/>
          </w:tcPr>
          <w:p>
            <w:pPr>
              <w:spacing w:after="0"/>
              <w:rPr>
                <w:sz w:val="16"/>
                <w:szCs w:val="16"/>
                <w:color w:val="auto"/>
              </w:rPr>
            </w:pPr>
          </w:p>
        </w:tc>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24,404</w:t>
            </w:r>
          </w:p>
        </w:tc>
      </w:tr>
      <w:tr>
        <w:trPr>
          <w:trHeight w:val="196"/>
        </w:trPr>
        <w:tc>
          <w:tcPr>
            <w:tcW w:w="60" w:type="dxa"/>
            <w:vAlign w:val="bottom"/>
          </w:tcPr>
          <w:p>
            <w:pPr>
              <w:spacing w:after="0"/>
              <w:rPr>
                <w:sz w:val="17"/>
                <w:szCs w:val="17"/>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7"/>
        </w:trPr>
        <w:tc>
          <w:tcPr>
            <w:tcW w:w="60" w:type="dxa"/>
            <w:vAlign w:val="bottom"/>
          </w:tcPr>
          <w:p>
            <w:pPr>
              <w:spacing w:after="0"/>
              <w:rPr>
                <w:sz w:val="18"/>
                <w:szCs w:val="18"/>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(151,971)</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(151,971)</w:t>
            </w:r>
          </w:p>
        </w:tc>
      </w:tr>
      <w:tr>
        <w:trPr>
          <w:trHeight w:val="187"/>
        </w:trPr>
        <w:tc>
          <w:tcPr>
            <w:tcW w:w="60" w:type="dxa"/>
            <w:vAlign w:val="bottom"/>
          </w:tcPr>
          <w:p>
            <w:pPr>
              <w:spacing w:after="0"/>
              <w:rPr>
                <w:sz w:val="16"/>
                <w:szCs w:val="16"/>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21,700,893</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2,493,288</w:t>
            </w:r>
          </w:p>
        </w:tc>
        <w:tc>
          <w:tcPr>
            <w:tcW w:w="6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(1,635,802)</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857,120</w:t>
            </w:r>
          </w:p>
        </w:tc>
      </w:tr>
      <w:tr>
        <w:trPr>
          <w:trHeight w:val="171"/>
        </w:trPr>
        <w:tc>
          <w:tcPr>
            <w:tcW w:w="60" w:type="dxa"/>
            <w:vAlign w:val="bottom"/>
          </w:tcPr>
          <w:p>
            <w:pPr>
              <w:spacing w:after="0"/>
              <w:rPr>
                <w:sz w:val="14"/>
                <w:szCs w:val="14"/>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5"/>
        </w:trPr>
        <w:tc>
          <w:tcPr>
            <w:tcW w:w="60" w:type="dxa"/>
            <w:vAlign w:val="bottom"/>
          </w:tcPr>
          <w:p>
            <w:pPr>
              <w:spacing w:after="0"/>
              <w:rPr>
                <w:sz w:val="16"/>
                <w:szCs w:val="16"/>
                <w:color w:val="auto"/>
              </w:rPr>
            </w:pPr>
          </w:p>
        </w:tc>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105,543</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7,462</w:t>
            </w:r>
          </w:p>
        </w:tc>
      </w:tr>
      <w:tr>
        <w:trPr>
          <w:trHeight w:val="166"/>
        </w:trPr>
        <w:tc>
          <w:tcPr>
            <w:tcW w:w="60" w:type="dxa"/>
            <w:vAlign w:val="bottom"/>
          </w:tcPr>
          <w:p>
            <w:pPr>
              <w:spacing w:after="0"/>
              <w:rPr>
                <w:sz w:val="14"/>
                <w:szCs w:val="14"/>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60" w:type="dxa"/>
            <w:vAlign w:val="bottom"/>
          </w:tcPr>
          <w:p>
            <w:pPr>
              <w:spacing w:after="0"/>
              <w:rPr>
                <w:sz w:val="16"/>
                <w:szCs w:val="16"/>
                <w:color w:val="auto"/>
              </w:rPr>
            </w:pPr>
          </w:p>
        </w:tc>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17,898</w:t>
            </w:r>
          </w:p>
        </w:tc>
      </w:tr>
      <w:tr>
        <w:trPr>
          <w:trHeight w:val="207"/>
        </w:trPr>
        <w:tc>
          <w:tcPr>
            <w:tcW w:w="60" w:type="dxa"/>
            <w:vAlign w:val="bottom"/>
          </w:tcPr>
          <w:p>
            <w:pPr>
              <w:spacing w:after="0"/>
              <w:rPr>
                <w:sz w:val="18"/>
                <w:szCs w:val="18"/>
                <w:color w:val="auto"/>
              </w:rPr>
            </w:pPr>
          </w:p>
        </w:tc>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1,639</w:t>
            </w:r>
          </w:p>
        </w:tc>
      </w:tr>
      <w:tr>
        <w:trPr>
          <w:trHeight w:val="196"/>
        </w:trPr>
        <w:tc>
          <w:tcPr>
            <w:tcW w:w="60" w:type="dxa"/>
            <w:vAlign w:val="bottom"/>
          </w:tcPr>
          <w:p>
            <w:pPr>
              <w:spacing w:after="0"/>
              <w:rPr>
                <w:sz w:val="17"/>
                <w:szCs w:val="17"/>
                <w:color w:val="auto"/>
              </w:rPr>
            </w:pPr>
          </w:p>
        </w:tc>
        <w:tc>
          <w:tcPr>
            <w:tcW w:w="35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(106,964)</w:t>
            </w:r>
          </w:p>
        </w:tc>
      </w:tr>
      <w:tr>
        <w:trPr>
          <w:trHeight w:val="212"/>
        </w:trPr>
        <w:tc>
          <w:tcPr>
            <w:tcW w:w="6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21,806,436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2,518,648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(1,742,766)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777,155</w:t>
            </w:r>
          </w:p>
        </w:tc>
      </w:tr>
      <w:tr>
        <w:trPr>
          <w:trHeight w:val="20"/>
        </w:trPr>
        <w:tc>
          <w:tcPr>
            <w:tcW w:w="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9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36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1"/>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8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(229,709)</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(406,476)</w:t>
            </w:r>
          </w:p>
        </w:tc>
      </w:tr>
      <w:tr>
        <w:trPr>
          <w:trHeight w:val="207"/>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62,204</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and interest accretion related to operating leases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01"/>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non-cash items</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receivables, net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(30,463)</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(17,711)</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41,023</w:t>
            </w:r>
          </w:p>
        </w:tc>
      </w:tr>
      <w:tr>
        <w:trPr>
          <w:trHeight w:val="196"/>
        </w:trPr>
        <w:tc>
          <w:tcPr>
            <w:tcW w:w="8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Accrued interest, net of interest received on maturity of investments</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(10,755)</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(351,086)</w:t>
            </w: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(834,554)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(781,021)</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560,852</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Acquisition of intangible asset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6"/>
        </w:trPr>
        <w:tc>
          <w:tcPr>
            <w:tcW w:w="8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(226,436)</w:t>
            </w: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Repayment of debt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(121,664)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Proceeds from issuances of stock, excluding related parties, net of transaction costs</w:t>
            </w:r>
          </w:p>
        </w:tc>
        <w:tc>
          <w:tcPr>
            <w:tcW w:w="8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397,510</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related parties - warrants, exercise of common stock options, net of transaction costs</w:t>
            </w:r>
          </w:p>
        </w:tc>
        <w:tc>
          <w:tcPr>
            <w:tcW w:w="8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317,781</w:t>
            </w:r>
          </w:p>
        </w:tc>
      </w:tr>
      <w:tr>
        <w:trPr>
          <w:trHeight w:val="187"/>
        </w:trPr>
        <w:tc>
          <w:tcPr>
            <w:tcW w:w="8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247,028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715,291</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137,769</w:t>
            </w:r>
          </w:p>
        </w:tc>
      </w:tr>
      <w:tr>
        <w:trPr>
          <w:trHeight w:val="19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99,915</w:t>
            </w:r>
          </w:p>
        </w:tc>
      </w:tr>
      <w:tr>
        <w:trPr>
          <w:trHeight w:val="217"/>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2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237,684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Obtaining a right-of-use asset in exchange for a lease liability</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Debt issuance costs in accounts payable and accrued expenses</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2" w:lineRule="exact"/>
        <w:rPr>
          <w:sz w:val="20"/>
          <w:szCs w:val="20"/>
          <w:color w:val="auto"/>
        </w:rPr>
      </w:pPr>
    </w:p>
    <w:p>
      <w:pPr>
        <w:ind w:right="8140" w:firstLine="5"/>
        <w:spacing w:after="0" w:line="373"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Business, and Basis of Presentation Organization and Business</w:t>
      </w:r>
    </w:p>
    <w:p>
      <w:pPr>
        <w:ind w:firstLine="509"/>
        <w:spacing w:after="0" w:line="245" w:lineRule="auto"/>
        <w:rPr>
          <w:sz w:val="20"/>
          <w:szCs w:val="20"/>
          <w:color w:val="auto"/>
        </w:rPr>
      </w:pPr>
      <w:r>
        <w:rPr>
          <w:rFonts w:ascii="Times New Roman" w:cs="Times New Roman" w:eastAsia="Times New Roman" w:hAnsi="Times New Roman"/>
          <w:sz w:val="14"/>
          <w:szCs w:val="14"/>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and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In August 2025, the European Commission (“EC”) approved Rezdiffra and the Company launched Rezdiffra in Germany in September 2025. Rezdiffra is the first and only medication approved by both the FDA and EC for the treatment of adults with noncirrhotic MASH with moderate to advanced liver fibrosis (F2 to F3 fibrosis). The Company is also evaluating Rezdiffra in patients with compensated MASH cirrhosis (consistent with F4c fibrosis) in its MAESTRO-NASH OUTCOMES trial, that, if successful, could expand the eligible patient population for Rezdiffra.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2025 or any subsequent period. These unaudited condensed consolidated financial statements should be read in conjunction with the audited consolidated financial statements and the notes to those financial statements for the year ended December 31, 2024.</w:t>
      </w:r>
    </w:p>
    <w:p>
      <w:pPr>
        <w:spacing w:after="0" w:line="223" w:lineRule="exact"/>
        <w:rPr>
          <w:sz w:val="20"/>
          <w:szCs w:val="20"/>
          <w:color w:val="auto"/>
        </w:rPr>
      </w:pPr>
    </w:p>
    <w:p>
      <w:pPr>
        <w:ind w:right="8480" w:firstLine="5"/>
        <w:spacing w:after="0" w:line="373"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Principle of Consolidation</w:t>
      </w: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conformity with GAAP and include accounts of the Company and its wholly-owned subsidiaries. All significant intercompany balances and transactions have been eliminated in consolidation.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59" w:lineRule="exact"/>
        <w:rPr>
          <w:sz w:val="20"/>
          <w:szCs w:val="20"/>
          <w:color w:val="auto"/>
        </w:rPr>
      </w:pPr>
    </w:p>
    <w:p>
      <w:pPr>
        <w:ind w:right="240" w:firstLine="509"/>
        <w:spacing w:after="0" w:line="248" w:lineRule="auto"/>
        <w:rPr>
          <w:sz w:val="20"/>
          <w:szCs w:val="20"/>
          <w:color w:val="auto"/>
        </w:rPr>
      </w:pPr>
      <w:r>
        <w:rPr>
          <w:rFonts w:ascii="Times New Roman" w:cs="Times New Roman" w:eastAsia="Times New Roman" w:hAnsi="Times New Roman"/>
          <w:sz w:val="14"/>
          <w:szCs w:val="14"/>
          <w:color w:val="auto"/>
        </w:rPr>
        <w:t>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Company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the contract; (iii) determine the transaction price; (iv) allocate the transaction price to the performance obligation(s) in the contract; and (v) recognize revenue when (or as) the Company satisfies its performance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Revenue, Net</w:t>
      </w:r>
    </w:p>
    <w:p>
      <w:pPr>
        <w:spacing w:after="0" w:line="85"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On March 14, 2024, the Company announced that the FDA granted accelerated approval of Rezdiffra (resmetirom) in conjunction with diet and exercise for the treatment of adults with MASH with moderate to advanced liver fibrosis (consistent with stages F2 to F3 fibrosis). The Company enters into agreements with specialty pharmacies and specialty distributors (each a “Customer” and collectively the “Customers”) to sell Rezdiffra in the U.S. In addition, the Company launched Rezdiffra in Germany in September 2025. Revenues from product sales are recognized when the Customer obtains control of the Company’s product, which occurs at a point in time, typically upon delivery to the Customer.</w:t>
      </w:r>
    </w:p>
    <w:p>
      <w:pPr>
        <w:spacing w:after="0" w:line="130"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134"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Prompt Pay</w:t>
      </w:r>
      <w:r>
        <w:rPr>
          <w:rFonts w:ascii="Times New Roman" w:cs="Times New Roman" w:eastAsia="Times New Roman" w:hAnsi="Times New Roman"/>
          <w:sz w:val="14"/>
          <w:szCs w:val="14"/>
          <w:color w:val="auto"/>
        </w:rPr>
        <w:t>: Customers receive a prompt pay discount for payments made within a contractually agreed number of days before the due date. The discounts are accounted for as a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transaction price and recorded as a contra receivable.</w:t>
      </w:r>
    </w:p>
    <w:p>
      <w:pPr>
        <w:spacing w:after="0" w:line="120"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Returns</w:t>
      </w:r>
      <w:r>
        <w:rPr>
          <w:rFonts w:ascii="Times New Roman" w:cs="Times New Roman" w:eastAsia="Times New Roman" w:hAnsi="Times New Roman"/>
          <w:sz w:val="14"/>
          <w:szCs w:val="14"/>
          <w:color w:val="auto"/>
        </w:rPr>
        <w:t>: The Company records allowances for product returns as a reduction of revenue at the time product sales are recorded. Product returns are estimated based on forecasted sales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and industry data. Returns are permitted in accordance with the return of goods policy defined within each customer agreement. A returns reserve is recorded as an accrued liability.</w:t>
      </w:r>
    </w:p>
    <w:p>
      <w:pPr>
        <w:spacing w:after="0" w:line="120"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 The Company estimates obligations resulting from contractual commitments with the government and other entities to sell products to qualified healthcare providers at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Co-Payment Assistance</w:t>
      </w:r>
      <w:r>
        <w:rPr>
          <w:rFonts w:ascii="Times New Roman" w:cs="Times New Roman" w:eastAsia="Times New Roman" w:hAnsi="Times New Roman"/>
          <w:sz w:val="14"/>
          <w:szCs w:val="14"/>
          <w:color w:val="auto"/>
        </w:rPr>
        <w:t>: Co-payment assistance programs are offered to eligible end-users as price concessions and are recorded as accrued liabilities and a reduction of the transaction price.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a third-party to administer the co-payment program for pharmacy benefit claims.</w:t>
      </w:r>
    </w:p>
    <w:p>
      <w:pPr>
        <w:spacing w:after="0" w:line="150" w:lineRule="exact"/>
        <w:rPr>
          <w:sz w:val="20"/>
          <w:szCs w:val="20"/>
          <w:color w:val="auto"/>
        </w:rPr>
      </w:pPr>
    </w:p>
    <w:p>
      <w:pPr>
        <w:jc w:val="both"/>
        <w:ind w:right="12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Rebates</w:t>
      </w:r>
      <w:r>
        <w:rPr>
          <w:rFonts w:ascii="Times New Roman" w:cs="Times New Roman" w:eastAsia="Times New Roman" w:hAnsi="Times New Roman"/>
          <w:sz w:val="14"/>
          <w:szCs w:val="14"/>
          <w:color w:val="auto"/>
        </w:rPr>
        <w:t>: The Company’s rebates include amounts paid to pharmacy benefit managers, Medicaid, Medicare, and other rebate programs. Reserves for rebates are recorded in the same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related product revenue is recognized, resulting in a reduction of product revenues and a current liability that is included in accrued expenses on the consolidated balance sheet. The Company’s estimate for rebates is based on statutory or contractual discount rates, expected utilization or an estimated number of patients on treatment, as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Receivables, Net</w:t>
      </w:r>
    </w:p>
    <w:p>
      <w:pPr>
        <w:spacing w:after="0" w:line="85"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The Company's trade receivables relate to amounts due from Customers related to product sales and are recorded net of prompt pay discounts and chargebacks. The Company assesses collectability of overdue receivables and those determined to be uncollectible are written-off. As of September 30, 2025, there were no receivables written off.</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predominantly in the United States. The Company invests in money market funds and high-grade, commercial paper and corporate bonds, which management believes are subject to minimal credit and market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Marketable securities consist of investments in high-grade corporate obligations and government agency obligations that are classified as available-for-sale. Since these securities are available to fund current operations, they are classified as current assets on the consolidated balance sheets.</w:t>
      </w:r>
    </w:p>
    <w:p>
      <w:pPr>
        <w:spacing w:after="0" w:line="1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2025 and 2024, the Company determined it did not have any securities that were other-than-temporarily impaired.</w:t>
      </w:r>
    </w:p>
    <w:p>
      <w:pPr>
        <w:spacing w:after="0" w:line="140"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4"/>
          <w:szCs w:val="14"/>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2025 and 2024, realized gains and losses on marketable securities were not material.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and liabilities.</w:t>
      </w:r>
    </w:p>
    <w:p>
      <w:pPr>
        <w:spacing w:after="0" w:line="94" w:lineRule="exact"/>
        <w:rPr>
          <w:sz w:val="20"/>
          <w:szCs w:val="20"/>
          <w:color w:val="auto"/>
        </w:rPr>
      </w:pPr>
    </w:p>
    <w:p>
      <w:pPr>
        <w:ind w:left="860" w:right="60"/>
        <w:spacing w:after="0" w:line="271" w:lineRule="auto"/>
        <w:rPr>
          <w:sz w:val="20"/>
          <w:szCs w:val="20"/>
          <w:color w:val="auto"/>
        </w:rPr>
      </w:pPr>
      <w:r>
        <w:rPr>
          <w:rFonts w:ascii="Times New Roman" w:cs="Times New Roman" w:eastAsia="Times New Roman" w:hAnsi="Times New Roman"/>
          <w:sz w:val="14"/>
          <w:szCs w:val="14"/>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3—unobservable inputs that reflect the Company’s own assumptions about the assumptions market participants would use in pricing the asset or liability.</w:t>
      </w:r>
    </w:p>
    <w:p>
      <w:pPr>
        <w:spacing w:after="0" w:line="1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3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As of September 30, 2025,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2025 and 2024, the Company did not have any transfers of financial assets between Levels 1 and 2. As of September 30, 2025 and December 31, 2024, the Company did not have any financial liabilities that were recorded at fair value on a recurring basis on the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96"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Inventory, which consists of work in process and finished goods, is stated at the lower of cost or estimated net realizable value, using actual cost, based on a first-in, first-out method. The balance sheet classification of inventory as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Operations. The Company capitalizes inventory costs when future commercial sale in the ordinary course of business is probable.</w:t>
      </w:r>
    </w:p>
    <w:p>
      <w:pPr>
        <w:spacing w:after="0" w:line="131"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approval was granted for Rezdiffra.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8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certain milestone payments under licensing agreements, and other costs associated with the Company’s preclinical and clinical programs. Research and development costs also include certain licensing costs, including upfront fees and milestones paid to third-parties in connection with technologies that had not reached technological feasibility and did not have an alternative future use.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advertising, corporate insurance, professional fees for accounting, auditing, consulting and legal services and allocated overhead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determines if an arrangement is a lease at contract inception. All of the Company’s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twelve months or less at commencement date are expensed on a straight-line basis over the lease term.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Costs to secure and defend patents are expensed as incurred and are classified as selling, general and administrative expense in the Company’s consolidated statements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8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Company recognizes stock-based compensation expense based on the grant date fair value of stock options, restricted stock units, and other stock-based compensation awards granted to employees, officers, directors, and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consultants. Awards that vest as the recipient provides service are expensed on a straight-line basis over the requisite service period.</w:t>
      </w:r>
    </w:p>
    <w:p>
      <w:pPr>
        <w:spacing w:after="0" w:line="1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38"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3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35"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stock-based compensation arrangements due to the fact that the Company does not believe it is more likely than not it will realize the related deferred tax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The Company accounts for income taxes in accordance with FASB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9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unrealized foreign currency translation adjustments.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Basic and Diluted Loss Per Common Share</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three and nine months ended September 30, 2025 and 2024,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anti-dilutive. The following table summarizes outstanding securities not included in the computation of diluted net loss per common share, as their inclusion would be anti-dilutive:</w:t>
      </w:r>
    </w:p>
    <w:p>
      <w:pPr>
        <w:spacing w:after="0" w:line="2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1"/>
          <w:szCs w:val="11"/>
          <w:b w:val="1"/>
          <w:bCs w:val="1"/>
          <w:color w:val="auto"/>
        </w:rPr>
        <w:t>Outstanding at September 30,</w:t>
      </w:r>
    </w:p>
    <w:p>
      <w:pPr>
        <w:spacing w:after="0" w:line="22"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6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options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1,090,458</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1,701,618</w:t>
            </w:r>
          </w:p>
        </w:tc>
      </w:tr>
      <w:tr>
        <w:trPr>
          <w:trHeight w:val="19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779,923</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502,867</w:t>
            </w:r>
          </w:p>
        </w:tc>
      </w:tr>
      <w:tr>
        <w:trPr>
          <w:trHeight w:val="20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306,982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r>
      <w:tr>
        <w:trPr>
          <w:trHeight w:val="19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2,369,797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r>
      <w:tr>
        <w:trPr>
          <w:trHeight w:val="20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3,625,244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3,625,244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0" w:lineRule="exact"/>
        <w:rPr>
          <w:sz w:val="20"/>
          <w:szCs w:val="20"/>
          <w:color w:val="auto"/>
        </w:rPr>
      </w:pPr>
    </w:p>
    <w:p>
      <w:pPr>
        <w:ind w:right="280" w:firstLine="509"/>
        <w:spacing w:after="0" w:line="262"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which enhances the disclosures required for income taxes in the Company's annual consolidated financial statements. The amendments are effective for annual periods beginning after December 15, 2024. Early adoption is permitted. The Company does not expect the adoption of ASU 2023-09 to have a significant impact on its financial statements.</w:t>
      </w:r>
    </w:p>
    <w:p>
      <w:pPr>
        <w:spacing w:after="0" w:line="4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In November 2024, the FASB issued ASU 2024-03, Disaggregation of Income Statement Expenses (“ASU 2024-03”),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financial statements.</w:t>
      </w:r>
    </w:p>
    <w:p>
      <w:pPr>
        <w:spacing w:after="0" w:line="6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In September 2025, the FASB issued ASU 2025-06, Intangibles - Goodwill and Other - Internal-Use Software (Subtopic 350-40): Targeted Improvements to the Accounting for Internal-Use Software (“ASU 2025-06”), which clarifies and aligns existing guidance related to accounting for certain costs incurred in connection with internal-use software, including updated guidance regarding agile and iterative software development methodologies. The standard applies to all entities that incur costs to develop internal-use software. ASU 2025-06 is effective for annual periods beginning after December 15, 2027, and interim periods within those annual periods. Early adoption is permitted. The Company is currently evaluating the impact of ASU 2025-06 on its financial statements.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Liquidity and Uncertainties</w:t>
      </w:r>
    </w:p>
    <w:p>
      <w:pPr>
        <w:spacing w:after="0" w:line="9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FDA, the European Medicines Agency and other government regulations.</w:t>
      </w:r>
    </w:p>
    <w:p>
      <w:pPr>
        <w:spacing w:after="0" w:line="5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Company has incurred losses since inception, including approximately $229.7 million for the nine months ended September 30, 2025, resulting in an accumulated deficit of approximately $2,031.9 million as of September 30, 2025. The Company has historically funded its operations primarily through proceeds from sales of the Company’s capital stock and debt financings. In July 2025, the Company entered into a senior secured credit facility that provides up to $500.0 million. See Note 8 “Long Term Debt” for additional details. In addition, following FDA and EC approval, the Company receives revenue from sales of Rezdiffra. Management expects to incur losses until the Company is able to generate sufficient revenue from Rezdiffra and any other approved products. The Company believes that its cash, cash equivalents and marketable securities at September 30, 2025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(as defined in Note 8) and potential milestone payments payable pursuant to an exclusive global license agreement (the “CSPC License Agreement”) with CSPC Pharmaceutical Group Limited (“CSPC”).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Product Revenue, Net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balances and activity for gross to net reserves (in thousands):</w:t>
      </w:r>
    </w:p>
    <w:p>
      <w:pPr>
        <w:spacing w:after="0" w:line="281"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Chargebacks, Discounts for</w:t>
            </w:r>
          </w:p>
        </w:tc>
        <w:tc>
          <w:tcPr>
            <w:tcW w:w="1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Rebates, Customer Fees/Credits,</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Prompt Pay and Other</w:t>
            </w:r>
          </w:p>
        </w:tc>
        <w:tc>
          <w:tcPr>
            <w:tcW w:w="17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restart"/>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100" w:type="dxa"/>
            <w:vAlign w:val="bottom"/>
          </w:tcPr>
          <w:p>
            <w:pPr>
              <w:spacing w:after="0"/>
              <w:rPr>
                <w:sz w:val="13"/>
                <w:szCs w:val="13"/>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Co-Pay Assistance, and Other</w:t>
            </w:r>
          </w:p>
        </w:tc>
        <w:tc>
          <w:tcPr>
            <w:tcW w:w="4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25,891</w:t>
            </w:r>
          </w:p>
        </w:tc>
        <w:tc>
          <w:tcPr>
            <w:tcW w:w="0" w:type="dxa"/>
            <w:vAlign w:val="bottom"/>
          </w:tcPr>
          <w:p>
            <w:pPr>
              <w:spacing w:after="0"/>
              <w:rPr>
                <w:sz w:val="1"/>
                <w:szCs w:val="1"/>
                <w:color w:val="auto"/>
              </w:rPr>
            </w:pPr>
          </w:p>
        </w:tc>
      </w:tr>
      <w:tr>
        <w:trPr>
          <w:trHeight w:val="201"/>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related to sales in the current year</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149,002</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related to prior year sales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0" w:type="dxa"/>
            <w:vAlign w:val="bottom"/>
          </w:tcPr>
          <w:p>
            <w:pPr>
              <w:spacing w:after="0"/>
              <w:rPr>
                <w:sz w:val="1"/>
                <w:szCs w:val="1"/>
                <w:color w:val="auto"/>
              </w:rPr>
            </w:pPr>
          </w:p>
        </w:tc>
      </w:tr>
      <w:tr>
        <w:trPr>
          <w:trHeight w:val="201"/>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Payments and customer credits issued</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(80,943)</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 and Significant Customers</w:t>
      </w:r>
    </w:p>
    <w:p>
      <w:pPr>
        <w:spacing w:after="0" w:line="159"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The Company generates revenue from a small number of large, reputable customers. The following customers accounted for over 10% of total gross product revenue during the three and nine months ended September 30, 2025 and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tcPr>
          <w:p>
            <w:pPr>
              <w:ind w:left="14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1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2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spacing w:after="0"/>
              <w:rPr>
                <w:sz w:val="13"/>
                <w:szCs w:val="13"/>
                <w:color w:val="auto"/>
              </w:rPr>
            </w:pPr>
          </w:p>
        </w:tc>
      </w:tr>
      <w:tr>
        <w:trPr>
          <w:trHeight w:val="202"/>
        </w:trPr>
        <w:tc>
          <w:tcPr>
            <w:tcW w:w="130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A</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7"/>
                <w:szCs w:val="17"/>
                <w:color w:val="auto"/>
              </w:rPr>
            </w:pPr>
          </w:p>
        </w:tc>
        <w:tc>
          <w:tcPr>
            <w:tcW w:w="18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780" w:type="dxa"/>
            <w:vAlign w:val="bottom"/>
          </w:tcPr>
          <w:p>
            <w:pPr>
              <w:spacing w:after="0"/>
              <w:rPr>
                <w:sz w:val="17"/>
                <w:szCs w:val="17"/>
                <w:color w:val="auto"/>
              </w:rPr>
            </w:pPr>
          </w:p>
        </w:tc>
      </w:tr>
      <w:tr>
        <w:trPr>
          <w:trHeight w:val="201"/>
        </w:trPr>
        <w:tc>
          <w:tcPr>
            <w:tcW w:w="130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B</w:t>
            </w:r>
          </w:p>
        </w:tc>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780" w:type="dxa"/>
            <w:vAlign w:val="bottom"/>
          </w:tcPr>
          <w:p>
            <w:pPr>
              <w:spacing w:after="0"/>
              <w:rPr>
                <w:sz w:val="17"/>
                <w:szCs w:val="17"/>
                <w:color w:val="auto"/>
              </w:rPr>
            </w:pPr>
          </w:p>
        </w:tc>
      </w:tr>
      <w:tr>
        <w:trPr>
          <w:trHeight w:val="202"/>
        </w:trPr>
        <w:tc>
          <w:tcPr>
            <w:tcW w:w="130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C</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7"/>
                <w:szCs w:val="17"/>
                <w:color w:val="auto"/>
              </w:rPr>
            </w:pPr>
          </w:p>
        </w:tc>
        <w:tc>
          <w:tcPr>
            <w:tcW w:w="18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780" w:type="dxa"/>
            <w:vAlign w:val="bottom"/>
          </w:tcPr>
          <w:p>
            <w:pPr>
              <w:spacing w:after="0"/>
              <w:rPr>
                <w:sz w:val="17"/>
                <w:szCs w:val="17"/>
                <w:color w:val="auto"/>
              </w:rPr>
            </w:pPr>
          </w:p>
        </w:tc>
      </w:tr>
      <w:tr>
        <w:trPr>
          <w:trHeight w:val="201"/>
        </w:trPr>
        <w:tc>
          <w:tcPr>
            <w:tcW w:w="130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D</w:t>
            </w:r>
          </w:p>
        </w:tc>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780" w:type="dxa"/>
            <w:vAlign w:val="bottom"/>
          </w:tcPr>
          <w:p>
            <w:pPr>
              <w:spacing w:after="0"/>
              <w:rPr>
                <w:sz w:val="17"/>
                <w:szCs w:val="17"/>
                <w:color w:val="auto"/>
              </w:rPr>
            </w:pPr>
          </w:p>
        </w:tc>
      </w:tr>
      <w:tr>
        <w:trPr>
          <w:trHeight w:val="721"/>
        </w:trPr>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
        </w:trPr>
        <w:tc>
          <w:tcPr>
            <w:tcW w:w="13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Cash, Cash Equivalents, Restricted Cash and Marketable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held restricted cash of $5.0 million as of September 30, 2025 and December 31, 2024 as collateral to its corporate credit card program.</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cash, cash equivalents and available-for-sale marketable securities held by the Company as of September 30, 2025 and December 31, 2024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(Level 1)</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3 months (Level 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3 months of date of purchase (Level 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95,012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300,694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year of date of purchase (Level 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year of date of purchase (Level</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285,034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to 2 years of date of purchase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to 2 years of date of purchase (Level 2)</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2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(Level 1)</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(Level 1)</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year of date of purchase (Level 2)</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year of date of purchase (Level</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382,793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to 2 years of date of purchase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(Level 2)</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to 2 years of date of purchase (Level 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930,783</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931,251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1"/>
        </w:trPr>
        <w:tc>
          <w:tcPr>
            <w:tcW w:w="5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0" w:type="dxa"/>
            <w:vAlign w:val="bottom"/>
            <w:tcBorders>
              <w:bottom w:val="single" w:sz="8" w:color="9A9A9A"/>
            </w:tcBorders>
          </w:tcPr>
          <w:p>
            <w:pPr>
              <w:spacing w:after="0"/>
              <w:rPr>
                <w:sz w:val="6"/>
                <w:szCs w:val="6"/>
                <w:color w:val="auto"/>
              </w:rPr>
            </w:pPr>
          </w:p>
        </w:tc>
        <w:tc>
          <w:tcPr>
            <w:tcW w:w="5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inventory balances as of September 30, 2025 and December 31, 2024 (in thousands):</w:t>
      </w:r>
    </w:p>
    <w:p>
      <w:pPr>
        <w:spacing w:after="0" w:line="206" w:lineRule="exact"/>
        <w:rPr>
          <w:sz w:val="20"/>
          <w:szCs w:val="20"/>
          <w:color w:val="auto"/>
        </w:rPr>
      </w:pPr>
    </w:p>
    <w:tbl>
      <w:tblPr>
        <w:tblLayout w:type="fixed"/>
        <w:tblInd w:w="2240" w:type="dxa"/>
        <w:tblCellMar>
          <w:top w:w="0" w:type="dxa"/>
          <w:left w:w="0" w:type="dxa"/>
          <w:bottom w:w="0" w:type="dxa"/>
          <w:right w:w="0" w:type="dxa"/>
        </w:tblCellMar>
      </w:tblPr>
      <w:tr>
        <w:trPr>
          <w:trHeight w:val="158"/>
        </w:trPr>
        <w:tc>
          <w:tcPr>
            <w:tcW w:w="22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700" w:type="dxa"/>
            <w:vAlign w:val="bottom"/>
            <w:shd w:val="clear" w:color="auto" w:fill="CCEEFF"/>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70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62,904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8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7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6,413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inventory</w:t>
            </w:r>
          </w:p>
        </w:tc>
        <w:tc>
          <w:tcPr>
            <w:tcW w:w="1700" w:type="dxa"/>
            <w:vAlign w:val="bottom"/>
            <w:tcBorders>
              <w:bottom w:val="single" w:sz="8" w:color="auto"/>
            </w:tcBorders>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69,317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34,068</w:t>
            </w:r>
          </w:p>
        </w:tc>
      </w:tr>
      <w:tr>
        <w:trPr>
          <w:trHeight w:val="20"/>
        </w:trPr>
        <w:tc>
          <w:tcPr>
            <w:tcW w:w="2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was no provision for excess inventory recorded as of September 30, 2025 or December 31, 2024.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Accrued Liabilities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liabilities as of September 30, 2025 and December 31, 2024 consisted of the following (in thousands):</w:t>
      </w:r>
    </w:p>
    <w:p>
      <w:pPr>
        <w:spacing w:after="0" w:line="185"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5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5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research organization costs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30,250</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CSPC license agreement upfront expense</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clinical study related costs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 and drug supply</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9,941</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34,957</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17,512</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to net accrued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8,171</w:t>
            </w:r>
          </w:p>
        </w:tc>
      </w:tr>
      <w:tr>
        <w:trPr>
          <w:trHeight w:val="21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345,382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9880" w:firstLine="5"/>
        <w:spacing w:after="0" w:line="373"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Long Term Debt </w:t>
      </w:r>
      <w:r>
        <w:rPr>
          <w:rFonts w:ascii="Times New Roman" w:cs="Times New Roman" w:eastAsia="Times New Roman" w:hAnsi="Times New Roman"/>
          <w:sz w:val="14"/>
          <w:szCs w:val="14"/>
          <w:b w:val="1"/>
          <w:bCs w:val="1"/>
          <w:i w:val="1"/>
          <w:iCs w:val="1"/>
          <w:color w:val="auto"/>
        </w:rPr>
        <w:t>Hercules Loan Facility</w:t>
      </w:r>
    </w:p>
    <w:p>
      <w:pPr>
        <w:ind w:firstLine="509"/>
        <w:spacing w:after="0" w:line="247" w:lineRule="auto"/>
        <w:rPr>
          <w:sz w:val="20"/>
          <w:szCs w:val="20"/>
          <w:color w:val="auto"/>
        </w:rPr>
      </w:pPr>
      <w:r>
        <w:rPr>
          <w:rFonts w:ascii="Times New Roman" w:cs="Times New Roman" w:eastAsia="Times New Roman" w:hAnsi="Times New Roman"/>
          <w:sz w:val="14"/>
          <w:szCs w:val="14"/>
          <w:color w:val="auto"/>
        </w:rPr>
        <w:t>In May 2022, the Company and its wholly-owned subsidiary, Canticle Pharmaceuticals, Inc. (“Canticle”), entered into a $250.0 million senior secured loan facility (as amended from time to time, the “Hercules Loan Facility”) with the several banks and other financial institutions or entities party thereto (collectively, the “Hercules Lenders”), and Hercules Capital, Inc. (“Hercules”), in its capacity as administrative agent and collateral agent for itself and the Hercules Lenders. Interest on the Hercules Loan Facility was the greater of (i) the prime rate plus 2.45% and (ii) 8.25%. The Hercules Loan Facility included an end-of-term charge of 5.35% of the aggregate principal amount, which was accounted for in the loan discount. In connection with the first tranche drawn at closing, the Company issued Hercules a warrant to purchase 14,899 shares of Company common stock, which had a Black-Scholes value of $0.6 million. In addition, the Company issued to Hercules and its affiliates warrants to purchase an aggregate of 4,555 shares of common stock, which had a Black-Scholes value of $0.9 million, following the closing of the second tranche.</w:t>
      </w:r>
    </w:p>
    <w:p>
      <w:pPr>
        <w:spacing w:after="0" w:line="152"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On July 17, 2025, the Company used the proceeds of the Initial Term Loan under the Financing Agreement (each as defined below)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 The repayment resulted in a $2.8 million loss on extinguishment of debt, primarily due to the write off of unamortized debt issuance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Blue Owl Credit Facility</w:t>
      </w:r>
    </w:p>
    <w:p>
      <w:pPr>
        <w:spacing w:after="0" w:line="96"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On July 17, 2025 (the “Closing Date”), the Company, as the borrower, and Canticle, as a guarantor (the “Guarantor”), entered into a Financing Agreement (as amended on September 4, 2025, the “Financing Agreement”) with certain funds managed by Blue Owl Capital Corporation, as the lenders (the “Lenders”), and LSI Financing LLC, as the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administrative agent for the Lenders (the “Administrative Agent”). Under the Financing Agreement, the Lenders have committed up to $500.0 million in senior secured credit facilities, consisting of</w:t>
      </w:r>
    </w:p>
    <w:p>
      <w:pPr>
        <w:spacing w:after="0" w:line="14" w:lineRule="exact"/>
        <w:rPr>
          <w:sz w:val="20"/>
          <w:szCs w:val="20"/>
          <w:color w:val="auto"/>
        </w:rPr>
      </w:pPr>
    </w:p>
    <w:p>
      <w:pPr>
        <w:ind w:firstLine="5"/>
        <w:spacing w:after="0" w:line="245" w:lineRule="auto"/>
        <w:tabs>
          <w:tab w:leader="none" w:pos="1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term loan in an aggregate principal amount equal to $350.0 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spacing w:after="0" w:line="14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6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the Company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73"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the Company and its subsidiaries that are customary for financings of this type. The Company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 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spacing w:after="0" w:line="14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the Company, the Guarantor and the Administrative Agent entered into a Pledge and Security Agreement. As security for the obligations of the Company and the Guarantors, each of the Company and the Guarantors are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 On September 4, 2025, the parties amended the Financing Agreement to add certain of the Company’s subsidiaries as Guarantors.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payments, including interest and principal, under the loans payable outstanding as of September 30, 2025 were as follows (in thousands):</w:t>
      </w:r>
    </w:p>
    <w:p>
      <w:pPr>
        <w:spacing w:after="0" w:line="20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 Ending September 30, 2025:</w:t>
            </w:r>
          </w:p>
        </w:tc>
        <w:tc>
          <w:tcPr>
            <w:tcW w:w="32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1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2025</w:t>
            </w:r>
          </w:p>
        </w:tc>
        <w:tc>
          <w:tcPr>
            <w:tcW w:w="39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r>
      <w:tr>
        <w:trPr>
          <w:trHeight w:val="196"/>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2026</w:t>
            </w:r>
          </w:p>
        </w:tc>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31,056</w:t>
            </w:r>
          </w:p>
        </w:tc>
      </w:tr>
      <w:tr>
        <w:trPr>
          <w:trHeight w:val="207"/>
        </w:trPr>
        <w:tc>
          <w:tcPr>
            <w:tcW w:w="1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2027</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31,056</w:t>
            </w:r>
          </w:p>
        </w:tc>
      </w:tr>
      <w:tr>
        <w:trPr>
          <w:trHeight w:val="196"/>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2028</w:t>
            </w:r>
          </w:p>
        </w:tc>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31,141</w:t>
            </w:r>
          </w:p>
        </w:tc>
      </w:tr>
      <w:tr>
        <w:trPr>
          <w:trHeight w:val="207"/>
        </w:trPr>
        <w:tc>
          <w:tcPr>
            <w:tcW w:w="1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2029</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31,056</w:t>
            </w:r>
          </w:p>
        </w:tc>
      </w:tr>
      <w:tr>
        <w:trPr>
          <w:trHeight w:val="196"/>
        </w:trPr>
        <w:tc>
          <w:tcPr>
            <w:tcW w:w="1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2030</w:t>
            </w:r>
          </w:p>
        </w:tc>
        <w:tc>
          <w:tcPr>
            <w:tcW w:w="3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366,846</w:t>
            </w:r>
          </w:p>
        </w:tc>
      </w:tr>
      <w:tr>
        <w:trPr>
          <w:trHeight w:val="198"/>
        </w:trPr>
        <w:tc>
          <w:tcPr>
            <w:tcW w:w="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498,983</w:t>
            </w:r>
          </w:p>
        </w:tc>
      </w:tr>
      <w:tr>
        <w:trPr>
          <w:trHeight w:val="196"/>
        </w:trPr>
        <w:tc>
          <w:tcPr>
            <w:tcW w:w="20" w:type="dxa"/>
            <w:vAlign w:val="bottom"/>
          </w:tcPr>
          <w:p>
            <w:pPr>
              <w:spacing w:after="0"/>
              <w:rPr>
                <w:sz w:val="17"/>
                <w:szCs w:val="17"/>
                <w:color w:val="auto"/>
              </w:rPr>
            </w:pP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(148,983)</w:t>
            </w:r>
          </w:p>
        </w:tc>
      </w:tr>
      <w:tr>
        <w:trPr>
          <w:trHeight w:val="207"/>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Less unamortized discount</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r>
      <w:tr>
        <w:trPr>
          <w:trHeight w:val="187"/>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339,753</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9840" w:firstLine="5"/>
        <w:spacing w:after="0" w:line="373" w:lineRule="auto"/>
        <w:tabs>
          <w:tab w:leader="none" w:pos="141"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Common Stock</w:t>
      </w:r>
    </w:p>
    <w:p>
      <w:pPr>
        <w:jc w:val="both"/>
        <w:ind w:right="180" w:firstLine="509"/>
        <w:spacing w:after="0" w:line="254" w:lineRule="auto"/>
        <w:rPr>
          <w:sz w:val="20"/>
          <w:szCs w:val="20"/>
          <w:color w:val="auto"/>
        </w:rPr>
      </w:pPr>
      <w:r>
        <w:rPr>
          <w:rFonts w:ascii="Times New Roman" w:cs="Times New Roman" w:eastAsia="Times New Roman" w:hAnsi="Times New Roman"/>
          <w:sz w:val="14"/>
          <w:szCs w:val="14"/>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Company’s Series A Preferred Stock and Series B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Public Offering</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March 18, 2024, the Company entered into an Underwriting Agreement with Goldman Sachs &amp; Co. LLC, Jefferies LLC, Cowen and Company, LLC, Evercore Group L.L.C. and Piper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Sandler &amp; Co, as representatives of the several underwriters named therein (the “2024 Underwriters”), pursuant to which the Company sold to the 2024 Underwriters in an underwritten public</w:t>
      </w:r>
    </w:p>
    <w:p>
      <w:pPr>
        <w:spacing w:after="0" w:line="237" w:lineRule="auto"/>
        <w:rPr>
          <w:sz w:val="20"/>
          <w:szCs w:val="20"/>
          <w:color w:val="auto"/>
        </w:rPr>
      </w:pPr>
      <w:r>
        <w:rPr>
          <w:rFonts w:ascii="Times New Roman" w:cs="Times New Roman" w:eastAsia="Times New Roman" w:hAnsi="Times New Roman"/>
          <w:sz w:val="14"/>
          <w:szCs w:val="14"/>
          <w:color w:val="auto"/>
        </w:rPr>
        <w:t>offering (the “2024 Offering”): (i) 750,000 shares of common stock at a public offering price of $260.00 per share, (ii) pre-funded warrants (the “2024 Pre-Funded Warrants”) to purchase 1,557,692</w:t>
      </w:r>
    </w:p>
    <w:p>
      <w:pPr>
        <w:spacing w:after="0"/>
        <w:rPr>
          <w:sz w:val="20"/>
          <w:szCs w:val="20"/>
          <w:color w:val="auto"/>
        </w:rPr>
      </w:pPr>
      <w:r>
        <w:rPr>
          <w:rFonts w:ascii="Times New Roman" w:cs="Times New Roman" w:eastAsia="Times New Roman" w:hAnsi="Times New Roman"/>
          <w:sz w:val="14"/>
          <w:szCs w:val="14"/>
          <w:color w:val="auto"/>
        </w:rPr>
        <w:t>shares of common stock at a public offering price of $259.9999 per 2024 Pre-Funded Warrant, which represents the per share public offering price for the common stock less a $0.0001 per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price for each such Pre-Funded Warrant, and (iii) a 30-day option for the 2024 Underwriters to purchase up to 346,153 additional shares of common stock at the public offering price of</w:t>
      </w:r>
    </w:p>
    <w:p>
      <w:pPr>
        <w:spacing w:after="0" w:line="237" w:lineRule="auto"/>
        <w:rPr>
          <w:sz w:val="20"/>
          <w:szCs w:val="20"/>
          <w:color w:val="auto"/>
        </w:rPr>
      </w:pPr>
      <w:r>
        <w:rPr>
          <w:rFonts w:ascii="Times New Roman" w:cs="Times New Roman" w:eastAsia="Times New Roman" w:hAnsi="Times New Roman"/>
          <w:sz w:val="14"/>
          <w:szCs w:val="14"/>
          <w:color w:val="auto"/>
        </w:rPr>
        <w:t>$260.00 per share (the “Underwriters’ Option”). The 2024 Offering closed on March 21, 2024. The gross proceeds of the 2024 Offering was $600.0 million, and the Company received net proceeds,</w:t>
      </w:r>
    </w:p>
    <w:p>
      <w:pPr>
        <w:spacing w:after="0"/>
        <w:rPr>
          <w:sz w:val="20"/>
          <w:szCs w:val="20"/>
          <w:color w:val="auto"/>
        </w:rPr>
      </w:pPr>
      <w:r>
        <w:rPr>
          <w:rFonts w:ascii="Times New Roman" w:cs="Times New Roman" w:eastAsia="Times New Roman" w:hAnsi="Times New Roman"/>
          <w:sz w:val="14"/>
          <w:szCs w:val="14"/>
          <w:color w:val="auto"/>
        </w:rPr>
        <w:t>after deducting the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underwriting discount and commissions and other estimated offering expenses payable by the Company, of approximately $574.0 million.</w:t>
      </w:r>
    </w:p>
    <w:p>
      <w:pPr>
        <w:spacing w:after="0" w:line="168" w:lineRule="exact"/>
        <w:rPr>
          <w:sz w:val="20"/>
          <w:szCs w:val="20"/>
          <w:color w:val="auto"/>
        </w:rPr>
      </w:pPr>
    </w:p>
    <w:p>
      <w:pPr>
        <w:ind w:right="520" w:firstLine="509"/>
        <w:spacing w:after="0" w:line="287" w:lineRule="auto"/>
        <w:rPr>
          <w:sz w:val="20"/>
          <w:szCs w:val="20"/>
          <w:color w:val="auto"/>
        </w:rPr>
      </w:pPr>
      <w:r>
        <w:rPr>
          <w:rFonts w:ascii="Times New Roman" w:cs="Times New Roman" w:eastAsia="Times New Roman" w:hAnsi="Times New Roman"/>
          <w:sz w:val="14"/>
          <w:szCs w:val="14"/>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114"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Issuance Sales Agreement</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In May 2024, the Company entered into an at-the-market sales agreement (the “2024 Sales Agreement”) with Cowen and Company, LLC (“Cowen”), pursuant to which the Company could, from time to time, issue and sell shares of its common stock. Pursuant to the 2024 Sales Agreement, the Company is authorized to issue and sell up to $300.0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2024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The Company sold no shares in the three and nine months ended September 30, 2025 under the 2024 Sales Agreement.</w:t>
      </w:r>
    </w:p>
    <w:p>
      <w:pPr>
        <w:spacing w:after="0" w:line="234" w:lineRule="exact"/>
        <w:rPr>
          <w:sz w:val="20"/>
          <w:szCs w:val="20"/>
          <w:color w:val="auto"/>
        </w:rPr>
      </w:pPr>
    </w:p>
    <w:p>
      <w:pPr>
        <w:ind w:right="9420" w:firstLine="5"/>
        <w:spacing w:after="0" w:line="365" w:lineRule="auto"/>
        <w:tabs>
          <w:tab w:leader="none" w:pos="212"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2015 Stock Plan</w:t>
      </w: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September 30, 2025, 647,640 shares were available for future issuance under the 2015 Stock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Inducement Plan</w:t>
      </w:r>
    </w:p>
    <w:p>
      <w:pPr>
        <w:spacing w:after="0" w:line="9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In September 2023, the Company adopted the 2023 Inducement Plan (the “2023 Inducement Plan”), pursuant to which the Company made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restricted stock, restricted stock units, performance stock units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was not to be set at less than the fair market value of a share of the common stock on the date of grant and the term was not to be greater than ten years from the date the option or award is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Inducement Plan</w:t>
      </w:r>
    </w:p>
    <w:p>
      <w:pPr>
        <w:spacing w:after="0" w:line="96"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administered by the Compensation Committee of the Board. The 2025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100,000 shares of the Company’s common stock were initially reserved for issuance under the 2025 Inducement Plan. In September 2025, the 2025 Inducement Plan was amended to increase the aggregate number of shares reserved for issuance by an additional 300,000 shares. A total of 318,044 shares were available for future issuance as of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 option activity during the nine months ended September 30, 2025:</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0" w:type="dxa"/>
            <w:vAlign w:val="bottom"/>
          </w:tcPr>
          <w:p>
            <w:pPr>
              <w:spacing w:after="0"/>
              <w:rPr>
                <w:sz w:val="1"/>
                <w:szCs w:val="1"/>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1,528,143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331.34</w:t>
            </w:r>
          </w:p>
        </w:tc>
        <w:tc>
          <w:tcPr>
            <w:tcW w:w="0" w:type="dxa"/>
            <w:vAlign w:val="bottom"/>
          </w:tcPr>
          <w:p>
            <w:pPr>
              <w:spacing w:after="0"/>
              <w:rPr>
                <w:sz w:val="1"/>
                <w:szCs w:val="1"/>
                <w:color w:val="auto"/>
              </w:rPr>
            </w:pPr>
          </w:p>
        </w:tc>
      </w:tr>
      <w:tr>
        <w:trPr>
          <w:trHeight w:val="20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cancelled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0" w:type="dxa"/>
            <w:vAlign w:val="bottom"/>
          </w:tcPr>
          <w:p>
            <w:pPr>
              <w:spacing w:after="0"/>
              <w:rPr>
                <w:sz w:val="1"/>
                <w:szCs w:val="1"/>
                <w:color w:val="auto"/>
              </w:rPr>
            </w:pPr>
          </w:p>
        </w:tc>
      </w:tr>
      <w:tr>
        <w:trPr>
          <w:trHeight w:val="21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1,090,458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2025</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789,360</w:t>
            </w:r>
          </w:p>
        </w:tc>
        <w:tc>
          <w:tcPr>
            <w:tcW w:w="100" w:type="dxa"/>
            <w:vAlign w:val="bottom"/>
          </w:tcPr>
          <w:p>
            <w:pPr>
              <w:spacing w:after="0"/>
              <w:rPr>
                <w:sz w:val="13"/>
                <w:szCs w:val="13"/>
                <w:color w:val="auto"/>
              </w:rPr>
            </w:pPr>
          </w:p>
        </w:tc>
        <w:tc>
          <w:tcPr>
            <w:tcW w:w="22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107.68</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The total cash received by the Company as a result of stock option exercises was $28.1 million and $57.1 million for the nine months ended September 30, 2025 and 2024, respectively. The total intrinsic value of options exercised was $176.4 million and $132.5 million for the nine months ended September 30, 2025 and 2024, respectively. The weighted-average grant date fair values, based on the Black-Scholes option model, of options granted during the nine months ended September 30, 2025 and 2024 were $195.53 per share and $155.41 per share,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96"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4"/>
          <w:szCs w:val="14"/>
          <w:color w:val="auto"/>
        </w:rPr>
        <w:t>The Company awards restricted stock units (“RSUs”) to its employees, officers, directors and consultants. RSUs vest over a period of months or years, or upon the occurrence of certain performance criteria or the attainment of stated goals or events, and are subject to forfeiture if employment or service terminates before vesting.</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RSU activity, excluding performance-based RSUs, during the nine months ended September 30, 2025:</w:t>
      </w:r>
    </w:p>
    <w:p>
      <w:pPr>
        <w:spacing w:after="0" w:line="206" w:lineRule="exact"/>
        <w:rPr>
          <w:sz w:val="20"/>
          <w:szCs w:val="20"/>
          <w:color w:val="auto"/>
        </w:rPr>
      </w:pPr>
    </w:p>
    <w:tbl>
      <w:tblPr>
        <w:tblLayout w:type="fixed"/>
        <w:tblInd w:w="1760" w:type="dxa"/>
        <w:tblCellMar>
          <w:top w:w="0" w:type="dxa"/>
          <w:left w:w="0" w:type="dxa"/>
          <w:bottom w:w="0" w:type="dxa"/>
          <w:right w:w="0" w:type="dxa"/>
        </w:tblCellMar>
      </w:tblPr>
      <w:tr>
        <w:trPr>
          <w:trHeight w:val="158"/>
        </w:trPr>
        <w:tc>
          <w:tcPr>
            <w:tcW w:w="36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237.07</w:t>
            </w:r>
          </w:p>
        </w:tc>
      </w:tr>
      <w:tr>
        <w:trPr>
          <w:trHeight w:val="201"/>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342.22</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 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246.87</w:t>
            </w:r>
          </w:p>
        </w:tc>
      </w:tr>
      <w:tr>
        <w:trPr>
          <w:trHeight w:val="201"/>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RSUs forfeited</w:t>
            </w:r>
          </w:p>
        </w:tc>
        <w:tc>
          <w:tcPr>
            <w:tcW w:w="1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286.14</w:t>
            </w:r>
          </w:p>
        </w:tc>
      </w:tr>
      <w:tr>
        <w:trPr>
          <w:trHeight w:val="21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p>
      <w:pPr>
        <w:spacing w:after="0" w:line="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 has granted various performance-based restricted stock units (“PSUs”) to certain senior personnel.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PSU activity during the nine months ended September 30, 2025:</w:t>
      </w:r>
    </w:p>
    <w:p>
      <w:pPr>
        <w:spacing w:after="0" w:line="185"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080" w:type="dxa"/>
            <w:vAlign w:val="bottom"/>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rPr>
              <w:t>PSUs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Eligible to Earn PSUs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5"/>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PSUs at December 31, 2024</w:t>
            </w:r>
          </w:p>
        </w:tc>
        <w:tc>
          <w:tcPr>
            <w:tcW w:w="10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92,760</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0" w:type="dxa"/>
            <w:vAlign w:val="bottom"/>
          </w:tcPr>
          <w:p>
            <w:pPr>
              <w:spacing w:after="0"/>
              <w:rPr>
                <w:sz w:val="1"/>
                <w:szCs w:val="1"/>
                <w:color w:val="auto"/>
              </w:rPr>
            </w:pPr>
          </w:p>
        </w:tc>
      </w:tr>
      <w:tr>
        <w:trPr>
          <w:trHeight w:val="201"/>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61,717</w:t>
            </w:r>
          </w:p>
        </w:tc>
        <w:tc>
          <w:tcPr>
            <w:tcW w:w="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580.38</w:t>
            </w:r>
          </w:p>
        </w:tc>
        <w:tc>
          <w:tcPr>
            <w:tcW w:w="0" w:type="dxa"/>
            <w:vAlign w:val="bottom"/>
          </w:tcPr>
          <w:p>
            <w:pPr>
              <w:spacing w:after="0"/>
              <w:rPr>
                <w:sz w:val="1"/>
                <w:szCs w:val="1"/>
                <w:color w:val="auto"/>
              </w:rPr>
            </w:pPr>
          </w:p>
        </w:tc>
      </w:tr>
      <w:tr>
        <w:trPr>
          <w:trHeight w:val="202"/>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PSUs attained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w:t>
            </w: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593.93</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0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103,491</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306,982</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500.77</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Awards</w:t>
      </w:r>
    </w:p>
    <w:p>
      <w:pPr>
        <w:spacing w:after="0" w:line="85"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2025, the Company had RSUs, PSUs, and options outstanding pursuant to which an aggregate of 2,177,363 shares of its common stock may be issued pursuant to the terms of all awards granted under the 2015 Stock Plan, 2023 Inducement Plan and 2025 Inducement Plan.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during the three and nine months ended September 30, 2025 and 2024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by type of award:</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80" w:type="dxa"/>
            <w:vAlign w:val="bottom"/>
          </w:tcPr>
          <w:p>
            <w:pPr>
              <w:spacing w:after="0"/>
              <w:rPr>
                <w:sz w:val="17"/>
                <w:szCs w:val="17"/>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6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16,474</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21,891</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 units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26,835</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expense by line item:</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19,779</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45,145</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 included in net loss</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stock-based compensation expense as of September 30, 2025 was $243.4 million with a weighted average remaining period of 2.91 years.</w:t>
      </w:r>
    </w:p>
    <w:p>
      <w:pPr>
        <w:spacing w:after="0" w:line="261" w:lineRule="exact"/>
        <w:rPr>
          <w:sz w:val="20"/>
          <w:szCs w:val="20"/>
          <w:color w:val="auto"/>
        </w:rPr>
      </w:pPr>
    </w:p>
    <w:p>
      <w:pPr>
        <w:ind w:right="9060" w:firstLine="5"/>
        <w:spacing w:after="0" w:line="365" w:lineRule="auto"/>
        <w:tabs>
          <w:tab w:leader="none" w:pos="204"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Licenses and Other Commitments</w:t>
      </w: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Company has entered into customary contractual arrangements and letters of intent in preparation for and in support of operations in the normal course of business. As of September 30, 2025, the Company had approximately $187.6 million of obligations under these agreements related to active pharmaceutical ingredient, which is expected to be paid through 2027.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Agreement</w:t>
      </w:r>
    </w:p>
    <w:p>
      <w:pPr>
        <w:spacing w:after="0" w:line="85"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The Company has a Research, Development and Commercialization Agreement (the “Roche Agreement”) with Hoffmann-La Roche (“Roche”) which grants the Company a sole and exclusive license to develop, use, sell, offer for sale and import any Licensed Product (as defined in the Roche Agreement).</w:t>
      </w:r>
    </w:p>
    <w:p>
      <w:pPr>
        <w:spacing w:after="0" w:line="114"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The Roche Agreement required certain milestone payments to Roche. In March 2024, upon receiving FDA approval of Rezdiffra, a milestone was achieved and $5.0 million was paid to Roche. In August 2025, upon receiving conditional marketing authorization from the EC, a milestone was achieved and $3.0 million was paid to Roche.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Furthermore, a tiered single-digit royalty is payable on net sales of resmetirom or a product developed from resmetirom, subject to certain reductions. The Company began accruing for royalty payments following its commercial launch of Rezdiffra in April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CSPC License Agreement</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July 2025, the Company entered into the CSPC License Agreement with CSPC for MGL-2086 (formerly known as SYH2086), a preclinical oral small molecule glucagon-like peptide-1 (GLP-1) receptor agonist. Pursuant to the CSPC License Agreement, CSPC has granted the Company an exclusive global license to develop, manufacture, and commercialize MGL-2086. The transaction closed in September 2025. The Company paid CSPC an upfront payment of $120.0 million in October 2025. CSPC is eligible to receive up to $2.0 billion in milestone payments if certain development, regulatory and commercial milestones are achieved, as well as tiered royalties on net sales. The Company expects to initiate clinical development of MGL-2086 in the first half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In 2019, the Company entered into an operating lease for office space located in West Conshohocken, Pennsylvania (the “Office Lease”), which was further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41" w:lineRule="exact"/>
        <w:rPr>
          <w:sz w:val="20"/>
          <w:szCs w:val="20"/>
          <w:color w:val="auto"/>
        </w:rPr>
      </w:pPr>
    </w:p>
    <w:p>
      <w:pPr>
        <w:ind w:right="640" w:firstLine="509"/>
        <w:spacing w:after="0" w:line="287" w:lineRule="auto"/>
        <w:rPr>
          <w:sz w:val="20"/>
          <w:szCs w:val="20"/>
          <w:color w:val="auto"/>
        </w:rPr>
      </w:pPr>
      <w:r>
        <w:rPr>
          <w:rFonts w:ascii="Times New Roman" w:cs="Times New Roman" w:eastAsia="Times New Roman" w:hAnsi="Times New Roman"/>
          <w:sz w:val="14"/>
          <w:szCs w:val="14"/>
          <w:color w:val="auto"/>
        </w:rPr>
        <w:t>In April 2025, the Company entered into an operating lease for additional office space in West Conshohocken, Pennsylvania. The lease commenced in May 2025 and resulted in a $4.0 million right-of-use asset and lease liability.</w:t>
      </w:r>
    </w:p>
    <w:p>
      <w:pPr>
        <w:spacing w:after="0" w:line="114"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In September 2025, the Company entered into an operating lease for office space in Waltham, Massachusetts. The commencement date did not occur as of September 30, 2025 and therefore the new lease had no impact on the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 Information</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w:t>
      </w:r>
    </w:p>
    <w:p>
      <w:pPr>
        <w:spacing w:after="0" w:line="53"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4"/>
          <w:szCs w:val="14"/>
          <w:color w:val="auto"/>
        </w:rPr>
        <w:t>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 As of September 30, 2025, the Company did not have material revenue or assets outside of the U.S.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net income reported at the segment measure of profit and loss:</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20" w:type="dxa"/>
            <w:vAlign w:val="bottom"/>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20" w:type="dxa"/>
            <w:vAlign w:val="bottom"/>
          </w:tcPr>
          <w:p>
            <w:pPr>
              <w:spacing w:after="0"/>
              <w:rPr>
                <w:sz w:val="11"/>
                <w:szCs w:val="11"/>
                <w:color w:val="auto"/>
              </w:rPr>
            </w:pPr>
          </w:p>
        </w:tc>
      </w:tr>
      <w:tr>
        <w:trPr>
          <w:trHeight w:val="153"/>
        </w:trPr>
        <w:tc>
          <w:tcPr>
            <w:tcW w:w="45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Borders>
              <w:bottom w:val="single" w:sz="8" w:color="auto"/>
            </w:tcBorders>
          </w:tcPr>
          <w:p>
            <w:pPr>
              <w:spacing w:after="0"/>
              <w:rPr>
                <w:sz w:val="13"/>
                <w:szCs w:val="13"/>
                <w:color w:val="auto"/>
              </w:rPr>
            </w:pPr>
          </w:p>
        </w:tc>
      </w:tr>
      <w:tr>
        <w:trPr>
          <w:trHeight w:val="155"/>
        </w:trPr>
        <w:tc>
          <w:tcPr>
            <w:tcW w:w="4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287,268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637,320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76,813</w:t>
            </w:r>
          </w:p>
        </w:tc>
      </w:tr>
      <w:tr>
        <w:trPr>
          <w:trHeight w:val="196"/>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r>
      <w:tr>
        <w:trPr>
          <w:trHeight w:val="207"/>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 - personnel and internal expense</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(51,923)</w:t>
            </w:r>
          </w:p>
        </w:tc>
      </w:tr>
      <w:tr>
        <w:trPr>
          <w:trHeight w:val="196"/>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 external expense</w:t>
            </w: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(152,920)</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(221,148)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(159,147)</w:t>
            </w:r>
          </w:p>
        </w:tc>
      </w:tr>
      <w:tr>
        <w:trPr>
          <w:trHeight w:val="207"/>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(209,117)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(573,851)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(293,834)</w:t>
            </w:r>
          </w:p>
        </w:tc>
      </w:tr>
      <w:tr>
        <w:trPr>
          <w:trHeight w:val="202"/>
        </w:trPr>
        <w:tc>
          <w:tcPr>
            <w:tcW w:w="4520" w:type="dxa"/>
            <w:vAlign w:val="bottom"/>
            <w:tcBorders>
              <w:bottom w:val="single" w:sz="8" w:color="CCEEFF"/>
            </w:tcBorders>
          </w:tcPr>
          <w:p>
            <w:pPr>
              <w:ind w:left="260"/>
              <w:spacing w:after="0" w:line="201" w:lineRule="exact"/>
              <w:rPr>
                <w:sz w:val="20"/>
                <w:szCs w:val="20"/>
                <w:color w:val="auto"/>
              </w:rPr>
            </w:pPr>
            <w:r>
              <w:rPr>
                <w:rFonts w:ascii="Times New Roman" w:cs="Times New Roman" w:eastAsia="Times New Roman" w:hAnsi="Times New Roman"/>
                <w:sz w:val="14"/>
                <w:szCs w:val="14"/>
                <w:color w:val="auto"/>
              </w:rPr>
              <w:t>Other segment (expense) income</w:t>
            </w:r>
            <w:r>
              <w:rPr>
                <w:rFonts w:ascii="Times New Roman" w:cs="Times New Roman" w:eastAsia="Times New Roman" w:hAnsi="Times New Roman"/>
                <w:sz w:val="18"/>
                <w:szCs w:val="18"/>
                <w:color w:val="auto"/>
                <w:vertAlign w:val="superscript"/>
              </w:rPr>
              <w:t>(1)</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24,403</w:t>
            </w:r>
          </w:p>
        </w:tc>
      </w:tr>
      <w:tr>
        <w:trPr>
          <w:trHeight w:val="212"/>
        </w:trPr>
        <w:tc>
          <w:tcPr>
            <w:tcW w:w="4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(229,709)</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(406,476)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660" w:hanging="146"/>
        <w:spacing w:after="0"/>
        <w:tabs>
          <w:tab w:leader="none" w:pos="6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(expense) income includes interest income, interest expense and loss on extinguishment of debt.</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98"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83" w:lineRule="exact"/>
        <w:rPr>
          <w:sz w:val="20"/>
          <w:szCs w:val="20"/>
          <w:color w:val="auto"/>
        </w:rPr>
      </w:pPr>
    </w:p>
    <w:p>
      <w:pPr>
        <w:jc w:val="both"/>
        <w:ind w:right="440" w:firstLine="509"/>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2024 and the related Management’s Discussion and Analysis of Financial Condition and Results of Operations, both of which are included in our Annual Report on Form 10-K for the fiscal year ended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Madrigal Pharmaceuticals, Inc.</w:t>
      </w:r>
    </w:p>
    <w:p>
      <w:pPr>
        <w:spacing w:after="0" w:line="85"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We are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and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In August 2025, the European Commission (“EC”) approved Rezdiffra and we launched Rezdiffra in Germany in September 2025. Rezdiffra is the first and only medication approved by both the FDA and EC for the treatment of adults with noncirrhotic MASH with moderate to advanced liver fibrosis (F2 to F3 fibrosis). We are also evaluating Rezdiffra in patients with compensated MASH cirrhosis (consistent with F4c fibrosis) in our MAESTRO-NASH OUTCOMES trial, that, if successful, could expand the eligible patient population for Rezdiffra.</w:t>
      </w:r>
    </w:p>
    <w:p>
      <w:pPr>
        <w:spacing w:after="0" w:line="65"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The FDA’s accelerated approval and the EC’s conditional marketing authorization, as well as Rezdiffra’s approved prescribing information, were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MAESTRO-NASH remains ongoing as an outcomes trial where we are generating confirmatory outcomes data to 54-months that, if positive, is expected to verify a clinical benefit and support the full FDA approval of Rezdiffra to treat noncirrhotic MASH. We expect outcomes data from this trial in 2028. In addition, full FDA approval of Rezdiffra to treat noncirrhotic MASH could also be based on results from our Phase 3 MAESTRO-NASH OUTCOMES trial. In this trial, we are assessing progression to liver decompensation events in patients with compensated MASH cirrhosis treated with Rezdiffra versus placebo. A positive outcome in this trial is also expected to support the full FDA approval of Rezdiffra for noncirrhotic MASH, and expand the eligible patient population for Rezdiffra with an additional indication in patients with compensated MASH cirrhosis. We expect results from the MAESTRO-NASH OUTCOMES trial in 2027. We have agreed to submit results from these trials to the European Medicines Agency (“EMA”) in support of full approval of Rezdiffra in the European Union.</w:t>
      </w:r>
    </w:p>
    <w:p>
      <w:pPr>
        <w:spacing w:after="0" w:line="72"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MASH Disease State Overview. </w:t>
      </w:r>
      <w:r>
        <w:rPr>
          <w:rFonts w:ascii="Times New Roman" w:cs="Times New Roman" w:eastAsia="Times New Roman" w:hAnsi="Times New Roman"/>
          <w:sz w:val="14"/>
          <w:szCs w:val="14"/>
          <w:color w:val="auto"/>
        </w:rPr>
        <w:t>MASH is a more advanced form of metabolic dysfunction-associated fatty liver disease (“MASLD”). MASLD has become the most common liver disease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Patients with compensated MASH cirrhosis (consistent with F4c fibrosis) have a 42-times higher risk of liver-related mortality, underscoring the need to treat MASH before complications of cirrhosis develop. MASH is also an independent driver of cardiovascular disease, which is the leading cause of mortality for patients.</w:t>
      </w:r>
    </w:p>
    <w:p>
      <w:pPr>
        <w:spacing w:after="0" w:line="5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4"/>
          <w:szCs w:val="14"/>
          <w:i w:val="1"/>
          <w:iCs w:val="1"/>
          <w:color w:val="auto"/>
        </w:rPr>
        <w:t>Our Patient Focus</w:t>
      </w:r>
      <w:r>
        <w:rPr>
          <w:rFonts w:ascii="Times New Roman" w:cs="Times New Roman" w:eastAsia="Times New Roman" w:hAnsi="Times New Roman"/>
          <w:sz w:val="14"/>
          <w:szCs w:val="14"/>
          <w:color w:val="auto"/>
        </w:rPr>
        <w:t>. Based on published epidemiology data and an analysis of medical claims using ICD-10 disease diagnosis codes, we estimate that approximately 1.5 million patients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diagnosed with MASH in the United States, of which approximately 525,000 have MASH with moderate to advanced fibrosis. We estimate that approximately 315,000 diagnosed patients with MASH with moderate to advanced fibrosis are under the care of approximately 14,000 specialist prescribers in the U.S. which we are targeting during the commercial launch of Rezdiffra. In addition, we estimate that approximately 370,000 patients with MASH with moderate to advanced fibrosis are currently diagnosed and under the care of a liver specialist across Europe. Over time, as disease awareness improves and disease prevalence increases, we expect the number of identified MASH patients with moderate to advanced fibrosis eligible for treatment to grow. In addition, an estimated 245,000 patients with compensated MASH cirrhosis (consistent with F4c fibrosis) are currently under the care of liver specialists in the U.S.</w:t>
      </w:r>
    </w:p>
    <w:p>
      <w:pPr>
        <w:spacing w:after="0" w:line="53"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We continue to focus our efforts on educating healthcare providers and patients on the risks of MASH and the potential clinical benefits and appropriate use of Rezdiffra. We are also supporting the creation of care pathways for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patients at physician offices, driving breadth and depth of Rezdiffra prescribers and engaging with payors to support patient access to therapy.</w:t>
      </w:r>
    </w:p>
    <w:p>
      <w:pPr>
        <w:spacing w:after="0" w:line="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June 2025, we received a positive opinion from the Committee for Medicinal Products for Human Use (“CHMP”) of EMA recommending approval of resmetirom for the treatment of adults with noncirrhotic MASH with moderate to advanced liver fibrosis. The EC granted conditional marketing authorization for Rezdiffra in August 2025 and we launched Rezdiffra in Germany in September 2025. The EC decision is valid in all 27 member states of the European Union, as well as in Iceland, Liechtenstein and Norway. The timing for access to Rezdiffra in individual countries will depend on multiple factors, including the completion of reimbursement procedures.</w:t>
      </w:r>
    </w:p>
    <w:p>
      <w:pPr>
        <w:spacing w:after="0" w:line="62" w:lineRule="exact"/>
        <w:rPr>
          <w:sz w:val="20"/>
          <w:szCs w:val="20"/>
          <w:color w:val="auto"/>
        </w:rPr>
      </w:pPr>
    </w:p>
    <w:p>
      <w:pPr>
        <w:ind w:right="60" w:firstLine="509"/>
        <w:spacing w:after="0" w:line="169" w:lineRule="exact"/>
        <w:rPr>
          <w:sz w:val="20"/>
          <w:szCs w:val="20"/>
          <w:color w:val="auto"/>
        </w:rPr>
      </w:pPr>
      <w:r>
        <w:rPr>
          <w:rFonts w:ascii="Times New Roman" w:cs="Times New Roman" w:eastAsia="Times New Roman" w:hAnsi="Times New Roman"/>
          <w:sz w:val="14"/>
          <w:szCs w:val="14"/>
          <w:i w:val="1"/>
          <w:iCs w:val="1"/>
          <w:color w:val="auto"/>
        </w:rPr>
        <w:t>Corporate Development</w:t>
      </w:r>
      <w:r>
        <w:rPr>
          <w:rFonts w:ascii="Times New Roman" w:cs="Times New Roman" w:eastAsia="Times New Roman" w:hAnsi="Times New Roman"/>
          <w:sz w:val="14"/>
          <w:szCs w:val="14"/>
          <w:color w:val="auto"/>
        </w:rPr>
        <w:t>: We plan to selectively in-license or acquire rights to programs at all stages of development to take advantage of our drug development and commercial capabilities.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 goal of building a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balanced and diversified portfolio, we assess a variety of factors for potential product candidates and technologies. Our criteria for possible acquisition or in-licensing opportunities include the rationale for addressing the targeted disease, likelihood of regulatory approval, commercial viability, intellectual property protection, prospects for favorable pricing and reimbursement and competition. We intend to be opportunistic in our business development activities to achieve our long-term strategic goals.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Developments</w:t>
      </w:r>
    </w:p>
    <w:p>
      <w:pPr>
        <w:spacing w:after="0" w:line="8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color w:val="auto"/>
        </w:rPr>
        <w:t>In August 2025, we announced that the EC granted conditional marketing authorization for Rezdiffra for the treatment of MASH with moderate to advanced liver fibrosis. We launched Rezdiffra in Germany in September 2025. Rezdiffra is now the first and only medication approved for patients with MASH in the European Union and is included in the European MASH treatment guidelines.</w:t>
      </w:r>
    </w:p>
    <w:p>
      <w:pPr>
        <w:spacing w:after="0" w:line="4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In August 2025, we announced that Daniel Brennan was appointed to our Board of Directors. Mr. Brennan most recently served as Executive Vice President and Chief Financial Officer of Boston Scientific Corporation (“Boston Scientific”). At Boston Scientific, Mr. Brennan was responsible for several company functions, including global controllership, global internal audit, corporate finance, treasury, corporate tax, investor relations, and corporate business development.</w:t>
      </w:r>
    </w:p>
    <w:p>
      <w:pPr>
        <w:spacing w:after="0" w:line="4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July 2025, we entered into an exclusive global license agreement (the “CSPC License Agreement”) with CSPC Pharmaceutical Group Limited (“CSPC”) for MGL-2086 (formerly SYH2086), a preclinical oral small molecule glucagon-like peptide-1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milestone payments if certain development, regulatory and commercial milestones are achieved, as well as tiered royalties on net sales. We expect to initiate clinical development of MGL-2086 in the first half of 2026.</w:t>
      </w:r>
    </w:p>
    <w:p>
      <w:pPr>
        <w:spacing w:after="0" w:line="43"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In July 2025, we, as the borrower, and our wholly owned subsidiary Canticle Pharmaceuticals, Inc. (“Canticle”), as a guarantor, entered into a Financing Agreement (as amended, the “Financing Agreement”) with certain funds managed by Blue Owl Capital Corporation, as the lenders (the “Lenders”), and LSI Financing LLC as the administrative agent for the Lenders. Under the Financing Agreement, the Lenders have agreed to commit up to $500.0 million in senior secured credit facilities, consisting of (a) an initial term loan in an aggregate principal amount equal to $350.0 million (the “Initial Term Loan”) and (b) delayed draw term loans in an aggregate principal amount not to exceed $150.0 million (the “Delayed Draw Term Loans”). In addition, the Financing Agreement includes an uncommitted incremental facility in an aggregate principal amount not to exceed $250.0 million (the “Incremental Term Loans”), subject to the satisfaction of certain terms and conditions set forth in the Financing Agreement. The Initial Term Loan was funded on July 17, 2025. Delayed Draw Term Loans are available at our election from time to time until December 31, 2027. Incremental Term Loans are available at our and the Lenders’ mutual consent from time to time.</w:t>
      </w:r>
    </w:p>
    <w:p>
      <w:pPr>
        <w:spacing w:after="0" w:line="72"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4"/>
          <w:szCs w:val="14"/>
          <w:color w:val="auto"/>
        </w:rPr>
        <w:t>In July 2025, we announced that we received a Notice of Allowance from the U.S. Patent and Trademark Office for a new U.S. patent covering the FDA-approved use of Rezdiffra. The patent, which was issued on August 5, 2025, includes claims directed to Rezdiffra’s commercial weight-threshold dosing regimen as prescribed in the FDA-approved label. The U.S. patent provides protection to February 2045 and was listed in the FDA’s Approved Drug Products with Therapeutic Equivalence Evaluations, commonly known as the Orange Book, in August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85"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In March 2024, the FDA approved Rezdiffra for the treatment of noncirrhotic MASH with moderate to advanced liver fibrosis (consistent with stages F2 to F3 fibrosis). Rezdiffra is a once-daily, oral, liver-directed, THR-ß agonist designed to target key underlying causes of MASH. We began generating revenue from sales of Rezdiffra in the United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4"/>
          <w:szCs w:val="14"/>
          <w:color w:val="auto"/>
        </w:rPr>
        <w:t>States in April 2024. In addition, we launched Rezdiffra in Germany in September 2025. Revenue is recorded net of variable consideration, which includes prompt pay discounts, returns, chargebacks, rebates, and co-payment assistance.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85"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Cost of sales includes the cost of manufacturing and distribution of inventory related to sales of Rezdiffra. We expect cost of sales to increase in the future, as manufacturing costs incurred prior to regulatory approval were expensed to research and development rather than capitalized as inventory, as approval was considered uncertain.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8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research and development expenses consist primarily of:</w:t>
      </w:r>
    </w:p>
    <w:p>
      <w:pPr>
        <w:spacing w:after="0" w:line="83" w:lineRule="exact"/>
        <w:rPr>
          <w:sz w:val="20"/>
          <w:szCs w:val="20"/>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related expense, including stock-based compensation;</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expenses paid to clinical trial sites, contract research organizations, laboratories, database software and consultants that conduct clinical trials;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development and the production of clinical trial supplies, including fees paid to contract manufacturers;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compliance with drug development regulatory requirements;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allocated expenses, which include direct and allocated expenses for depreciation of equipment and other supplies; and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milestone payments payable pursuant to the CSPC License Agreement.</w:t>
      </w:r>
    </w:p>
    <w:p>
      <w:pPr>
        <w:spacing w:after="0" w:line="1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53"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85" w:lineRule="exact"/>
        <w:rPr>
          <w:sz w:val="20"/>
          <w:szCs w:val="20"/>
          <w:color w:val="auto"/>
        </w:rPr>
      </w:pPr>
    </w:p>
    <w:p>
      <w:pPr>
        <w:ind w:right="380" w:firstLine="509"/>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management costs, costs associated with commercial activities, costs associated with obtaining and maintaining our patent portfolio, commercial and marketing activities, corporate insurance, professional fees for accounting, auditing, consulting and legal services, and allocated overhead expenses.</w:t>
      </w:r>
    </w:p>
    <w:p>
      <w:pPr>
        <w:spacing w:after="0" w:line="4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U.S. Securities and Exchange Commission (“SEC”) requirements.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income consists primarily of interest and dividend income earned on cash equivalents and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85"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4"/>
          <w:szCs w:val="14"/>
          <w:color w:val="auto"/>
        </w:rPr>
        <w:t>Interest expense consists primarily of interest accrued on principal balances that were outstanding under our Financing Agreement. For the three months ended September 30, 2025, we also accrued interest on loans outstanding under the loan facility (the “Hercules Loan Facility”) with Hercules Capital, Inc. (“Hercules”) until the Hercules Loan Facility was repaid in full and terminated in July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revenue, and expenses and the disclosure of contingent assets and liabilities as of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2024 filed with the SEC on February 26, 2025. Refer to Note 2 to the unaudited condensed consolidated financial statements in this Quarterly Report on Form 10-Q for details of accounting policies over revenue and inventory.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2025 and 2024</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comparative unaudited results of operations for the three months ended September 30, 2025 and 2024 (in thousands):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287,268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225,093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0" w:type="dxa"/>
            <w:vAlign w:val="bottom"/>
          </w:tcPr>
          <w:p>
            <w:pPr>
              <w:spacing w:after="0"/>
              <w:rPr>
                <w:sz w:val="1"/>
                <w:szCs w:val="1"/>
                <w:color w:val="auto"/>
              </w:rPr>
            </w:pPr>
          </w:p>
        </w:tc>
      </w:tr>
      <w:tr>
        <w:trPr>
          <w:trHeight w:val="196"/>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742 %</w:t>
            </w:r>
          </w:p>
        </w:tc>
        <w:tc>
          <w:tcPr>
            <w:tcW w:w="0" w:type="dxa"/>
            <w:vAlign w:val="bottom"/>
          </w:tcPr>
          <w:p>
            <w:pPr>
              <w:spacing w:after="0"/>
              <w:rPr>
                <w:sz w:val="1"/>
                <w:szCs w:val="1"/>
                <w:color w:val="auto"/>
              </w:rPr>
            </w:pPr>
          </w:p>
        </w:tc>
      </w:tr>
      <w:tr>
        <w:trPr>
          <w:trHeight w:val="201"/>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209,117</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101,532</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401,243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178,479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222,764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2"/>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(113,975)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1"/>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1"/>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expense, net</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87"/>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(114,190)</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recorded $287.3 million of product revenue, net for the three months ended September 30, 2025, compared to $62.2 million in the corresponding period in 2024. The increase was due to increased demand for Rezdiffra in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4"/>
          <w:szCs w:val="14"/>
          <w:color w:val="auto"/>
        </w:rPr>
        <w:t>Cost of sales were incurred as a result of sales of Rezdiffra. For the three months ended September 30, 2025, we recorded $18.1 million of cost of sales compared to $2.2 million in the corresponding period in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research and development expenses for the three months ended September 30, 2025 and 2024 (in thousands):</w:t>
      </w:r>
    </w:p>
    <w:p>
      <w:pPr>
        <w:spacing w:after="0" w:line="291"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1080" w:type="dxa"/>
            <w:vAlign w:val="bottom"/>
            <w:tcBorders>
              <w:bottom w:val="single" w:sz="8" w:color="auto"/>
            </w:tcBorders>
          </w:tcPr>
          <w:p>
            <w:pPr>
              <w:spacing w:after="0"/>
              <w:rPr>
                <w:sz w:val="13"/>
                <w:szCs w:val="13"/>
                <w:color w:val="auto"/>
              </w:rPr>
            </w:pPr>
          </w:p>
        </w:tc>
      </w:tr>
      <w:tr>
        <w:trPr>
          <w:trHeight w:val="180"/>
        </w:trPr>
        <w:tc>
          <w:tcPr>
            <w:tcW w:w="35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Personnel and Internal Expense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01"/>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External Expense</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152,920</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50,831</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102,089</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201 %</w:t>
            </w:r>
          </w:p>
        </w:tc>
      </w:tr>
      <w:tr>
        <w:trPr>
          <w:trHeight w:val="196"/>
        </w:trPr>
        <w:tc>
          <w:tcPr>
            <w:tcW w:w="3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105,262</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Our research and development expenses were $174.0 million for the three months ended September 30, 2025, compared to $68.7 million in the corresponding period in 2024. Research and development expenses increased by $105.3 million in the 2025 period primarily due to the $120.0 million upfront expense under the CSPC License Agreement, $117.3 million of which was recognized upon the closing of the transaction in September 2025, partially offset by a reduction in expenses related to clinical trials.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Our selling, general and administrative expenses were $209.1 million for the three months ended September 30, 2025, compared to $107.6 million in the corresponding period in 2024. Selling, general and administrative expenses increased by $101.5 million in the 2025 period, primarily due to an increase in commercial activities for Rezdiffra, including a corresponding increase in headcount to support our commercialization efforts.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85"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Our net interest income was $10.3 million for the three months ended September 30, 2025, compared to $13.0 million in the corresponding period in 2024. The decrease in interest income was primarily due to lower interest rates compared to the corresponding period in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74"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Our interest expense was $7.5 million for the three months ended September 30, 2025, compared to $3.7 million in the corresponding period in 2024. The increase of $3.8 million was primarily the result of a higher average outstanding principal balance after entering into the Financing Agreement.</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2025 and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780" w:type="dxa"/>
            <w:vAlign w:val="bottom"/>
            <w:tcBorders>
              <w:bottom w:val="single" w:sz="8" w:color="auto"/>
            </w:tcBorders>
          </w:tcPr>
          <w:p>
            <w:pPr>
              <w:spacing w:after="0"/>
              <w:rPr>
                <w:sz w:val="13"/>
                <w:szCs w:val="13"/>
                <w:color w:val="auto"/>
              </w:rPr>
            </w:pPr>
          </w:p>
        </w:tc>
      </w:tr>
      <w:tr>
        <w:trPr>
          <w:trHeight w:val="160"/>
        </w:trPr>
        <w:tc>
          <w:tcPr>
            <w:tcW w:w="4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 revenue, net</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637,320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560,507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r>
      <w:tr>
        <w:trPr>
          <w:trHeight w:val="196"/>
        </w:trPr>
        <w:tc>
          <w:tcPr>
            <w:tcW w:w="4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1037 %</w:t>
            </w:r>
          </w:p>
        </w:tc>
      </w:tr>
      <w:tr>
        <w:trPr>
          <w:trHeight w:val="201"/>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272,257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2"/>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573,851</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280,017</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192"/>
        </w:trPr>
        <w:tc>
          <w:tcPr>
            <w:tcW w:w="4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877,808</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507,692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370,116</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192"/>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(240,488)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(190,391)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201"/>
        </w:trPr>
        <w:tc>
          <w:tcPr>
            <w:tcW w:w="4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1"/>
        </w:trPr>
        <w:tc>
          <w:tcPr>
            <w:tcW w:w="4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expense, net</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2"/>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(229,709)</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(406,476)</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176,767</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We recorded $637.3 million of product revenue, net for the nine months ended September 30, 2025, compared to $76.8 million in the corresponding period in 2024. The increase was due to a full nine months of sales in 2025, as we began selling Rezdiffra in April 2024, as well as increased demand for Rezdiffra in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4"/>
          <w:szCs w:val="14"/>
          <w:color w:val="auto"/>
        </w:rPr>
        <w:t>Cost of sales were incurred as a result of sales of Rezdiffra. For the nine months ended September 30, 2025, we recorded $31.7 million of cost of sales compared to $2.8 million in the corresponding period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research and development expenses for the nine months ended September 30, 2025 and 2024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760" w:type="dxa"/>
            <w:vAlign w:val="bottom"/>
            <w:tcBorders>
              <w:bottom w:val="single" w:sz="8" w:color="auto"/>
            </w:tcBorders>
          </w:tcPr>
          <w:p>
            <w:pPr>
              <w:spacing w:after="0"/>
              <w:rPr>
                <w:sz w:val="13"/>
                <w:szCs w:val="13"/>
                <w:color w:val="auto"/>
              </w:rPr>
            </w:pPr>
          </w:p>
        </w:tc>
      </w:tr>
      <w:tr>
        <w:trPr>
          <w:trHeight w:val="180"/>
        </w:trPr>
        <w:tc>
          <w:tcPr>
            <w:tcW w:w="3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Personnel and Internal Expense</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1"/>
        </w:trPr>
        <w:tc>
          <w:tcPr>
            <w:tcW w:w="3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External Expense</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221,148</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159,147</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96"/>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272,257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Our research and development expenses were $272.3 million for the nine months ended September 30, 2025, compared to $211.1 million in the corresponding period in 2024. Research and development expenses increased by $61.2 million in the 2025 period primarily due to the $120.0 million upfront expense under the CSPC License Agreement, $117.3 million of which was recognized upon the closing of the transaction in September 2025, partially offset by a change in accounting for inventory costs following FDA approval of Rezdiffra in March 2024 and a reduction in expenses related to clinical trials.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85" w:lineRule="exact"/>
        <w:rPr>
          <w:sz w:val="20"/>
          <w:szCs w:val="20"/>
          <w:color w:val="auto"/>
        </w:rPr>
      </w:pPr>
    </w:p>
    <w:p>
      <w:pPr>
        <w:ind w:right="420" w:firstLine="509"/>
        <w:spacing w:after="0" w:line="255" w:lineRule="auto"/>
        <w:rPr>
          <w:sz w:val="20"/>
          <w:szCs w:val="20"/>
          <w:color w:val="auto"/>
        </w:rPr>
      </w:pPr>
      <w:r>
        <w:rPr>
          <w:rFonts w:ascii="Times New Roman" w:cs="Times New Roman" w:eastAsia="Times New Roman" w:hAnsi="Times New Roman"/>
          <w:sz w:val="14"/>
          <w:szCs w:val="14"/>
          <w:color w:val="auto"/>
        </w:rPr>
        <w:t>Our selling, general and administrative expenses were $573.9 million for the nine months ended September 30, 2025, compared to $293.8 million in the corresponding period in 2024. Selling, general and administrative expenses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increased by $280.0 million in the 2025 period primarily due to increases for commercial activities for Rezdiffra, including a corresponding increase in headcount to support our commercialization efforts.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85"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Our net interest income was $27.9 million for the nine months ended September 30, 2025, compared to $35.6 million in the corresponding period in 2024. The decrease in interest income was primarily due to lower interest rates in 2025 as compared to the same period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85"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4"/>
          <w:szCs w:val="14"/>
          <w:color w:val="auto"/>
        </w:rPr>
        <w:t>Our interest expense was $14.0 million for the nine months ended September 30, 2025, compared to $11.2 million in the corresponding period in 2024. The increase of $2.8 million was primarily the result of a higher average outstanding principal balance after entering into the Financing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Events</w:t>
      </w:r>
    </w:p>
    <w:p>
      <w:pPr>
        <w:spacing w:after="0" w:line="9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Changes in, and uncertainties related to, global trade or other economic policies, including tariffs or other restrictions imposed by the United States government or 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U.S. commercial and clinical supply of resmetirom is currently manufactured in the United States. In addition, we have engaged a European manufacturer to produce our commercial supply of drug product for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4"/>
          <w:szCs w:val="14"/>
          <w:color w:val="auto"/>
        </w:rPr>
        <w:t>As of September 30, 2025, we had cash, cash equivalents, restricted cash, and marketable securities totaling $1,114.7 million compared to $931.3 million as of December 31, 2024. We have historically funded our operations primarily through proceeds from sales of our capital stock and debt financings. In July 2025, we entered into a senior secured credit facility that provides up to $500.0 million. See Note 8 “Long Term Debt” for additional details. In addition, following FDA and EC approval, we receive revenue from sales of Rezdiffra.</w:t>
      </w:r>
    </w:p>
    <w:p>
      <w:pPr>
        <w:spacing w:after="0" w:line="13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4"/>
          <w:szCs w:val="14"/>
          <w:color w:val="auto"/>
        </w:rPr>
        <w:t>Until we are able to generate sufficient revenue from Rezdiffra and any other future approved products, we anticipate that we will continue to incur significant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the CSPC License Agreement.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Sales Agreement</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May 2024, we entered into a Sales Agreement (the “2024 Sales Agreement”) with Cowen and Company, LLC, an affiliate of TD Securities (USA) LLC (“Cowen”), replacing and superseding our sales agreement from 2021. We are authorized to issue and sell up to $300.0 million of shares of our common stock under the 2024 Sales Agreement. Sales of our common stock, if any, under the 2024 Sales Agreement will be made by any method that is deemed to be an “at the market” offering as defined in Rule 415(a)(4) of the Securities Act of 1933, as amended. We have no obligation to sell any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and may at any time suspend offers under the 2024 Sales Agreement or terminate the 2024 Sales Agreement pursuant to its terms.</w:t>
      </w:r>
    </w:p>
    <w:p>
      <w:pPr>
        <w:spacing w:after="0" w:line="168"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We did not make any sales under the 2024 Sales Agreement during the three and nine months ended September 30, 2025. As of September 30, 2025, $300.0 million remained available for sale under the 2024 Sales Agreement and our related prospectus supplement.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Hercules Loan Facility</w:t>
      </w:r>
    </w:p>
    <w:p>
      <w:pPr>
        <w:spacing w:after="0" w:line="8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In May 2022 we entered into the $250.0 million Hercules Loan Facility. Interest on the Hercules Loan Facility was the greater of (i) the prime rate plus 2.45% and (ii) 8.25%. The Hercules Loan Facility included an end-of-term charge of 5.35% of the aggregate principal amount, which was accounted for in the loan discount.</w:t>
      </w:r>
    </w:p>
    <w:p>
      <w:pPr>
        <w:spacing w:after="0" w:line="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in connection with the Hercules Loan Facility were released. The repayment resulted in a $2.8 million loss on extinguishment of debt, primarily due to the write off of unamortized debt issuance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Blue Owl Credit Facility</w:t>
      </w:r>
    </w:p>
    <w:p>
      <w:pPr>
        <w:spacing w:after="0" w:line="181"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On July 17, 2025 (the “Closing Date”), we, as the borrower, and Canticle, as a guarantor (the “Guarantor”), entered the Financing Agreement with the Lenders and the Administrative Agent. Under the Financing Agreement, the Lenders have committed up to $500.0 million in senior secured credit facilities, consisting of (a) the Initial Term Loan in an aggregate principal amount equal to $350.0 million and (b) Delayed Draw Term Loans in an aggregate principal amount not to exceed $150.0 million. In addition, the Financing Agreement includes uncommitted Incremental Term Loans in an aggregate principal amount not to exceed $250.0 million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our election from time to time after the Closing Date until December 31, 2027. Incremental Term Loans are available at our and the Lenders’ mutual consent from time to time after the Closing Date. The proceeds from the Financing Agreement are expected to primarily support our business development activities.</w:t>
      </w:r>
    </w:p>
    <w:p>
      <w:pPr>
        <w:spacing w:after="0" w:line="14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Accrued interest is payable (i) quarterly following the funding of the Initial Term Loan on the Closing Date, (ii) on any date of prepayment or repayment of the Term Loans and (iii) at maturity. The outstanding balance of the Term Loans, if not repaid sooner, shall be due and payable in full on July 17, 2030.</w:t>
      </w:r>
    </w:p>
    <w:p>
      <w:pPr>
        <w:spacing w:after="0" w:line="5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we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5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us and our subsidiaries that are customary for financings of this type. We and the Guarantors (as defined below)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ind w:right="4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we, the Guarantor and the Administrative Agent entered into a Pledge and Security Agreement. As security for our obligations under the Financing Agreement, we and the Guarantors are required to grant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 On September 4, 2025, the parties amended the Financing Agreement to add certain of our subsidiaries as Guarantors.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2024 Public Offering</w:t>
      </w:r>
    </w:p>
    <w:p>
      <w:pPr>
        <w:spacing w:after="0" w:line="96"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In March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net proceeds of the 2024 Offering after deducting the underwriting discount and commissions and other estimated offering expenses payable by us, were approximately $659.9 million.</w:t>
      </w:r>
    </w:p>
    <w:p>
      <w:pPr>
        <w:spacing w:after="0" w:line="16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summary of our net cash flow activity (in thousands):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20" w:type="dxa"/>
            <w:vAlign w:val="bottom"/>
            <w:tcBorders>
              <w:bottom w:val="single" w:sz="8" w:color="auto"/>
            </w:tcBorders>
          </w:tcPr>
          <w:p>
            <w:pPr>
              <w:spacing w:after="0"/>
              <w:rPr>
                <w:sz w:val="13"/>
                <w:szCs w:val="13"/>
                <w:color w:val="auto"/>
              </w:rPr>
            </w:pPr>
          </w:p>
        </w:tc>
      </w:tr>
      <w:tr>
        <w:trPr>
          <w:trHeight w:val="235"/>
        </w:trPr>
        <w:tc>
          <w:tcPr>
            <w:tcW w:w="64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20"/>
                <w:szCs w:val="20"/>
                <w:color w:val="auto"/>
              </w:rPr>
            </w:pPr>
          </w:p>
        </w:tc>
      </w:tr>
      <w:tr>
        <w:trPr>
          <w:trHeight w:val="20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(351,086)</w:t>
            </w:r>
          </w:p>
        </w:tc>
      </w:tr>
      <w:tr>
        <w:trPr>
          <w:trHeight w:val="19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(226,436)</w:t>
            </w:r>
          </w:p>
        </w:tc>
      </w:tr>
      <w:tr>
        <w:trPr>
          <w:trHeight w:val="20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247,028</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715,291</w:t>
            </w:r>
          </w:p>
        </w:tc>
      </w:tr>
      <w:tr>
        <w:trPr>
          <w:trHeight w:val="18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195,675</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137,769</w:t>
            </w:r>
          </w:p>
        </w:tc>
      </w:tr>
      <w:tr>
        <w:trPr>
          <w:trHeight w:val="20"/>
        </w:trPr>
        <w:tc>
          <w:tcPr>
            <w:tcW w:w="6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Net cash used in operating activities was $56.1 million for the nine months ended September 30, 2025, compared to $351.1 million for the corresponding period in 2024. The use of cash in these periods resulted primarily from our losses from operations, as adjusted for non-cash charges for stock-based compensation, and changes in our working capital accounts.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Net cash provided by investing activities was $4.7 million for the nine months ended September 30, 2025, compared to net cash used in investing activities of $226.4 million for the corresponding period in 2024. Net cash provided by investing activities for the nine months ended September 30, 2025 primarily consisted of $843.2 million from sales and maturities of marketable securities, partially offset by $834.6 million of purchases of marketable securities for our investment portfolio and a $3.0 million acquisition of an intangible asset. Net cash used in investing activities for the corresponding period in 2024 primarily consisted of $781.0 million of purchases of marketable securities and a $5.0 million acquisition of an intangible asset, partially offset by $560.9 million from sales and maturities of marketable securities in our investment portfolio.</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Net cash provided by financing activities was $247.0 million for the nine months ended September 30, 2025, compared to $715.3 million for the corresponding period in 2024. Net cash provided by financing activities for the nine months ended September 30, 2025 consisted of $350.0 million of proceeds from the Initial Term Loan under the Financing Agreement and $28.1 million from the exercise of stock options, partially offset by a repayment of $121.7 million under the Hercules Loan Facility and $9.4 million of debt issuance costs. Net cash provided by financing activities for the corresponding period in 2024 consisted primarily of $659.9 million of net proceeds from our 2024 Offering and $57.1 million from the exercise of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pursuant to which the term of the Office Lease was extended through November 2026. As a result of the Fifth Lease Amendment, an incremental $1.6 million right-of-use asset and lease liability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38"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In April 2025, we entered into an operating lease for additional office space in West Conshohocken, Pennsylvania. The lease commenced in May 2025 and resulted in a $4.0 million right-of-use asset and lease liability.</w:t>
      </w:r>
    </w:p>
    <w:p>
      <w:pPr>
        <w:spacing w:after="0" w:line="135"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In September 2025, we entered into an operating lease for office space in Waltham, Massachusetts. The commencement date did not occur as of September 30, 2025 and therefore the new lease had no impact on the financial statements.</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In May 2022, we entered into the $250.0 million Hercules Loan Facility. On July 17, 2025, we entered into the Financing Agreement and used the proceeds to repay all outstanding</w:t>
      </w:r>
    </w:p>
    <w:p>
      <w:pPr>
        <w:spacing w:after="0" w:line="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obligations under the Hercules Loan Facility, totaling $121.7 million, and upon such repayment, terminated the Hercules Loan Facility. The amount we repaid included $115.0 million of outstanding indebtedness plus accrued and unpaid interest as of the repayment date and exit fees.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unaudited condensed consolidated financial statements included in this Quarterly Report on Form 10-Q for additional information regarding the Financing Agreement.</w:t>
      </w:r>
    </w:p>
    <w:p>
      <w:pPr>
        <w:spacing w:after="0" w:line="144" w:lineRule="exact"/>
        <w:rPr>
          <w:sz w:val="20"/>
          <w:szCs w:val="20"/>
          <w:color w:val="auto"/>
        </w:rPr>
      </w:pPr>
    </w:p>
    <w:p>
      <w:pPr>
        <w:ind w:right="300" w:firstLine="509"/>
        <w:spacing w:after="0" w:line="262" w:lineRule="auto"/>
        <w:rPr>
          <w:sz w:val="20"/>
          <w:szCs w:val="20"/>
          <w:color w:val="auto"/>
        </w:rPr>
      </w:pPr>
      <w:r>
        <w:rPr>
          <w:rFonts w:ascii="Times New Roman" w:cs="Times New Roman" w:eastAsia="Times New Roman" w:hAnsi="Times New Roman"/>
          <w:sz w:val="14"/>
          <w:szCs w:val="14"/>
          <w:color w:val="auto"/>
        </w:rPr>
        <w:t>We have a Research, Development and Commercialization Agreement (the “Roche Agreement”) with Hoffmann-La Roche (“Roche”) which grants us a sole and exclusive license to develop, use, sell, offer for sale and import any Licensed Product (as defined in the Roche Agreement). We received FDA approval for Rezdiffra in March 2024 and EC approval for Rezdiffra in August 2025. A tiered single-digit royalty is payable to Roche on net sales of Rezdiffra, subject to certain reductions.</w:t>
      </w:r>
    </w:p>
    <w:p>
      <w:pPr>
        <w:spacing w:after="0" w:line="13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In July 2025, we entered into the CSPC License Agreement for MGL-2086 (formerly known as SYH2086), a preclinical oral small molecule glucagon-like peptide-1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milestone payments if certain development, regulatory and commercial milestones are achieved, as well as tiered royalties on net sales.</w:t>
      </w:r>
    </w:p>
    <w:p>
      <w:pPr>
        <w:spacing w:after="0" w:line="149" w:lineRule="exact"/>
        <w:rPr>
          <w:sz w:val="20"/>
          <w:szCs w:val="20"/>
          <w:color w:val="auto"/>
        </w:rPr>
      </w:pPr>
    </w:p>
    <w:p>
      <w:pPr>
        <w:ind w:right="600" w:firstLine="509"/>
        <w:spacing w:after="0" w:line="271" w:lineRule="auto"/>
        <w:rPr>
          <w:sz w:val="20"/>
          <w:szCs w:val="20"/>
          <w:color w:val="auto"/>
        </w:rPr>
      </w:pPr>
      <w:r>
        <w:rPr>
          <w:rFonts w:ascii="Times New Roman" w:cs="Times New Roman" w:eastAsia="Times New Roman" w:hAnsi="Times New Roman"/>
          <w:sz w:val="14"/>
          <w:szCs w:val="14"/>
          <w:color w:val="auto"/>
        </w:rPr>
        <w:t>We have entered into customary contractual agreements in support of the Phase 3 clinical trials and in connection with manufacturing Rezdiffra. As of September 30, 2025, we had approximately $187.6 million of obligations under these agreements related to active pharmaceutical ingredient, which is expected to be paid through December 2027.</w:t>
      </w:r>
    </w:p>
    <w:p>
      <w:pPr>
        <w:spacing w:after="0" w:line="12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Except as noted above, no significant changes to contractual obligations and commitments occurred during the nine months ended September 30, 2025, as compared to those disclosed in our Annual Report on Form 10-K for the fiscal year ended December 31, 2024 filed with the SEC on February 26, 2025.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Rate</w:t>
      </w:r>
    </w:p>
    <w:p>
      <w:pPr>
        <w:spacing w:after="0" w:line="9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As of September 30, 2025, our primary exposure to interest rate risk was associated with our variable rate borrowings under the Financing Agreement. Any outstanding principal on the Term Loans will bear interest at a rate per annum on the basis of a 360-day year equal to the sum of (i) the three-month forward-looking term secured overnight financing rate administered by the Federal Reserve Bank of New York (subject to a 1.00% per annum floor) plus (ii) 4.75%. See Note 8 “Long Term Debt” to the unaudited condensed consolidated financial statements included in this Quarterly Report on Form 10-Q. Interest rates are sensitive to a variety of factors, including changes in fiscal and monetary policies, geopolitical events, changes in global economic conditions and other factors beyond our control. For the quarter ended September 30, 2025, the interest rate associated with the $350.0 million of borrowings outstanding under the Financing Agreement was 9.1%. For the three months ended September 30, 2025, the effect of a hypothetical 100 basis point increase or decrease in the interest rate would have changed our interest expense under the Financing Agreement by approximately $0.7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Exposure</w:t>
      </w:r>
    </w:p>
    <w:p>
      <w:pPr>
        <w:spacing w:after="0" w:line="18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As we expand our operations into Europe, we are exposed to risks related to changes in foreign currency exchange rates, primarily between the U.S. dollar, euro and Swiss franc. The majority of our expenses are generally denominated in the currencies in which they are incurred, which is primarily the U.S. dollar.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w:t>
      </w:r>
    </w:p>
    <w:p>
      <w:pPr>
        <w:spacing w:after="0" w:line="2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8" w:lineRule="exact"/>
        <w:rPr>
          <w:sz w:val="20"/>
          <w:szCs w:val="20"/>
          <w:color w:val="auto"/>
        </w:rPr>
      </w:pPr>
    </w:p>
    <w:p>
      <w:pPr>
        <w:jc w:val="both"/>
        <w:ind w:right="220" w:firstLine="509"/>
        <w:spacing w:after="0" w:line="262" w:lineRule="auto"/>
        <w:rPr>
          <w:sz w:val="20"/>
          <w:szCs w:val="20"/>
          <w:color w:val="auto"/>
        </w:rPr>
      </w:pPr>
      <w:r>
        <w:rPr>
          <w:rFonts w:ascii="Times New Roman" w:cs="Times New Roman" w:eastAsia="Times New Roman" w:hAnsi="Times New Roman"/>
          <w:sz w:val="14"/>
          <w:szCs w:val="14"/>
          <w:color w:val="auto"/>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 disclosure controls and procedures were effective to provide such reasonable assurance described above as of September 30,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 and Procedures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ind w:right="560" w:firstLine="509"/>
        <w:spacing w:after="0" w:line="27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under the Exchange Act)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not party to any material legal proceedings.</w:t>
      </w:r>
    </w:p>
    <w:p>
      <w:pPr>
        <w:spacing w:after="0" w:line="2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the risk factors included in detail in the “Risk Factors” sections appearing in Part I, Item 1A of our Annual Report on Form 10-K for the year ended December 31, 2024, filed with the SEC on February 26, 2025.</w:t>
      </w:r>
    </w:p>
    <w:p>
      <w:pPr>
        <w:spacing w:after="0" w:line="19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and Executive Officer 10b5-1 Plans</w:t>
      </w:r>
    </w:p>
    <w:p>
      <w:pPr>
        <w:spacing w:after="0" w:line="8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September 30, 2025. Each plan was entered into during an open trading window and is intended to satisfy the affirmative defense conditions of Rule 10b5-1(c) (each a “Trading Plan”).</w:t>
      </w:r>
    </w:p>
    <w:p>
      <w:pPr>
        <w:spacing w:after="0" w:line="3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Scheduled Start Date of</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Scheduled Expiration Date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r>
      <w:tr>
        <w:trPr>
          <w:trHeight w:val="186"/>
        </w:trPr>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Action Taken (Date)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Plan</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Plan</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Trading Plan</w:t>
            </w: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46"/>
        </w:trPr>
        <w:tc>
          <w:tcPr>
            <w:tcW w:w="21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Mardi Dier, Chief Financial Officer</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Adoption (September 02,</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12/2/2025</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12/31/2026</w:t>
            </w:r>
          </w:p>
        </w:tc>
        <w:tc>
          <w:tcPr>
            <w:tcW w:w="8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rPr>
              <w:t>7,337</w:t>
            </w:r>
            <w:r>
              <w:rPr>
                <w:rFonts w:ascii="Times New Roman" w:cs="Times New Roman" w:eastAsia="Times New Roman" w:hAnsi="Times New Roman"/>
                <w:sz w:val="16"/>
                <w:szCs w:val="16"/>
                <w:color w:val="auto"/>
                <w:vertAlign w:val="superscript"/>
              </w:rPr>
              <w:t>(1)</w:t>
            </w:r>
          </w:p>
        </w:tc>
      </w:tr>
      <w:tr>
        <w:trPr>
          <w:trHeight w:val="186"/>
        </w:trPr>
        <w:tc>
          <w:tcPr>
            <w:tcW w:w="2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2025)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r>
      <w:tr>
        <w:trPr>
          <w:trHeight w:val="155"/>
        </w:trPr>
        <w:tc>
          <w:tcPr>
            <w:tcW w:w="2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Richard Levy, M.D., Director</w:t>
            </w:r>
          </w:p>
        </w:tc>
        <w:tc>
          <w:tcPr>
            <w:tcW w:w="16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Adoption (August 14,</w:t>
            </w: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11/13/2025</w:t>
            </w:r>
          </w:p>
        </w:tc>
        <w:tc>
          <w:tcPr>
            <w:tcW w:w="80" w:type="dxa"/>
            <w:vAlign w:val="bottom"/>
          </w:tcPr>
          <w:p>
            <w:pPr>
              <w:spacing w:after="0"/>
              <w:rPr>
                <w:sz w:val="13"/>
                <w:szCs w:val="13"/>
                <w:color w:val="auto"/>
              </w:rPr>
            </w:pPr>
          </w:p>
        </w:tc>
        <w:tc>
          <w:tcPr>
            <w:tcW w:w="1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12/31/2026</w:t>
            </w:r>
          </w:p>
        </w:tc>
        <w:tc>
          <w:tcPr>
            <w:tcW w:w="80" w:type="dxa"/>
            <w:vAlign w:val="bottom"/>
          </w:tcPr>
          <w:p>
            <w:pPr>
              <w:spacing w:after="0"/>
              <w:rPr>
                <w:sz w:val="13"/>
                <w:szCs w:val="13"/>
                <w:color w:val="auto"/>
              </w:rPr>
            </w:pPr>
          </w:p>
        </w:tc>
        <w:tc>
          <w:tcPr>
            <w:tcW w:w="22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16,682</w:t>
            </w:r>
          </w:p>
        </w:tc>
      </w:tr>
      <w:tr>
        <w:trPr>
          <w:trHeight w:val="184"/>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2025)</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2"/>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55"/>
        </w:trPr>
        <w:tc>
          <w:tcPr>
            <w:tcW w:w="222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Paul Friedman, M.D., Director</w:t>
            </w:r>
          </w:p>
        </w:tc>
        <w:tc>
          <w:tcPr>
            <w:tcW w:w="1660" w:type="dxa"/>
            <w:vAlign w:val="bottom"/>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Adoption (September 10,</w:t>
            </w:r>
          </w:p>
        </w:tc>
        <w:tc>
          <w:tcPr>
            <w:tcW w:w="15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12/10/2025</w:t>
            </w:r>
          </w:p>
        </w:tc>
        <w:tc>
          <w:tcPr>
            <w:tcW w:w="80" w:type="dxa"/>
            <w:vAlign w:val="bottom"/>
            <w:shd w:val="clear" w:color="auto" w:fill="CCEEFF"/>
          </w:tcPr>
          <w:p>
            <w:pPr>
              <w:spacing w:after="0"/>
              <w:rPr>
                <w:sz w:val="13"/>
                <w:szCs w:val="13"/>
                <w:color w:val="auto"/>
              </w:rPr>
            </w:pPr>
          </w:p>
        </w:tc>
        <w:tc>
          <w:tcPr>
            <w:tcW w:w="19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2/28/2027</w:t>
            </w:r>
          </w:p>
        </w:tc>
        <w:tc>
          <w:tcPr>
            <w:tcW w:w="80" w:type="dxa"/>
            <w:vAlign w:val="bottom"/>
            <w:shd w:val="clear" w:color="auto" w:fill="CCEEFF"/>
          </w:tcPr>
          <w:p>
            <w:pPr>
              <w:spacing w:after="0"/>
              <w:rPr>
                <w:sz w:val="13"/>
                <w:szCs w:val="13"/>
                <w:color w:val="auto"/>
              </w:rPr>
            </w:pPr>
          </w:p>
        </w:tc>
        <w:tc>
          <w:tcPr>
            <w:tcW w:w="2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49,600</w:t>
            </w:r>
          </w:p>
        </w:tc>
      </w:tr>
      <w:tr>
        <w:trPr>
          <w:trHeight w:val="186"/>
        </w:trPr>
        <w:tc>
          <w:tcPr>
            <w:tcW w:w="2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2025)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r>
      <w:tr>
        <w:trPr>
          <w:trHeight w:val="155"/>
        </w:trPr>
        <w:tc>
          <w:tcPr>
            <w:tcW w:w="2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Rebecca Taub, M.D., Senior</w:t>
            </w:r>
          </w:p>
        </w:tc>
        <w:tc>
          <w:tcPr>
            <w:tcW w:w="16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Adoption (September 10,</w:t>
            </w: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12/10/2025</w:t>
            </w:r>
          </w:p>
        </w:tc>
        <w:tc>
          <w:tcPr>
            <w:tcW w:w="80" w:type="dxa"/>
            <w:vAlign w:val="bottom"/>
          </w:tcPr>
          <w:p>
            <w:pPr>
              <w:spacing w:after="0"/>
              <w:rPr>
                <w:sz w:val="13"/>
                <w:szCs w:val="13"/>
                <w:color w:val="auto"/>
              </w:rPr>
            </w:pPr>
          </w:p>
        </w:tc>
        <w:tc>
          <w:tcPr>
            <w:tcW w:w="1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2/28/2027</w:t>
            </w:r>
          </w:p>
        </w:tc>
        <w:tc>
          <w:tcPr>
            <w:tcW w:w="80" w:type="dxa"/>
            <w:vAlign w:val="bottom"/>
          </w:tcPr>
          <w:p>
            <w:pPr>
              <w:spacing w:after="0"/>
              <w:rPr>
                <w:sz w:val="13"/>
                <w:szCs w:val="13"/>
                <w:color w:val="auto"/>
              </w:rPr>
            </w:pPr>
          </w:p>
        </w:tc>
        <w:tc>
          <w:tcPr>
            <w:tcW w:w="22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37,300</w:t>
            </w:r>
          </w:p>
        </w:tc>
      </w:tr>
      <w:tr>
        <w:trPr>
          <w:trHeight w:val="159"/>
        </w:trPr>
        <w:tc>
          <w:tcPr>
            <w:tcW w:w="22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Scientific and Medical Advisor and</w:t>
            </w:r>
          </w:p>
        </w:tc>
        <w:tc>
          <w:tcPr>
            <w:tcW w:w="15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2025)</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84"/>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62" w:lineRule="exact"/>
        <w:rPr>
          <w:sz w:val="20"/>
          <w:szCs w:val="20"/>
          <w:color w:val="auto"/>
        </w:rPr>
      </w:pPr>
    </w:p>
    <w:p>
      <w:pPr>
        <w:ind w:firstLine="351"/>
        <w:spacing w:after="0" w:line="246" w:lineRule="auto"/>
        <w:tabs>
          <w:tab w:leader="none" w:pos="54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Trading Plan provides for the sale of shares to be received upon future vesting of certain outstanding restricted stock unit awards, net of any shares sold to satisfy applicable taxes. The number of shares to be sold to satisfy taxes, and thus the exact number of shares to be sold pursuant to this Trading Plan, can only be determined upon the occurrence of future vesting events. For purposes of this disclosure, we have reported the maximum aggregate number of shares to be sold without subtracting any shares to be sold to satisfy tax obligations.</w:t>
      </w: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Resignation</w:t>
      </w:r>
    </w:p>
    <w:p>
      <w:pPr>
        <w:spacing w:after="0" w:line="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On November 3, 2025, Kenneth Bate provided notice of his resignation from our Board of Directors (the “Board”), effective as of December 10, 2025. Mr. Bate’s resignation was not due to any disagreement on any matter relating to our operations, policies or practices. The Board is grateful to Mr. Bate for his years of service and significant contributions to the Board and the Company.</w:t>
      </w:r>
    </w:p>
    <w:p>
      <w:pPr>
        <w:spacing w:after="0" w:line="21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880" w:type="dxa"/>
            <w:vAlign w:val="bottom"/>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120" w:type="dxa"/>
            <w:vAlign w:val="bottom"/>
            <w:gridSpan w:val="15"/>
            <w:vMerge w:val="restart"/>
          </w:tcPr>
          <w:p>
            <w:pPr>
              <w:ind w:left="16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3320" w:type="dxa"/>
            <w:vAlign w:val="bottom"/>
            <w:vMerge w:val="restart"/>
          </w:tcPr>
          <w:p>
            <w:pPr>
              <w:ind w:left="9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49"/>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120" w:type="dxa"/>
            <w:vAlign w:val="bottom"/>
            <w:gridSpan w:val="15"/>
            <w:vMerge w:val="continue"/>
          </w:tcPr>
          <w:p>
            <w:pPr>
              <w:spacing w:after="0"/>
              <w:rPr>
                <w:sz w:val="12"/>
                <w:szCs w:val="12"/>
                <w:color w:val="auto"/>
              </w:rPr>
            </w:pPr>
          </w:p>
        </w:tc>
        <w:tc>
          <w:tcPr>
            <w:tcW w:w="3320" w:type="dxa"/>
            <w:vAlign w:val="bottom"/>
            <w:vMerge w:val="continue"/>
          </w:tcPr>
          <w:p>
            <w:pPr>
              <w:spacing w:after="0"/>
              <w:rPr>
                <w:sz w:val="12"/>
                <w:szCs w:val="12"/>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57"/>
        </w:trPr>
        <w:tc>
          <w:tcPr>
            <w:tcW w:w="880" w:type="dxa"/>
            <w:vAlign w:val="bottom"/>
          </w:tcPr>
          <w:p>
            <w:pPr>
              <w:jc w:val="center"/>
              <w:ind w:right="272"/>
              <w:spacing w:after="0" w:line="157" w:lineRule="exact"/>
              <w:rPr>
                <w:sz w:val="20"/>
                <w:szCs w:val="20"/>
                <w:color w:val="auto"/>
              </w:rPr>
            </w:pPr>
            <w:r>
              <w:rPr>
                <w:rFonts w:ascii="Times New Roman" w:cs="Times New Roman" w:eastAsia="Times New Roman" w:hAnsi="Times New Roman"/>
                <w:sz w:val="14"/>
                <w:szCs w:val="14"/>
                <w:color w:val="auto"/>
                <w:w w:val="98"/>
              </w:rPr>
              <w:t>10.1†#</w:t>
            </w:r>
          </w:p>
        </w:tc>
        <w:tc>
          <w:tcPr>
            <w:tcW w:w="512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Financing Agreement by and among the Company, certain subsidiaries of</w:t>
            </w:r>
          </w:p>
        </w:tc>
        <w:tc>
          <w:tcPr>
            <w:tcW w:w="3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16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the Company, certain funds managed by Blue Owl Capital Corporation</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20" w:type="dxa"/>
            <w:vAlign w:val="bottom"/>
            <w:tcBorders>
              <w:top w:val="single" w:sz="8" w:color="0000FF"/>
            </w:tcBorders>
            <w:gridSpan w:val="10"/>
          </w:tcPr>
          <w:p>
            <w:pPr>
              <w:spacing w:after="0" w:line="118" w:lineRule="exact"/>
              <w:rPr>
                <w:sz w:val="20"/>
                <w:szCs w:val="20"/>
                <w:color w:val="auto"/>
              </w:rPr>
            </w:pPr>
            <w:r>
              <w:rPr>
                <w:rFonts w:ascii="Times New Roman" w:cs="Times New Roman" w:eastAsia="Times New Roman" w:hAnsi="Times New Roman"/>
                <w:sz w:val="13"/>
                <w:szCs w:val="13"/>
                <w:color w:val="0000FF"/>
              </w:rPr>
              <w:t>and LSI Financing LLC, dated as of July 17, 2025 (as amended by the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vMerge w:val="restart"/>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28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First Amendment thereto, dated as of September 4, 2025).</w:t>
            </w:r>
          </w:p>
        </w:tc>
        <w:tc>
          <w:tcPr>
            <w:tcW w:w="680" w:type="dxa"/>
            <w:vAlign w:val="bottom"/>
            <w:tcBorders>
              <w:top w:val="single" w:sz="8" w:color="0000FF"/>
            </w:tcBorders>
            <w:gridSpan w:val="7"/>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31.1</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w:t>
            </w:r>
          </w:p>
        </w:tc>
        <w:tc>
          <w:tcPr>
            <w:tcW w:w="3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180" w:type="dxa"/>
            <w:vAlign w:val="bottom"/>
            <w:tcBorders>
              <w:top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9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00" w:type="dxa"/>
            <w:vAlign w:val="bottom"/>
            <w:vMerge w:val="restart"/>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0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31.2</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w:t>
            </w:r>
          </w:p>
        </w:tc>
        <w:tc>
          <w:tcPr>
            <w:tcW w:w="3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12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1000" w:type="dxa"/>
            <w:vAlign w:val="bottom"/>
            <w:gridSpan w:val="3"/>
          </w:tcPr>
          <w:p>
            <w:pPr>
              <w:spacing w:after="0"/>
              <w:rPr>
                <w:sz w:val="11"/>
                <w:szCs w:val="11"/>
                <w:color w:val="auto"/>
              </w:rPr>
            </w:pPr>
          </w:p>
        </w:tc>
        <w:tc>
          <w:tcPr>
            <w:tcW w:w="3320" w:type="dxa"/>
            <w:vAlign w:val="bottom"/>
          </w:tcPr>
          <w:p>
            <w:pPr>
              <w:spacing w:after="0"/>
              <w:rPr>
                <w:sz w:val="11"/>
                <w:szCs w:val="11"/>
                <w:color w:val="auto"/>
              </w:rPr>
            </w:pPr>
          </w:p>
        </w:tc>
        <w:tc>
          <w:tcPr>
            <w:tcW w:w="1500" w:type="dxa"/>
            <w:vAlign w:val="bottom"/>
            <w:vMerge w:val="restart"/>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0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tcPr>
          <w:p>
            <w:pPr>
              <w:spacing w:after="0"/>
              <w:rPr>
                <w:sz w:val="10"/>
                <w:szCs w:val="10"/>
                <w:color w:val="auto"/>
              </w:rPr>
            </w:pPr>
          </w:p>
        </w:tc>
        <w:tc>
          <w:tcPr>
            <w:tcW w:w="1080" w:type="dxa"/>
            <w:vAlign w:val="bottom"/>
            <w:gridSpan w:val="4"/>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w w:val="98"/>
              </w:rPr>
              <w:t>32.1**</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w:t>
            </w:r>
          </w:p>
        </w:tc>
        <w:tc>
          <w:tcPr>
            <w:tcW w:w="3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84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200" w:type="dxa"/>
            <w:vAlign w:val="bottom"/>
            <w:gridSpan w:val="3"/>
          </w:tcPr>
          <w:p>
            <w:pPr>
              <w:spacing w:after="0"/>
              <w:rPr>
                <w:sz w:val="11"/>
                <w:szCs w:val="11"/>
                <w:color w:val="auto"/>
              </w:rPr>
            </w:pPr>
          </w:p>
        </w:tc>
        <w:tc>
          <w:tcPr>
            <w:tcW w:w="1080" w:type="dxa"/>
            <w:vAlign w:val="bottom"/>
            <w:gridSpan w:val="4"/>
          </w:tcPr>
          <w:p>
            <w:pPr>
              <w:spacing w:after="0"/>
              <w:rPr>
                <w:sz w:val="11"/>
                <w:szCs w:val="11"/>
                <w:color w:val="auto"/>
              </w:rPr>
            </w:pPr>
          </w:p>
        </w:tc>
        <w:tc>
          <w:tcPr>
            <w:tcW w:w="3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80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Section 906 of the Sarbanes-Oxley Act of 2002. Certifications of</w:t>
            </w:r>
          </w:p>
        </w:tc>
        <w:tc>
          <w:tcPr>
            <w:tcW w:w="240" w:type="dxa"/>
            <w:vAlign w:val="bottom"/>
            <w:gridSpan w:val="4"/>
          </w:tcPr>
          <w:p>
            <w:pPr>
              <w:spacing w:after="0"/>
              <w:rPr>
                <w:sz w:val="10"/>
                <w:szCs w:val="10"/>
                <w:color w:val="auto"/>
              </w:rPr>
            </w:pPr>
          </w:p>
        </w:tc>
        <w:tc>
          <w:tcPr>
            <w:tcW w:w="1080" w:type="dxa"/>
            <w:vAlign w:val="bottom"/>
            <w:gridSpan w:val="4"/>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5120" w:type="dxa"/>
            <w:vAlign w:val="bottom"/>
            <w:gridSpan w:val="15"/>
          </w:tcPr>
          <w:p>
            <w:pPr>
              <w:spacing w:after="0" w:line="118" w:lineRule="exact"/>
              <w:rPr>
                <w:sz w:val="20"/>
                <w:szCs w:val="20"/>
                <w:color w:val="auto"/>
              </w:rPr>
            </w:pPr>
            <w:r>
              <w:rPr>
                <w:rFonts w:ascii="Times New Roman" w:cs="Times New Roman" w:eastAsia="Times New Roman" w:hAnsi="Times New Roman"/>
                <w:sz w:val="13"/>
                <w:szCs w:val="13"/>
                <w:color w:val="0000FF"/>
              </w:rPr>
              <w:t>Principal Executive Officer and Principal Financial Officer, pursuant to</w:t>
            </w:r>
          </w:p>
        </w:tc>
        <w:tc>
          <w:tcPr>
            <w:tcW w:w="3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04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w:t>
            </w:r>
          </w:p>
        </w:tc>
        <w:tc>
          <w:tcPr>
            <w:tcW w:w="1080" w:type="dxa"/>
            <w:vAlign w:val="bottom"/>
            <w:gridSpan w:val="4"/>
          </w:tcPr>
          <w:p>
            <w:pPr>
              <w:spacing w:after="0"/>
              <w:rPr>
                <w:sz w:val="11"/>
                <w:szCs w:val="11"/>
                <w:color w:val="auto"/>
              </w:rPr>
            </w:pPr>
          </w:p>
        </w:tc>
        <w:tc>
          <w:tcPr>
            <w:tcW w:w="3320" w:type="dxa"/>
            <w:vAlign w:val="bottom"/>
          </w:tcPr>
          <w:p>
            <w:pPr>
              <w:spacing w:after="0"/>
              <w:rPr>
                <w:sz w:val="11"/>
                <w:szCs w:val="11"/>
                <w:color w:val="auto"/>
              </w:rPr>
            </w:pPr>
          </w:p>
        </w:tc>
        <w:tc>
          <w:tcPr>
            <w:tcW w:w="1500" w:type="dxa"/>
            <w:vAlign w:val="bottom"/>
            <w:vMerge w:val="restart"/>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74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1380" w:type="dxa"/>
            <w:vAlign w:val="bottom"/>
            <w:gridSpan w:val="10"/>
          </w:tcPr>
          <w:p>
            <w:pPr>
              <w:spacing w:after="0"/>
              <w:rPr>
                <w:sz w:val="10"/>
                <w:szCs w:val="10"/>
                <w:color w:val="auto"/>
              </w:rPr>
            </w:pPr>
          </w:p>
        </w:tc>
        <w:tc>
          <w:tcPr>
            <w:tcW w:w="33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w w:val="97"/>
              </w:rPr>
              <w:t>101.INS</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3320" w:type="dxa"/>
            <w:vAlign w:val="bottom"/>
          </w:tcPr>
          <w:p>
            <w:pPr>
              <w:spacing w:after="0"/>
              <w:rPr>
                <w:sz w:val="16"/>
                <w:szCs w:val="16"/>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101.SCH</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320" w:type="dxa"/>
            <w:vAlign w:val="bottom"/>
          </w:tcPr>
          <w:p>
            <w:pPr>
              <w:spacing w:after="0"/>
              <w:rPr>
                <w:sz w:val="19"/>
                <w:szCs w:val="19"/>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101.CAL</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320" w:type="dxa"/>
            <w:vAlign w:val="bottom"/>
          </w:tcPr>
          <w:p>
            <w:pPr>
              <w:spacing w:after="0"/>
              <w:rPr>
                <w:sz w:val="19"/>
                <w:szCs w:val="19"/>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101.LAB</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320" w:type="dxa"/>
            <w:vAlign w:val="bottom"/>
          </w:tcPr>
          <w:p>
            <w:pPr>
              <w:spacing w:after="0"/>
              <w:rPr>
                <w:sz w:val="19"/>
                <w:szCs w:val="19"/>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w w:val="99"/>
              </w:rPr>
              <w:t>101.PRE</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320" w:type="dxa"/>
            <w:vAlign w:val="bottom"/>
          </w:tcPr>
          <w:p>
            <w:pPr>
              <w:spacing w:after="0"/>
              <w:rPr>
                <w:sz w:val="19"/>
                <w:szCs w:val="19"/>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w w:val="98"/>
              </w:rPr>
              <w:t>101.DEF</w:t>
            </w:r>
          </w:p>
        </w:tc>
        <w:tc>
          <w:tcPr>
            <w:tcW w:w="51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320" w:type="dxa"/>
            <w:vAlign w:val="bottom"/>
          </w:tcPr>
          <w:p>
            <w:pPr>
              <w:spacing w:after="0"/>
              <w:rPr>
                <w:sz w:val="19"/>
                <w:szCs w:val="19"/>
                <w:color w:val="auto"/>
              </w:rPr>
            </w:pPr>
          </w:p>
        </w:tc>
        <w:tc>
          <w:tcPr>
            <w:tcW w:w="1500" w:type="dxa"/>
            <w:vAlign w:val="bottom"/>
          </w:tcPr>
          <w:p>
            <w:pPr>
              <w:jc w:val="center"/>
              <w:ind w:left="9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20" w:right="6060" w:hanging="717"/>
        <w:spacing w:after="0" w:line="255" w:lineRule="auto"/>
        <w:tabs>
          <w:tab w:leader="none" w:pos="11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4"/>
          <w:szCs w:val="14"/>
          <w:color w:val="auto"/>
        </w:rPr>
      </w:pPr>
    </w:p>
    <w:p>
      <w:pPr>
        <w:spacing w:after="0" w:line="380" w:lineRule="exact"/>
        <w:rPr>
          <w:rFonts w:ascii="Times New Roman" w:cs="Times New Roman" w:eastAsia="Times New Roman" w:hAnsi="Times New Roman"/>
          <w:sz w:val="14"/>
          <w:szCs w:val="14"/>
          <w:color w:val="auto"/>
        </w:rPr>
      </w:pPr>
    </w:p>
    <w:p>
      <w:pPr>
        <w:ind w:left="260" w:hanging="255"/>
        <w:spacing w:after="0" w:line="262" w:lineRule="auto"/>
        <w:tabs>
          <w:tab w:leader="none" w:pos="25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31"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pursuant to Item 601(b)(10)(iv) of Regulation S-K.</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Exhibits and schedules 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MADRIGAL PHARMACEUTICALS, INC.</w:t>
            </w:r>
          </w:p>
        </w:tc>
      </w:tr>
      <w:tr>
        <w:trPr>
          <w:trHeight w:val="41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4, 2025</w:t>
            </w:r>
          </w:p>
        </w:tc>
        <w:tc>
          <w:tcPr>
            <w:tcW w:w="26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J. Sibold</w:t>
            </w:r>
          </w:p>
        </w:tc>
      </w:tr>
      <w:tr>
        <w:trPr>
          <w:trHeight w:val="187"/>
        </w:trPr>
        <w:tc>
          <w:tcPr>
            <w:tcW w:w="3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J. Sibold</w:t>
            </w:r>
          </w:p>
        </w:tc>
      </w:tr>
      <w:tr>
        <w:trPr>
          <w:trHeight w:val="202"/>
        </w:trPr>
        <w:tc>
          <w:tcPr>
            <w:tcW w:w="3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2"/>
        </w:trPr>
        <w:tc>
          <w:tcPr>
            <w:tcW w:w="3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4, 2025</w:t>
            </w:r>
          </w:p>
        </w:tc>
        <w:tc>
          <w:tcPr>
            <w:tcW w:w="26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Mardi C. Dier</w:t>
            </w:r>
          </w:p>
        </w:tc>
      </w:tr>
      <w:tr>
        <w:trPr>
          <w:trHeight w:val="187"/>
        </w:trPr>
        <w:tc>
          <w:tcPr>
            <w:tcW w:w="3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Mardi C. Dier</w:t>
            </w:r>
          </w:p>
        </w:tc>
      </w:tr>
    </w:tbl>
    <w:p>
      <w:pPr>
        <w:spacing w:after="0" w:line="1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123" w:right="319" w:bottom="1440"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ind w:left="10560"/>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Sibold, certify that:</w:t>
      </w:r>
    </w:p>
    <w:p>
      <w:pPr>
        <w:spacing w:after="0" w:line="83" w:lineRule="exact"/>
        <w:rPr>
          <w:sz w:val="20"/>
          <w:szCs w:val="20"/>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4, 2025</w:t>
      </w:r>
    </w:p>
    <w:p>
      <w:pPr>
        <w:sectPr>
          <w:pgSz w:w="11900" w:h="16838" w:orient="portrait"/>
          <w:cols w:equalWidth="0" w:num="1">
            <w:col w:w="11280"/>
          </w:cols>
          <w:pgMar w:left="300" w:top="759" w:right="319" w:bottom="1440" w:gutter="0" w:footer="0" w:header="0"/>
        </w:sectPr>
      </w:pPr>
    </w:p>
    <w:bookmarkStart w:id="201" w:name="page202"/>
    <w:bookmarkEnd w:id="201"/>
    <w:p>
      <w:pPr>
        <w:ind w:left="10560"/>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Mardi C. Dier, certify that:</w:t>
      </w:r>
    </w:p>
    <w:p>
      <w:pPr>
        <w:spacing w:after="0" w:line="83" w:lineRule="exact"/>
        <w:rPr>
          <w:sz w:val="20"/>
          <w:szCs w:val="20"/>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4, 2025</w:t>
      </w:r>
    </w:p>
    <w:p>
      <w:pPr>
        <w:sectPr>
          <w:pgSz w:w="11900" w:h="16838" w:orient="portrait"/>
          <w:cols w:equalWidth="0" w:num="1">
            <w:col w:w="11280"/>
          </w:cols>
          <w:pgMar w:left="300" w:top="759"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1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The Quarterly Report on Form 10-Q for the quarterly period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8"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November 4, 2025</w:t>
      </w:r>
      <w:r>
        <w:rPr>
          <w:sz w:val="20"/>
          <w:szCs w:val="20"/>
          <w:color w:val="auto"/>
        </w:rPr>
        <w:tab/>
      </w: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5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November 4, 2025</w:t>
      </w:r>
      <w:r>
        <w:rPr>
          <w:sz w:val="20"/>
          <w:szCs w:val="20"/>
          <w:color w:val="auto"/>
        </w:rPr>
        <w:tab/>
      </w: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5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lvl w:ilvl="1">
      <w:lvlJc w:val="left"/>
      <w:lvlText w:val="%2"/>
      <w:numFmt w:val="decimal"/>
      <w:start w:val="10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2025-11-04T08:29:36Z</dcterms:created>
  <dcterms:modified xsi:type="dcterms:W3CDTF">2025-11-04T08:29:36Z</dcterms:modified>
</cp:coreProperties>
</file>