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80" w:right="180" w:hanging="454"/>
        <w:spacing w:after="0" w:line="262" w:lineRule="auto"/>
        <w:tabs>
          <w:tab w:leader="none" w:pos="4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460" w:right="200" w:hanging="434"/>
        <w:spacing w:after="0" w:line="275" w:lineRule="auto"/>
        <w:tabs>
          <w:tab w:leader="none" w:pos="46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79" w:lineRule="exact"/>
        <w:rPr>
          <w:sz w:val="24"/>
          <w:szCs w:val="24"/>
          <w:color w:val="auto"/>
        </w:rPr>
      </w:pPr>
    </w:p>
    <w:p>
      <w:pPr>
        <w:ind w:left="244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04-3508648</w:t>
      </w:r>
    </w:p>
    <w:p>
      <w:pPr>
        <w:sectPr>
          <w:pgSz w:w="11900" w:h="16887" w:orient="portrait"/>
          <w:cols w:equalWidth="0" w:num="1">
            <w:col w:w="11160"/>
          </w:cols>
          <w:pgMar w:left="320" w:top="225" w:right="419" w:bottom="0" w:gutter="0" w:footer="0" w:header="0"/>
        </w:sectPr>
      </w:pPr>
    </w:p>
    <w:p>
      <w:pPr>
        <w:spacing w:after="0" w:line="4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36"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1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West Conshohocken, Pennsylvania</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19428</w:t>
      </w:r>
    </w:p>
    <w:p>
      <w:pPr>
        <w:spacing w:after="0" w:line="47" w:lineRule="exact"/>
        <w:rPr>
          <w:sz w:val="24"/>
          <w:szCs w:val="24"/>
          <w:color w:val="auto"/>
        </w:rPr>
      </w:pPr>
    </w:p>
    <w:p>
      <w:pPr>
        <w:sectPr>
          <w:pgSz w:w="11900" w:h="16887" w:orient="portrait"/>
          <w:cols w:equalWidth="0" w:num="2">
            <w:col w:w="7160" w:space="720"/>
            <w:col w:w="3280"/>
          </w:cols>
          <w:pgMar w:left="320" w:top="225" w:right="419" w:bottom="0" w:gutter="0" w:footer="0" w:header="0"/>
          <w:type w:val="continuous"/>
        </w:sectPr>
      </w:pPr>
    </w:p>
    <w:p>
      <w:pPr>
        <w:ind w:left="162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00" w:lineRule="exact"/>
        <w:rPr>
          <w:sz w:val="24"/>
          <w:szCs w:val="24"/>
          <w:color w:val="auto"/>
        </w:rPr>
      </w:pP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891"/>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84"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69"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6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87" w:orient="portrait"/>
          <w:cols w:equalWidth="0" w:num="1">
            <w:col w:w="11160"/>
          </w:cols>
          <w:pgMar w:left="320" w:top="225" w:right="4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8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0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1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18"/>
        </w:trPr>
        <w:tc>
          <w:tcPr>
            <w:tcW w:w="3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 2024, the registrant had 21,712,677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Item</w:t>
            </w:r>
          </w:p>
        </w:tc>
        <w:tc>
          <w:tcPr>
            <w:tcW w:w="920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2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2024 and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2023</w:t>
            </w:r>
          </w:p>
        </w:tc>
        <w:tc>
          <w:tcPr>
            <w:tcW w:w="11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3051F2"/>
              </w:rPr>
              <w:t>Condensed Consolidated Statements of Comprehensive Loss for the Three and Six Months Ended June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680" w:type="dxa"/>
            <w:vAlign w:val="bottom"/>
            <w:gridSpan w:val="2"/>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80" w:type="dxa"/>
            <w:vAlign w:val="bottom"/>
            <w:gridSpan w:val="2"/>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14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2024 and 2023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80" w:type="dxa"/>
            <w:vAlign w:val="bottom"/>
            <w:tcBorders>
              <w:top w:val="single" w:sz="8" w:color="0000FF"/>
            </w:tcBorders>
            <w:gridSpan w:val="5"/>
          </w:tcPr>
          <w:p>
            <w:pPr>
              <w:spacing w:after="0"/>
              <w:rPr>
                <w:sz w:val="18"/>
                <w:szCs w:val="18"/>
                <w:color w:val="auto"/>
              </w:rPr>
            </w:pPr>
          </w:p>
        </w:tc>
        <w:tc>
          <w:tcPr>
            <w:tcW w:w="182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74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4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786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4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880" w:type="dxa"/>
            <w:vAlign w:val="bottom"/>
            <w:gridSpan w:val="11"/>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17"/>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938"/>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160" w:type="dxa"/>
            <w:vAlign w:val="bottom"/>
            <w:gridSpan w:val="13"/>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534,216</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637,281</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640,547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118,548</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242,669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235,214</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par value $0.0001 per share authorized: 5,000,000 shares at June 30, 2024 and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December 31, 2023; 2,369,797 and 2,369,797 shares issued and outstanding at June 30, 2024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par value $0.0001 per share authorized: 200,000,000 at June 30, 2024 and December 31,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2023; 21,700,893 and 19,875,427 shares issued and outstanding at June 30, 2024 and December 31,</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 respectively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1,741,153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(1,635,802)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(1,336,290)</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857,120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405,333</w:t>
            </w:r>
          </w:p>
        </w:tc>
        <w:tc>
          <w:tcPr>
            <w:tcW w:w="0" w:type="dxa"/>
            <w:vAlign w:val="bottom"/>
          </w:tcPr>
          <w:p>
            <w:pPr>
              <w:spacing w:after="0"/>
              <w:rPr>
                <w:sz w:val="1"/>
                <w:szCs w:val="1"/>
                <w:color w:val="auto"/>
              </w:rPr>
            </w:pPr>
          </w:p>
        </w:tc>
      </w:tr>
      <w:tr>
        <w:trPr>
          <w:trHeight w:val="244"/>
        </w:trPr>
        <w:tc>
          <w:tcPr>
            <w:tcW w:w="8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1,099,789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640,547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130,759</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164,786</w:t>
            </w:r>
          </w:p>
        </w:tc>
        <w:tc>
          <w:tcPr>
            <w:tcW w:w="0" w:type="dxa"/>
            <w:vAlign w:val="bottom"/>
          </w:tcPr>
          <w:p>
            <w:pPr>
              <w:spacing w:after="0"/>
              <w:rPr>
                <w:sz w:val="1"/>
                <w:szCs w:val="1"/>
                <w:color w:val="auto"/>
              </w:rPr>
            </w:pPr>
          </w:p>
        </w:tc>
      </w:tr>
      <w:tr>
        <w:trPr>
          <w:trHeight w:val="243"/>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(164,786)</w:t>
            </w:r>
          </w:p>
        </w:tc>
        <w:tc>
          <w:tcPr>
            <w:tcW w:w="0" w:type="dxa"/>
            <w:vAlign w:val="bottom"/>
          </w:tcPr>
          <w:p>
            <w:pPr>
              <w:spacing w:after="0"/>
              <w:rPr>
                <w:sz w:val="1"/>
                <w:szCs w:val="1"/>
                <w:color w:val="auto"/>
              </w:rPr>
            </w:pPr>
          </w:p>
        </w:tc>
      </w:tr>
      <w:tr>
        <w:trPr>
          <w:trHeight w:val="263"/>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1"/>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w:t>
            </w: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21,402,646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18,310,952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20,702,041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18,249,778</w:t>
            </w:r>
          </w:p>
        </w:tc>
        <w:tc>
          <w:tcPr>
            <w:tcW w:w="0" w:type="dxa"/>
            <w:vAlign w:val="bottom"/>
          </w:tcPr>
          <w:p>
            <w:pPr>
              <w:spacing w:after="0"/>
              <w:rPr>
                <w:sz w:val="1"/>
                <w:szCs w:val="1"/>
                <w:color w:val="auto"/>
              </w:rPr>
            </w:pPr>
          </w:p>
        </w:tc>
      </w:tr>
      <w:tr>
        <w:trPr>
          <w:trHeight w:val="126"/>
        </w:trPr>
        <w:tc>
          <w:tcPr>
            <w:tcW w:w="5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3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5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(300,348)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(162,753)</w:t>
            </w: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00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19,875,427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(1,336,290)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405,333</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and sale of</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warrants in equity offerings, excluding</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related parties, net of transaction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warrants to related parties in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equity offerings, exercise of common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vesting, net of transaction costs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20,684,663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$2,334,760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(1,483,831)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850,759</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in equity</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offering, excluding to related parties,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346,153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85,950</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common shares to related parties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and exercise of common stock options,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670,077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21,700,893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2,493,288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(1,635,802)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857,120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18,102,523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$1,160,079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(962,660)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197,389</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common shares to related parties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and exercise of common stock options,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43"/>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918"/>
        </w:trPr>
        <w:tc>
          <w:tcPr>
            <w:tcW w:w="3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Hercules warrant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50"/>
        </w:trPr>
        <w:tc>
          <w:tcPr>
            <w:tcW w:w="3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(76,896)</w:t>
            </w:r>
          </w:p>
        </w:tc>
      </w:tr>
      <w:tr>
        <w:trPr>
          <w:trHeight w:val="25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18,283,074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$1,189,776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(1,039,556)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150,136</w:t>
            </w:r>
          </w:p>
        </w:tc>
      </w:tr>
      <w:tr>
        <w:trPr>
          <w:trHeight w:val="211"/>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in equity</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34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offering, excluding to related parties,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5"/>
        </w:trPr>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w:t>
            </w:r>
          </w:p>
        </w:tc>
      </w:tr>
      <w:tr>
        <w:trPr>
          <w:trHeight w:val="218"/>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common shares to related parties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3"/>
        </w:trPr>
        <w:tc>
          <w:tcPr>
            <w:tcW w:w="340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and exercise of common stock options,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61"/>
        </w:trPr>
        <w:tc>
          <w:tcPr>
            <w:tcW w:w="3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11"/>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 related to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options for services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r>
      <w:tr>
        <w:trPr>
          <w:trHeight w:val="263"/>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Hercules warrant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63"/>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18,459,033</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$1,228,949</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(1,125,356)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103,506</w:t>
            </w:r>
          </w:p>
        </w:tc>
      </w:tr>
      <w:tr>
        <w:trPr>
          <w:trHeight w:val="27"/>
        </w:trPr>
        <w:tc>
          <w:tcPr>
            <w:tcW w:w="34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30480</wp:posOffset>
            </wp:positionV>
            <wp:extent cx="18434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(162,696)</w:t>
            </w:r>
          </w:p>
        </w:tc>
      </w:tr>
      <w:tr>
        <w:trPr>
          <w:trHeight w:val="263"/>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Trade receivables,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Accrued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44"/>
        </w:trPr>
        <w:tc>
          <w:tcPr>
            <w:tcW w:w="830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(159,377)</w:t>
            </w: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(290,696)</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100,204</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830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(190,596)</w:t>
            </w: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related parties - warrants, exercise of common stock options, net of transaction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issuance of loan payable</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4"/>
        </w:trPr>
        <w:tc>
          <w:tcPr>
            <w:tcW w:w="830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707,829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95,620</w:t>
            </w:r>
          </w:p>
        </w:tc>
      </w:tr>
      <w:tr>
        <w:trPr>
          <w:trHeight w:val="256"/>
        </w:trPr>
        <w:tc>
          <w:tcPr>
            <w:tcW w:w="83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(254,353)</w:t>
            </w:r>
          </w:p>
        </w:tc>
      </w:tr>
      <w:tr>
        <w:trPr>
          <w:trHeight w:val="25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331,549</w:t>
            </w: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ind w:right="7240" w:firstLine="8"/>
        <w:spacing w:after="0" w:line="37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Madrigal Pharmaceuticals, Inc. (the “Company” or “Madrigal”) is a biopharmaceutical company dedicated to transforming care for patients with nonalcoholic steatohepatitis (“NASH”), a serious liver disease that can lead to cirrhosis, liver failure and premature mortality. The Company's medication, Rezdiffra (resmetirom), is a once-daily, oral, liver-directed THR-β agonist designed to target key underlying causes of NASH. In March 2024, Rezdiffra became the first and only FDA-approved therapy for patients with NASH. Rezdiffra became commercially available in the United States in April 2024. Rezdiffra is indicated in conjunction with diet and exercise for the treatment of adults with noncirrhotic NASH with moderate to advanced liver fibrosis (consistent with stages F2 to F3 fibrosis).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2024 or any subsequent period. These unaudited condensed consolidated financial statements should be read in conjunction with the audited consolidated financial statements and the notes to those statements for the year ended December 31, 2023.</w:t>
      </w:r>
    </w:p>
    <w:p>
      <w:pPr>
        <w:spacing w:after="0" w:line="304" w:lineRule="exact"/>
        <w:rPr>
          <w:sz w:val="20"/>
          <w:szCs w:val="20"/>
          <w:color w:val="auto"/>
        </w:rPr>
      </w:pPr>
    </w:p>
    <w:p>
      <w:pPr>
        <w:ind w:right="7660" w:firstLine="8"/>
        <w:spacing w:after="0" w:line="362"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spacing w:after="0" w:line="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 Revenue from Contracts with Customers.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w:t>
      </w:r>
    </w:p>
    <w:p>
      <w:pPr>
        <w:spacing w:after="0" w:line="18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Revenue from product sales is recorded net of adjustments for estimated government-mandated rebates and chargebacks, distribution fees, estimated product returns, and other deductions. Accruals are established for these deductions, and actual amounts incurred are offset against applicable accruals. The Company reflects these accruals as either a reduction in the related account receivable from the customer or as an accrued liability, depending on the means by</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deduction is settled. Sales deductions are based on management’s estimates that involve a substantial degree of judgment.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20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On March 14, 2024, the Company announced that the U.S. Food and Drug Administration (“FDA”) granted accelerated approval of Rezdiffra (resmetirom) in conjunction with diet and exercise for the treatment of adults with noncirrhotic nonalcoholic steatohepatitis (“NASH”) with moderate to advanced liver fibrosis (consistent with stages F2 to F3 fibrosis).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Prompt Pay</w:t>
      </w:r>
      <w:r>
        <w:rPr>
          <w:rFonts w:ascii="Times New Roman" w:cs="Times New Roman" w:eastAsia="Times New Roman" w:hAnsi="Times New Roman"/>
          <w:sz w:val="18"/>
          <w:szCs w:val="18"/>
          <w:color w:val="auto"/>
        </w:rPr>
        <w:t>: Customers receive a 2% prompt pay discount for payments made within a contractually agreed number of days before the due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discounts are accounted for as a reduction of the transaction price and recorded as a contra receivable.</w:t>
      </w:r>
    </w:p>
    <w:p>
      <w:pPr>
        <w:spacing w:after="0" w:line="19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The Company records allowances for product returns as a reduction of revenue at the time product sales are recorded. Product returns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forecasted sales and historical and industry data. Returns are permitted under certain contractual circumstances, including product expiration date. A returns reserve is recorded as an accrued liability.</w:t>
      </w:r>
    </w:p>
    <w:p>
      <w:pPr>
        <w:spacing w:after="0" w:line="174" w:lineRule="exact"/>
        <w:rPr>
          <w:sz w:val="20"/>
          <w:szCs w:val="20"/>
          <w:color w:val="auto"/>
        </w:rPr>
      </w:pPr>
    </w:p>
    <w:p>
      <w:pPr>
        <w:ind w:right="4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reserved for from eligible healthcare providers, resulting from discounted sales prices offered to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 Company is charged back for the difference between the sale price and the discounted price, which is recorded as a contra receivable.</w:t>
      </w:r>
    </w:p>
    <w:p>
      <w:pPr>
        <w:spacing w:after="0" w:line="159"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Co-Payment Assistance</w:t>
      </w:r>
      <w:r>
        <w:rPr>
          <w:rFonts w:ascii="Times New Roman" w:cs="Times New Roman" w:eastAsia="Times New Roman" w:hAnsi="Times New Roman"/>
          <w:sz w:val="18"/>
          <w:szCs w:val="18"/>
          <w:color w:val="auto"/>
        </w:rPr>
        <w:t>: Co-payment assistant programs are offered to eligible end-users as price concessions and are recorded as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a reduction of the transaction price. The Company uses a third-party to administer the co-payment program for pharmacy benefit claims.</w:t>
      </w:r>
    </w:p>
    <w:p>
      <w:pPr>
        <w:spacing w:after="0" w:line="159"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Rebates include mandated discounts relating to the Medicaid Drug Rebate Program and Medicare coverage gap rebates. The discount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result in decreases to revenue and are recorded to accrued liabilities.</w:t>
      </w:r>
    </w:p>
    <w:p>
      <w:pPr>
        <w:spacing w:after="0" w:line="161"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The Company generates revenue from a small number of large, reputable customers. The following customers accounted for over 10% of total gross product revenue during three months ended June 30, 2024. As the Company launched Rezdiffra in April 2024, there were no sales and no corresponding customer concentrations in prior periods.</w:t>
      </w:r>
    </w:p>
    <w:p>
      <w:pPr>
        <w:spacing w:after="0" w:line="21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33655</wp:posOffset>
            </wp:positionV>
            <wp:extent cx="2408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49" w:lineRule="exact"/>
        <w:rPr>
          <w:sz w:val="20"/>
          <w:szCs w:val="20"/>
          <w:color w:val="auto"/>
        </w:rPr>
      </w:pPr>
    </w:p>
    <w:tbl>
      <w:tblPr>
        <w:tblLayout w:type="fixed"/>
        <w:tblInd w:w="3260" w:type="dxa"/>
        <w:tblCellMar>
          <w:top w:w="0" w:type="dxa"/>
          <w:left w:w="0" w:type="dxa"/>
          <w:bottom w:w="0" w:type="dxa"/>
          <w:right w:w="0" w:type="dxa"/>
        </w:tblCellMar>
      </w:tblPr>
      <w:tr>
        <w:trPr>
          <w:trHeight w:val="190"/>
        </w:trPr>
        <w:tc>
          <w:tcPr>
            <w:tcW w:w="28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1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2"/>
                <w:szCs w:val="22"/>
                <w:color w:val="auto"/>
              </w:rPr>
            </w:pPr>
          </w:p>
        </w:tc>
        <w:tc>
          <w:tcPr>
            <w:tcW w:w="18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2"/>
                <w:szCs w:val="22"/>
                <w:color w:val="auto"/>
              </w:rPr>
            </w:pPr>
          </w:p>
        </w:tc>
        <w:tc>
          <w:tcPr>
            <w:tcW w:w="18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 %</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08"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6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deposited in highly rated financial institutions in the United States. The Company invests in money market funds and high-grade, commercial paper and corporate bonds, which management believes are subject to minimal credit and market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6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2024 and 2023, the Company determined it did not have any securities that were other-than-temporarily impaired.</w:t>
      </w:r>
    </w:p>
    <w:p>
      <w:pPr>
        <w:spacing w:after="0" w:line="181"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2024 and 2023, the Company did not have any realized gains or losses on marketable securities.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04"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40"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7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June 30, 2024,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2024 and 2023, the Company did not have any transfers of financial assets between Levels 1 and 2. As of June 30, 2024 and December 31, 2023, the Company did not have any financial liabilities that were recorded at fair value on a recurring basis on the balance sheet.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08"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using actual cost, based on a first-in, first-out (“FIFO”) method. The Company analyzes its inventory levels quarterly and writes down inventory subject to expiry or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excess of expected requirements, or that has a cost basis in excess of its expected net realizable value. These write downs are charged to cost of goods sold in the accompanying Consolidated Statements of Income.</w:t>
      </w:r>
    </w:p>
    <w:p>
      <w:pPr>
        <w:spacing w:after="0" w:line="17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were expensed as incurred as research and development expenses.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0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0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selling, general and administrative expense in the Company’s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are amortized to cost of goods sold over their estimated useful lives using the straight-line method. Intangible assets are tested for recoverability whenever events or changes in circumstances indicate that the carrying amounts may not be recoverable.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16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81"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77"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169"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08" w:lineRule="exact"/>
        <w:rPr>
          <w:sz w:val="20"/>
          <w:szCs w:val="20"/>
          <w:color w:val="auto"/>
        </w:rPr>
      </w:pPr>
    </w:p>
    <w:p>
      <w:pPr>
        <w:ind w:right="620" w:firstLine="648"/>
        <w:spacing w:after="0" w:line="258"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six months ended June 30, 2024 and 2023,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 following table summarizes outstanding securities not included in the computation of diluted net loss per common share, as their inclusion would be anti-dilutive:</w:t>
      </w:r>
    </w:p>
    <w:p>
      <w:pPr>
        <w:spacing w:after="0" w:line="243"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8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Outstanding at June 30,</w:t>
            </w:r>
          </w:p>
        </w:tc>
      </w:tr>
      <w:tr>
        <w:trPr>
          <w:trHeight w:val="23"/>
        </w:trPr>
        <w:tc>
          <w:tcPr>
            <w:tcW w:w="5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1,772,807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2,583,540</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222,300</w:t>
            </w: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3,625,244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which enhances the disclosures required for operating segments in the Company's annual and interim consolidated financial statements. The amendments are effective for fiscal years beginning after December 15, 2023, and interim periods beginning after December 15, 2024. Early adoption is permitted. The Company is currently evaluating the impact of ASU 2023-07 on its financial statements.</w:t>
      </w:r>
    </w:p>
    <w:p>
      <w:pPr>
        <w:spacing w:after="0" w:line="177"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enhances the disclosures required for income taxes in the Company's annual consolidated financial statements. The amendments are effective for annual periods beginning after December 15, 2024. Early adoption is permitted. The Company is currently evaluating the impact of ASU 2023-09 on its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commercialization, and compliance with the U.S. Food and Drug Administration (“FDA”) and other government regulations.</w:t>
      </w:r>
    </w:p>
    <w:p>
      <w:pPr>
        <w:spacing w:after="0" w:line="19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$299.5 million for the six months ended June 30, 2024, resulting in an accumulated deficit of approximately $1,635.8 million as of June 30, 2024. To date, the Company has funded its operations primarily through proceeds from sales of the Company’s capital stock and debt financings. In March 2024, the FDA approved Rezdiffra in the U.S. for the treatment of adults with noncirrhotic NASH with moderate to advanced liver fibrosis (consistent with stages F2 to F3 fibrosis). Rezdiffra became commercially available in the U.S. in April 2024. In March 2024, the Company completed a public offering and received approximately $574.0 million net cash proceeds. In April 2024, underwriters exercised in full their option to purchase additional shares as part of the public offering, resulting in additional net cash proceeds of approximately $85.9 million. The Company believes that its cash, cash equivalents and marketable securities will be sufficient to fund operations past one year from the issuance of these financial statements. The Company’s future long-term liquidity requirements will be substantial and will depend on many factors, including the Company’s ability to effectively commercialize Rezdiffra.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0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held restricted cash of $5.0 million as of June 30, 2024 as collateral to its corporate credit card program. The Company had no restricted cash as of December 31, 2023.</w:t>
      </w:r>
    </w:p>
    <w:p>
      <w:pPr>
        <w:spacing w:after="0" w:line="14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June 30, 2024 and December 31, 2023 is as follows (in thousands):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8"/>
        </w:trPr>
        <w:tc>
          <w:tcPr>
            <w:tcW w:w="5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980" w:type="dxa"/>
            <w:vAlign w:val="bottom"/>
          </w:tcPr>
          <w:p>
            <w:pPr>
              <w:jc w:val="right"/>
              <w:ind w:right="434"/>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204"/>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tcPr>
          <w:p>
            <w:pPr>
              <w:spacing w:after="0"/>
              <w:rPr>
                <w:sz w:val="21"/>
                <w:szCs w:val="21"/>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476,755</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476,755</w:t>
            </w:r>
          </w:p>
        </w:tc>
      </w:tr>
      <w:tr>
        <w:trPr>
          <w:trHeight w:val="25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499,597</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343,983</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of purchase (Level 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219,363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219,214</w:t>
            </w:r>
          </w:p>
        </w:tc>
      </w:tr>
      <w:tr>
        <w:trPr>
          <w:trHeight w:val="275"/>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1,062,794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8"/>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33"/>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204"/>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78,555</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(Level 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382,216</w:t>
            </w: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date of purchase (Level 2)</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151,022</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75"/>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634,131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inventory balances as of June 30, 2024 and December 31, 2023 (in thousands):</w:t>
      </w:r>
    </w:p>
    <w:p>
      <w:pPr>
        <w:spacing w:after="0" w:line="246" w:lineRule="exact"/>
        <w:rPr>
          <w:sz w:val="20"/>
          <w:szCs w:val="20"/>
          <w:color w:val="auto"/>
        </w:rPr>
      </w:pPr>
    </w:p>
    <w:tbl>
      <w:tblPr>
        <w:tblLayout w:type="fixed"/>
        <w:tblInd w:w="222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6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60" w:type="dxa"/>
            <w:vAlign w:val="bottom"/>
            <w:shd w:val="clear" w:color="auto" w:fill="CCEEFF"/>
          </w:tcPr>
          <w:p>
            <w:pPr>
              <w:jc w:val="right"/>
              <w:ind w:right="14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ind w:right="14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as of June 30, 2024 and December 31, 2023 consisted of the following (in thousands):</w:t>
      </w: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drug supply</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89,980</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 Term Debt</w:t>
      </w:r>
    </w:p>
    <w:p>
      <w:pPr>
        <w:spacing w:after="0" w:line="1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w:t>
      </w:r>
    </w:p>
    <w:p>
      <w:pPr>
        <w:sectPr>
          <w:pgSz w:w="11900" w:h="16838" w:orient="portrait"/>
          <w:cols w:equalWidth="0" w:num="1">
            <w:col w:w="11060"/>
          </w:cols>
          <w:pgMar w:left="320" w:top="117" w:right="51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tranches upon achievement of certain resmetirom clinical and regulatory milestones. A fourth tranche of $75.0 million could have been drawn by the Company, subject to the approval of Hercules. The Loan Facility had a minimum interest rate of 7.45% and adjusted with changes in the prime rate. The Company was originally scheduled to pay interest-only monthly payments of accrued interest under the Loan Facility through May 1, 2025, for a period of 36 months. In March 2024, the interest-only period was extended to May 1, 2026 when the Company achieved a milestone when Rezdiffra received FDA approval. The interest only period can further be extended to May 3, 2027, upon the achievement of future revenue milestones, subject to compliance with applicable covenants. The Loan Facility originally matured in May 2026, but the maturity date was extended to May 2027 when the Company achieved a milestone upon receipt of FDA approval in March 2024.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8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On February 3, 2023, the Company entered into the First Amendment (the “First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w:t>
      </w:r>
    </w:p>
    <w:p>
      <w:pPr>
        <w:spacing w:after="0" w:line="17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The third tranche (“Tranche 3”) of $75.0 million was unchanged by the First Amendment, and such borrowings became available when the Company achieved a milestone with FDA approval for Rezdiffra in March 2024. The Company did not elect to draw Tranche 3 before it expired in June 2024. Coincident with the expansion of Tranche 2 borrowing capacity by $15.0 million, the Amendment reduced the fourth tranche under the Loan Facility (“Tranche 4”) by $15.0 million to $60.0 million. In connection with the $35.0 million drawn under Tranche 2 at the closing of the First Amendment, $15.0 million drawn in June of 2023, and $15.0 million drawn in September of 2023, the Company issued to Hercules and affiliates Tranche 2 Warrants to purchase an aggregate of 4,555 shares of common stock, which had a Black-Scholes value of $0.9 million. The First Amendment reduced the interest rate under the Amended Loan Facility to the greater of (i) the prime rate as reported in The Wall Street Journal plus 2.45% and (ii) 8.25%. The First Amendment and the Amended Loan Facility summary terms were disclosed in the Company’s Current Report on Form 8-K filed with the Securities and Exchange Commission on February 9, 2023.</w:t>
      </w:r>
    </w:p>
    <w:p>
      <w:pPr>
        <w:spacing w:after="0" w:line="185"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outstanding principal under the Loan Facility was $115.0 million. The interest rate as of June 30, 2024 was 10.95%. As of June 30, 2024, the Company was in compliance with all loan covenants and provisions.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minimum payments, including interest and principal, under the loans payable outstanding as of June 30, 2024 are as follows (in thousands):</w:t>
      </w:r>
    </w:p>
    <w:p>
      <w:pPr>
        <w:spacing w:after="0" w:line="269"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June 30, 2024:</w:t>
            </w:r>
          </w:p>
        </w:tc>
        <w:tc>
          <w:tcPr>
            <w:tcW w:w="300" w:type="dxa"/>
            <w:vAlign w:val="bottom"/>
          </w:tcPr>
          <w:p>
            <w:pPr>
              <w:spacing w:after="0"/>
              <w:rPr>
                <w:sz w:val="13"/>
                <w:szCs w:val="1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180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50"/>
        </w:trPr>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r>
      <w:tr>
        <w:trPr>
          <w:trHeight w:val="263"/>
        </w:trPr>
        <w:tc>
          <w:tcPr>
            <w:tcW w:w="1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79,604</w:t>
            </w: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53,387</w:t>
            </w:r>
          </w:p>
        </w:tc>
      </w:tr>
      <w:tr>
        <w:trPr>
          <w:trHeight w:val="257"/>
        </w:trPr>
        <w:tc>
          <w:tcPr>
            <w:tcW w:w="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152,159</w:t>
            </w:r>
          </w:p>
        </w:tc>
      </w:tr>
      <w:tr>
        <w:trPr>
          <w:trHeight w:val="250"/>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net of discount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116,607</w:t>
            </w: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ind w:right="9400" w:firstLine="8"/>
        <w:spacing w:after="0" w:line="370"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Public Offering</w:t>
      </w:r>
    </w:p>
    <w:p>
      <w:pPr>
        <w:spacing w:after="0" w:line="108"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On March 18, 2024, the Company entered into an Underwriting Agreement with Goldman Sachs &amp; Co. LLC, Jefferies LLC, Cowen and Company, LLC, Evercore Group L.L.C. and Piper Sandler &amp; Co, as representatives of the several underwriters named therein (the “2024 Underwriters”), pursuant to which the Company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 The gross proceeds of the 2024 Offering was $600.0 million, and the Company received net proceeds, after deducting the underwriting discount and commissions and other estimated offering expenses payable by the Company, of approximately $574.0 million.</w:t>
      </w:r>
    </w:p>
    <w:p>
      <w:pPr>
        <w:spacing w:after="0" w:line="185"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18"/>
          <w:szCs w:val="18"/>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 intends to use the net proceeds from the 2024 Offering for its commercial activities in connection with the launch of Rezdiffra in the U.S.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7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Public Offering</w:t>
      </w:r>
    </w:p>
    <w:p>
      <w:pPr>
        <w:spacing w:after="0" w:line="1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On September 28, 2023, the Company entered into an Underwriting Agreement with Goldman Sachs &amp; Co. LLC, as representative of the several underwriters named therein (the “2023 Underwriters”), pursuant to which the Company sold to the 2023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2023 Pre-Funded Warrant, which represents the per share public offering price for the common stock less a $0.0001 per share exercise price for each such 2023 Pre-Funded Warrant. The 2023 Offering closed on October 3, 2023.</w:t>
      </w:r>
    </w:p>
    <w:p>
      <w:pPr>
        <w:spacing w:after="0" w:line="180"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gross proceeds of the 2023 Offering was $500.0 million, and the Company received net proceeds, after deducting the underwriting discount and commissions and other estimated offering expenses payable by the Company, of approximately $472.0 million. The Company intends to use the net proceeds from the Offering for its clinical and commercial activities in preparation for the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9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 2023 Pre-Funded Warrants may increase or decrease this percentage, but not in excess of 19.99%, by providing at least 61 days prior notice to the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08"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spacing w:after="0" w:line="17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May 2023, the Company entered into an amendment to the 2021 Sales Agreement (the “Sales Agreement Amendment”), with Cowen, pursuant to which the Company could, from time to time, issue and sell an additional $200.0 million in shares of its common stock, until it was terminated in May 2024. The Company was not obligated to make any sales of its common stock under this arrangement. Any shares sold would be sold pursuant to the Registration Statement and prospectus supplement filed pursuant to the Registration Statement. The 2021 Sales Agreement, as amended by the Sales Agreement Amendment, authorized sales of shares of the Company’s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Since the entry into the Sales Agreement Amendment in May 2023, the Company sold 98,101 shares in total under the 2021 Sales Agreement, as amended by the Sales Agreement Amendment,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In total, the Company sold 1,334,044 shares of Common Stock having an aggregate offering price of $225.1 million pursuant to the 2021 Sales Agreement, as amended by the Sales Agreement Amendment.</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“2024 Sales Agreement”) with Cowen, replacing and superseding the 2021 Sales Agreement, as amended by the Sales Agreement Amendment which was terminated effective upon the entry into the 2024 Sales Agreement. The Company is authorized to issue and sell up to $300.0 million in shares of the Company’s common stock under the 2024 Sales Agreement. The Company sold no shares in the three and six months ended June 30, 2024 under either the 2021 Sales Agreement, as amended by the Sales Agreement Amendment, or the 2024 Sales Agreement.</w:t>
      </w:r>
    </w:p>
    <w:p>
      <w:pPr>
        <w:spacing w:after="0" w:line="285" w:lineRule="exact"/>
        <w:rPr>
          <w:sz w:val="20"/>
          <w:szCs w:val="20"/>
          <w:color w:val="auto"/>
        </w:rPr>
      </w:pPr>
    </w:p>
    <w:p>
      <w:pPr>
        <w:ind w:right="8960" w:firstLine="8"/>
        <w:spacing w:after="0" w:line="370"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On June 25, 2024, the Company’s stockholders approved an amendment to the 2015 Stock Plan to increase the total number of shares of common stock available for issuance by 750,000 and extend its duration by 10 years until April 23, 2035. As of June 30, 2024, 1,264,199 shares were available for future issuance under the 2015 Stock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10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500,000 shares of the Company’s common stock were reserved for issuance under the Inducement Plan. As of June 30, 2024, 19,097 shares were available for future issuance under the 2023 Inducement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260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22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2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1,323,994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$49.7 million and $21.8 million, respectively, for the six months ended June 30, 2024 and 2023. The total intrinsic value of options exercised was $121.1 million and $48.9 million, respectively, for the six months ended June 30, 2024 and 2023. The weighted-average grant date fair values, based on the Black-Scholes option model, of options granted during the six months ended June 30, 2024 and 2023 were $153.98 and $219.02,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 As of June 30, 2024, the Company had 508,947 restricted stock units outstanding, with a weighted average grant date fair value of $230.61 per unit.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excluding performance-based RSUs, during the six months ended June 30, 2024:</w:t>
      </w:r>
    </w:p>
    <w:p>
      <w:pPr>
        <w:spacing w:after="0" w:line="244"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4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231.96</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289.45</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1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243.28</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granted various performance-based restricted stock units (“PSUs”) to certain members of senior leadership.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PSU activity during the six months ended June 30, 2024:</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Eligible to Earn PSUs</w:t>
            </w:r>
          </w:p>
        </w:tc>
        <w:tc>
          <w:tcPr>
            <w:tcW w:w="120" w:type="dxa"/>
            <w:vAlign w:val="bottom"/>
          </w:tcPr>
          <w:p>
            <w:pPr>
              <w:spacing w:after="0"/>
              <w:rPr>
                <w:sz w:val="13"/>
                <w:szCs w:val="13"/>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PSUs at December 31, 2023</w:t>
            </w:r>
          </w:p>
        </w:tc>
        <w:tc>
          <w:tcPr>
            <w:tcW w:w="10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388.02</w:t>
            </w: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attained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forfeited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388.02</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0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92,760</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257.77</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restricted stock units, performance stock units, and options outstanding pursuant to which an aggregate of 2,517,274 shares of its common stock may be issued pursuant to the terms of all awards granted under the 2015 Stock Plan and Inducement Plan.</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during the three and six months ended June 30, 2024 and 2023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5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0" w:type="dxa"/>
            <w:vAlign w:val="bottom"/>
          </w:tcPr>
          <w:p>
            <w:pPr>
              <w:spacing w:after="0"/>
              <w:rPr>
                <w:sz w:val="1"/>
                <w:szCs w:val="1"/>
                <w:color w:val="auto"/>
              </w:rPr>
            </w:pPr>
          </w:p>
        </w:tc>
      </w:tr>
      <w:tr>
        <w:trPr>
          <w:trHeight w:val="27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Unrecognized stock-based compensation expense as of June 30, 2024 was $149.1 million with a weighted average remaining period of 2.09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0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6"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7"/>
          <w:szCs w:val="17"/>
          <w:color w:val="auto"/>
        </w:rPr>
        <w:t>The agreement requires future milestone payments to Roche. In March 2024, upon receiving FDA approval of Rezdiffra, a milestone was achieved and $5.0 million became due to Roche. Remaining milestones under the agreement total $3.0 million and are payable upon the Company achieving specified objectives related to future regulatory approval in Europe of resmetirom or a product developed from resmetirom. Furthermore, a tiered single-digit royalty is payable on net sales of resmetirom or a product developed from resmetirom, subject to certain reductions. The Company launched Rezdiffra in the U.S. in April 2024. The company did not achieve any product development or regulatory milestones for the six months ended June 30, 2023.</w:t>
      </w:r>
    </w:p>
    <w:p>
      <w:pPr>
        <w:spacing w:after="0" w:line="16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clinical trials and commercialization.</w:t>
      </w:r>
    </w:p>
    <w:p>
      <w:pPr>
        <w:spacing w:after="0" w:line="148" w:lineRule="exact"/>
        <w:rPr>
          <w:sz w:val="20"/>
          <w:szCs w:val="20"/>
          <w:color w:val="auto"/>
        </w:rPr>
      </w:pPr>
    </w:p>
    <w:p>
      <w:pPr>
        <w:jc w:val="both"/>
        <w:ind w:right="400" w:firstLine="648"/>
        <w:spacing w:after="0" w:line="258" w:lineRule="auto"/>
        <w:rPr>
          <w:sz w:val="20"/>
          <w:szCs w:val="20"/>
          <w:color w:val="auto"/>
        </w:rPr>
      </w:pPr>
      <w:r>
        <w:rPr>
          <w:rFonts w:ascii="Times New Roman" w:cs="Times New Roman" w:eastAsia="Times New Roman" w:hAnsi="Times New Roman"/>
          <w:sz w:val="18"/>
          <w:szCs w:val="18"/>
          <w:color w:val="auto"/>
        </w:rPr>
        <w:t>In August 2023, the Company entered into the Fifth Amendment to the Office Lease (the “Fifth Lease Amendment”). The Lease Amendment extended the term of the lease through November 2026. As a result of the Lease Amendment, an incremental $1.6 million right-of-use asset and lease liabilities were recorded during the year ended December 31, 2023.</w:t>
      </w:r>
    </w:p>
    <w:p>
      <w:pPr>
        <w:spacing w:after="0" w:line="16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April 2024 and May 2024, the Company entered into the Sixth (the “Sixth Lease Amendment”) and Seventh (the “Seventh Lease Amendment”) Amendments to the Office Lease, respectively, expanding the amount of office space available in the same premises. The lease commencement date had not yet occurred as of June 30, 2024 and therefore there was no impact to the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END OF FINANCIAL STATEMENTS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Quarterly Report relate to, among other things:</w:t>
      </w:r>
    </w:p>
    <w:p>
      <w:pPr>
        <w:spacing w:after="0" w:line="71" w:lineRule="exact"/>
        <w:rPr>
          <w:sz w:val="20"/>
          <w:szCs w:val="20"/>
          <w:color w:val="auto"/>
        </w:rPr>
      </w:pPr>
    </w:p>
    <w:p>
      <w:pPr>
        <w:ind w:left="1300" w:right="58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(including potential ex-U.S. commercial or partnering opportunities),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6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requirements and commitments, including verification of a clinical benefit in confirmatory trials;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delay certain research activities and related clinical expenses as necessary;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the anticipated timing of disclosure, presentations of data from, or outcomes from our trials;</w:t>
      </w:r>
    </w:p>
    <w:p>
      <w:pPr>
        <w:spacing w:after="0" w:line="103" w:lineRule="exact"/>
        <w:rPr>
          <w:rFonts w:ascii="Times New Roman" w:cs="Times New Roman" w:eastAsia="Times New Roman" w:hAnsi="Times New Roman"/>
          <w:sz w:val="18"/>
          <w:szCs w:val="18"/>
          <w:color w:val="auto"/>
        </w:rPr>
      </w:pPr>
    </w:p>
    <w:p>
      <w:pPr>
        <w:ind w:left="1300" w:right="360" w:hanging="320"/>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 the timing and results associated with the future development of our Rezdiffra/resmetirom, including projected market size, sector leadership, and patient treatment estimates for NASH and nonalcoholic fatty liver disease (“NAFLD”) patients;</w:t>
      </w:r>
    </w:p>
    <w:p>
      <w:pPr>
        <w:spacing w:after="0" w:line="6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projected future clinical milestone events, including enrollment, additional studies, top-line data and open label projections;</w:t>
      </w:r>
    </w:p>
    <w:p>
      <w:pPr>
        <w:spacing w:after="0" w:line="67" w:lineRule="exact"/>
        <w:rPr>
          <w:rFonts w:ascii="Times New Roman" w:cs="Times New Roman" w:eastAsia="Times New Roman" w:hAnsi="Times New Roman"/>
          <w:sz w:val="18"/>
          <w:szCs w:val="18"/>
          <w:color w:val="auto"/>
        </w:rPr>
      </w:pPr>
    </w:p>
    <w:p>
      <w:pPr>
        <w:ind w:left="1300" w:right="34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Rezdiffra’s potential to be a cost-effective specialty therapy for NASH patients with significant liver fibrosis (consistent with fibrosis stages 2 and 3);</w:t>
      </w:r>
    </w:p>
    <w:p>
      <w:pPr>
        <w:spacing w:after="0" w:line="54" w:lineRule="exact"/>
        <w:rPr>
          <w:rFonts w:ascii="Times New Roman" w:cs="Times New Roman" w:eastAsia="Times New Roman" w:hAnsi="Times New Roman"/>
          <w:sz w:val="18"/>
          <w:szCs w:val="18"/>
          <w:color w:val="auto"/>
        </w:rPr>
      </w:pPr>
    </w:p>
    <w:p>
      <w:pPr>
        <w:ind w:left="1300" w:right="160" w:hanging="320"/>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or objectives for obtaining full approval for resmetirom for NASH patients with significant fibrosis (or non-cirrhotic NASH patients) and NASH patients with compensated cirrhosis, including all statements concerning potential clinical benefit to support approval and/or potential approval;</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patients diagnosed with NASH;</w:t>
      </w:r>
    </w:p>
    <w:p>
      <w:pPr>
        <w:spacing w:after="0" w:line="117"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54" w:lineRule="exact"/>
        <w:rPr>
          <w:rFonts w:ascii="Times New Roman" w:cs="Times New Roman" w:eastAsia="Times New Roman" w:hAnsi="Times New Roman"/>
          <w:sz w:val="18"/>
          <w:szCs w:val="18"/>
          <w:color w:val="auto"/>
        </w:rPr>
      </w:pPr>
    </w:p>
    <w:p>
      <w:pPr>
        <w:ind w:left="1300" w:right="80" w:hanging="320"/>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NASH progression and adverse patient outcomes;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clinical burden of uncontrolled NASH;</w:t>
      </w:r>
    </w:p>
    <w:p>
      <w:pPr>
        <w:spacing w:after="0" w:line="117"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for patients with NASH with significant fibrosis concerning potential progression to cirrhosis, decompensated cirrhosis, liver transplant or death, and cardiovascular risks, comorbidities and outcomes;</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unmet needs of patients suffering from NASH with significant fibrosis,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safety of resmetirom for non-cirrhotic NASH patients and cirrhotic NASH patients,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become the best-in-class treatment option for patients with NASH and significant fibrosis;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right="36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clinical evidence demonstrating the utility of non-invasive tools and techniques to screen and diagnose NASH and/or NAFLD patients;</w:t>
      </w:r>
    </w:p>
    <w:p>
      <w:pPr>
        <w:spacing w:after="0" w:line="67" w:lineRule="exact"/>
        <w:rPr>
          <w:rFonts w:ascii="Times New Roman" w:cs="Times New Roman" w:eastAsia="Times New Roman" w:hAnsi="Times New Roman"/>
          <w:sz w:val="18"/>
          <w:szCs w:val="18"/>
          <w:color w:val="auto"/>
        </w:rPr>
      </w:pPr>
    </w:p>
    <w:p>
      <w:pPr>
        <w:ind w:left="1300" w:right="42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liver volume changes or MAST scores for NASH and/or NAFLD patients;</w:t>
      </w:r>
    </w:p>
    <w:p>
      <w:pPr>
        <w:spacing w:after="0" w:line="117"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NASH resolution and/or fibrosis reduction with resmetirom or improvement using non-invasive tests, including the use of ELF, FibroScan, MRE and/or MRI-PDFF;</w:t>
      </w:r>
    </w:p>
    <w:p>
      <w:pPr>
        <w:spacing w:after="0" w:line="54"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non-invasive tests generally, including for purposes of diagnosing NASH, monitoring patient response to resmetirom, or recruiting and conducting a NASH clinical trial;</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 an effective treatment for other disease indications;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03" w:lineRule="exact"/>
        <w:rPr>
          <w:rFonts w:ascii="Times New Roman" w:cs="Times New Roman" w:eastAsia="Times New Roman" w:hAnsi="Times New Roman"/>
          <w:sz w:val="18"/>
          <w:szCs w:val="18"/>
          <w:color w:val="auto"/>
        </w:rPr>
      </w:pPr>
    </w:p>
    <w:p>
      <w:pPr>
        <w:ind w:left="1300" w:right="180" w:hanging="320"/>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8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cyber attacks and other security incidents on our operations or business;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third-party contract manufacturers for the manufacture of our product candidates, including resmetirom;</w:t>
      </w:r>
    </w:p>
    <w:p>
      <w:pPr>
        <w:spacing w:after="0" w:line="103"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pacing w:after="0" w:line="212"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7"/>
          <w:szCs w:val="17"/>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3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and commercial development of resmetirom; the challenges with the commercial launch of a new product, particularly for a company that does not have commercial experience; enrollment and trial outlook uncertainties, generally, based on blinded, locked or limited trial data; our potential inability to raise sufficient capital to fund our ongoing operations as currently planned or to obtain financings on terms similar to those we have arranged in the past; our ability to meet post-approval commitments and requirements, including completion of enrollment of—and ability to obtain positive data from—any confirmatory studies required by the FDA;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our ability to prevent and/or mitigate cybersecurity attacks, unauthorized exfiltration of data or other security incidents; limitations associated with early stage or non-placebo controlled study data; the timing and outcomes of clinical studies of resmetirom; and the uncertainties inherent in clinical testing; and uncertainties concerning analyses or assessments outside of a controlled clinical trial.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II, Item 1A of this Quarterly Report on Form 10-Q and Part I, Item 1A of our Annual Report on Form 10-K for the year ended December 31, 2023, filed with the SEC on February 28, 2024 (the “2023 Form</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10-K”), as well as in our other filings with the SEC. You should read the 2023 Form 10-K,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190" w:lineRule="exact"/>
        <w:rPr>
          <w:sz w:val="20"/>
          <w:szCs w:val="20"/>
          <w:color w:val="auto"/>
        </w:rPr>
      </w:pPr>
    </w:p>
    <w:p>
      <w:pPr>
        <w:ind w:right="380" w:firstLine="648"/>
        <w:spacing w:after="0" w:line="272" w:lineRule="auto"/>
        <w:rPr>
          <w:sz w:val="20"/>
          <w:szCs w:val="20"/>
          <w:color w:val="auto"/>
        </w:rPr>
      </w:pPr>
      <w:r>
        <w:rPr>
          <w:rFonts w:ascii="Times New Roman" w:cs="Times New Roman" w:eastAsia="Times New Roman" w:hAnsi="Times New Roman"/>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2023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 December 31, 2023,. Our operating results are not necessarily indicative of results that may occur for the full fiscal year or any other future period. As</w:t>
      </w:r>
    </w:p>
    <w:p>
      <w:pPr>
        <w:spacing w:after="0" w:line="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i w:val="1"/>
          <w:iCs w:val="1"/>
          <w:color w:val="auto"/>
        </w:rPr>
        <w:t>used herein, “Rezdiffra” refers to resmetirom approved by the FDA for the treatment of adults with NASH with moderate to advanced liver fibrosis, and “resmetirom” refers to, where applicable, Rezdiffra as well as resmetirom for the treatment of indications beyond NASH with moderate to advanced liver fibrosis.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94" w:lineRule="exact"/>
        <w:rPr>
          <w:sz w:val="20"/>
          <w:szCs w:val="20"/>
          <w:color w:val="auto"/>
        </w:rPr>
      </w:pPr>
    </w:p>
    <w:p>
      <w:pPr>
        <w:ind w:right="340" w:firstLine="648"/>
        <w:spacing w:after="0" w:line="242" w:lineRule="auto"/>
        <w:rPr>
          <w:sz w:val="20"/>
          <w:szCs w:val="20"/>
          <w:color w:val="auto"/>
        </w:rPr>
      </w:pPr>
      <w:r>
        <w:rPr>
          <w:rFonts w:ascii="Times New Roman" w:cs="Times New Roman" w:eastAsia="Times New Roman" w:hAnsi="Times New Roman"/>
          <w:sz w:val="18"/>
          <w:szCs w:val="18"/>
          <w:color w:val="auto"/>
        </w:rPr>
        <w:t>We are a biopharmaceutical company dedicated to transforming care for patients with NASH, a serious liver disease that can lead to cirrhosis, liver failure and premature mortality. Our medication, Rezdiffra (resmetirom), is a once-daily, oral, liver-directed THR-β agonist designed to target key underlying causes of NASH. In March 2024, Rezdiffra became the first and only FDA-approved therapy for patients with NASH. Rezdiffra became commercially available in the United States in April 2024. Rezdiffra is indicated in conjunction with diet and exercise for the treatment of adults with noncirrhotic NASH with moderate to advanced liver fibrosis (consistent with stages F2 to F3 fibrosis).</w:t>
      </w:r>
    </w:p>
    <w:p>
      <w:pPr>
        <w:spacing w:after="0" w:line="19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NASH Disease State Overview. </w:t>
      </w:r>
      <w:r>
        <w:rPr>
          <w:rFonts w:ascii="Times New Roman" w:cs="Times New Roman" w:eastAsia="Times New Roman" w:hAnsi="Times New Roman"/>
          <w:sz w:val="18"/>
          <w:szCs w:val="18"/>
          <w:color w:val="auto"/>
        </w:rPr>
        <w:t>NASH is a more advanced form of nonalcoholic fatty liver disease (NAFLD). NAFLD has become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NASH is the leading cause of liver transplants in the U.S. for women, and is expected to soon be the leading cause of liver transplants overall. Additionally, patients with NASH, especially those with more advanced metabolic risk factors (hypertension, concomitant type 2 diabetes), are at increased risk for adverse cardiovascular events and increased morbidity and mortality. Once patients progress to NASH with moderate to advanced fibrosis (consistent with fibrosis stages F2 and F3), the risk of adverse liver outcomes increases substantially.</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NASH is also known as metabolic dysfunction-associated steatohepatitis (“MASH”) following a change in disease nomenclature introduced by hepatology medical societies in 2023.</w:t>
      </w:r>
    </w:p>
    <w:p>
      <w:pPr>
        <w:spacing w:after="0" w:line="174"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Patient Focus. </w:t>
      </w:r>
      <w:r>
        <w:rPr>
          <w:rFonts w:ascii="Times New Roman" w:cs="Times New Roman" w:eastAsia="Times New Roman" w:hAnsi="Times New Roman"/>
          <w:sz w:val="18"/>
          <w:szCs w:val="18"/>
          <w:color w:val="auto"/>
        </w:rPr>
        <w:t>Madrigal estimates that approximately 1.5 million patients have been diagnosed with NASH in the U.S.,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525,000 have NASH with moderate to advanced fibrosis. Madrigal estimates that approximately 315,000 diagnosed patients with NASH with moderate to advanced fibrosis are under the care of specialist physicians Madrigal will be targeting during the launch of Rezdiffra.</w:t>
      </w:r>
    </w:p>
    <w:p>
      <w:pPr>
        <w:spacing w:after="0" w:line="188"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Clinical Development Program. </w:t>
      </w:r>
      <w:r>
        <w:rPr>
          <w:rFonts w:ascii="Times New Roman" w:cs="Times New Roman" w:eastAsia="Times New Roman" w:hAnsi="Times New Roman"/>
          <w:sz w:val="18"/>
          <w:szCs w:val="18"/>
          <w:color w:val="auto"/>
        </w:rPr>
        <w:t>Madrigal is currently conducting multiple Phase 3 clinical trials to evaluate the safety and efficacy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Rezdiffra for the treatment of NASH, including the pivotal MAESTRO-NASH biopsy study in patients with significant fibrosis, the MAESTRO-NASH Outcomes study in patients with NASH with compensated cirrhosis and the MAESTRO-NAFLD-1 OLE safety study. Positive results from the pivotal MAESTRO-NASH biopsy study were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February 2024.</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Data from the 52-week first 1,000 patient portion of MAESTRO-NASH, together with data from MAESTRO-NAFLD-1, the open-label extension of the MAESTRO-NAFLD-1 study, Phase 2 and Phase 1 data, including safety parameters, formed the basis for Madrigal’s successful subpart H submission to the FDA for accelerated approval of Rezdiffra for treatment of NASH with moderate to advanced liver fibrosis.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0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June 6, 2024, we announced new data from the Phase 3 MAESTRO-NASH study of Rezdiffra presented at the European Association for the Study of the Liver (EASL) Congress. Our key Rezdiffra presentations at the EASL Congress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included (i) a late-breaking artificial intelligence-based analysis of MAESTRO-NASH biopsy data that demonstrated Rezdiffra improved key fibrotic features that are predictive of progression to decompensated cirrhosis; (ii) noninvasive test data through three years of treatment that demonstrated durable treatment response to Rezdiffra, with 91% of patients achieving improvement or stabilization of liver stiffness; (iii) the first analysis of health-related quality of life data from MAESTRO-NASH, which demonstrated Rezdiffra improved patient worry, health distress and stigma; and (iv) the first analysis of Rezdiffra treatment in metabolic dysfunction and alcohol-associated liver disease (MetALD), which demonstrated patients achieved similar rates of fibrosis improvement and steatohepatitis resolution compared to the NASH population. Additionally, we presented multiple health economics outcomes research abstracts at the EASL Congress highlighting the clinical and economic burden of NASH.</w:t>
      </w:r>
    </w:p>
    <w:p>
      <w:pPr>
        <w:spacing w:after="0" w:line="73"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On May 7, 2024, we entered into a Sales Agreement (the “2024 Sales Agreement”) with TD Securities (USA) LLC, (“TD Cowen”), pursuant to which we may issue and sell through or to TD Cowen, acting as agent or principal, shares of our common stock, par value $0.0001 per share (the “Common Stock”), from time to time having an aggregate sales price of up to $300.0 million (the “ATM Offering”). The 2024 Sales Agreement replaces and supersedes the prior sales agreement, dated June 1, 2021 and amended on May 9, 2023, between the us and Cowen and Company, LLC, an affiliate of TD Cowen (the “Prior Sales Agreement”), which was terminated effective upon the entry into the 2024 Sales Agreement. We sold 1,334,044 shares of Common Stock having an aggregate offering price of $225.1 million pursuant to the Prior Sales Agreement.</w:t>
      </w:r>
    </w:p>
    <w:p>
      <w:pPr>
        <w:spacing w:after="0" w:line="18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On March 14, 2024, we announced that the U.S. Food and Drug Administration (“FDA”) granted accelerated approval of Rezdiffra (resmetirom) in conjunction with diet and exercise for the treatment of adults with noncirrhotic nonalcoholic steatohepatitis (“NASH”) with moderate to advanced liver fibrosis (consistent with stages F2 to F3 fibrosis). On April 9, 2024, we announced U.S. availability of Rezdiffra for the treatment of patients with noncirrhotic NASH with moderate to advanced liver fibrosis.</w:t>
      </w:r>
    </w:p>
    <w:p>
      <w:pPr>
        <w:spacing w:after="0" w:line="8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March 18, 2024, we announced we had commenced an underwritten public offering of $500.0 million in shares of our common stock and pre-funded warrants to purchase shares of our common stock. The size of the offering was increased by $100.0 million subsequent to the initial announcement, for a total of approximately $600.0 million gross proceeds before underwriting discounts, commissions, and other expenses. The $600.0 million offering closed on March 21, 2024, and we received net proceeds totaling approximately $574.0 million in the three months ended March, 31, 2024. The underwriters exercised in full their 30-day option to purchase additional shares of common stock, resulting in an additional $90.0 million gross proceeds. The exercise of the underwriters' option closed on April 2, 2024 and we received net proceeds totaling approximately $85.9 million. We collectively sold an aggregate of 1,096,153 shares of our common stock and pre-funded warrants to purchase 1,557,692 shares of our common stock in the underwritten offering.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In March 2024, the FDA approved Rezdiffra for the treatment of noncirrhotic NASH with moderate to advanced liver fibrosis (consistent with stages F2 to F3 fibrosis). Rezdiffra is a once-daily, oral, liver-directed, THR-ß agonist designed to target key underlying causes of NASH. Rezdiffra was launched for sale in the U.S. in April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17"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0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67" w:lineRule="exact"/>
        <w:rPr>
          <w:rFonts w:ascii="Times New Roman" w:cs="Times New Roman" w:eastAsia="Times New Roman" w:hAnsi="Times New Roman"/>
          <w:sz w:val="18"/>
          <w:szCs w:val="18"/>
          <w:color w:val="auto"/>
        </w:rPr>
      </w:pPr>
    </w:p>
    <w:p>
      <w:pPr>
        <w:ind w:left="1300" w:right="104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12"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study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18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in the future as we expand our operating activities, continue commercialization,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stock-based compensation expense, gross to net expenses, and inventory valuation.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our Annual Report on Form 10-K for the fiscal year ended December 31, 2023 filed with the SEC on February 28, 2024, aside from the addition of estimates related to revenue recognition and inventory valuation. Refer to Note 2 to the condensed consolidated financial statements for details of accounting policies over revenue and inventory.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accounting policy over revenue recognition has a significant impact on the financial results and involves substantial judgement and estimation. The amount of revenue we recognize is impacted by variable consideration, as described in Note 2. Our gross to net estimates are based on contracts with customers, government agencies, healthcare providers, industry data, historical information, and other factors. The judgements and estimates involved in determining</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consideration are reviewed each reporting period, as all are subject to adjustments as new information becomes available.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value our inventories at the lower of cost or estimated net realizable value using the first-in, first-out (“FIFO”) method, as described in Note 2. The value of our inventories is impacted by excess, slow-moving, and obsolete items, which could lead to write downs in value. We periodically review our inventory for factors that could impact the future recoverability and realization of future sales, which requires estimates and judgements.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June 30, 2024 and 2023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360" w:type="dxa"/>
            <w:vAlign w:val="bottom"/>
            <w:gridSpan w:val="3"/>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7"/>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57"/>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(66,171)</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began selling Rezdiffra in April 2024. For the three months ended June 30, 2024, we recorded $14.6 million of product revenue, net.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Cost of sales were incurred as a result of sales of Rezdiffra. For the three months ended June 30, 2024, we recorded $0.6 million of cost of sales. We expect cost of sales to increase in the future, as a portion of the inventory sold was previously expensed to research and development costs prior to achieving regulatory approval, as approval was considered uncertain.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three months ended June 30, 2024 and 2023 (in thousands):</w:t>
      </w:r>
    </w:p>
    <w:p>
      <w:pPr>
        <w:spacing w:after="0" w:line="367"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6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020" w:type="dxa"/>
            <w:vAlign w:val="bottom"/>
          </w:tcPr>
          <w:p>
            <w:pPr>
              <w:spacing w:after="0"/>
              <w:rPr>
                <w:sz w:val="16"/>
                <w:szCs w:val="16"/>
                <w:color w:val="auto"/>
              </w:rPr>
            </w:pPr>
          </w:p>
        </w:tc>
      </w:tr>
      <w:tr>
        <w:trPr>
          <w:trHeight w:val="23"/>
        </w:trPr>
        <w:tc>
          <w:tcPr>
            <w:tcW w:w="3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Personnel and Internal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56"/>
        </w:trPr>
        <w:tc>
          <w:tcPr>
            <w:tcW w:w="3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External Expense</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3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Our research and development expenses were $71.1 million for the three months ended June 30, 2024, compared to $68.6 million in the</w:t>
      </w:r>
    </w:p>
    <w:p>
      <w:pPr>
        <w:spacing w:after="0" w:line="2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corresponding period in 2023. Research and development expenses increased by $2.5 million in the 2024 period due primarily to an increase in headcount and timing of clinical studies.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were $105.4 million for the three months ended June 30, 2024, compared to $17.8 million in the corresponding period in 2023. Selling, general and administrative expenses increased by $87.6 million in the 2024 period due primarily to increases in commercial preparation activities, including a corresponding increase in headcount, and an increase in stock compensation expense.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net interest income was $14.2 million for the three months ended June 30, 2024, compared to $3.6 million in the corresponding period in 2023. The increase in interest income was due primarily to higher principal balances and interest rates in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interest expense was $3.7 million for the three months ended June 30, 2024, compared to $2.9 million in the corresponding period in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was primarily the result of a higher outstanding principal balance during the period under the Loan Facility with Hercules.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8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90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56"/>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57"/>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56"/>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4"/>
        </w:trPr>
        <w:tc>
          <w:tcPr>
            <w:tcW w:w="46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began selling Rezdiffra in April 2024. For the six months ended June 30, 2024, we recorded $14.6 million of product revenue, net.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Cost of sales were incurred as a result of sales of Rezdiffra. For the six months ended June 30, 2024, we recorded $0.6 million of cost of sales. We expect cost of sales to increase in the future, as a portion of the inventory sold was previously expensed to research and development costs prior to achieving regulatory approval, as approval was considered uncertain.</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six months ended June 30, 2024 and 2023 (in thousands):</w:t>
      </w:r>
    </w:p>
    <w:p>
      <w:pPr>
        <w:spacing w:after="0" w:line="363"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620" w:type="dxa"/>
            <w:vAlign w:val="bottom"/>
            <w:tcBorders>
              <w:bottom w:val="single" w:sz="8" w:color="auto"/>
            </w:tcBorders>
          </w:tcPr>
          <w:p>
            <w:pPr>
              <w:spacing w:after="0"/>
              <w:rPr>
                <w:sz w:val="18"/>
                <w:szCs w:val="18"/>
                <w:color w:val="auto"/>
              </w:rPr>
            </w:pPr>
          </w:p>
        </w:tc>
      </w:tr>
      <w:tr>
        <w:trPr>
          <w:trHeight w:val="211"/>
        </w:trPr>
        <w:tc>
          <w:tcPr>
            <w:tcW w:w="28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Personnel and Internal Expense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External Expense</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108,317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105,849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142,328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Our research and development expenses were $142.3 million for the six months ended June 30, 2024, compared to $130.8 million in the corresponding period in 2023. Research and development expenses increased by $11.6 million in the 2024 period due primarily to an increase related to timing of manufacturing, an increase in headcount, and timing of clinical studies.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Our selling, general and administrative expenses were $186.2 million for the six months ended June 30, 2024, compared to $34.0 million in the corresponding period in 2023. Selling, general and administrative expenses increased by $152.2 million in the 2024 period due primarily to increases in commercial preparation activities, including a corresponding increase in headcount, and an increase in stock compensation expense. We believe our selling, general and administrative expenses will likely increase over time as we continue with commercialization activities and expand our operating activities.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interest income was $22.6 million for the six months ended June 30, 2024, compared to $7.3 million in the corresponding period in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income was due primarily to higher principal balances and interest rates in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interest expense was $7.5 million for the six months ended June 30, 2024, compared to $5.2 million in the corresponding period in 2023. The increase in interest expense was primarily the result of a higher outstanding principal balance during the period under the Loan Facility with Hercules.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shares of our common stock, shares of our Preferred Stock, issuances of pre-funded warrants, borrowings under the Loan Facility with Hercules, the issuance of convertible debt and the proceeds from the merger with Synta Pharmaceuticals Corp.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had cash, cash equivalents, restricted cash, and marketable securities totaling $1,062.8 million compared to $634.1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of December 31, 2023, with this increase attributable to our 2024 public offering, where we received net proceeds of approximately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$574.0 million in March 2024. Additionally, in April 2024 we received net proceeds of approximately $85.9 million as a result of the underwriters’</w:t>
      </w:r>
    </w:p>
    <w:p>
      <w:pPr>
        <w:spacing w:after="0" w:line="234" w:lineRule="auto"/>
        <w:rPr>
          <w:sz w:val="20"/>
          <w:szCs w:val="20"/>
          <w:color w:val="auto"/>
        </w:rPr>
      </w:pPr>
      <w:r>
        <w:rPr>
          <w:rFonts w:ascii="Times New Roman" w:cs="Times New Roman" w:eastAsia="Times New Roman" w:hAnsi="Times New Roman"/>
          <w:sz w:val="18"/>
          <w:szCs w:val="18"/>
          <w:color w:val="auto"/>
        </w:rPr>
        <w:t>exercise in full of their option to purchase additional shares as part of the March 2024 offering. Our cash and investment balances are held in a variety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interest-bearing instruments, including obligations of U.S. government agencies, U.S. Treasury debt securities, corporate debt securities and money market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Cash in excess of immediate requirements is invested in accordance with our investment policy with a view toward capital preservation and</w:t>
      </w:r>
    </w:p>
    <w:p>
      <w:pPr>
        <w:spacing w:after="0"/>
        <w:rPr>
          <w:sz w:val="20"/>
          <w:szCs w:val="20"/>
          <w:color w:val="auto"/>
        </w:rPr>
      </w:pPr>
      <w:r>
        <w:rPr>
          <w:rFonts w:ascii="Times New Roman" w:cs="Times New Roman" w:eastAsia="Times New Roman" w:hAnsi="Times New Roman"/>
          <w:sz w:val="18"/>
          <w:szCs w:val="18"/>
          <w:color w:val="auto"/>
        </w:rPr>
        <w:t>liquidity.</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While our rate of cash usage will likely increase in the future, in particular to support our product development and clinical trial efforts, as well as commercialization activities, we believe our available cash resources are sufficient to fund our operations past one year from the issuance of the financial statements contained herein. Our future long-term</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liquidity requirements will be substantial and will depend on many factors, including our ability to effectively commercialize Rezdiffra.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if needed, may not be available on terms acceptable to us, or at all. We also have the ability to delay certain research activities and related clinical expenses, as well as commercial investments,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Sales Agreement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2023, we entered into Amendment No. 1 (the “Sales Agreement Amendment”) to our existing sales agreement (the “2021 Sales</w:t>
      </w:r>
    </w:p>
    <w:p>
      <w:pPr>
        <w:spacing w:after="0" w:line="27" w:lineRule="exact"/>
        <w:rPr>
          <w:sz w:val="20"/>
          <w:szCs w:val="20"/>
          <w:color w:val="auto"/>
        </w:rPr>
      </w:pPr>
    </w:p>
    <w:p>
      <w:pPr>
        <w:jc w:val="both"/>
        <w:ind w:right="160"/>
        <w:spacing w:after="0" w:line="243" w:lineRule="auto"/>
        <w:rPr>
          <w:sz w:val="20"/>
          <w:szCs w:val="20"/>
          <w:color w:val="auto"/>
        </w:rPr>
      </w:pPr>
      <w:r>
        <w:rPr>
          <w:rFonts w:ascii="Times New Roman" w:cs="Times New Roman" w:eastAsia="Times New Roman" w:hAnsi="Times New Roman"/>
          <w:sz w:val="18"/>
          <w:szCs w:val="18"/>
          <w:color w:val="auto"/>
        </w:rPr>
        <w:t>Agreement”) with Cowen, which was subsequently terminated in May 2024 when we entered into a Sales Agreement (the “2024 Sales Agreement”) with Cowen, replacing and superseding the 2021 Sales Agreement, as amended by the Sales Agreement Amendment. We are authorized to issue and sell up to $300.0 million in shares of our common stock under the 2024 Sales Agreement. We sold no shares in the three and six months ended June 30, 2024 under either the 2021 Sales Agreement, as amended by the Sales Agreement Amendment or the 2024 Sales Agreement.</w:t>
      </w:r>
    </w:p>
    <w:p>
      <w:pPr>
        <w:spacing w:after="0" w:line="183"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$300.0 million remained reserved and available for sale under the 2024 Sales Agreement and our related prospectus supplement.</w:t>
      </w:r>
    </w:p>
    <w:p>
      <w:pPr>
        <w:spacing w:after="0" w:line="17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 of our common stock, if any, under the 2024 Sales Agreement will be made by any method that is deemed to be an “at the market” offering as defined in Rule 415(a)(4) of the Securities Act of 1933, as amended. We have no obligation to sell any common stock and may at any time suspend offers under the 2024 Sales Agreement or terminate the 2024 Sales Agreement pursuant to its terms.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Facility</w:t>
      </w:r>
    </w:p>
    <w:p>
      <w:pPr>
        <w:spacing w:after="0" w:line="10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In May 2022 we entered into the $250.0 million Loan Facility (the “Loan Facility”) with Hercules Capital, Inc. (“Hercules”). On February 3, 2023, we entered into the First Amendment (the “First Amendment”) to the Loan Facility (as amended, the “Amended Loan Facility”). Under the terms of the Loan Facility, the first $50.0 million tranche (“Tranche 1”) was drawn at closing. Under the Amended Loan Facility, $65.0 million was drawn in 2023 under the second tranche (“Tranche 2”). The third tranche (“Tranche 3”) of $75.0 million became available to us when we obtained FDA approval for Rezdiffra in March 2024. We did not draw on Tranche 3 prior to its expiration in June 2024.</w:t>
      </w:r>
    </w:p>
    <w:p>
      <w:pPr>
        <w:spacing w:after="0" w:line="87"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spacing w:after="0" w:line="19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Loan Facility had a minimum interest rate of 7.45% and adjusted with changes in the prime rate. The Amendment reduced the interest rate under the Amended Loan Facility to the greater of (i) the prime rate as reported in The Wall Street Journal plus 2.45% and (ii) 8.25%. We were to originally pay interest-only monthly payments of accrued interest under the Loan Facility through May 1, 2025, for a period of 36 months. That period was extended in March 2024 to May 1, 2026 upon achievement of a milestone related to FDA approval. The period can further be extended to May 3, 2027, upon the achievement of a future revenue milestone, subject to compliance with applicable covenants. The Loan Facility originally matured in May 2026, but was extended to May 2027 upon the achievement a milestone related to FDA approval. The Loan Facility is secured by a security interest in substantially all of our assets, other than intellectual property. It includes an end of term charge of 5.35% of the aggregate principal amount, which is accounted for in the loan discount.</w:t>
      </w:r>
    </w:p>
    <w:p>
      <w:pPr>
        <w:spacing w:after="0" w:line="186"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which commenced on January 1, 2023, including maintenance of a minimum cash, cash equivalents and liquid funds covenant of $35.0 million, which may decrease in certain circumstances if we achieve certain clinical milestones and a revenue milestone, and a revenue-based covenant that could apply commencing at or after the time that financial reporting is due for the quarter ending September 30, 2024. The Loan Facility contains event of default provisions for: our failure to make required payments or maintain compliance with covenants under the Loan Facility; our breach of certain representations or default under certain obligations outside the Loan Facility; insolvency, attachment or judgment events affecting us; and any circumstance which has occurred or could reasonably be expected to have a material adverse effect on us, provided that, any failure to achieve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outstanding principal under the Loan Facility was $115.0 million. The interest rate as of June 30, 2024 was 10.95%. As of June 30, 2024, we were in compliance with all loan covenants and provisions.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Public Offering</w:t>
      </w:r>
    </w:p>
    <w:p>
      <w:pPr>
        <w:spacing w:after="0" w:line="10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On March 18,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w:t>
      </w:r>
    </w:p>
    <w:p>
      <w:pPr>
        <w:spacing w:after="0" w:line="195"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The gross proceeds of the 2024 Offering was $600.0 million, and we received net proceeds, after deducting the underwriting discount and commissions and other estimated offering expenses payable by us, of approximately $574.0 million.</w:t>
      </w:r>
    </w:p>
    <w:p>
      <w:pPr>
        <w:spacing w:after="0" w:line="162"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Underwriters’ Option was later exercised in full, and closed on April 2, 2024. We received net proceeds for the exercise of the Underwriters’ Option, after deducting the underwriting discounts and commissions and estimated offering expenses payable by us, of approximately $85.9 million.</w:t>
      </w:r>
    </w:p>
    <w:p>
      <w:pPr>
        <w:spacing w:after="0" w:line="126"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intend to use the net proceeds from the 2024 Offering for our commercial activities in connection with the launch of Rezdiffra in the U.S.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7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Public Offering</w:t>
      </w:r>
    </w:p>
    <w:p>
      <w:pPr>
        <w:spacing w:after="0" w:line="10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On September 28, 2023, we entered into an Underwriting Agreement with Goldman Sachs &amp; Co. LLC, as representative of the several underwriters named therein, pursuant to which we sold to the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2023 Pre-Funded Warrant, which represents the per share public offering price for the common stock less a $0.0001 per share exercise price for each such 2023 Pre-Funded Warrant. The 2023 Offering closed on October 3, 2023.</w:t>
      </w:r>
    </w:p>
    <w:p>
      <w:pPr>
        <w:spacing w:after="0" w:line="195" w:lineRule="exact"/>
        <w:rPr>
          <w:sz w:val="20"/>
          <w:szCs w:val="20"/>
          <w:color w:val="auto"/>
        </w:rPr>
      </w:pPr>
    </w:p>
    <w:p>
      <w:pPr>
        <w:ind w:right="480" w:firstLine="648"/>
        <w:spacing w:after="0" w:line="246" w:lineRule="auto"/>
        <w:rPr>
          <w:sz w:val="20"/>
          <w:szCs w:val="20"/>
          <w:color w:val="auto"/>
        </w:rPr>
      </w:pPr>
      <w:r>
        <w:rPr>
          <w:rFonts w:ascii="Times New Roman" w:cs="Times New Roman" w:eastAsia="Times New Roman" w:hAnsi="Times New Roman"/>
          <w:sz w:val="18"/>
          <w:szCs w:val="18"/>
          <w:color w:val="auto"/>
        </w:rPr>
        <w:t>The gross proceeds of the 2023 Offering was $500.0 million, and we received net proceeds, after deducting the underwriting discount and commissions and other estimated offering expenses payable by us, of approximately $472.0 million. We intend to use the net proceeds from the 2023 Offering for our clinical and commercial activities for the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Pre-Funded Warrants may increase or decrease this percentage, but not in excess of 19.99%, by providing at least 61 days prior notice to 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1"/>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(159,377)</w:t>
            </w:r>
          </w:p>
        </w:tc>
      </w:tr>
      <w:tr>
        <w:trPr>
          <w:trHeight w:val="250"/>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(190,596)</w:t>
            </w:r>
          </w:p>
        </w:tc>
      </w:tr>
      <w:tr>
        <w:trPr>
          <w:trHeight w:val="263"/>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707,829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95,620</w:t>
            </w:r>
          </w:p>
        </w:tc>
      </w:tr>
      <w:tr>
        <w:trPr>
          <w:trHeight w:val="243"/>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399,682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(254,353)</w:t>
            </w:r>
          </w:p>
        </w:tc>
      </w:tr>
      <w:tr>
        <w:trPr>
          <w:trHeight w:val="27"/>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$284.1 million for the six months ended June 30, 2024, compared to $159.4 million for the corresponding period in 2023. The use of cash in these periods resulted primarily from our losses from operations, as adjusted for non-cash charges for stock-based compensation, and changes in our working capital accounts.</w:t>
      </w:r>
    </w:p>
    <w:p>
      <w:pPr>
        <w:spacing w:after="0" w:line="190"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Net cash used in investing activities was $24.0 million for the six months ended June 30, 2024, compared to $190.6 million used in for the corresponding period in 2023. Net cash used in investing activities for the six months ended June 30, 2024 primarily consisted of $365.0 million of purchases of marketable securities for our investment portfolio, partially offset by $346.4 million from sales and maturities of marketable securities. Net cash used in investing activities for the corresponding period in 2023 primarily consisted of $290.7 million of purchases of marketable securities for our investment portfolio, partially offset by $100.2 million from sales and maturities of marketable securities.</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$707.8 million for the six months ended June 30, 2024, compared to $95.6 million for the corresponding period in 2023. Financing activities for the six months ended June 30, 2024 consisted of $574.0 million of proceeds from our March 2024 public offering, $85.9 million of net proceeds from the Underwriter’s Option in April 2024, and $49.7 million from exercises of stock options. Net cash provided by financing activities for the corresponding period in 2023 consisted primarily of $50.0 million from issuance of the Loan Facility, $24.2 million from proceeds from the exercise of common stock options and $21.8 million from sales of our common stock under the 2023 Sales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August 2023, we entered into the Fifth Amendment to our Office Lease (the “Lease Amendment”). The Lease Amendment extends the term of the lease through November 2026. As a result of the Lease Amendment, an incremental $1.6 million right-of-use asset and lease liabilities were recorded during the year ended December 31, 2023.</w:t>
      </w:r>
    </w:p>
    <w:p>
      <w:pPr>
        <w:spacing w:after="0" w:line="16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May 2022 we entered into the $250.0 million Loan Facility. As of June 30, 2024, we had drawn $115.0 million under the facility. We are scheduled to pay interest-only monthly payments of accrued interest under the Loan Facility through May 1, 2026, which period may be extended to May 3, 2027 upon the achievement of future revenue milestones, and subject to compliance with applicable covenants.</w:t>
      </w:r>
    </w:p>
    <w:p>
      <w:pPr>
        <w:spacing w:after="0" w:line="16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a Research, Development and Commercialization Agreement with Hoffmann-La Roche (“Roche”) which grants the Company a sole and exclusive license to develop, use, sell, offer for sale and import any Licensed Product as defined by the agreement. We received FDA approval for Rezdiffra in March 2024. A tiered single-digit royalty is payable to Roche on net sales of Rezdiffra, subject to certain reductions.</w:t>
      </w:r>
    </w:p>
    <w:p>
      <w:pPr>
        <w:spacing w:after="0" w:line="1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Except as noted above and the future minimum payments due on the Loan Facility with Hercules set forth in “Note 7 – Long Term Debt” to the condensed consolidated financial statements included in this Quarterly Report on Form 10-Q, no significant changes to contractual obligations and commitments occurred during the six months ended June 30, 2024, as compared to those disclosed in our Annual Report on Form 10-K for the fiscal year ended December 31, 2023 filed with the SEC on February 28, 2024.</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May 2022 we entered into the Loan Facility, which has an interest rate that is linked to the prime rate. We do not believe that we have any material exposure to interest rate risk given the current principal amount of the loan.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began generating revenue from the sale of Rezdiffra in the second quarter of 2024, but we have historically depended on, and will continue to depend on, funds raised through other sources. One source of funding is through future debt or equity offerings. Our ability to raise funds in this manner depends upon, among other things, capital market forces affecting our stock price.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0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during three and six months ended June 30, 2024 and June 30, 2023, respectively.</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Report. Based on that</w:t>
      </w:r>
    </w:p>
    <w:p>
      <w:pPr>
        <w:ind w:right="160"/>
        <w:spacing w:after="0" w:line="243" w:lineRule="auto"/>
        <w:rPr>
          <w:sz w:val="20"/>
          <w:szCs w:val="20"/>
          <w:color w:val="auto"/>
        </w:rPr>
      </w:pPr>
      <w:r>
        <w:rPr>
          <w:rFonts w:ascii="Times New Roman" w:cs="Times New Roman" w:eastAsia="Times New Roman" w:hAnsi="Times New Roman"/>
          <w:sz w:val="18"/>
          <w:szCs w:val="18"/>
          <w:color w:val="auto"/>
        </w:rPr>
        <w:t>evaluation, our principal executive officer and principal financial officer have concluded that our disclosure controls and procedures were effective at the reasonable assurance level as of June 30,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0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During the quarter ended June 30, 2024, we designed and implemented controls over revenue, trade receivables, and inventory which we determined to be a material change in our internal control over financial reporting. There were no other changes to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Except as set forth below, there have been no material changes to the risk factors included in detail in the “Risk Factors” sections appearing in Part I, Item 1A of our Annual Report on Form 10-K for the year ended December 31, 2023, filed with the SEC on February 28, 2024 (the “Annual Report”)</w:t>
      </w:r>
    </w:p>
    <w:p>
      <w:pPr>
        <w:spacing w:after="0" w:line="10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In order to execute our business plan and achieve profitability, we need to effectively commercialize Rezdiffra, which received FDA approval in March 2024 for the treatment of adults with NASH with moderate to advanced liver fibrosis. We may not be able to meet expectations with respect to sales of Rezdiffra or attain profitability and positive cash-flow from operations.</w:t>
      </w:r>
    </w:p>
    <w:p>
      <w:pPr>
        <w:spacing w:after="0" w:line="171"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Rezdiffra is our only drug that has been approved for sale and it has been approved only for the treatment of adults with noncirrhotic NASH with moderate to advanced liver fibrosis in the United States. Rezdiffra became commercially available in the United States in April 2024. We are focusing a</w:t>
      </w:r>
    </w:p>
    <w:p>
      <w:pPr>
        <w:ind w:right="60"/>
        <w:spacing w:after="0" w:line="228" w:lineRule="auto"/>
        <w:rPr>
          <w:sz w:val="20"/>
          <w:szCs w:val="20"/>
          <w:color w:val="auto"/>
        </w:rPr>
      </w:pPr>
      <w:r>
        <w:rPr>
          <w:rFonts w:ascii="Times New Roman" w:cs="Times New Roman" w:eastAsia="Times New Roman" w:hAnsi="Times New Roman"/>
          <w:sz w:val="18"/>
          <w:szCs w:val="18"/>
          <w:color w:val="auto"/>
        </w:rPr>
        <w:t>significant portion of our activities and resources on Rezdiffra, and we believe our prospects are highly dependent on, and a significant portion of the value of our company relates to, our ability to successfully commercialize Rezdiffra for the treatment of adults with NASH with moderate to advanced liver fibrosis in the United States.</w:t>
      </w:r>
    </w:p>
    <w:p>
      <w:pPr>
        <w:spacing w:after="0" w:line="1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Successful commercialization of Rezdiffra is subject to many risks. We have never, as an organization, launched or commercialized any product other than Rezdiffra, and there is no guarantee that we will be able to successfully commercialize Rezdiffra for its approved indication. There are numerous examples of failures to meet high expectations of market potential, including by pharmaceutical companies with more experience and resources than us. We are in the process of building our commercial organization and hiring our U.S. sales force and will need to refine and further develop our commercial organization in order to successfully commercialize Rezdiffra. We expect that the initial commercial success of Rezdiffra for the treatment of NASH will depend on many factors, including the following:</w:t>
      </w:r>
    </w:p>
    <w:p>
      <w:pPr>
        <w:spacing w:after="0" w:line="317" w:lineRule="exact"/>
        <w:rPr>
          <w:sz w:val="20"/>
          <w:szCs w:val="20"/>
          <w:color w:val="auto"/>
        </w:rPr>
      </w:pPr>
    </w:p>
    <w:p>
      <w:pPr>
        <w:ind w:left="1300" w:right="60" w:hanging="320"/>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cost, approved use, and side-effect profile of Rezdiffra regimens relative to competitive treatment regimens for the treatment of NASH;</w:t>
      </w:r>
    </w:p>
    <w:p>
      <w:pPr>
        <w:spacing w:after="0" w:line="54" w:lineRule="exact"/>
        <w:rPr>
          <w:rFonts w:ascii="Times New Roman" w:cs="Times New Roman" w:eastAsia="Times New Roman" w:hAnsi="Times New Roman"/>
          <w:sz w:val="18"/>
          <w:szCs w:val="18"/>
          <w:color w:val="auto"/>
        </w:rPr>
      </w:pPr>
    </w:p>
    <w:p>
      <w:pPr>
        <w:ind w:left="1300" w:right="240" w:hanging="320"/>
        <w:spacing w:after="0" w:line="237"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Rezdiffra may compete with the off-label use of currently marketed products and other therapies in development that may in the future obtain approval for NASH;</w:t>
      </w:r>
    </w:p>
    <w:p>
      <w:pPr>
        <w:spacing w:after="0" w:line="63"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commercial strategy for the marketing of Rezdiffra, including our pricing strategy and the effectiveness of our efforts to obtain adequate third-party reimbursements;</w:t>
      </w:r>
    </w:p>
    <w:p>
      <w:pPr>
        <w:spacing w:after="0" w:line="54" w:lineRule="exact"/>
        <w:rPr>
          <w:rFonts w:ascii="Times New Roman" w:cs="Times New Roman" w:eastAsia="Times New Roman" w:hAnsi="Times New Roman"/>
          <w:sz w:val="18"/>
          <w:szCs w:val="18"/>
          <w:color w:val="auto"/>
        </w:rPr>
      </w:pPr>
    </w:p>
    <w:p>
      <w:pPr>
        <w:ind w:left="1300" w:right="180" w:hanging="320"/>
        <w:spacing w:after="0" w:line="23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successfully monitoring commercial manufacturing arrangements for Rezdiffra with third-party manufacturers to ensure they meet our standards and those of regulatory authorities, including the FDA, which extensively regulate and monitor pharmaceutical manufacturing facilities;</w:t>
      </w:r>
    </w:p>
    <w:p>
      <w:pPr>
        <w:spacing w:after="0" w:line="64" w:lineRule="exact"/>
        <w:rPr>
          <w:rFonts w:ascii="Times New Roman" w:cs="Times New Roman" w:eastAsia="Times New Roman" w:hAnsi="Times New Roman"/>
          <w:sz w:val="18"/>
          <w:szCs w:val="18"/>
          <w:color w:val="auto"/>
        </w:rPr>
      </w:pPr>
    </w:p>
    <w:p>
      <w:pPr>
        <w:ind w:left="1300" w:right="160" w:hanging="320"/>
        <w:spacing w:after="0" w:line="237"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enter into any additional commercial, supply and distribution contracts to support commercialization efforts, and to hire and manage additional qualified personnel;</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Rezdiffra at acceptable costs;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Rezdiffra by physicians, patients and third-party payors;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compliant with laws and regulations that apply to us and our commercial activities;</w:t>
      </w:r>
    </w:p>
    <w:p>
      <w:pPr>
        <w:spacing w:after="0" w:line="90"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market-size, ability to identify targeted patients and the demographics of patients eligible for Rezdiffra, which may be different than what we currently expect;</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side effects, adverse reactions or misuse, or any unfavorable publicity in these areas;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or enforce our patents and other intellectual property rights; and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potential health care legislation in the United States.</w:t>
      </w:r>
    </w:p>
    <w:p>
      <w:pPr>
        <w:spacing w:after="0" w:line="239" w:lineRule="exact"/>
        <w:rPr>
          <w:sz w:val="20"/>
          <w:szCs w:val="20"/>
          <w:color w:val="auto"/>
        </w:rPr>
      </w:pPr>
    </w:p>
    <w:p>
      <w:pPr>
        <w:ind w:right="260" w:firstLine="648"/>
        <w:spacing w:after="0" w:line="222" w:lineRule="auto"/>
        <w:rPr>
          <w:sz w:val="20"/>
          <w:szCs w:val="20"/>
          <w:color w:val="auto"/>
        </w:rPr>
      </w:pPr>
      <w:r>
        <w:rPr>
          <w:rFonts w:ascii="Times New Roman" w:cs="Times New Roman" w:eastAsia="Times New Roman" w:hAnsi="Times New Roman"/>
          <w:sz w:val="18"/>
          <w:szCs w:val="18"/>
          <w:color w:val="auto"/>
        </w:rPr>
        <w:t>While we believe that Rezdiffra for the treatment of NASH should have a commercially competitive profile, we cannot accurately predict the amount of time needed to attain a commercially successful profile or the amount of revenue that would be generated from the sale of Rezdiffra. If we do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effectively commercialize Rezdiffra, we will not be able to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execute our business plan and may not be able to achieve profitability. If our revenues, market share and/or other indicators of market acceptance of Rezdiffra do not meet the expectations of investors or public market analysts, the market price of our common stock would likely decline.</w:t>
      </w:r>
    </w:p>
    <w:p>
      <w:pPr>
        <w:spacing w:after="0" w:line="1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Rezdiffra has received accelerated approval from the FDA, and therefore faces future post-approval development and regulatory requirements, which present additional challenges for us to successfully navigate.</w:t>
      </w:r>
    </w:p>
    <w:p>
      <w:pPr>
        <w:spacing w:after="0" w:line="172" w:lineRule="exact"/>
        <w:rPr>
          <w:sz w:val="20"/>
          <w:szCs w:val="20"/>
          <w:color w:val="auto"/>
        </w:rPr>
      </w:pPr>
    </w:p>
    <w:p>
      <w:pPr>
        <w:ind w:firstLine="648"/>
        <w:spacing w:after="0" w:line="223" w:lineRule="auto"/>
        <w:rPr>
          <w:sz w:val="20"/>
          <w:szCs w:val="20"/>
          <w:color w:val="auto"/>
        </w:rPr>
      </w:pPr>
      <w:r>
        <w:rPr>
          <w:rFonts w:ascii="Times New Roman" w:cs="Times New Roman" w:eastAsia="Times New Roman" w:hAnsi="Times New Roman"/>
          <w:sz w:val="18"/>
          <w:szCs w:val="18"/>
          <w:color w:val="auto"/>
        </w:rPr>
        <w:t>The FDA granted accelerated approval of Rezdiffra for the treatment of adults with noncirrhotic NASH with moderate to advanced liver fibrosis in the United States in March 2024. Under the accelerated approval pathway, continued approval may be contingent upon verification of a clinical benefit in confirmatory trials. These post- approval requirements and commitments may not be feasible and/or could impose significant burdens and costs on us; could negatively impact our development, manufacturing and supply of our products; and could negatively impact our financial results. Drugs granted accelerated approval must meet the same statutory standards for safety and effectiveness as those granted traditional approval. Failure to meet post-approval commitments and requirements, including completion of enrollment of—and in particular, any failure to obtain positive data from—any</w:t>
      </w:r>
    </w:p>
    <w:p>
      <w:pPr>
        <w:ind w:right="220"/>
        <w:spacing w:after="0" w:line="223" w:lineRule="auto"/>
        <w:rPr>
          <w:sz w:val="20"/>
          <w:szCs w:val="20"/>
          <w:color w:val="auto"/>
        </w:rPr>
      </w:pPr>
      <w:r>
        <w:rPr>
          <w:rFonts w:ascii="Times New Roman" w:cs="Times New Roman" w:eastAsia="Times New Roman" w:hAnsi="Times New Roman"/>
          <w:sz w:val="17"/>
          <w:szCs w:val="17"/>
          <w:color w:val="auto"/>
        </w:rPr>
        <w:t>confirmatory studies required by the FDA, could result in negative regulatory action from the FDA and/or withdrawal of such accelerated approval. The recently enacted Food and Drug Omnibus Reform Act has expanded FDA’s expedited withdrawal procedures for drugs approved through the accelerated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pathway if a sponsor fails to conduct any required post-approval study with due diligence.</w:t>
      </w:r>
    </w:p>
    <w:p>
      <w:pPr>
        <w:spacing w:after="0" w:line="20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Unless otherwise informed by the FDA, an applicant must submit to the FDA for consideration during the preapproval review period copies of all promotional materials, including promotional labeling as well as advertisements, intended for dissemination or publication within 120 days following marketing approval. After 120 days following marketing approval, unless otherwise informed by the FDA, the applicant must submit promotional materials at least 30 days prior to the intended time of initial dissemination of the labeling or initial publication of the advertisement. If we or the manufacturing facilities for our products fail to comply with applicable regulatory requirements, the FDA may, among other actions: issue warning letters or untitled letters; seek an injunction or impose civil or criminal penalties or monetary fines; suspend or withdraw or alter the conditions of our marketing approval; suspend any ongoing clinical trials; refuse to approve pending applications or supplements to applications submitted by us; suspend or impose restrictions on operations, including costly new manufacturing requirements; and seize or detain products, refuse to permit the import or export of products or require us to initiate a product recall.</w:t>
      </w:r>
    </w:p>
    <w:p>
      <w:pPr>
        <w:spacing w:after="0" w:line="2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of the Company adopted or terminated a “Rule 10b5-1 trading arrangement” or “non-Rule 10b5-1 trading arrangement,” as each term is defined in Item 408(a)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10b5-1 Plans</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Section 16 officers and directors may enter into plans or arrangements for the purchase or sale of our securities that are intended to satisfy the affirmative defense conditions of Rule 10b5-1(c) of the Exchange Act. Such plans and arrangements must comply in all respects with our insider trading policies, including our policy governing entry into and operation of 10b5-1 plans and arrangements.</w:t>
      </w:r>
    </w:p>
    <w:p>
      <w:pPr>
        <w:spacing w:after="0" w:line="20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subject to the current Rule 10b5-1 trading arrangements of our Section 16 officers and directors in place as of August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of Adoption,</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Shares of</w:t>
            </w:r>
          </w:p>
        </w:tc>
      </w:tr>
      <w:tr>
        <w:trPr>
          <w:trHeight w:val="175"/>
        </w:trPr>
        <w:tc>
          <w:tcPr>
            <w:tcW w:w="22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Name of Director or Section</w:t>
            </w:r>
          </w:p>
        </w:tc>
        <w:tc>
          <w:tcPr>
            <w:tcW w:w="16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Title of Director or</w:t>
            </w:r>
          </w:p>
        </w:tc>
        <w:tc>
          <w:tcPr>
            <w:tcW w:w="16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Modification, or</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Common Stock that may be</w:t>
            </w:r>
          </w:p>
        </w:tc>
      </w:tr>
      <w:tr>
        <w:trPr>
          <w:trHeight w:val="239"/>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16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 16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Duration of the Plan</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Sold under the Plan</w:t>
            </w:r>
          </w:p>
        </w:tc>
      </w:tr>
      <w:tr>
        <w:trPr>
          <w:trHeight w:val="236"/>
        </w:trPr>
        <w:tc>
          <w:tcPr>
            <w:tcW w:w="2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Levy, MD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257"/>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Fred B. Craves, Ph.D.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12/15/2023</w:t>
            </w:r>
          </w:p>
        </w:tc>
        <w:tc>
          <w:tcPr>
            <w:tcW w:w="80" w:type="dxa"/>
            <w:vAlign w:val="bottom"/>
          </w:tcPr>
          <w:p>
            <w:pPr>
              <w:spacing w:after="0"/>
              <w:rPr>
                <w:sz w:val="22"/>
                <w:szCs w:val="22"/>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31, 2024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30,000</w:t>
            </w:r>
          </w:p>
        </w:tc>
      </w:tr>
    </w:tbl>
    <w:p>
      <w:pPr>
        <w:spacing w:after="0" w:line="3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17" w:right="12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tcPr>
          <w:p>
            <w:pPr>
              <w:spacing w:after="0"/>
              <w:rPr>
                <w:sz w:val="13"/>
                <w:szCs w:val="13"/>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320" w:type="dxa"/>
            <w:vAlign w:val="bottom"/>
          </w:tcPr>
          <w:p>
            <w:pPr>
              <w:jc w:val="center"/>
              <w:ind w:left="166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2320" w:type="dxa"/>
            <w:vAlign w:val="bottom"/>
          </w:tcPr>
          <w:p>
            <w:pPr>
              <w:jc w:val="center"/>
              <w:ind w:left="166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4420" w:type="dxa"/>
            <w:vAlign w:val="bottom"/>
          </w:tcPr>
          <w:p>
            <w:pPr>
              <w:ind w:left="38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00" w:hanging="95"/>
        <w:spacing w:after="0"/>
        <w:tabs>
          <w:tab w:leader="none" w:pos="400" w:val="left"/>
        </w:tabs>
        <w:numPr>
          <w:ilvl w:val="0"/>
          <w:numId w:val="12"/>
        </w:numPr>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  1.1</w:t>
      </w:r>
      <w:hyperlink r:id="rId55">
        <w:r>
          <w:rPr>
            <w:rFonts w:ascii="Times New Roman" w:cs="Times New Roman" w:eastAsia="Times New Roman" w:hAnsi="Times New Roman"/>
            <w:sz w:val="17"/>
            <w:szCs w:val="17"/>
            <w:color w:val="0000FF"/>
          </w:rPr>
          <w:t>Sales Agreement, dated May 7, 2024, by and between</w:t>
        </w:r>
      </w:hyperlink>
    </w:p>
    <w:tbl>
      <w:tblPr>
        <w:tblLayout w:type="fixed"/>
        <w:tblInd w:w="180" w:type="dxa"/>
        <w:tblCellMar>
          <w:top w:w="0" w:type="dxa"/>
          <w:left w:w="0" w:type="dxa"/>
          <w:bottom w:w="0" w:type="dxa"/>
          <w:right w:w="0" w:type="dxa"/>
        </w:tblCellMar>
      </w:tblPr>
      <w:tr>
        <w:trPr>
          <w:trHeight w:val="169"/>
        </w:trPr>
        <w:tc>
          <w:tcPr>
            <w:tcW w:w="940" w:type="dxa"/>
            <w:vAlign w:val="bottom"/>
          </w:tcPr>
          <w:p>
            <w:pPr>
              <w:spacing w:after="0"/>
              <w:rPr>
                <w:sz w:val="14"/>
                <w:szCs w:val="14"/>
                <w:color w:val="auto"/>
              </w:rPr>
            </w:pPr>
          </w:p>
        </w:tc>
        <w:tc>
          <w:tcPr>
            <w:tcW w:w="38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the Registrant and TD Securities (USA) LLC.</w:t>
              </w:r>
            </w:hyperlink>
          </w:p>
        </w:tc>
        <w:tc>
          <w:tcPr>
            <w:tcW w:w="360" w:type="dxa"/>
            <w:vAlign w:val="bottom"/>
            <w:gridSpan w:val="7"/>
          </w:tcPr>
          <w:p>
            <w:pPr>
              <w:spacing w:after="0"/>
              <w:rPr>
                <w:sz w:val="14"/>
                <w:szCs w:val="14"/>
                <w:color w:val="auto"/>
              </w:rPr>
            </w:pPr>
          </w:p>
        </w:tc>
        <w:tc>
          <w:tcPr>
            <w:tcW w:w="6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001-33277</w:t>
            </w:r>
          </w:p>
        </w:tc>
        <w:tc>
          <w:tcPr>
            <w:tcW w:w="128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230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color w:val="auto"/>
              </w:rPr>
              <w:t>May 7, 2024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10.1*</w:t>
            </w:r>
          </w:p>
        </w:tc>
        <w:tc>
          <w:tcPr>
            <w:tcW w:w="4240" w:type="dxa"/>
            <w:vAlign w:val="bottom"/>
            <w:gridSpan w:val="16"/>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Madrigal Pharmaceuticals, Inc. 2015 Amended Stock</w:t>
              </w:r>
            </w:hyperlink>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001-33277</w:t>
            </w:r>
          </w:p>
        </w:tc>
        <w:tc>
          <w:tcPr>
            <w:tcW w:w="12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10.1</w:t>
            </w:r>
          </w:p>
        </w:tc>
        <w:tc>
          <w:tcPr>
            <w:tcW w:w="23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June 27, 2024</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Plan, as amended and restated as of June 25, 2024.</w:t>
              </w:r>
            </w:hyperlink>
          </w:p>
        </w:tc>
        <w:tc>
          <w:tcPr>
            <w:tcW w:w="20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31.1</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Rule 13a-14(a) or Rule 15d-14(a) of the Securities</w:t>
            </w:r>
          </w:p>
        </w:tc>
        <w:tc>
          <w:tcPr>
            <w:tcW w:w="3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24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31.2</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Rule 13a-14(a) or Rule 15d-14(a) of the Securities</w:t>
            </w:r>
          </w:p>
        </w:tc>
        <w:tc>
          <w:tcPr>
            <w:tcW w:w="280" w:type="dxa"/>
            <w:vAlign w:val="bottom"/>
            <w:tcBorders>
              <w:top w:val="single" w:sz="8" w:color="0000FF"/>
            </w:tcBorders>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24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20" w:type="dxa"/>
            <w:vAlign w:val="bottom"/>
            <w:tcBorders>
              <w:top w:val="single" w:sz="8" w:color="0000FF"/>
            </w:tcBorders>
            <w:gridSpan w:val="9"/>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32.1**</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Principal Financial Officer, pursuant to 18 U.S.C.</w:t>
            </w:r>
          </w:p>
        </w:tc>
        <w:tc>
          <w:tcPr>
            <w:tcW w:w="60" w:type="dxa"/>
            <w:vAlign w:val="bottom"/>
            <w:tcBorders>
              <w:bottom w:val="single" w:sz="8" w:color="0000FF"/>
            </w:tcBorders>
          </w:tcPr>
          <w:p>
            <w:pPr>
              <w:spacing w:after="0"/>
              <w:rPr>
                <w:sz w:val="14"/>
                <w:szCs w:val="14"/>
                <w:color w:val="auto"/>
              </w:rPr>
            </w:pPr>
          </w:p>
        </w:tc>
        <w:tc>
          <w:tcPr>
            <w:tcW w:w="68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0000FF"/>
              </w:rPr>
              <w:t>of the</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56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680" w:type="dxa"/>
            <w:vAlign w:val="bottom"/>
            <w:gridSpan w:val="12"/>
            <w:vMerge w:val="continue"/>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 Certifications of Principal</w:t>
            </w: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02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Executive Officer and Principal Financial Officer,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6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640" w:type="dxa"/>
            <w:vAlign w:val="bottom"/>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0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101.INS</w:t>
            </w:r>
          </w:p>
        </w:tc>
        <w:tc>
          <w:tcPr>
            <w:tcW w:w="3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0" w:type="dxa"/>
            <w:vAlign w:val="bottom"/>
            <w:gridSpan w:val="10"/>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3"/>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101.PRE</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101.DEF</w:t>
            </w: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20" w:right="5960" w:hanging="748"/>
        <w:spacing w:after="0" w:line="231" w:lineRule="auto"/>
        <w:tabs>
          <w:tab w:leader="none" w:pos="1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15" w:lineRule="exact"/>
        <w:rPr>
          <w:rFonts w:ascii="Times New Roman" w:cs="Times New Roman" w:eastAsia="Times New Roman" w:hAnsi="Times New Roman"/>
          <w:sz w:val="18"/>
          <w:szCs w:val="18"/>
          <w:color w:val="auto"/>
        </w:rPr>
      </w:pPr>
    </w:p>
    <w:p>
      <w:pPr>
        <w:ind w:left="340" w:hanging="332"/>
        <w:spacing w:after="0" w:line="242" w:lineRule="auto"/>
        <w:tabs>
          <w:tab w:leader="none" w:pos="3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5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Sibold</w:t>
            </w:r>
          </w:p>
        </w:tc>
      </w:tr>
      <w:tr>
        <w:trPr>
          <w:trHeight w:val="243"/>
        </w:trPr>
        <w:tc>
          <w:tcPr>
            <w:tcW w:w="35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Sibold</w:t>
            </w:r>
          </w:p>
        </w:tc>
      </w:tr>
      <w:tr>
        <w:trPr>
          <w:trHeight w:val="256"/>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Mardi C. Dier</w:t>
            </w:r>
          </w:p>
        </w:tc>
      </w:tr>
      <w:tr>
        <w:trPr>
          <w:trHeight w:val="243"/>
        </w:trPr>
        <w:tc>
          <w:tcPr>
            <w:tcW w:w="35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Mardi C. Dier</w:t>
            </w:r>
          </w:p>
        </w:tc>
      </w:tr>
      <w:tr>
        <w:trPr>
          <w:trHeight w:val="257"/>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56"/>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8"/>
        </w:trPr>
        <w:tc>
          <w:tcPr>
            <w:tcW w:w="3520" w:type="dxa"/>
            <w:vAlign w:val="bottom"/>
          </w:tcPr>
          <w:p>
            <w:pPr>
              <w:spacing w:after="0"/>
              <w:rPr>
                <w:sz w:val="24"/>
                <w:szCs w:val="24"/>
                <w:color w:val="auto"/>
              </w:rPr>
            </w:pPr>
          </w:p>
        </w:tc>
        <w:tc>
          <w:tcPr>
            <w:tcW w:w="2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39</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Sibold, certify that:</w:t>
      </w:r>
    </w:p>
    <w:p>
      <w:pPr>
        <w:spacing w:after="0" w:line="104"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ectPr>
          <w:pgSz w:w="11900" w:h="16838" w:orient="portrait"/>
          <w:cols w:equalWidth="0" w:num="1">
            <w:col w:w="11240"/>
          </w:cols>
          <w:pgMar w:left="320" w:top="92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left="340" w:right="4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Mardi C. Dier, certify that:</w:t>
      </w:r>
    </w:p>
    <w:p>
      <w:pPr>
        <w:spacing w:after="0" w:line="104"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Mardi C. Dier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Mardi C. Dier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8"/>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
      <w:numFmt w:val="bullet"/>
      <w:start w:val="1"/>
    </w:lvl>
  </w:abstractNum>
  <w:abstractNum w:abstractNumId="12">
    <w:nsid w:val="519B500D"/>
    <w:multiLevelType w:val="hybridMultilevel"/>
    <w:lvl w:ilvl="0">
      <w:lvlJc w:val="left"/>
      <w:lvlText w:val="*"/>
      <w:numFmt w:val="bullet"/>
      <w:start w:val="1"/>
    </w:lvl>
    <w:lvl w:ilvl="1">
      <w:lvlJc w:val="left"/>
      <w:lvlText w:val="%2"/>
      <w:numFmt w:val="decimal"/>
      <w:start w:val="104"/>
    </w:lvl>
  </w:abstractNum>
  <w:abstractNum w:abstractNumId="13">
    <w:nsid w:val="431BD7B7"/>
    <w:multiLevelType w:val="hybridMultilevel"/>
    <w:lvl w:ilvl="0">
      <w:lvlJc w:val="left"/>
      <w:lvlText w:val="**"/>
      <w:numFmt w:val="bullet"/>
      <w:start w:val="1"/>
    </w:lvl>
    <w:lvl w:ilvl="1">
      <w:lvlJc w:val="left"/>
      <w:lvlText w:val="%2"/>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5" Type="http://schemas.openxmlformats.org/officeDocument/2006/relationships/hyperlink" Target="https://www.sec.gov/Archives/edgar/data/1157601/000119312524133196/d815387dex11.htm" TargetMode="External"/><Relationship Id="rId56" Type="http://schemas.openxmlformats.org/officeDocument/2006/relationships/hyperlink" Target="https://www.sec.gov/Archives/edgar/data/1157601/000119312524170634/d8398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2024-08-07T08:06:13Z</dcterms:created>
  <dcterms:modified xsi:type="dcterms:W3CDTF">2024-08-07T08:06:13Z</dcterms:modified>
</cp:coreProperties>
</file>