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80" w:right="180" w:hanging="454"/>
        <w:spacing w:after="0" w:line="262"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60" w:right="200" w:hanging="434"/>
        <w:spacing w:after="0" w:line="275" w:lineRule="auto"/>
        <w:tabs>
          <w:tab w:leader="none" w:pos="46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79" w:lineRule="exact"/>
        <w:rPr>
          <w:sz w:val="24"/>
          <w:szCs w:val="24"/>
          <w:color w:val="auto"/>
        </w:rPr>
      </w:pPr>
    </w:p>
    <w:p>
      <w:pPr>
        <w:ind w:left="244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04-3508648</w:t>
      </w:r>
    </w:p>
    <w:p>
      <w:pPr>
        <w:sectPr>
          <w:pgSz w:w="11900" w:h="16887" w:orient="portrait"/>
          <w:cols w:equalWidth="0" w:num="1">
            <w:col w:w="11160"/>
          </w:cols>
          <w:pgMar w:left="320" w:top="225" w:right="419" w:bottom="0" w:gutter="0" w:footer="0" w:header="0"/>
        </w:sectPr>
      </w:pPr>
    </w:p>
    <w:p>
      <w:pPr>
        <w:spacing w:after="0" w:line="4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3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1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47" w:lineRule="exact"/>
        <w:rPr>
          <w:sz w:val="24"/>
          <w:szCs w:val="24"/>
          <w:color w:val="auto"/>
        </w:rPr>
      </w:pPr>
    </w:p>
    <w:p>
      <w:pPr>
        <w:sectPr>
          <w:pgSz w:w="11900" w:h="16887" w:orient="portrait"/>
          <w:cols w:equalWidth="0" w:num="2">
            <w:col w:w="7160" w:space="720"/>
            <w:col w:w="3280"/>
          </w:cols>
          <w:pgMar w:left="320" w:top="225" w:right="419" w:bottom="0" w:gutter="0" w:footer="0" w:header="0"/>
          <w:type w:val="continuous"/>
        </w:sectPr>
      </w:pPr>
    </w:p>
    <w:p>
      <w:pPr>
        <w:ind w:left="162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891"/>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84"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6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87" w:orient="portrait"/>
          <w:cols w:equalWidth="0" w:num="1">
            <w:col w:w="11160"/>
          </w:cols>
          <w:pgMar w:left="320" w:top="225" w:right="4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8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18"/>
        </w:trPr>
        <w:tc>
          <w:tcPr>
            <w:tcW w:w="3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2025, the registrant had 22,203,282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89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00" w:type="dxa"/>
            <w:vAlign w:val="bottom"/>
            <w:gridSpan w:val="9"/>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2025 and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80" w:type="dxa"/>
            <w:vAlign w:val="bottom"/>
            <w:tcBorders>
              <w:bottom w:val="single" w:sz="8" w:color="661DE8"/>
            </w:tcBorders>
            <w:gridSpan w:val="19"/>
          </w:tcPr>
          <w:p>
            <w:pPr>
              <w:spacing w:after="0"/>
              <w:rPr>
                <w:sz w:val="20"/>
                <w:szCs w:val="20"/>
                <w:color w:val="auto"/>
              </w:rPr>
            </w:pPr>
            <w:r>
              <w:rPr>
                <w:rFonts w:ascii="Times New Roman" w:cs="Times New Roman" w:eastAsia="Times New Roman" w:hAnsi="Times New Roman"/>
                <w:sz w:val="18"/>
                <w:szCs w:val="18"/>
                <w:color w:val="661DE8"/>
                <w:w w:val="99"/>
              </w:rPr>
              <w:t>Condensed Consolidated Statements of Comprehensive Loss for the Three Months Ended March 31, 2025 and 2024</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700" w:type="dxa"/>
            <w:vAlign w:val="bottom"/>
            <w:tcBorders>
              <w:top w:val="single" w:sz="8" w:color="0000FF"/>
            </w:tcBorders>
            <w:gridSpan w:val="6"/>
          </w:tcPr>
          <w:p>
            <w:pPr>
              <w:spacing w:after="0"/>
              <w:rPr>
                <w:sz w:val="18"/>
                <w:szCs w:val="18"/>
                <w:color w:val="auto"/>
              </w:rPr>
            </w:pPr>
          </w:p>
        </w:tc>
        <w:tc>
          <w:tcPr>
            <w:tcW w:w="1280" w:type="dxa"/>
            <w:vAlign w:val="bottom"/>
            <w:gridSpan w:val="2"/>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520" w:type="dxa"/>
            <w:vAlign w:val="bottom"/>
            <w:gridSpan w:val="4"/>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180" w:type="dxa"/>
            <w:vAlign w:val="bottom"/>
            <w:gridSpan w:val="13"/>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20" w:type="dxa"/>
            <w:vAlign w:val="bottom"/>
            <w:gridSpan w:val="12"/>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7640" w:type="dxa"/>
            <w:vAlign w:val="bottom"/>
            <w:gridSpan w:val="15"/>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20" w:type="dxa"/>
            <w:vAlign w:val="bottom"/>
            <w:gridSpan w:val="7"/>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660" w:type="dxa"/>
            <w:vAlign w:val="bottom"/>
            <w:gridSpan w:val="10"/>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60" w:type="dxa"/>
            <w:vAlign w:val="bottom"/>
            <w:gridSpan w:val="16"/>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w:t>
      </w:r>
    </w:p>
    <w:p>
      <w:pPr>
        <w:spacing w:after="0" w:line="87" w:lineRule="exact"/>
        <w:rPr>
          <w:sz w:val="20"/>
          <w:szCs w:val="20"/>
          <w:color w:val="auto"/>
        </w:rPr>
      </w:pPr>
    </w:p>
    <w:p>
      <w:pPr>
        <w:ind w:left="1300" w:right="400" w:hanging="320"/>
        <w:spacing w:after="0" w:line="296"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Rezdiffra, our only approved product, in the United States for the treatment of metabolic dysfunction-associated steatohepatitis (“MASH”) with moderate to advanced liver fibrosis (consistent with stages F2 to F3 fibrosis);</w:t>
      </w:r>
    </w:p>
    <w:p>
      <w:pPr>
        <w:spacing w:after="0" w:line="30" w:lineRule="exact"/>
        <w:rPr>
          <w:rFonts w:ascii="Times New Roman" w:cs="Times New Roman" w:eastAsia="Times New Roman" w:hAnsi="Times New Roman"/>
          <w:sz w:val="17"/>
          <w:szCs w:val="17"/>
          <w:color w:val="auto"/>
        </w:rPr>
      </w:pPr>
    </w:p>
    <w:p>
      <w:pPr>
        <w:ind w:left="1300" w:right="6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full approval for Rezdiffra from the U.S. Food and Drug Administration (the “FDA”), including our ability to successfully, or in a timely manner, report positive results from either of our outcomes trials, which is required for full approval for Rezdiffra;</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to expand Rezdiffra's indication to a broader MASH patient population;</w:t>
      </w:r>
    </w:p>
    <w:p>
      <w:pPr>
        <w:spacing w:after="0" w:line="117"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potential sector leadership;</w:t>
      </w:r>
    </w:p>
    <w:p>
      <w:pPr>
        <w:spacing w:after="0" w:line="82" w:lineRule="exact"/>
        <w:rPr>
          <w:rFonts w:ascii="Times New Roman" w:cs="Times New Roman" w:eastAsia="Times New Roman" w:hAnsi="Times New Roman"/>
          <w:sz w:val="18"/>
          <w:szCs w:val="18"/>
          <w:color w:val="auto"/>
        </w:rPr>
      </w:pPr>
    </w:p>
    <w:p>
      <w:pPr>
        <w:ind w:left="1300" w:right="4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at all or in a timely manner, regulatory approvals for Rezdiffra in Europe and our ability to effectively scale our operations in Europe to successfully commercialize Rezdiffra, subject to European Commission approval;</w:t>
      </w:r>
    </w:p>
    <w:p>
      <w:pPr>
        <w:spacing w:after="0" w:line="54"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business strategies and plans (including potential ex-U.S. commercial or partnering opportunities) and potential growth opportunities and our ability to acquire or in-license new product candidates and technologies;</w:t>
      </w:r>
    </w:p>
    <w:p>
      <w:pPr>
        <w:spacing w:after="0" w:line="40" w:lineRule="exact"/>
        <w:rPr>
          <w:rFonts w:ascii="Times New Roman" w:cs="Times New Roman" w:eastAsia="Times New Roman" w:hAnsi="Times New Roman"/>
          <w:sz w:val="18"/>
          <w:szCs w:val="18"/>
          <w:color w:val="auto"/>
        </w:rPr>
      </w:pPr>
    </w:p>
    <w:p>
      <w:pPr>
        <w:ind w:left="1300" w:right="6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clinical trials, including anticipated timing of receipt of data from our clinical trials, our ability to successfully conduct our current or any future clinical trials necessary for regulatory approval and our ability to delay certain research activities and related clinical expenses as necessary;</w:t>
      </w:r>
    </w:p>
    <w:p>
      <w:pPr>
        <w:spacing w:after="0" w:line="61" w:lineRule="exact"/>
        <w:rPr>
          <w:rFonts w:ascii="Times New Roman" w:cs="Times New Roman" w:eastAsia="Times New Roman" w:hAnsi="Times New Roman"/>
          <w:sz w:val="18"/>
          <w:szCs w:val="18"/>
          <w:color w:val="auto"/>
        </w:rPr>
      </w:pPr>
    </w:p>
    <w:p>
      <w:pPr>
        <w:ind w:left="1300" w:right="14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commercial organization, including sales and marketing representatives, and the ability of third parties on which we rely to manufacture sufficient quantities of Rezdiffra or any other future product candidate for our commercial or clinical needs;</w:t>
      </w:r>
    </w:p>
    <w:p>
      <w:pPr>
        <w:spacing w:after="0" w:line="61"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our future operating performance and financial position, estimates of our expenses and liquidity and our ability to raise additional capital as needed, our ability to achieve or maintain profitability, our ability to comply with the covenants included in our loan facility and our ability to comply with our obligations under our agreements related to Rezdiffra, including our license agreement with Hoffman-La-Roche; and</w:t>
      </w:r>
    </w:p>
    <w:p>
      <w:pPr>
        <w:spacing w:after="0" w:line="69" w:lineRule="exact"/>
        <w:rPr>
          <w:rFonts w:ascii="Times New Roman" w:cs="Times New Roman" w:eastAsia="Times New Roman" w:hAnsi="Times New Roman"/>
          <w:sz w:val="18"/>
          <w:szCs w:val="18"/>
          <w:color w:val="auto"/>
        </w:rPr>
      </w:pPr>
    </w:p>
    <w:p>
      <w:pPr>
        <w:ind w:left="1300" w:right="4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spacing w:after="0" w:line="169"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IA, “Risk Factors” in our Annual Report on Form 10-K for the fiscal year ended December 31, 2024 and Part II, Item 1A, “Risk Factors” in this Quarterly Report and elsewhere in this Quarterly Report. Other sections of this Quarterly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17"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100,019</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826,232</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1,032,927</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1,042,247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124,695</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118,587</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285,992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287,864</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par value $0.0001 per share authorized: 5,000,000 shares at March 31, 2025 and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December 31, 2024; 2,369,797 and 2,369,797 shares issued and outstanding at March 31, 2025 and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at March 31, 2025 and December 31,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2024; 22,187,716 and 22,004,679 shares issued and outstanding at March 31, 2025 and December 31,</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2024, respectively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2,556,095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(1,875,420)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(1,802,182)</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710,637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754,383</w:t>
            </w:r>
          </w:p>
        </w:tc>
        <w:tc>
          <w:tcPr>
            <w:tcW w:w="0" w:type="dxa"/>
            <w:vAlign w:val="bottom"/>
          </w:tcPr>
          <w:p>
            <w:pPr>
              <w:spacing w:after="0"/>
              <w:rPr>
                <w:sz w:val="1"/>
                <w:szCs w:val="1"/>
                <w:color w:val="auto"/>
              </w:rPr>
            </w:pPr>
          </w:p>
        </w:tc>
      </w:tr>
      <w:tr>
        <w:trPr>
          <w:trHeight w:val="244"/>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996,629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1,042,247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0" w:type="dxa"/>
            <w:vAlign w:val="bottom"/>
          </w:tcPr>
          <w:p>
            <w:pPr>
              <w:spacing w:after="0"/>
              <w:rPr>
                <w:sz w:val="1"/>
                <w:szCs w:val="1"/>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20,001,569</w:t>
            </w:r>
          </w:p>
        </w:tc>
        <w:tc>
          <w:tcPr>
            <w:tcW w:w="0" w:type="dxa"/>
            <w:vAlign w:val="bottom"/>
          </w:tcPr>
          <w:p>
            <w:pPr>
              <w:spacing w:after="0"/>
              <w:rPr>
                <w:sz w:val="1"/>
                <w:szCs w:val="1"/>
                <w:color w:val="auto"/>
              </w:rPr>
            </w:pPr>
          </w:p>
        </w:tc>
      </w:tr>
    </w:tbl>
    <w:p>
      <w:pPr>
        <w:ind w:left="1760"/>
        <w:spacing w:after="0" w:line="234" w:lineRule="auto"/>
        <w:rPr>
          <w:sz w:val="20"/>
          <w:szCs w:val="20"/>
          <w:color w:val="auto"/>
        </w:rPr>
      </w:pPr>
      <w:r>
        <w:rPr>
          <w:rFonts w:ascii="Times New Roman" w:cs="Times New Roman" w:eastAsia="Times New Roman" w:hAnsi="Times New Roman"/>
          <w:sz w:val="18"/>
          <w:szCs w:val="18"/>
          <w:color w:val="auto"/>
        </w:rPr>
        <w:t>outstanding</w:t>
      </w:r>
    </w:p>
    <w:p>
      <w:pPr>
        <w:spacing w:after="0" w:line="30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50"/>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0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0" w:type="dxa"/>
            <w:vAlign w:val="bottom"/>
            <w:gridSpan w:val="2"/>
            <w:vMerge w:val="restart"/>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restart"/>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22,004,679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$2,556,095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(1,802,182)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754,383</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foreign currency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22,187,716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$2,585,666</w:t>
            </w:r>
          </w:p>
        </w:tc>
        <w:tc>
          <w:tcPr>
            <w:tcW w:w="80" w:type="dxa"/>
            <w:vAlign w:val="bottom"/>
          </w:tcPr>
          <w:p>
            <w:pPr>
              <w:spacing w:after="0"/>
              <w:rPr>
                <w:sz w:val="21"/>
                <w:szCs w:val="21"/>
                <w:color w:val="auto"/>
              </w:rPr>
            </w:pP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(1,875,420)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710,637</w:t>
            </w:r>
          </w:p>
        </w:tc>
        <w:tc>
          <w:tcPr>
            <w:tcW w:w="0" w:type="dxa"/>
            <w:vAlign w:val="bottom"/>
          </w:tcPr>
          <w:p>
            <w:pPr>
              <w:spacing w:after="0"/>
              <w:rPr>
                <w:sz w:val="1"/>
                <w:szCs w:val="1"/>
                <w:color w:val="auto"/>
              </w:rPr>
            </w:pPr>
          </w:p>
        </w:tc>
      </w:tr>
      <w:tr>
        <w:trPr>
          <w:trHeight w:val="277"/>
        </w:trPr>
        <w:tc>
          <w:tcPr>
            <w:tcW w:w="3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19,875,427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$1,741,153</w:t>
            </w:r>
          </w:p>
        </w:tc>
        <w:tc>
          <w:tcPr>
            <w:tcW w:w="80" w:type="dxa"/>
            <w:vAlign w:val="bottom"/>
          </w:tcPr>
          <w:p>
            <w:pPr>
              <w:spacing w:after="0"/>
              <w:rPr>
                <w:sz w:val="21"/>
                <w:szCs w:val="21"/>
                <w:color w:val="auto"/>
              </w:rPr>
            </w:pP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(1,336,290)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shares and sale of</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warrants in equity offerings, excluding</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 related parties, net of transaction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0" w:type="dxa"/>
            <w:vAlign w:val="bottom"/>
          </w:tcPr>
          <w:p>
            <w:pPr>
              <w:spacing w:after="0"/>
              <w:rPr>
                <w:sz w:val="1"/>
                <w:szCs w:val="1"/>
                <w:color w:val="auto"/>
              </w:rPr>
            </w:pPr>
          </w:p>
        </w:tc>
      </w:tr>
      <w:tr>
        <w:trPr>
          <w:trHeight w:val="211"/>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warrants to related parties in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equity offerings, exercise of common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vesting, net of transaction costs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50"/>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20,684,663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$2,334,760</w:t>
            </w:r>
          </w:p>
        </w:tc>
        <w:tc>
          <w:tcPr>
            <w:tcW w:w="80" w:type="dxa"/>
            <w:vAlign w:val="bottom"/>
          </w:tcPr>
          <w:p>
            <w:pPr>
              <w:spacing w:after="0"/>
              <w:rPr>
                <w:sz w:val="20"/>
                <w:szCs w:val="20"/>
                <w:color w:val="auto"/>
              </w:rPr>
            </w:pP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(1,483,831)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850,759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30480</wp:posOffset>
            </wp:positionV>
            <wp:extent cx="1843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(147,541)</w:t>
            </w:r>
          </w:p>
        </w:tc>
      </w:tr>
      <w:tr>
        <w:trPr>
          <w:trHeight w:val="263"/>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and interest accretion related to operating leases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Trade receivables, net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50"/>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r>
      <w:tr>
        <w:trPr>
          <w:trHeight w:val="263"/>
        </w:trPr>
        <w:tc>
          <w:tcPr>
            <w:tcW w:w="8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50"/>
        </w:trPr>
        <w:tc>
          <w:tcPr>
            <w:tcW w:w="83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57"/>
        </w:trPr>
        <w:tc>
          <w:tcPr>
            <w:tcW w:w="83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(149,157)</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(84,197)</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182,607</w:t>
            </w: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56"/>
        </w:trPr>
        <w:tc>
          <w:tcPr>
            <w:tcW w:w="8300" w:type="dxa"/>
            <w:vAlign w:val="bottom"/>
            <w:tcBorders>
              <w:top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98,053</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311,561</w:t>
            </w:r>
          </w:p>
        </w:tc>
      </w:tr>
      <w:tr>
        <w:trPr>
          <w:trHeight w:val="25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related parties - warrants, exercise of common stock options, net of transaction costs</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w:t>
            </w:r>
          </w:p>
        </w:tc>
      </w:tr>
      <w:tr>
        <w:trPr>
          <w:trHeight w:val="257"/>
        </w:trPr>
        <w:tc>
          <w:tcPr>
            <w:tcW w:w="8300" w:type="dxa"/>
            <w:vAlign w:val="bottom"/>
            <w:tcBorders>
              <w:top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573,706</w:t>
            </w:r>
          </w:p>
        </w:tc>
      </w:tr>
      <w:tr>
        <w:trPr>
          <w:trHeight w:val="243"/>
        </w:trPr>
        <w:tc>
          <w:tcPr>
            <w:tcW w:w="8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522,602</w:t>
            </w:r>
          </w:p>
        </w:tc>
      </w:tr>
      <w:tr>
        <w:trPr>
          <w:trHeight w:val="26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4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622,517</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8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Intangible assets in accounts payable at the end of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ind w:right="7220" w:firstLine="8"/>
        <w:spacing w:after="0" w:line="37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and premature mortality. MASH was previously known as nonalcoholic steatohepatitis (“NASH”). In 2023, global liver disease medical societies and patient groups came together to rename the disease, with the goal of establishing an affirmative, non-stigmatizing name and diagnosis. The U.S. Food and Drug Administration (the “FDA”) considers the term NASH interchangeable with MASH. MASH is expected to become the leading cause of liver transplantation in the United States and is already the leading cause of liver transplantation among women in the United States. The Company’s medication, Rezdiffra (resmetirom), is a once-daily, oral, liver-directed thyroid hormone receptor beta (“THR-β”) agonist designed to target key underlying causes of MASH. In March 2024, Rezdiffra became the first and only FDA-approved therapy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2025 or any subsequent period. These unaudited condensed consolidated financial statements should be read in conjunction with the audited consolidated financial statements and the notes to those financial statements for the year ended December 31, 2024.</w:t>
      </w:r>
    </w:p>
    <w:p>
      <w:pPr>
        <w:spacing w:after="0" w:line="283" w:lineRule="exact"/>
        <w:rPr>
          <w:sz w:val="20"/>
          <w:szCs w:val="20"/>
          <w:color w:val="auto"/>
        </w:rPr>
      </w:pPr>
    </w:p>
    <w:p>
      <w:pPr>
        <w:ind w:right="7640" w:firstLine="8"/>
        <w:spacing w:after="0" w:line="37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GAAP and include accounts of the Company and its wholly-owned subsidiaries. All significant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Company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contract; (iii) determine the transaction price; (iv) allocate the transaction price to the performance obligation(s) in the contract; and (v) recognize revenue when (or as) the Company satisfies its performance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216" w:lineRule="exact"/>
        <w:rPr>
          <w:sz w:val="20"/>
          <w:szCs w:val="20"/>
          <w:color w:val="auto"/>
        </w:rPr>
      </w:pPr>
    </w:p>
    <w:p>
      <w:pPr>
        <w:jc w:val="both"/>
        <w:ind w:right="220" w:firstLine="648"/>
        <w:spacing w:after="0" w:line="256" w:lineRule="auto"/>
        <w:rPr>
          <w:sz w:val="20"/>
          <w:szCs w:val="20"/>
          <w:color w:val="auto"/>
        </w:rPr>
      </w:pPr>
      <w:r>
        <w:rPr>
          <w:rFonts w:ascii="Times New Roman" w:cs="Times New Roman" w:eastAsia="Times New Roman" w:hAnsi="Times New Roman"/>
          <w:sz w:val="17"/>
          <w:szCs w:val="17"/>
          <w:color w:val="auto"/>
        </w:rPr>
        <w:t>On March 14, 2024, the Company announced that the FDA granted accelerated approval of Rezdiffra (resmetirom) in conjunction with diet and exercise for the treatment of adults with MASH with moderate to advanced liver fibrosis (consistent with stages F2 to F3 fibrosis). The Company enters into agreements with specialty pharmacies and specialty distributors (each a “Customer” and collectively the “Customers”) to sell Rezdiffra in the U.S.</w:t>
      </w:r>
    </w:p>
    <w:p>
      <w:pPr>
        <w:spacing w:after="0" w:line="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Revenues from product sales are recognized when the Customer obtains control of the Company’s product, which occurs at a point in time, typically upon delivery to the Customer.</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17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Prompt Pay</w:t>
      </w:r>
      <w:r>
        <w:rPr>
          <w:rFonts w:ascii="Times New Roman" w:cs="Times New Roman" w:eastAsia="Times New Roman" w:hAnsi="Times New Roman"/>
          <w:sz w:val="18"/>
          <w:szCs w:val="18"/>
          <w:color w:val="auto"/>
        </w:rPr>
        <w:t>: Customers receive a prompt pay discount for payments made within a contractually agreed number of days before the due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are accounted for as a reduction of the transaction price and recorded as a contra receivable.</w:t>
      </w:r>
    </w:p>
    <w:p>
      <w:pPr>
        <w:spacing w:after="0" w:line="15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The Company records allowances for product returns as a reduction of revenue at the time product sales are recorded. Product returns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forecasted sales and historical and industry data. Returns are permitted in accordance with the return of goods policy defined within each customer agreement. A returns reserve is recorded as an accrued liability.</w:t>
      </w:r>
    </w:p>
    <w:p>
      <w:pPr>
        <w:spacing w:after="0" w:line="16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estimates obligations resulting from contractual commitments with the government and other entities to sell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qualified healthcare providers at prices 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77"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Co-Payment Assistance</w:t>
      </w:r>
      <w:r>
        <w:rPr>
          <w:rFonts w:ascii="Times New Roman" w:cs="Times New Roman" w:eastAsia="Times New Roman" w:hAnsi="Times New Roman"/>
          <w:sz w:val="18"/>
          <w:szCs w:val="18"/>
          <w:color w:val="auto"/>
        </w:rPr>
        <w:t>: Co-payment assistance programs are offered to eligible end-users as price concessions and are recorded as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a reduction of the transaction price. The Company uses a third-party to administer the co-payment program for pharmacy benefit claims.</w:t>
      </w:r>
    </w:p>
    <w:p>
      <w:pPr>
        <w:spacing w:after="0" w:line="15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The Company is subject to discount obligations under government programs, including Medicaid and Medicare. Reserves for rebates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same period the related product revenue is recognized, resulting in a reduction of product revenues and a current liability that is included in accrued expenses on the consolidated balance sheet. The Company’s estimate for rebates is based on statutory discount rates, expected utilization or an estimated number of patients on treatment, as applicable.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 Net</w:t>
      </w:r>
    </w:p>
    <w:p>
      <w:pPr>
        <w:spacing w:after="0" w:line="108" w:lineRule="exact"/>
        <w:rPr>
          <w:sz w:val="20"/>
          <w:szCs w:val="20"/>
          <w:color w:val="auto"/>
        </w:rPr>
      </w:pPr>
    </w:p>
    <w:p>
      <w:pPr>
        <w:jc w:val="both"/>
        <w:ind w:right="60" w:firstLine="648"/>
        <w:spacing w:after="0" w:line="242" w:lineRule="auto"/>
        <w:rPr>
          <w:sz w:val="20"/>
          <w:szCs w:val="20"/>
          <w:color w:val="auto"/>
        </w:rPr>
      </w:pPr>
      <w:r>
        <w:rPr>
          <w:rFonts w:ascii="Times New Roman" w:cs="Times New Roman" w:eastAsia="Times New Roman" w:hAnsi="Times New Roman"/>
          <w:sz w:val="18"/>
          <w:szCs w:val="18"/>
          <w:color w:val="auto"/>
        </w:rPr>
        <w:t>The Company's trade receivables relate to amounts due from Customers related to product sales and are recorded net of prompt pay discounts and chargebacks. The Company assesses collectability of overdue receivables and those determined to be uncollectible are written-off. As of March 31, 2025, there were no receivables written off.</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predominantly in the United States. The Company invests in money market funds and high-grade, commercial paper and corporate bonds, which management believes are subject to minimal credit and market risk.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90"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2025 and 2024, the Company determined it did not have any securities that were other-than-temporarily impaired.</w:t>
      </w:r>
    </w:p>
    <w:p>
      <w:pPr>
        <w:spacing w:after="0" w:line="18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2025 and 2024, realized gains and losses on marketable securities were not material.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04" w:lineRule="exact"/>
        <w:rPr>
          <w:sz w:val="20"/>
          <w:szCs w:val="20"/>
          <w:color w:val="auto"/>
        </w:rPr>
      </w:pPr>
    </w:p>
    <w:p>
      <w:pPr>
        <w:ind w:left="1100" w:right="10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8"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As of March 31, 2025,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2025 and 2024, the Company did not have any transfers of financial assets between Levels 1 and 2. As of March 31, 2025 and December 31, 2024, the Company did not have any financial liabilities that were recorded at fair value on a recurring basis on the balance sheet.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Inventory, which consists of work in process and finished goods, is stated at the lower of cost or estimated net realizable value, using actual cost, based on a first-in, first-out method. The balance sheet classification of inventory as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Income. The Company capitalizes inventory costs when future commercial sale in the ordinary course of business is probable.</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approval was granted for Rezdiffra.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jc w:val="both"/>
        <w:ind w:right="560"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advertising, corporate insurance, professional fees for accounting, auditing, consulting and legal services and allocated overhead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twelve months or less at commencement date are expensed on a straight-line basis over the lease 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selling, general and administrative expense in the Company’s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81"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91"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9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stock-based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accounts for income taxes in accordance with FASB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08" w:lineRule="exact"/>
        <w:rPr>
          <w:sz w:val="20"/>
          <w:szCs w:val="20"/>
          <w:color w:val="auto"/>
        </w:rPr>
      </w:pPr>
    </w:p>
    <w:p>
      <w:pPr>
        <w:jc w:val="both"/>
        <w:ind w:right="300"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unrealized foreign currency translation adjustments.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three months ended March 31, 2025 and 2024,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table summarizes outstanding securities not included in the computation of diluted net loss per common share, as their inclusion would be anti-dilutive:</w:t>
      </w:r>
    </w:p>
    <w:p>
      <w:pPr>
        <w:spacing w:after="0" w:line="223"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8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Outstanding at March 31,</w:t>
            </w:r>
          </w:p>
        </w:tc>
      </w:tr>
      <w:tr>
        <w:trPr>
          <w:trHeight w:val="23"/>
        </w:trPr>
        <w:tc>
          <w:tcPr>
            <w:tcW w:w="5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1,526,018</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2,458,227</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694,995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530,671</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252,404</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the disclosures required for operating segments in the Company’s annual and interim consolidated financial statements. The amendments are effective for fiscal years beginning after December 15, 2023, and interim periods beginning after December 15, 2024. The Company adopted ASU 2023-07 for its Annual Report on Form 10-K for the fiscal year ended December 31, 2024 filed with the U.S. Securities and Exchange Commission on February 26, 2025.</w:t>
      </w:r>
    </w:p>
    <w:p>
      <w:pPr>
        <w:spacing w:after="0" w:line="181"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the disclosures required for income taxes in the Company's annual consolidated financial statements. The amendments are effective for annual periods beginning after December 15, 2024. Early adoption is permitted. The Company does not expect the adoption of ASU 2023-09 to have a significant impact on its financial statements.</w:t>
      </w:r>
    </w:p>
    <w:p>
      <w:pPr>
        <w:spacing w:after="0" w:line="83"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FDA and other government regulations.</w:t>
      </w:r>
    </w:p>
    <w:p>
      <w:pPr>
        <w:spacing w:after="0" w:line="16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$73.2 million for the three months ended March 31, 2025, resulting in an accumulated deficit of approximately $1,875.4 million as of March 31, 2025. To date, the Company has funded its operations primarily through proceeds from sales of the Company’s capital stock and debt financings. In March 2024, the FDA approved Rezdiffra in the U.S. for the treatment of adults with noncirrhotic MASH with moderate to advanced liver fibrosis (consistent with stages F2 to F3 fibrosis). Rezdiffra became commercially available in the U.S. in April 2024. Management expects to incur losses until the Company is able to generate sufficient revenue from Rezdiffra and any other approved products. The Company believes that its cash, cash equivalents and marketable securities at March 31, 2025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and the Company entering into any strategic transactions.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Product Revenue, Net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balances and activity for gross to net reserves (in thousands):</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Rebates, Customer</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320" w:type="dxa"/>
            <w:vAlign w:val="bottom"/>
          </w:tcPr>
          <w:p>
            <w:pPr>
              <w:spacing w:after="0"/>
              <w:rPr>
                <w:sz w:val="13"/>
                <w:szCs w:val="13"/>
                <w:color w:val="auto"/>
              </w:rPr>
            </w:pPr>
          </w:p>
        </w:tc>
        <w:tc>
          <w:tcPr>
            <w:tcW w:w="18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 Prompt Pay and Other</w:t>
            </w:r>
          </w:p>
        </w:tc>
        <w:tc>
          <w:tcPr>
            <w:tcW w:w="140" w:type="dxa"/>
            <w:vAlign w:val="bottom"/>
          </w:tcPr>
          <w:p>
            <w:pPr>
              <w:spacing w:after="0"/>
              <w:rPr>
                <w:sz w:val="13"/>
                <w:szCs w:val="13"/>
                <w:color w:val="auto"/>
              </w:rPr>
            </w:pPr>
          </w:p>
        </w:tc>
        <w:tc>
          <w:tcPr>
            <w:tcW w:w="16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Fees/Credits, Co-Pay</w:t>
            </w:r>
          </w:p>
        </w:tc>
        <w:tc>
          <w:tcPr>
            <w:tcW w:w="400" w:type="dxa"/>
            <w:vAlign w:val="bottom"/>
          </w:tcPr>
          <w:p>
            <w:pPr>
              <w:spacing w:after="0"/>
              <w:rPr>
                <w:sz w:val="13"/>
                <w:szCs w:val="13"/>
                <w:color w:val="auto"/>
              </w:rPr>
            </w:pPr>
          </w:p>
        </w:tc>
        <w:tc>
          <w:tcPr>
            <w:tcW w:w="132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Assistance, and 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8"/>
              </w:rPr>
              <w:t>4,188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0" w:type="dxa"/>
            <w:vAlign w:val="bottom"/>
          </w:tcPr>
          <w:p>
            <w:pPr>
              <w:spacing w:after="0"/>
              <w:rPr>
                <w:sz w:val="1"/>
                <w:szCs w:val="1"/>
                <w:color w:val="auto"/>
              </w:rPr>
            </w:pPr>
          </w:p>
        </w:tc>
      </w:tr>
      <w:tr>
        <w:trPr>
          <w:trHeight w:val="257"/>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20" w:type="dxa"/>
            <w:vAlign w:val="bottom"/>
          </w:tcPr>
          <w:p>
            <w:pPr>
              <w:spacing w:after="0"/>
              <w:rPr>
                <w:sz w:val="22"/>
                <w:szCs w:val="22"/>
                <w:color w:val="auto"/>
              </w:rPr>
            </w:pPr>
          </w:p>
        </w:tc>
        <w:tc>
          <w:tcPr>
            <w:tcW w:w="1600" w:type="dxa"/>
            <w:vAlign w:val="bottom"/>
          </w:tcPr>
          <w:p>
            <w:pPr>
              <w:jc w:val="center"/>
              <w:ind w:left="955"/>
              <w:spacing w:after="0"/>
              <w:rPr>
                <w:sz w:val="20"/>
                <w:szCs w:val="20"/>
                <w:color w:val="auto"/>
              </w:rPr>
            </w:pPr>
            <w:r>
              <w:rPr>
                <w:rFonts w:ascii="Times New Roman" w:cs="Times New Roman" w:eastAsia="Times New Roman" w:hAnsi="Times New Roman"/>
                <w:sz w:val="18"/>
                <w:szCs w:val="18"/>
                <w:color w:val="auto"/>
                <w:w w:val="98"/>
              </w:rPr>
              <w:t>5,239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34,619</w:t>
            </w:r>
          </w:p>
        </w:tc>
        <w:tc>
          <w:tcPr>
            <w:tcW w:w="0" w:type="dxa"/>
            <w:vAlign w:val="bottom"/>
          </w:tcPr>
          <w:p>
            <w:pPr>
              <w:spacing w:after="0"/>
              <w:rPr>
                <w:sz w:val="1"/>
                <w:szCs w:val="1"/>
                <w:color w:val="auto"/>
              </w:rPr>
            </w:pPr>
          </w:p>
        </w:tc>
      </w:tr>
      <w:tr>
        <w:trPr>
          <w:trHeight w:val="25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year sales</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Payments and customer credits issued</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935"/>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(21,251)</w:t>
            </w:r>
          </w:p>
        </w:tc>
        <w:tc>
          <w:tcPr>
            <w:tcW w:w="0" w:type="dxa"/>
            <w:vAlign w:val="bottom"/>
          </w:tcPr>
          <w:p>
            <w:pPr>
              <w:spacing w:after="0"/>
              <w:rPr>
                <w:sz w:val="1"/>
                <w:szCs w:val="1"/>
                <w:color w:val="auto"/>
              </w:rPr>
            </w:pPr>
          </w:p>
        </w:tc>
      </w:tr>
      <w:tr>
        <w:trPr>
          <w:trHeight w:val="275"/>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8"/>
              </w:rPr>
              <w:t>4,495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216"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 generates revenue from a small number of large, reputable customers. The following customers accounted for over 10% of total gross product revenue during the three months ended March 31, 2025. As Rezdiffra was made commercially available in April 2024, there were no sales and no corresponding customer concentrations for the comparable period in 2024.</w:t>
      </w:r>
    </w:p>
    <w:p>
      <w:pPr>
        <w:spacing w:after="0" w:line="21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22225</wp:posOffset>
            </wp:positionV>
            <wp:extent cx="2408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0" w:type="dxa"/>
            <w:vAlign w:val="bottom"/>
          </w:tcPr>
          <w:p>
            <w:pPr>
              <w:spacing w:after="0"/>
              <w:rPr>
                <w:sz w:val="16"/>
                <w:szCs w:val="16"/>
                <w:color w:val="auto"/>
              </w:rPr>
            </w:pPr>
          </w:p>
        </w:tc>
      </w:tr>
      <w:tr>
        <w:trPr>
          <w:trHeight w:val="23"/>
        </w:trPr>
        <w:tc>
          <w:tcPr>
            <w:tcW w:w="3260" w:type="dxa"/>
            <w:vAlign w:val="bottom"/>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3260" w:type="dxa"/>
            <w:vAlign w:val="bottom"/>
          </w:tcPr>
          <w:p>
            <w:pPr>
              <w:spacing w:after="0"/>
              <w:rPr>
                <w:sz w:val="21"/>
                <w:szCs w:val="21"/>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1"/>
                <w:szCs w:val="21"/>
                <w:color w:val="auto"/>
              </w:rPr>
            </w:pPr>
          </w:p>
        </w:tc>
      </w:tr>
      <w:tr>
        <w:trPr>
          <w:trHeight w:val="257"/>
        </w:trPr>
        <w:tc>
          <w:tcPr>
            <w:tcW w:w="3260" w:type="dxa"/>
            <w:vAlign w:val="bottom"/>
          </w:tcPr>
          <w:p>
            <w:pPr>
              <w:spacing w:after="0"/>
              <w:rPr>
                <w:sz w:val="22"/>
                <w:szCs w:val="22"/>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2"/>
                <w:szCs w:val="22"/>
                <w:color w:val="auto"/>
              </w:rPr>
            </w:pPr>
          </w:p>
        </w:tc>
        <w:tc>
          <w:tcPr>
            <w:tcW w:w="44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260" w:type="dxa"/>
            <w:vAlign w:val="bottom"/>
          </w:tcPr>
          <w:p>
            <w:pPr>
              <w:spacing w:after="0"/>
              <w:rPr>
                <w:sz w:val="22"/>
                <w:szCs w:val="22"/>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2"/>
                <w:szCs w:val="22"/>
                <w:color w:val="auto"/>
              </w:rPr>
            </w:pPr>
          </w:p>
        </w:tc>
      </w:tr>
      <w:tr>
        <w:trPr>
          <w:trHeight w:val="257"/>
        </w:trPr>
        <w:tc>
          <w:tcPr>
            <w:tcW w:w="3260" w:type="dxa"/>
            <w:vAlign w:val="bottom"/>
          </w:tcPr>
          <w:p>
            <w:pPr>
              <w:spacing w:after="0"/>
              <w:rPr>
                <w:sz w:val="22"/>
                <w:szCs w:val="22"/>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2"/>
                <w:szCs w:val="22"/>
                <w:color w:val="auto"/>
              </w:rPr>
            </w:pPr>
          </w:p>
        </w:tc>
        <w:tc>
          <w:tcPr>
            <w:tcW w:w="44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905"/>
        </w:trPr>
        <w:tc>
          <w:tcPr>
            <w:tcW w:w="6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Restricted Cash and Marketable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held restricted cash of $5.0 million as of March 31, 2025 and December 31, 2024 as collateral to its corporate credit card program.</w:t>
      </w:r>
    </w:p>
    <w:p>
      <w:pPr>
        <w:spacing w:after="0" w:line="23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March 31, 2025 and December 31, 2024 is as follows (in thousands):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88,201</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188,646</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340,321</w:t>
            </w:r>
          </w:p>
        </w:tc>
        <w:tc>
          <w:tcPr>
            <w:tcW w:w="0" w:type="dxa"/>
            <w:vAlign w:val="bottom"/>
          </w:tcPr>
          <w:p>
            <w:pPr>
              <w:spacing w:after="0"/>
              <w:rPr>
                <w:sz w:val="1"/>
                <w:szCs w:val="1"/>
                <w:color w:val="auto"/>
              </w:rPr>
            </w:pPr>
          </w:p>
        </w:tc>
      </w:tr>
      <w:tr>
        <w:trPr>
          <w:trHeight w:val="23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30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273,205</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 of purchase (Level 2)</w:t>
            </w:r>
          </w:p>
        </w:tc>
        <w:tc>
          <w:tcPr>
            <w:tcW w:w="3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to 2 years</w:t>
            </w: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date of purchase (Level 2)</w:t>
            </w: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848,068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3"/>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98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(Level 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368,076</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 of purchase (Level 2)</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383,010</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to 2 years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date of purchase (Level 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930,783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931,251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inventory balances as of March 31, 2025 and December 31, 2024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2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4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14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34,068</w:t>
            </w:r>
          </w:p>
        </w:tc>
      </w:tr>
      <w:tr>
        <w:trPr>
          <w:trHeight w:val="21"/>
        </w:trPr>
        <w:tc>
          <w:tcPr>
            <w:tcW w:w="2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provision for excess inventory recorded as of March 31, 2025 or December 31,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as of March 31, 2025 and December 31, 2024 consisted of the following (in thousands):</w:t>
      </w: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drug supply</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r>
      <w:tr>
        <w:trPr>
          <w:trHeight w:val="25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accrued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24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124,695</w:t>
            </w:r>
          </w:p>
        </w:tc>
      </w:tr>
      <w:tr>
        <w:trPr>
          <w:trHeight w:val="27"/>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 Term Debt</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(the “Loan Facility”) with the several banks and other financial institutions or entities party thereto (collectively,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have been drawn by the Company, subject to the approval of Hercules. The Loan Facility had a minimum interest rate of 7.45% and adjusted with changes in the prime rate. The Company was originally scheduled to pay interest-only monthly payments of accrued interest under the Loan Facility through May 1, 2025, for a period of 36 months. In March 2024, the interest-only period was extended to May 1, 2026 when the Company achieved a milestone when Rezdiffra received FDA approval. The interest only period was further extended to May 3, 2027, upon the achievement of a revenue milestone, subject to compliance with applicable covenants, that were met as of December 31, 2024. The Loan Facility originally matured in May 2026, but the maturity date was extended to May 2027 when the Company achieved a milestone upon receipt of FDA approval for Rezdiffra in March 2024.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On February 3, 2023, the Company entered into the First Amendment (the “First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w:t>
      </w:r>
    </w:p>
    <w:p>
      <w:pPr>
        <w:spacing w:after="0" w:line="164"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The third tranche (“Tranche 3”) of $75.0 million was unchanged by the First Amendment, and such borrowings became available when the Company achieved a milestone with FDA approval for Rezdiffra in March 2024. The Company did not elect to draw Tranche 3 before it expired in June 2024, but subsequently entered into an amendment to extend the availability of these funds in August 2024. Coincident with the expansion of Tranche 2 borrowing capacity by $15.0 million, the First Amendment reduced the fourth tranche under the Loan Facility (“Tranche 4”) by $15.0 million to $60.0 million.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$35.0 million drawn under Tranche 2 at the closing of the First Amendment, $15.0 million drawn in June of 2023, and $15.0 million drawn in September 2023, the Company issued to Hercules and affiliates warrants to purchase an aggregate of 4,555 shares of common stock, which had a Black-Scholes value of $0.9 million. The First Amendment reduced the interest rate under the Amended Loan Facility to the greater of</w:t>
      </w:r>
    </w:p>
    <w:p>
      <w:pPr>
        <w:spacing w:after="0" w:line="1" w:lineRule="exact"/>
        <w:rPr>
          <w:sz w:val="20"/>
          <w:szCs w:val="20"/>
          <w:color w:val="auto"/>
        </w:rPr>
      </w:pPr>
    </w:p>
    <w:p>
      <w:pPr>
        <w:ind w:right="160" w:firstLine="8"/>
        <w:spacing w:after="0" w:line="243"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reported in The Wall Street Journal plus 2.45% and (ii) 8.25%. The First Amendment and the Amended Loan Facility summary terms were disclosed in the Company’s Current Report on Form 8-K filed with the Securities and Exchange Commission on February 9, 2023.</w:t>
      </w:r>
    </w:p>
    <w:p>
      <w:pPr>
        <w:spacing w:after="0" w:line="22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On August 22, 2024, the Company entered into the Second Amendment (the “Second Amendment”) to the Loan Facility (as amended by the First Amendment and the Second Amendment, the “Second Amended Loan Facility”). Under the Second Amended Loan Facility, the Company’s borrowing capacity available under Tranche 4 is increased to include the $75.0 million available under Tranche 3 that was not utilized by the Company. After such increase, the Company’s current borrowing capacity is $135.0 million under Tranche 4, which is available subject to Hercules’ sole discretion.</w:t>
      </w:r>
    </w:p>
    <w:p>
      <w:pPr>
        <w:spacing w:after="0" w:line="19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which commenced on January 1, 2023, including maintenance of a minimum cash, cash equivalents and liquid funds covenant of $35.0 million, which may decrease in certain circumstances if the Company achieves certain clinical milestones and a revenue milestone. The Loan Facility also includes a revenue-based covenant that could apply commencing at or after the time that financial reporting became due for the quarter ended September 30, 2024, however, the revenue-based covenant will be automatically waived pursuant to the terms of the Loan Facility at any time in which the Company maintains, as measured monthly, (i) a certain level of cash, cash equivalents and liquid funds relative outstanding debt under the Loan Facility or (ii) a market capitalization of at least $1.2 billion.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principal under the Loan Facility was $115.0 million. The interest rate as of March 31, 2025 was 9.95%. As of March 31, 2025, the Company was in compliance with all loan covenants and provisions.</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Future minimum payments, including interest and principal, under the loans payable outstanding as of March 31, 2025 are as follows (in thousands):</w:t>
      </w:r>
    </w:p>
    <w:p>
      <w:pPr>
        <w:spacing w:after="0" w:line="194"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March 31, 2025:</w:t>
            </w:r>
          </w:p>
        </w:tc>
        <w:tc>
          <w:tcPr>
            <w:tcW w:w="300" w:type="dxa"/>
            <w:vAlign w:val="bottom"/>
          </w:tcPr>
          <w:p>
            <w:pPr>
              <w:spacing w:after="0"/>
              <w:rPr>
                <w:sz w:val="13"/>
                <w:szCs w:val="1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r>
      <w:tr>
        <w:trPr>
          <w:trHeight w:val="250"/>
        </w:trPr>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r>
      <w:tr>
        <w:trPr>
          <w:trHeight w:val="263"/>
        </w:trPr>
        <w:tc>
          <w:tcPr>
            <w:tcW w:w="1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126,016</w:t>
            </w: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146,358</w:t>
            </w:r>
          </w:p>
        </w:tc>
      </w:tr>
      <w:tr>
        <w:trPr>
          <w:trHeight w:val="250"/>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(25,206)</w:t>
            </w: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44"/>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118,005</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ind w:right="9420" w:firstLine="8"/>
        <w:spacing w:after="0" w:line="362"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Company’s Series A Preferred Stock and Series B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Public Offering</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On March 18, 2024, the Company entered into an Underwriting Agreement with Goldman Sachs &amp; Co. LLC, Jefferies LLC, Cowen and Company, LLC, Evercore Group L.L.C. and Piper Sandler &amp; Co, as representatives of the several underwriters named therein (the “2024 Underwriters”), pursuant to which the Company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 The gross proceeds of the 2024 Offering was $600.0 million, and the Company received net proceeds, after deducting the underwriting discount and commissions and other estimated offering expenses payable by the Company, of approximately $574.0 million.</w:t>
      </w:r>
    </w:p>
    <w:p>
      <w:pPr>
        <w:spacing w:after="0" w:line="201"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190"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Company intends to use the net proceeds from the 2024 Offering for its commercial activities in connection with the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7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0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May 2023, the Company entered into an amendment to the 2021 Sales Agreement (the “Sales Agreement Amendment”), with Cowen, pursuant to which the Company could, from time to time, issue and sell an additional $200.0 million in shares of its common stock, until it was terminated in May 2024. The Company was not obligated to make any sales of its common stock under this arrangement. Any shares sold would be sold pursuant to the Registration Statement and prospectus supplement filed pursuant to the Registration Statement. The 2021 Sales Agreement, as amended by the Sales Agreement Amendment, authorized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Since the entry into the Sales Agreement Amendment in May 2023, the Company sold 98,101 shares in total under the 2021 Sales Agreement, as amended by the Sales Agreement Amendment,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In total, the Company sold 1,334,044 shares of common stock having an aggregate offering price of $225.1 million pursuant to the 2021 Sales Agreement, as amended by the Sales Agreement Amendment.</w:t>
      </w:r>
    </w:p>
    <w:p>
      <w:pPr>
        <w:spacing w:after="0" w:line="177"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“2024 Sales Agreement”) with Cowen, replacing and superseding the 2021 Sales Agreement. The Company is authorized to issue and sell up to $300.0 million in shares of the Company’s common stock under the 2024 Sales Agreement. The Company sold no shares in the three months ended March 31, 2025 under the 2024 Sales Agreement.</w:t>
      </w:r>
    </w:p>
    <w:p>
      <w:pPr>
        <w:spacing w:after="0" w:line="273" w:lineRule="exact"/>
        <w:rPr>
          <w:sz w:val="20"/>
          <w:szCs w:val="20"/>
          <w:color w:val="auto"/>
        </w:rPr>
      </w:pPr>
    </w:p>
    <w:p>
      <w:pPr>
        <w:ind w:right="8840" w:firstLine="8"/>
        <w:spacing w:after="0" w:line="370"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2025, 722,608 shares were available for future issuance under the 2015 Stock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March 31, 2025, 25,956 shares were available for future issuance under the 2023 Inducement Plan.</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2025:</w:t>
      </w: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204"/>
        </w:trPr>
        <w:tc>
          <w:tcPr>
            <w:tcW w:w="5600" w:type="dxa"/>
            <w:vAlign w:val="bottom"/>
          </w:tcPr>
          <w:p>
            <w:pPr>
              <w:spacing w:after="0"/>
              <w:rPr>
                <w:sz w:val="17"/>
                <w:szCs w:val="17"/>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342.11</w:t>
            </w: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$8.6 million and $1.4 million, respectively, for the three months ended March 31, 2025 and 2024. The total intrinsic value of options exercised was $25.7 million and $3.8 million, respectively, for the three months ended March 31, 2025 and 2024. The weighted-average grant date fair values, based on the Black-Scholes option model, of options granted during the three months ended March 31, 2025 and 2024 were $203.05 and $152.05,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08"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As of March 31, 2025, the Company had 694,995 restricted stock units outstanding, with a weighted average grant date fair value of $278.75 per unit.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excluding performance-based RSUs, during the three months ended March 31, 2025:</w:t>
      </w:r>
    </w:p>
    <w:p>
      <w:pPr>
        <w:spacing w:after="0" w:line="23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08"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various performance-based restricted stock units (“PSUs”) to certain senior personnel.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PSU activity during the three months ended March 31, 2025:</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Eligible to Earn PSUs</w:t>
            </w:r>
          </w:p>
        </w:tc>
        <w:tc>
          <w:tcPr>
            <w:tcW w:w="120" w:type="dxa"/>
            <w:vAlign w:val="bottom"/>
          </w:tcPr>
          <w:p>
            <w:pPr>
              <w:spacing w:after="0"/>
              <w:rPr>
                <w:sz w:val="13"/>
                <w:szCs w:val="13"/>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PSUs at December 31, 2024</w:t>
            </w:r>
          </w:p>
        </w:tc>
        <w:tc>
          <w:tcPr>
            <w:tcW w:w="10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attained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forfeited</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0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96,485</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w:t>
      </w:r>
    </w:p>
    <w:p>
      <w:pPr>
        <w:spacing w:after="0" w:line="10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restricted stock units, performance stock units, and options outstanding pursuant to which an aggregate of 2,513,983 shares of its common stock may be issued pursuant to the terms of all awards granted under the 2015 Stock Plan and Inducement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during the three months ended March 31, 2025 and 2024 was as follows (in thousands):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100" w:type="dxa"/>
            <w:vAlign w:val="bottom"/>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6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Unrecognized stock-based compensation expense as of March 31, 2025 was $242.7 million with a weighted average remaining period of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0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operations in the normal course of business. As of March 31, 2025, the Company had approximately $89.1 million of obligations under these agreements related to active pharmaceutical ingredient, which is expected to be paid through March 2027.</w:t>
      </w:r>
    </w:p>
    <w:p>
      <w:pPr>
        <w:spacing w:after="0" w:line="16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4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March 2024, upon receiving FDA approval of Rezdiffra, a milestone was achieved and $5.0 million became due to Roche. Remaining milestones under the agreement total $3.0 million and are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began accruing for royalty payments following its commercial launch of Rezdiffra in April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located in West Conshohocken, Pennsylvania (the “Office Lease”), which was later updated by three amendments entered into from 2019 to 2022. In May 2023, the Company entered into the Fourth Amendment to the Office Lease, which did not have a financial impact.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w:t>
      </w:r>
    </w:p>
    <w:p>
      <w:pPr>
        <w:spacing w:after="0" w:line="19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April 2024 and May 2024, the Company entered into the Sixth Amendment and the Seventh Amendment to the Office Lease, respectively, leasing additional office space in the same premises under the Office Lease. The lease for the additional office space commenced in September 2024 and resulted in an incremental $1.2 million right-of-use asset and lease liability being recorded for the quarter ended March 31, 2025. In August 2024, the Company entered into the Eighth (the “Eighth Lease Amendment”) and in October 2024, the Company entered into the Ninth Amendment (the “Ninth Lease Amendment”) to the Office Lease further expanding the amount of office space in the same premises. The lease for the additional office space under the Eighth Lease Amendment and the Ninth Lease Amendment commenced in December 2024 and resulted in an incremental $0.2 million right-of-use asset and lease liability recorded.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operates as one reportable segment focused on delivering novel therapeutics for metabolic dysfunction-associated steatohepatitis (“MASH”). The Company's Chief Executive Officer, as the chief operating decision maker ("CODM"), leads the Company in support of four core values— 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w:t>
      </w:r>
    </w:p>
    <w:p>
      <w:pPr>
        <w:spacing w:after="0" w:line="72"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 As of March 31, 2025, the Company did not have revenue or material assets outside of the U.S.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income reported at the segment measure of profit and loss:</w:t>
      </w:r>
    </w:p>
    <w:p>
      <w:pPr>
        <w:spacing w:after="0" w:line="200" w:lineRule="exact"/>
        <w:rPr>
          <w:sz w:val="20"/>
          <w:szCs w:val="20"/>
          <w:color w:val="auto"/>
        </w:rPr>
      </w:pPr>
    </w:p>
    <w:p>
      <w:pPr>
        <w:spacing w:after="0" w:line="2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5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r>
      <w:tr>
        <w:trPr>
          <w:trHeight w:val="192"/>
        </w:trPr>
        <w:tc>
          <w:tcPr>
            <w:tcW w:w="5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 personnel and internal expense</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w:t>
            </w:r>
          </w:p>
        </w:tc>
      </w:tr>
      <w:tr>
        <w:trPr>
          <w:trHeight w:val="250"/>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 external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(54,521)</w:t>
            </w:r>
          </w:p>
        </w:tc>
      </w:tr>
      <w:tr>
        <w:trPr>
          <w:trHeight w:val="263"/>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w:t>
            </w:r>
          </w:p>
        </w:tc>
      </w:tr>
      <w:tr>
        <w:trPr>
          <w:trHeight w:val="256"/>
        </w:trPr>
        <w:tc>
          <w:tcPr>
            <w:tcW w:w="5880" w:type="dxa"/>
            <w:vAlign w:val="bottom"/>
            <w:tcBorders>
              <w:bottom w:val="single" w:sz="8" w:color="CCEEFF"/>
            </w:tcBorders>
          </w:tcPr>
          <w:p>
            <w:pPr>
              <w:ind w:left="340"/>
              <w:spacing w:after="0" w:line="256" w:lineRule="exact"/>
              <w:rPr>
                <w:sz w:val="20"/>
                <w:szCs w:val="20"/>
                <w:color w:val="auto"/>
              </w:rPr>
            </w:pPr>
            <w:r>
              <w:rPr>
                <w:rFonts w:ascii="Times New Roman" w:cs="Times New Roman" w:eastAsia="Times New Roman" w:hAnsi="Times New Roman"/>
                <w:sz w:val="18"/>
                <w:szCs w:val="18"/>
                <w:color w:val="auto"/>
              </w:rPr>
              <w:t>Other segment income (expense)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69"/>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Other segment expense includes interest income and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2024 and the related Management’s Discussion and Analysis of Financial Condition and Results of Operations, both of which are included in our Annual Report on Form 10-K for the fiscal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9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are a biopharmaceutical company focused on delivering novel therapeutics for metabolic dysfunction-associated steatohepatitis (“MASH”), a serious liver disease with high unmet medical need that can lead to cirrhosis, liver failure and premature mortality. MASH was previously known as nonalcoholic steatohepatitis (“NASH”). MASH is expected to become the leading cause of liver transplantation in the United States and is already the leading cause of liver transplantation among women in the United States. Our medication, Rezdiffra (resmetirom), is a once-daily, oral, liver-directed thyroid hormone receptor beta (“THR-β”) agonist designed to target key underlying causes of MASH. In March 2024, Rezdiffra became the first and only therapy approved by the FDA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 We are also evaluating Rezdiffra in patients with compensated MASH cirrhosis (consistent with F4c fibrosis) in our MAESTRO MASH OUTCOMES trial, that, if successful, could expand the eligible patient population for Rezdiffra.</w:t>
      </w:r>
    </w:p>
    <w:p>
      <w:pPr>
        <w:spacing w:after="0" w:line="7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7"/>
          <w:szCs w:val="17"/>
          <w:color w:val="auto"/>
        </w:rPr>
        <w:t>The FDA’s accelerated approval and Rezdiffra's approved prescribing information was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As part of the post-marketing commitments agreed to with the FDA, MAESTRO-NASH remains ongoing as an outcomes trial where we are generating confirmatory outcomes data to 54-months that, if positive, is expected to verify a clinical benefit and support the full approval of Rezdiffra to treat noncirrhotic MASH. In addition, full approval of Rezdiffra to treat noncirrhotic MASH could also be based on results from our Phase 3 MAESTRO-NASH OUTCOMES trial. In this trial, we are assessing progression to liver decompensation events in patients with compensated MASH cirrhosis treated with Rezdiffra versus placebo. A positive outcome in this trial is also expected to support the full approval of Rezdiffra for noncirrhotic MASH, and expand the eligible patient population for Rezdiffra with an additional indication in patients with compensated MASH cirrhosis.</w:t>
      </w:r>
    </w:p>
    <w:p>
      <w:pPr>
        <w:spacing w:after="0" w:line="8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MASH Disease State Overview. </w:t>
      </w:r>
      <w:r>
        <w:rPr>
          <w:rFonts w:ascii="Times New Roman" w:cs="Times New Roman" w:eastAsia="Times New Roman" w:hAnsi="Times New Roman"/>
          <w:sz w:val="18"/>
          <w:szCs w:val="18"/>
          <w:color w:val="auto"/>
        </w:rPr>
        <w:t>MASH is a more advanced form of metabolic dysfunction-associated fatty liver disease (“MASLD”). MASLD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Patients with compensated MASH cirrhosis (consistent with F4c fibrosis) have a 42-times higher risk of liver-related mortality.</w:t>
      </w:r>
    </w:p>
    <w:p>
      <w:pPr>
        <w:spacing w:after="0" w:line="73"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Our Patient Focus. </w:t>
      </w:r>
      <w:r>
        <w:rPr>
          <w:rFonts w:ascii="Times New Roman" w:cs="Times New Roman" w:eastAsia="Times New Roman" w:hAnsi="Times New Roman"/>
          <w:sz w:val="18"/>
          <w:szCs w:val="18"/>
          <w:color w:val="auto"/>
        </w:rPr>
        <w:t>Based on published epidemiology data and an analysis of medical claims using ICD-10 disease diagnosis codes, we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approximately 1.5 million patients have been diagnosed with MASH in the United States, of which approximately 525,000 have MASH with moderate to advanced fibrosis. We estimate that approximately 315,000 diagnosed patients with MASH with moderate to advanced fibrosis are under the care of approximately 14,000 specialist prescribers which we are targeting during the commercial launch of Rezdiffra. Over time, as disease awareness improves and disease prevalence increases, we expect the number of identified MASH patients with moderate to advanced fibrosis eligible for treatment to grow.</w:t>
      </w:r>
    </w:p>
    <w:p>
      <w:pPr>
        <w:spacing w:after="0" w:line="8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Given that Rezdiffra is a first-in-disease launch, we continue to focus our efforts on educating healthcare providers and patients on the risks of MASH and the potential clinical benefits and appropriate use of Rezdiffra. We are also supporting the creation of care pathways for patients at physician offices, driving breadth and depth of Rezdiffra prescribers and engaging with payors to support patient access to therapy.</w:t>
      </w:r>
    </w:p>
    <w:p>
      <w:pPr>
        <w:spacing w:after="0" w:line="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also expect to directly commercialize resmetirom in Europe if we receive a positive opinion from the Committee for Medicinal Products for Human Use and the subsequent grant of Conditional Marketing Authorization by the European Commission. A regulatory decision in the European Union is expected in mid-year 2025. The prevalence rate of MASH in Europe is similar to that of the United States. In the event of a positive decision, we expect to launch Rezdiffra in Europe on a country-by-country basis, commencing with Germany in the second half of 2025.</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648"/>
        <w:spacing w:after="0" w:line="212" w:lineRule="exact"/>
        <w:rPr>
          <w:sz w:val="20"/>
          <w:szCs w:val="20"/>
          <w:color w:val="auto"/>
        </w:rPr>
      </w:pPr>
      <w:r>
        <w:rPr>
          <w:rFonts w:ascii="Times New Roman" w:cs="Times New Roman" w:eastAsia="Times New Roman" w:hAnsi="Times New Roman"/>
          <w:sz w:val="18"/>
          <w:szCs w:val="18"/>
          <w:i w:val="1"/>
          <w:iCs w:val="1"/>
          <w:color w:val="auto"/>
        </w:rPr>
        <w:t>Corporate Development</w:t>
      </w:r>
      <w:r>
        <w:rPr>
          <w:rFonts w:ascii="Times New Roman" w:cs="Times New Roman" w:eastAsia="Times New Roman" w:hAnsi="Times New Roman"/>
          <w:sz w:val="18"/>
          <w:szCs w:val="18"/>
          <w:color w:val="auto"/>
        </w:rPr>
        <w:t>: We plan to selectively in-license or acquire rights to programs at all stages of development to take advantage of our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 capabilities. With a goal of building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balanced and diversified portfolio, we assess a variety of factors for potential product candidates and technologies. Our criteria for possible acquisition or in-licensing opportunities include the rationale for addressing the targeted disease, likelihood of regulatory approval, commercial viability, intellectual property protection, prospects for favorable pricing and reimbursement and competition. We intend to be opportunistic in our business development activities to achieve our long-term strategic goals.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we announced positive two-year data from the open-label compensated MASH cirrhosis (consistent with stage F4c fibrosis) arm of the Phase 3 MAESTRO-NAFLD-1 trial of Rezdiffra. Patients treated with Rezdiffra achieved significant reductions in liver stiffness measured by vibration-controlled transient elastography (VCTE), which is associated with a lower risk of progression to end-stage liver disease.</w:t>
      </w:r>
    </w:p>
    <w:p>
      <w:pPr>
        <w:spacing w:after="0" w:line="6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 March 2025, Jacqualyn Fouse, Ph.D. was appointed to our Board of Directors. Dr. Fouse was previously Chief Executive Officer of Agios Pharmaceuticals, Inc. (“Agios”) from 2019 to 2022 and currently serves as the Chair of the Board of Directors of Agios. Prior to joining Agios, she served in executive leadership roles at Celgene Corporation, including President and Chief Operating Officer, President, Global Hematology &amp; Oncology, and Chief Financial Officer.</w:t>
      </w:r>
    </w:p>
    <w:p>
      <w:pPr>
        <w:spacing w:after="0" w:line="6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April 2025, we announced that David Soergel, M.D. was appointed as our Executive Vice President and Chief Medical Officer. Dr. Soergel previously served as Executive Vice President and Global Head of Cardiovascular, Renal and Metabolism Development at Novartis. Rebecca Taub, M.D., our Chief Medical Officer and President of Research &amp; Development transitioned to the role of Senior Scientific and Medical Advisor.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08"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In March 2024, the FDA approved Rezdiffra for the treatment of noncirrhotic MASH with moderate to advanced liver fibrosis (consistent with stages F2 to F3 fibrosis). Rezdiffra is a once-daily, oral, liver-directed, THR-ß agonist designed to target key underlying causes of MASH. We began generating revenue from sales of Rezdiffra in the United States in April 2024. Revenue is recorded net of variable consideration, which includes prompt pay discounts, returns, chargebacks, rebates, and co-payment assistance.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Cost of sales includes the cost of manufacturing and distribution of inventory related to sales of Rezdiffra. We expect cost of sales to increase in the future, as manufacturing costs incurred prior to regulatory approval were expensed to research and development rather than capitalized as inventory, as approval was considered uncertain.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0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1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54" w:lineRule="exact"/>
        <w:rPr>
          <w:rFonts w:ascii="Times New Roman" w:cs="Times New Roman" w:eastAsia="Times New Roman" w:hAnsi="Times New Roman"/>
          <w:sz w:val="18"/>
          <w:szCs w:val="18"/>
          <w:color w:val="auto"/>
        </w:rPr>
      </w:pPr>
    </w:p>
    <w:p>
      <w:pPr>
        <w:ind w:left="1300" w:right="98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12"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72"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management costs, costs associated with commercial activities, costs associated with obtaining and maintaining our patent portfolio, commercial and marketing activities, corporate insurance, professional fees for accounting, auditing, consulting and legal services, and allocated overhead expenses.</w:t>
      </w:r>
    </w:p>
    <w:p>
      <w:pPr>
        <w:spacing w:after="0" w:line="8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U.S. Securities and Exchange Commission (“SEC”)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primarily of interest and dividend income earned on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accrued on principal balances under our loan facility (the “Loan Facility”) with Hercules Capital, Inc. (“Hercules”).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revenue, and expenses and the disclosure of contingent assets and liabilities as of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2024 filed with the SEC on February 26, 2025. Refer to Note 2 to the unaudited condensed consolidated financial statements in this Quarterly Report on Form 10-Q for details of accounting policies over revenue and inventory.</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March 31, 2025 and 2024 (in thousands):</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360" w:type="dxa"/>
            <w:vAlign w:val="bottom"/>
            <w:gridSpan w:val="3"/>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7"/>
        </w:trPr>
        <w:tc>
          <w:tcPr>
            <w:tcW w:w="4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167,876</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87,076</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216,561</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4"/>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began selling Rezdiffra in April 2024. For the three months ended March 31, 2025, we recorded $137.3 million of product revenue, net.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Cost of sales were incurred as a result of sales of Rezdiffra. For the three months ended March 31, 2025, we recorded $4.5 million of cost of sales.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March 31, 2025 and 2024 (in thousands):</w:t>
      </w:r>
    </w:p>
    <w:p>
      <w:pPr>
        <w:spacing w:after="0" w:line="354"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40" w:type="dxa"/>
            <w:vAlign w:val="bottom"/>
          </w:tcPr>
          <w:p>
            <w:pPr>
              <w:spacing w:after="0"/>
              <w:rPr>
                <w:sz w:val="16"/>
                <w:szCs w:val="16"/>
                <w:color w:val="auto"/>
              </w:rPr>
            </w:pPr>
          </w:p>
        </w:tc>
      </w:tr>
      <w:tr>
        <w:trPr>
          <w:trHeight w:val="23"/>
        </w:trPr>
        <w:tc>
          <w:tcPr>
            <w:tcW w:w="3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Personnel and Internal Expense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3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External Expense</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3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2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were $44.2 million for the three months ended March 31, 2025, compared to $71.2 million in the corresponding period in 2024. Research and development expenses decreased by $27.1 million in the 2025 period primarily due to the change in accounting for inventory costs following FDA approval of Rezdiffra in March 2024 and a reduction in clinical trial expense.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were $167.9 million for the three months ended March 31, 2025, compared to $80.8 million in the corresponding period in 2024. Selling, general and administrative expenses increased by $87.1 million in the 2025 period due primarily to increases for commercial launch activities for Rezdiffra, including a corresponding increase in headcount.</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net interest income was $9.4 million for the three months ended March 31, 2025, compared to $8.3 million in the corresponding period in 2024. The increase in interest income was due primarily to higher principal balances.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interest expense was $3.3 million for the three months ended March 31, 2025, compared to $3.8 million in the corresponding period in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$0.5 million was primarily the result of lower interest rates in 2025.</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Events</w:t>
      </w:r>
    </w:p>
    <w:p>
      <w:pPr>
        <w:spacing w:after="0" w:line="108"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18"/>
          <w:szCs w:val="18"/>
          <w:color w:val="auto"/>
        </w:rPr>
        <w:t>Changes in, and uncertainties related to, global trade or other economic policies, including tariffs or other restrictions imposed by the United States government or 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commercial and clinical supply of resmetirom is currently manufactured in the United States, and Rezdiffra is currently only commercially available in the United States. In addition, we have engaged a European manufacturer to produce our commercial supply of drug product for future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proceeds from sales of our capital stock and debt financings.</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we had cash, cash equivalents, restricted cash, and marketable securities totaling $848.1 million compared to $931.3 million as of December 31, 2024, with this decrease attributable to funding of operations.</w:t>
      </w:r>
    </w:p>
    <w:p>
      <w:pPr>
        <w:spacing w:after="0" w:line="14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Until we are able to generate sufficient revenue from Rezdiffra and any other future approved products, we anticipate that we will continue to incur significant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and our entry into any strategic transactions.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11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May 2024, we entered into a Sales Agreement (the “2024 Sales Agreement”) with Cowen and Company, LLC, an affiliate of TD Securities (USA) LLC (“Cowen”), replacing and superseding our sales agreement from 2021. We are authorized to issue and sell up to $300.0 million of shares of our common stock under the 2024 Sales Agreement. Sales of our common stock, if any, under the 2024 Sales Agreement will be made by any method that is deemed to be an “at the market” offering as defined in Rule 415(a)(4) of the Securities Act of 1933, as amended. We have no obligation to sell any common stock and may at any time suspend offers under the 2024 Sales Agreement or terminate the 2024 Sales Agreement pursuant to its terms.</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did not make any sales under the 2024 Sales Agreement during the three months ended March 31, 2025. As of March 31, 2025, $300.0 million remained available for sale under the 2024 Sales Agreement and our related prospectus supplement.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Facility</w:t>
      </w:r>
    </w:p>
    <w:p>
      <w:pPr>
        <w:spacing w:after="0" w:line="1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May 2022 we entered into a $250.0 million Loan Facility with Hercules. Under the terms of the Loan Facility, the first $50.0 million tranche (“Tranche 1”) was drawn at closing. On February 3, 2023, we entered into the First Amendment (the “First Amendment”) to the Loan Facility (as amended, the “Amended Loan Facility”). Under the Amended Loan Facility, $65.0 million was drawn in 2023 under the second tranche (“Tranche 2”). The third tranche (“Tranche 3”) of $75.0 million became available to us when we obtained FDA approval for Rezdiffra in March 2024. We did not draw on Tranche 3 prior to its expiration in June 2024. In August 2024, we entered into the Second Amendment (the “Second Amendment”) to the Loan Facility (as amended by the First Amendment and the Second Amendment, the “Second Amended Loan Facility”). Under the Second Amended Loan Facility, our borrowing capacity available in the fourth tranche under the Loan Facility (“Tranche 4”) is increased to include the $75.0 million available under Tranche 3 that was not utilized by us. After such increase, our current borrowing capacity is $135.0 million under Tranche 4, which is available subject to Hercules’ sole discretion.</w:t>
      </w:r>
    </w:p>
    <w:p>
      <w:pPr>
        <w:spacing w:after="0" w:line="77"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16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Loan Facility had a minimum interest rate of 7.45% and adjusted with changes in the prime rate. The First Amendment reduced the interest rate under the Amended Loan Facility to the greater of (i) the prime rate as reported in The Wall Street Journal plus 2.45% and (ii) 8.25%. We were originally scheduled to pay interest-only monthly payments of accrued interest under the Loan Facility through May 1, 2025, for a period of 36 months. In March 2024, the interest-only period was extended to May 1, 2026 when we achieved a milestone when Rezdiffra received FDA approval. The interest only period was further extended to May 3, 2027, upon the achievement of a revenue milestone, subject to compliance with applicable covenants, that were met as of December 31, 2024. The Loan Facility originally matured in May 2026, but the maturity date was extended to May 2027 when we achieved a milestone upon receipt of FDA approval for Rezdiffra in March 2024. The Loan Facility is secured by a security interest in substantially all of our assets, other than intellectual property. It includes an end of term charge of 5.35% of the aggregate principal amount, which is accounted for in the loan discount.</w:t>
      </w:r>
    </w:p>
    <w:p>
      <w:pPr>
        <w:spacing w:after="0" w:line="179"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The Loan Facility also includes a revenue-based covenant that could apply commencing at or after the time that the financial reporting became due for the quarter ended September 30, 2024, however the covenant will be automatically waived pursuant to the terms of the Loan Facility at any time in which we maintain, as measured monthly, (i) a certain level of cash, cash equivalents and liquid funds relative to debt outstanding under the Loan Facility or (ii) a market capitalization of at least $1.2 billion.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principal under the Loan Facility was $115.0 million. The interest rate as of March 31, 2025 was 9.95%. As of March 31, 2025, we were in compliance with all loan covenants and provisions.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Public Offering</w:t>
      </w:r>
    </w:p>
    <w:p>
      <w:pPr>
        <w:spacing w:after="0" w:line="106"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to purchase up to 346,153 additional shares of common stock at the public offering price of $260.00 per share (the “Underwriters’ Option”).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Offering closed on March 21, 2024.</w:t>
      </w:r>
    </w:p>
    <w:p>
      <w:pPr>
        <w:spacing w:after="0" w:line="20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net proceeds of the 2024 Offering after deducting the underwriting discount and commissions and other estimated offering expenses payable by us, were approximately $659.9 million.</w:t>
      </w:r>
    </w:p>
    <w:p>
      <w:pPr>
        <w:spacing w:after="0" w:line="16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from the 2024 Offering for our commercial activities in connection with the commercial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9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1"/>
        </w:trPr>
        <w:tc>
          <w:tcPr>
            <w:tcW w:w="6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(149,157)</w:t>
            </w:r>
          </w:p>
        </w:tc>
      </w:tr>
      <w:tr>
        <w:trPr>
          <w:trHeight w:val="250"/>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98,053</w:t>
            </w:r>
          </w:p>
        </w:tc>
      </w:tr>
      <w:tr>
        <w:trPr>
          <w:trHeight w:val="263"/>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573,706</w:t>
            </w:r>
          </w:p>
        </w:tc>
      </w:tr>
      <w:tr>
        <w:trPr>
          <w:trHeight w:val="244"/>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522,602</w:t>
            </w:r>
          </w:p>
        </w:tc>
      </w:tr>
      <w:tr>
        <w:trPr>
          <w:trHeight w:val="27"/>
        </w:trPr>
        <w:tc>
          <w:tcPr>
            <w:tcW w:w="6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$88.9 million for the three months ended March 31, 2025, compared to $149.2 million for the corresponding period in 2024. The use of cash in these periods resulted primarily from our losses from operations, as adjusted for non-cash charges for stock-based compensation, and changes in our working capital accounts.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Net cash provided by investing activities was $163.9 million for the three months ended March 31, 2025, compared to $98.1 million for the corresponding period in 2024. Net cash provided by investing activities for the three months ended March 31, 2025 primarily consisted of $294.7 million from sales and maturities of marketable securities, partially offset by $130.8 million of purchases of marketable securities for our investment portfolio. Net cash provided by investing activities for the corresponding period in 2024 primarily consisted of $182.6 million from sales and maturities of marketable securities, partially offset by $84.2 million of purchases of marketable securities for our investment portfolio.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$8.6 million for the three months ended March 31, 2025, compared to $573.7 million for the corresponding period in 2024. Net cash provided by financing activities for the three months ended March 31, 2025 consisted of $8.6 million from exercises of stock options. Net cash provided by financing activities for the corresponding period in 2024 consisted primarily of $574.0 million of net proceeds from our 2024 Offering.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2019, we entered into an operating lease for office space in certain premises located in West Conshohocken, Pennsylvania (the “Office Lease”), which was further amended by three amendments entered into from 2019 to 2022. In May 2023, we entered into the Fourth Amendment to the Office Lease, which did not have a financial impact. In August 2023, we entered into the Fifth Amendment to the Office Lease (the “Fifth Lease Amendment”). The Fifth Lease Amendment extends the term of the Office Lease through November 2026. As a result of the Fifth Lease Amendment, an</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incremental $1.6 million right-of-use asset and lease liability were recorded during the year ended December 31, 2023. In April 2024 and May 2024, we entered into the Sixth Amendment and the Seventh Amendment to the Office Lease, respectively, leasing additional office space available in the same premises under the Office Lease. The lease for such additional office space commenced in September 2024 and resulted in an incremental $1.2 million right-of-use asset and lease liability recorded. In August 2024, we entered into the Eighth Amendment (the “Eighth Lease Amendment”) and in October 2024, we entered into the Ninth Amendment (the “Ninth Lease Amendment”) to the Office Lease, furthering expanding the amount of office space in the same premises. The leases for the additional office space under the Eighth Lease Amendment and the Ninth Lease Amendment commenced in December 2024 and resulted in an incremental $0.2 million right-of-use asset and lease liability recorded.</w:t>
      </w:r>
    </w:p>
    <w:p>
      <w:pPr>
        <w:spacing w:after="0" w:line="18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As of March 31, 2025, we had drawn $115.0 million under the Loan Facility. We are scheduled to pay interest-only monthly payments of accrued interest under the Loan Facility through May 1, 2026, which was extended to May 3, 2027 upon the achievement of a revenue milestone, and subject to compliance with applicable covenants.</w:t>
      </w:r>
    </w:p>
    <w:p>
      <w:pPr>
        <w:spacing w:after="0" w:line="169" w:lineRule="exact"/>
        <w:rPr>
          <w:sz w:val="20"/>
          <w:szCs w:val="20"/>
          <w:color w:val="auto"/>
        </w:rPr>
      </w:pPr>
    </w:p>
    <w:p>
      <w:pPr>
        <w:ind w:right="60" w:firstLine="648"/>
        <w:spacing w:after="0" w:line="280" w:lineRule="auto"/>
        <w:rPr>
          <w:sz w:val="20"/>
          <w:szCs w:val="20"/>
          <w:color w:val="auto"/>
        </w:rPr>
      </w:pPr>
      <w:r>
        <w:rPr>
          <w:rFonts w:ascii="Times New Roman" w:cs="Times New Roman" w:eastAsia="Times New Roman" w:hAnsi="Times New Roman"/>
          <w:sz w:val="17"/>
          <w:szCs w:val="17"/>
          <w:color w:val="auto"/>
        </w:rPr>
        <w:t>We have a Research, Development and Commercialization Agreement (the “Roche Agreement”) with Hoffmann-La Roche (“Roche”) which grants us a sole and exclusive license to develop, use, sell, offer for sale and import any Licensed Product as defined in the Roche Agreement. We received FDA approval for Rezdiffra in March 2024. A tiered single-digit royalty is payable to Roche on net sales of Rezdiffra, subject to certain reductions.</w:t>
      </w:r>
    </w:p>
    <w:p>
      <w:pPr>
        <w:spacing w:after="0" w:line="153"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customary contractual agreements in support of the Phase 3 clinical trials and in connection with manufacturing Rezdiffra. As of March 31, 2025, the Company had approximately $89.1 million of obligations under these agreements related to active pharmaceutical ingredient, which is expected to be paid through December 2027.</w:t>
      </w:r>
    </w:p>
    <w:p>
      <w:pPr>
        <w:spacing w:after="0" w:line="16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Except as noted above and the future minimum payments due on the Loan Facility with Hercules set forth in “Note 8 – Long Term Debt” to the unaudited condensed consolidated financial statements included in this Quarterly Report on Form 10-Q, no significant changes to contractual obligations and commitments occurred during the three months ended March 31, 2025, as compared to those disclosed in our Annual Report on Form 10-K for the fiscal year ended December 31, 2024 filed with the SEC on February 26, 2025.</w:t>
      </w:r>
    </w:p>
    <w:p>
      <w:pPr>
        <w:spacing w:after="0" w:line="2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Market risk related to our investments, our Loan Facility and our potential need to raise additional capital through future debt or equity offerings is summarized in “Part II, Item 7A—Quantitative and Qualitative Disclosures About Market Risk” in our Annual Report on Form 10-K for the fiscal year ended December 31, 2024. There have been no material changes to our market risks since December 31, 2024, and we do not anticipate any near-term changes in the nature of our market risk exposures or in our management’s objectives and strategies with respect to managing such exposures.</w:t>
      </w: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0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9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 disclosure controls and procedures were effective to provide such reasonable assurance described above as of March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0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detail in the “Risk Factors” sections appearing in Part I, Item 1A of our Annual Report on Form 10-K for the year ended December 31, 2024, filed with the SEC on February 26, 2025.</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10b5-1 Plans</w:t>
      </w:r>
    </w:p>
    <w:p>
      <w:pPr>
        <w:spacing w:after="0" w:line="24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March 31, 2025. Each of the plans was entered into during an open trading window and is intended to satisfy the affirmative defense conditions of Rule 10b5-1(c) (each a “Trading Plan”).</w:t>
      </w:r>
    </w:p>
    <w:p>
      <w:pPr>
        <w:spacing w:after="0" w:line="200" w:lineRule="exact"/>
        <w:rPr>
          <w:sz w:val="20"/>
          <w:szCs w:val="20"/>
          <w:color w:val="auto"/>
        </w:rPr>
      </w:pP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Scheduled Start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03"/>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6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Date of Trading</w:t>
            </w:r>
          </w:p>
        </w:tc>
        <w:tc>
          <w:tcPr>
            <w:tcW w:w="2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Scheduled Expiration</w:t>
            </w:r>
          </w:p>
        </w:tc>
        <w:tc>
          <w:tcPr>
            <w:tcW w:w="2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 Subject to Trading</w:t>
            </w:r>
          </w:p>
        </w:tc>
      </w:tr>
      <w:tr>
        <w:trPr>
          <w:trHeight w:val="238"/>
        </w:trPr>
        <w:tc>
          <w:tcPr>
            <w:tcW w:w="22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Trading Plan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89"/>
        </w:trPr>
        <w:tc>
          <w:tcPr>
            <w:tcW w:w="2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Paul Friedman, M.D.,</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 (March 14,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13, 2025</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July 22, 2026</w:t>
            </w: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730"/>
              <w:spacing w:after="0" w:line="189" w:lineRule="exact"/>
              <w:rPr>
                <w:sz w:val="20"/>
                <w:szCs w:val="20"/>
                <w:color w:val="auto"/>
              </w:rPr>
            </w:pPr>
            <w:r>
              <w:rPr>
                <w:rFonts w:ascii="Times New Roman" w:cs="Times New Roman" w:eastAsia="Times New Roman" w:hAnsi="Times New Roman"/>
                <w:sz w:val="18"/>
                <w:szCs w:val="18"/>
                <w:color w:val="auto"/>
              </w:rPr>
              <w:t>206,256</w:t>
            </w:r>
          </w:p>
        </w:tc>
      </w:tr>
      <w:tr>
        <w:trPr>
          <w:trHeight w:val="243"/>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196"/>
        </w:trPr>
        <w:tc>
          <w:tcPr>
            <w:tcW w:w="2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 xml:space="preserve">Rebecca Taub, M.D., </w:t>
            </w:r>
            <w:r>
              <w:rPr>
                <w:rFonts w:ascii="Times New Roman" w:cs="Times New Roman" w:eastAsia="Times New Roman" w:hAnsi="Times New Roman"/>
                <w:sz w:val="18"/>
                <w:szCs w:val="18"/>
                <w:i w:val="1"/>
                <w:iCs w:val="1"/>
                <w:color w:val="auto"/>
              </w:rPr>
              <w:t>Senior</w:t>
            </w:r>
          </w:p>
        </w:tc>
        <w:tc>
          <w:tcPr>
            <w:tcW w:w="166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9"/>
              </w:rPr>
              <w:t>Adoption (March 14,</w:t>
            </w:r>
          </w:p>
        </w:tc>
        <w:tc>
          <w:tcPr>
            <w:tcW w:w="166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9"/>
              </w:rPr>
              <w:t>June 13, 2025</w:t>
            </w:r>
          </w:p>
        </w:tc>
        <w:tc>
          <w:tcPr>
            <w:tcW w:w="200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rPr>
              <w:t>July 22, 2026</w:t>
            </w:r>
          </w:p>
        </w:tc>
        <w:tc>
          <w:tcPr>
            <w:tcW w:w="2220" w:type="dxa"/>
            <w:vAlign w:val="bottom"/>
          </w:tcPr>
          <w:p>
            <w:pPr>
              <w:jc w:val="right"/>
              <w:ind w:right="790"/>
              <w:spacing w:after="0" w:line="195" w:lineRule="exact"/>
              <w:rPr>
                <w:sz w:val="20"/>
                <w:szCs w:val="20"/>
                <w:color w:val="auto"/>
              </w:rPr>
            </w:pPr>
            <w:r>
              <w:rPr>
                <w:rFonts w:ascii="Times New Roman" w:cs="Times New Roman" w:eastAsia="Times New Roman" w:hAnsi="Times New Roman"/>
                <w:sz w:val="18"/>
                <w:szCs w:val="18"/>
                <w:color w:val="auto"/>
              </w:rPr>
              <w:t>76,564</w:t>
            </w:r>
          </w:p>
        </w:tc>
      </w:tr>
      <w:tr>
        <w:trPr>
          <w:trHeight w:val="203"/>
        </w:trPr>
        <w:tc>
          <w:tcPr>
            <w:tcW w:w="2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Scientific and Medical</w:t>
            </w: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Advisor and Director</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8" w:lineRule="exact"/>
        <w:rPr>
          <w:sz w:val="20"/>
          <w:szCs w:val="20"/>
          <w:color w:val="auto"/>
        </w:rPr>
      </w:pPr>
    </w:p>
    <w:p>
      <w:pPr>
        <w:ind w:right="860" w:firstLine="648"/>
        <w:spacing w:after="0" w:line="266"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gridSpan w:val="1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4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0"/>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gridSpan w:val="12"/>
            <w:vMerge w:val="continue"/>
          </w:tcPr>
          <w:p>
            <w:pPr>
              <w:spacing w:after="0"/>
              <w:rPr>
                <w:sz w:val="16"/>
                <w:szCs w:val="16"/>
                <w:color w:val="auto"/>
              </w:rPr>
            </w:pPr>
          </w:p>
        </w:tc>
        <w:tc>
          <w:tcPr>
            <w:tcW w:w="3460" w:type="dxa"/>
            <w:vAlign w:val="bottom"/>
            <w:vMerge w:val="continue"/>
          </w:tcPr>
          <w:p>
            <w:pPr>
              <w:spacing w:after="0"/>
              <w:rPr>
                <w:sz w:val="16"/>
                <w:szCs w:val="16"/>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9"/>
        </w:trPr>
        <w:tc>
          <w:tcPr>
            <w:tcW w:w="940" w:type="dxa"/>
            <w:vAlign w:val="bottom"/>
          </w:tcPr>
          <w:p>
            <w:pPr>
              <w:jc w:val="center"/>
              <w:ind w:right="193"/>
              <w:spacing w:after="0" w:line="199" w:lineRule="exact"/>
              <w:rPr>
                <w:sz w:val="20"/>
                <w:szCs w:val="20"/>
                <w:color w:val="auto"/>
              </w:rPr>
            </w:pPr>
            <w:r>
              <w:rPr>
                <w:rFonts w:ascii="Times New Roman" w:cs="Times New Roman" w:eastAsia="Times New Roman" w:hAnsi="Times New Roman"/>
                <w:sz w:val="18"/>
                <w:szCs w:val="18"/>
                <w:color w:val="auto"/>
                <w:w w:val="95"/>
              </w:rPr>
              <w:t>31.1</w:t>
            </w:r>
          </w:p>
        </w:tc>
        <w:tc>
          <w:tcPr>
            <w:tcW w:w="4980" w:type="dxa"/>
            <w:vAlign w:val="bottom"/>
            <w:gridSpan w:val="12"/>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3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3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98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460" w:type="dxa"/>
            <w:vAlign w:val="bottom"/>
          </w:tcPr>
          <w:p>
            <w:pPr>
              <w:spacing w:after="0"/>
              <w:rPr>
                <w:sz w:val="13"/>
                <w:szCs w:val="13"/>
                <w:color w:val="auto"/>
              </w:rPr>
            </w:pPr>
          </w:p>
        </w:tc>
        <w:tc>
          <w:tcPr>
            <w:tcW w:w="1520" w:type="dxa"/>
            <w:vAlign w:val="bottom"/>
            <w:vMerge w:val="restart"/>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5"/>
              </w:rPr>
              <w:t>31.2</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280" w:type="dxa"/>
            <w:vAlign w:val="bottom"/>
            <w:tcBorders>
              <w:top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98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460" w:type="dxa"/>
            <w:vAlign w:val="bottom"/>
          </w:tcPr>
          <w:p>
            <w:pPr>
              <w:spacing w:after="0"/>
              <w:rPr>
                <w:sz w:val="13"/>
                <w:szCs w:val="13"/>
                <w:color w:val="auto"/>
              </w:rPr>
            </w:pPr>
          </w:p>
        </w:tc>
        <w:tc>
          <w:tcPr>
            <w:tcW w:w="1520" w:type="dxa"/>
            <w:vAlign w:val="bottom"/>
            <w:vMerge w:val="restart"/>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Financial Officer, pursuant to 18 U.S.C.</w:t>
            </w:r>
          </w:p>
        </w:tc>
        <w:tc>
          <w:tcPr>
            <w:tcW w:w="60" w:type="dxa"/>
            <w:vAlign w:val="bottom"/>
            <w:tcBorders>
              <w:bottom w:val="single" w:sz="8" w:color="0000FF"/>
            </w:tcBorders>
          </w:tcPr>
          <w:p>
            <w:pPr>
              <w:spacing w:after="0"/>
              <w:rPr>
                <w:sz w:val="14"/>
                <w:szCs w:val="14"/>
                <w:color w:val="auto"/>
              </w:rPr>
            </w:pPr>
          </w:p>
        </w:tc>
        <w:tc>
          <w:tcPr>
            <w:tcW w:w="1420" w:type="dxa"/>
            <w:vAlign w:val="bottom"/>
            <w:gridSpan w:val="9"/>
            <w:vMerge w:val="restart"/>
          </w:tcPr>
          <w:p>
            <w:pPr>
              <w:ind w:left="40"/>
              <w:spacing w:after="0"/>
              <w:rPr>
                <w:sz w:val="20"/>
                <w:szCs w:val="20"/>
                <w:color w:val="auto"/>
              </w:rPr>
            </w:pPr>
            <w:r>
              <w:rPr>
                <w:rFonts w:ascii="Times New Roman" w:cs="Times New Roman" w:eastAsia="Times New Roman" w:hAnsi="Times New Roman"/>
                <w:sz w:val="18"/>
                <w:szCs w:val="18"/>
                <w:color w:val="0000FF"/>
              </w:rPr>
              <w:t>of the</w:t>
            </w: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5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1420" w:type="dxa"/>
            <w:vAlign w:val="bottom"/>
            <w:gridSpan w:val="9"/>
            <w:vMerge w:val="continue"/>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 Certifications of Principal</w:t>
            </w: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0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Executive Officer and Principal Financial Officer,</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6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138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w:t>
            </w:r>
          </w:p>
        </w:tc>
        <w:tc>
          <w:tcPr>
            <w:tcW w:w="3460" w:type="dxa"/>
            <w:vAlign w:val="bottom"/>
          </w:tcPr>
          <w:p>
            <w:pPr>
              <w:spacing w:after="0"/>
              <w:rPr>
                <w:sz w:val="13"/>
                <w:szCs w:val="13"/>
                <w:color w:val="auto"/>
              </w:rPr>
            </w:pPr>
          </w:p>
        </w:tc>
        <w:tc>
          <w:tcPr>
            <w:tcW w:w="1520" w:type="dxa"/>
            <w:vAlign w:val="bottom"/>
            <w:vMerge w:val="restart"/>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0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3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40" w:type="dxa"/>
            <w:vAlign w:val="bottom"/>
            <w:gridSpan w:val="7"/>
          </w:tcPr>
          <w:p>
            <w:pPr>
              <w:spacing w:after="0"/>
              <w:rPr>
                <w:sz w:val="21"/>
                <w:szCs w:val="21"/>
                <w:color w:val="auto"/>
              </w:rPr>
            </w:pPr>
          </w:p>
        </w:tc>
        <w:tc>
          <w:tcPr>
            <w:tcW w:w="3460" w:type="dxa"/>
            <w:vAlign w:val="bottom"/>
          </w:tcPr>
          <w:p>
            <w:pPr>
              <w:spacing w:after="0"/>
              <w:rPr>
                <w:sz w:val="21"/>
                <w:szCs w:val="21"/>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3"/>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101.SCH</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60" w:type="dxa"/>
            <w:vAlign w:val="bottom"/>
          </w:tcPr>
          <w:p>
            <w:pPr>
              <w:spacing w:after="0"/>
              <w:rPr>
                <w:sz w:val="24"/>
                <w:szCs w:val="24"/>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7"/>
              </w:rPr>
              <w:t>101.CAL</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7"/>
              </w:rPr>
              <w:t>101.LAB</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8"/>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3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20" w:right="5960" w:hanging="748"/>
        <w:spacing w:after="0" w:line="231" w:lineRule="auto"/>
        <w:tabs>
          <w:tab w:leader="none" w:pos="11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93" w:lineRule="exact"/>
        <w:rPr>
          <w:rFonts w:ascii="Times New Roman" w:cs="Times New Roman" w:eastAsia="Times New Roman" w:hAnsi="Times New Roman"/>
          <w:sz w:val="18"/>
          <w:szCs w:val="18"/>
          <w:color w:val="auto"/>
        </w:rPr>
      </w:pPr>
    </w:p>
    <w:p>
      <w:pPr>
        <w:ind w:left="340" w:hanging="332"/>
        <w:spacing w:after="0" w:line="250" w:lineRule="auto"/>
        <w:tabs>
          <w:tab w:leader="none" w:pos="3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Sibold</w:t>
            </w:r>
          </w:p>
        </w:tc>
      </w:tr>
      <w:tr>
        <w:trPr>
          <w:trHeight w:val="243"/>
        </w:trPr>
        <w:tc>
          <w:tcPr>
            <w:tcW w:w="3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Sibold</w:t>
            </w:r>
          </w:p>
        </w:tc>
      </w:tr>
      <w:tr>
        <w:trPr>
          <w:trHeight w:val="256"/>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Mardi C. Dier</w:t>
            </w:r>
          </w:p>
        </w:tc>
      </w:tr>
      <w:tr>
        <w:trPr>
          <w:trHeight w:val="243"/>
        </w:trPr>
        <w:tc>
          <w:tcPr>
            <w:tcW w:w="3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Mardi C. Dier</w:t>
            </w:r>
          </w:p>
        </w:tc>
      </w:tr>
      <w:tr>
        <w:trPr>
          <w:trHeight w:val="257"/>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6"/>
        </w:trPr>
        <w:tc>
          <w:tcPr>
            <w:tcW w:w="34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8"/>
        </w:trPr>
        <w:tc>
          <w:tcPr>
            <w:tcW w:w="3440" w:type="dxa"/>
            <w:vAlign w:val="bottom"/>
          </w:tcPr>
          <w:p>
            <w:pPr>
              <w:spacing w:after="0"/>
              <w:rPr>
                <w:sz w:val="24"/>
                <w:szCs w:val="24"/>
                <w:color w:val="auto"/>
              </w:rPr>
            </w:pPr>
          </w:p>
        </w:tc>
        <w:tc>
          <w:tcPr>
            <w:tcW w:w="2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7" w:name="page38"/>
    <w:bookmarkEnd w:id="3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Sibold, certify that:</w:t>
      </w:r>
    </w:p>
    <w:p>
      <w:pPr>
        <w:spacing w:after="0" w:line="104"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ectPr>
          <w:pgSz w:w="11900" w:h="16838" w:orient="portrait"/>
          <w:cols w:equalWidth="0" w:num="1">
            <w:col w:w="11240"/>
          </w:cols>
          <w:pgMar w:left="320" w:top="927"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left="340" w:right="4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Mardi C. Dier, certify that:</w:t>
      </w:r>
    </w:p>
    <w:p>
      <w:pPr>
        <w:spacing w:after="0" w:line="104"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2025</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6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1, 2025</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1, 2025</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Mardi C. Dier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2"/>
      <w:numFmt w:val="decimal"/>
      <w:start w:val="10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2025-05-01T07:57:24Z</dcterms:created>
  <dcterms:modified xsi:type="dcterms:W3CDTF">2025-05-01T07:57:24Z</dcterms:modified>
</cp:coreProperties>
</file>