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44" w:right="140" w:hanging="444"/>
        <w:spacing w:after="0" w:line="236" w:lineRule="auto"/>
        <w:tabs>
          <w:tab w:leader="none" w:pos="44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44" w:right="120" w:hanging="444"/>
        <w:spacing w:after="0" w:line="256" w:lineRule="auto"/>
        <w:tabs>
          <w:tab w:leader="none" w:pos="44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304"/>
        <w:spacing w:after="0"/>
        <w:tabs>
          <w:tab w:leader="none" w:pos="660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3601720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MADRIGAL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tbl>
      <w:tblPr>
        <w:tblLayout w:type="fixed"/>
        <w:tblInd w:w="1444" w:type="dxa"/>
        <w:tblCellMar>
          <w:top w:w="0" w:type="dxa"/>
          <w:left w:w="0" w:type="dxa"/>
          <w:bottom w:w="0" w:type="dxa"/>
          <w:right w:w="0" w:type="dxa"/>
        </w:tblCellMar>
      </w:tblPr>
      <w:tr>
        <w:trPr>
          <w:trHeight w:val="2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41"/>
              <w:spacing w:after="0"/>
              <w:rPr>
                <w:sz w:val="20"/>
                <w:szCs w:val="20"/>
                <w:color w:val="auto"/>
              </w:rPr>
            </w:pPr>
            <w:r>
              <w:rPr>
                <w:rFonts w:ascii="Arial" w:cs="Arial" w:eastAsia="Arial" w:hAnsi="Arial"/>
                <w:sz w:val="18"/>
                <w:szCs w:val="18"/>
                <w:b w:val="1"/>
                <w:bCs w:val="1"/>
                <w:color w:val="auto"/>
              </w:rPr>
              <w:t>04-3508648</w:t>
            </w:r>
          </w:p>
        </w:tc>
      </w:tr>
      <w:tr>
        <w:trPr>
          <w:trHeight w:val="148"/>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91"/>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3"/>
              </w:rPr>
              <w:t>200 Barr Harbor Drive, Suite 200</w:t>
            </w:r>
          </w:p>
        </w:tc>
        <w:tc>
          <w:tcPr>
            <w:tcW w:w="2960" w:type="dxa"/>
            <w:vAlign w:val="bottom"/>
          </w:tcPr>
          <w:p>
            <w:pPr>
              <w:spacing w:after="0"/>
              <w:rPr>
                <w:sz w:val="18"/>
                <w:szCs w:val="18"/>
                <w:color w:val="auto"/>
              </w:rPr>
            </w:pPr>
          </w:p>
        </w:tc>
      </w:tr>
      <w:tr>
        <w:trPr>
          <w:trHeight w:val="225"/>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88"/>
              </w:rPr>
              <w:t>West Conshohocken, Pennsylvania</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19428</w:t>
            </w:r>
          </w:p>
        </w:tc>
      </w:tr>
      <w:tr>
        <w:trPr>
          <w:trHeight w:val="186"/>
        </w:trPr>
        <w:tc>
          <w:tcPr>
            <w:tcW w:w="4500" w:type="dxa"/>
            <w:vAlign w:val="bottom"/>
          </w:tcPr>
          <w:p>
            <w:pPr>
              <w:jc w:val="center"/>
              <w:ind w:right="1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(267) 824-2827</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MDGL</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1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6" w:lineRule="exact"/>
        <w:rPr>
          <w:sz w:val="24"/>
          <w:szCs w:val="24"/>
          <w:color w:val="auto"/>
        </w:rPr>
      </w:pPr>
    </w:p>
    <w:p>
      <w:pPr>
        <w:ind w:left="4" w:right="1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6" w:lineRule="exact"/>
        <w:rPr>
          <w:sz w:val="24"/>
          <w:szCs w:val="24"/>
          <w:color w:val="auto"/>
        </w:rPr>
      </w:pPr>
    </w:p>
    <w:p>
      <w:pPr>
        <w:ind w:left="4"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4"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024"/>
          </w:cols>
          <w:pgMar w:left="436" w:top="382" w:right="439" w:bottom="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29"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As of August 3, 2023, the registrant had 18,471,233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5"/>
        </w:trPr>
        <w:tc>
          <w:tcPr>
            <w:tcW w:w="28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800" w:type="dxa"/>
            <w:vAlign w:val="bottom"/>
            <w:gridSpan w:val="16"/>
          </w:tcPr>
          <w:p>
            <w:pPr>
              <w:spacing w:after="0" w:line="195" w:lineRule="exact"/>
              <w:rPr>
                <w:sz w:val="20"/>
                <w:szCs w:val="20"/>
                <w:color w:val="auto"/>
              </w:rPr>
            </w:pPr>
            <w:r>
              <w:rPr>
                <w:rFonts w:ascii="Arial" w:cs="Arial" w:eastAsia="Arial" w:hAnsi="Arial"/>
                <w:sz w:val="18"/>
                <w:szCs w:val="18"/>
                <w:color w:val="auto"/>
              </w:rPr>
              <w:t>Part I. Financial Information</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190"/>
        </w:trPr>
        <w:tc>
          <w:tcPr>
            <w:tcW w:w="88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800" w:type="dxa"/>
            <w:vAlign w:val="bottom"/>
            <w:gridSpan w:val="16"/>
          </w:tcPr>
          <w:p>
            <w:pPr>
              <w:spacing w:after="0" w:line="190" w:lineRule="exact"/>
              <w:rPr>
                <w:sz w:val="20"/>
                <w:szCs w:val="20"/>
                <w:color w:val="auto"/>
              </w:rPr>
            </w:pPr>
            <w:r>
              <w:rPr>
                <w:rFonts w:ascii="Arial" w:cs="Arial" w:eastAsia="Arial" w:hAnsi="Arial"/>
                <w:sz w:val="18"/>
                <w:szCs w:val="18"/>
                <w:color w:val="0000EE"/>
              </w:rPr>
              <w:t>Financial Statements (Unaudited):</w:t>
            </w:r>
          </w:p>
        </w:tc>
        <w:tc>
          <w:tcPr>
            <w:tcW w:w="12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9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Condensed Consolidated Balance Sheets at June 30, 2023 and December 31, 2022</w:t>
            </w:r>
          </w:p>
        </w:tc>
        <w:tc>
          <w:tcPr>
            <w:tcW w:w="288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gridSpan w:val="16"/>
          </w:tcPr>
          <w:p>
            <w:pPr>
              <w:spacing w:after="0" w:line="196" w:lineRule="exact"/>
              <w:rPr>
                <w:sz w:val="20"/>
                <w:szCs w:val="20"/>
                <w:color w:val="auto"/>
              </w:rPr>
            </w:pPr>
            <w:r>
              <w:rPr>
                <w:rFonts w:ascii="Arial" w:cs="Arial" w:eastAsia="Arial" w:hAnsi="Arial"/>
                <w:sz w:val="18"/>
                <w:szCs w:val="18"/>
                <w:color w:val="0000EE"/>
                <w:w w:val="97"/>
              </w:rPr>
              <w:t>Condensed Consolidated Statements of Operations for the Three and Six Months Ended June 30, 2023 and 2022</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Condensed Consolidated Statements of Comprehensive Loss for the Three and Six Months Ended June 30, 2023 and 2022</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Condensed Consolidated Statements of Stockholders’ Equity for the Three and Six Months Ended June 30, 2023 and 2022</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3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Condensed Consolidated Statements of Cash Flows for the Six Months Ended June 30, 2023 and 2022</w:t>
            </w:r>
          </w:p>
        </w:tc>
        <w:tc>
          <w:tcPr>
            <w:tcW w:w="142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gridSpan w:val="16"/>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8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800" w:type="dxa"/>
            <w:vAlign w:val="bottom"/>
            <w:gridSpan w:val="16"/>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236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800" w:type="dxa"/>
            <w:vAlign w:val="bottom"/>
            <w:gridSpan w:val="16"/>
          </w:tcPr>
          <w:p>
            <w:pPr>
              <w:spacing w:after="0" w:line="196" w:lineRule="exact"/>
              <w:rPr>
                <w:sz w:val="20"/>
                <w:szCs w:val="20"/>
                <w:color w:val="auto"/>
              </w:rPr>
            </w:pPr>
            <w:r>
              <w:rPr>
                <w:rFonts w:ascii="Arial" w:cs="Arial" w:eastAsia="Arial" w:hAnsi="Arial"/>
                <w:sz w:val="18"/>
                <w:szCs w:val="18"/>
                <w:color w:val="0000EE"/>
              </w:rPr>
              <w:t>Controls and Procedures</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16"/>
          </w:tcPr>
          <w:p>
            <w:pPr>
              <w:spacing w:after="0"/>
              <w:rPr>
                <w:sz w:val="20"/>
                <w:szCs w:val="20"/>
                <w:color w:val="auto"/>
              </w:rPr>
            </w:pPr>
            <w:r>
              <w:rPr>
                <w:rFonts w:ascii="Arial" w:cs="Arial" w:eastAsia="Arial" w:hAnsi="Arial"/>
                <w:sz w:val="18"/>
                <w:szCs w:val="18"/>
                <w:color w:val="auto"/>
              </w:rPr>
              <w:t>Part II. Other Information</w:t>
            </w: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0"/>
        </w:trPr>
        <w:tc>
          <w:tcPr>
            <w:tcW w:w="88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800" w:type="dxa"/>
            <w:vAlign w:val="bottom"/>
            <w:gridSpan w:val="16"/>
          </w:tcPr>
          <w:p>
            <w:pPr>
              <w:spacing w:after="0" w:line="190" w:lineRule="exact"/>
              <w:rPr>
                <w:sz w:val="20"/>
                <w:szCs w:val="20"/>
                <w:color w:val="auto"/>
              </w:rPr>
            </w:pPr>
            <w:r>
              <w:rPr>
                <w:rFonts w:ascii="Arial" w:cs="Arial" w:eastAsia="Arial" w:hAnsi="Arial"/>
                <w:sz w:val="18"/>
                <w:szCs w:val="18"/>
                <w:color w:val="0000EE"/>
              </w:rPr>
              <w:t>Legal Proceedings</w:t>
            </w:r>
          </w:p>
        </w:tc>
        <w:tc>
          <w:tcPr>
            <w:tcW w:w="1280" w:type="dxa"/>
            <w:vAlign w:val="bottom"/>
          </w:tcPr>
          <w:p>
            <w:pPr>
              <w:jc w:val="right"/>
              <w:spacing w:after="0" w:line="190" w:lineRule="exact"/>
              <w:rPr>
                <w:sz w:val="20"/>
                <w:szCs w:val="20"/>
                <w:color w:val="auto"/>
              </w:rPr>
            </w:pPr>
            <w:r>
              <w:rPr>
                <w:rFonts w:ascii="Arial" w:cs="Arial" w:eastAsia="Arial" w:hAnsi="Arial"/>
                <w:sz w:val="18"/>
                <w:szCs w:val="18"/>
                <w:color w:val="auto"/>
              </w:rPr>
              <w:t>27</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2"/>
          </w:tcPr>
          <w:p>
            <w:pPr>
              <w:spacing w:after="0"/>
              <w:rPr>
                <w:sz w:val="17"/>
                <w:szCs w:val="17"/>
                <w:color w:val="auto"/>
              </w:rPr>
            </w:pPr>
          </w:p>
        </w:tc>
        <w:tc>
          <w:tcPr>
            <w:tcW w:w="7480" w:type="dxa"/>
            <w:vAlign w:val="bottom"/>
            <w:gridSpan w:val="11"/>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800" w:type="dxa"/>
            <w:vAlign w:val="bottom"/>
            <w:gridSpan w:val="16"/>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gridSpan w:val="3"/>
          </w:tcPr>
          <w:p>
            <w:pPr>
              <w:spacing w:after="0"/>
              <w:rPr>
                <w:sz w:val="17"/>
                <w:szCs w:val="17"/>
                <w:color w:val="auto"/>
              </w:rPr>
            </w:pPr>
          </w:p>
        </w:tc>
        <w:tc>
          <w:tcPr>
            <w:tcW w:w="446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800" w:type="dxa"/>
            <w:vAlign w:val="bottom"/>
            <w:gridSpan w:val="16"/>
          </w:tcPr>
          <w:p>
            <w:pPr>
              <w:spacing w:after="0" w:line="196" w:lineRule="exact"/>
              <w:rPr>
                <w:sz w:val="20"/>
                <w:szCs w:val="20"/>
                <w:color w:val="auto"/>
              </w:rPr>
            </w:pPr>
            <w:r>
              <w:rPr>
                <w:rFonts w:ascii="Arial" w:cs="Arial" w:eastAsia="Arial" w:hAnsi="Arial"/>
                <w:sz w:val="18"/>
                <w:szCs w:val="18"/>
                <w:color w:val="0000EE"/>
              </w:rPr>
              <w:t>Mine Safety Disclosures</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Other Information</w:t>
            </w:r>
          </w:p>
        </w:tc>
        <w:tc>
          <w:tcPr>
            <w:tcW w:w="7040" w:type="dxa"/>
            <w:vAlign w:val="bottom"/>
            <w:gridSpan w:val="10"/>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3"/>
          </w:tcPr>
          <w:p>
            <w:pPr>
              <w:spacing w:after="0"/>
              <w:rPr>
                <w:sz w:val="17"/>
                <w:szCs w:val="17"/>
                <w:color w:val="auto"/>
              </w:rPr>
            </w:pPr>
          </w:p>
        </w:tc>
        <w:tc>
          <w:tcPr>
            <w:tcW w:w="7500" w:type="dxa"/>
            <w:vAlign w:val="bottom"/>
            <w:gridSpan w:val="1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Signatures</w:t>
            </w:r>
          </w:p>
        </w:tc>
        <w:tc>
          <w:tcPr>
            <w:tcW w:w="8040" w:type="dxa"/>
            <w:vAlign w:val="bottom"/>
            <w:gridSpan w:val="1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385"/>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20" w:type="dxa"/>
            <w:vAlign w:val="bottom"/>
            <w:gridSpan w:val="12"/>
          </w:tcPr>
          <w:p>
            <w:pPr>
              <w:ind w:left="458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960"/>
          </w:cols>
          <w:pgMar w:left="440" w:top="513"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060" w:type="dxa"/>
            <w:vAlign w:val="bottom"/>
          </w:tcPr>
          <w:p>
            <w:pPr>
              <w:jc w:val="center"/>
              <w:ind w:left="179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0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060" w:type="dxa"/>
            <w:vAlign w:val="bottom"/>
          </w:tcPr>
          <w:p>
            <w:pPr>
              <w:jc w:val="center"/>
              <w:ind w:left="1790"/>
              <w:spacing w:after="0"/>
              <w:rPr>
                <w:sz w:val="20"/>
                <w:szCs w:val="20"/>
                <w:color w:val="auto"/>
              </w:rPr>
            </w:pPr>
            <w:r>
              <w:rPr>
                <w:rFonts w:ascii="Arial" w:cs="Arial" w:eastAsia="Arial" w:hAnsi="Arial"/>
                <w:sz w:val="18"/>
                <w:szCs w:val="18"/>
                <w:b w:val="1"/>
                <w:bCs w:val="1"/>
                <w:color w:val="auto"/>
              </w:rPr>
              <w:t>MADRIGAL PHARMACEUTICALS, INC.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060" w:type="dxa"/>
            <w:vAlign w:val="bottom"/>
          </w:tcPr>
          <w:p>
            <w:pPr>
              <w:jc w:val="center"/>
              <w:ind w:left="17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06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(Unaudited; in thousands, except share and per share amounts)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Assets</w:t>
            </w:r>
          </w:p>
        </w:tc>
        <w:tc>
          <w:tcPr>
            <w:tcW w:w="8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77,196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331,549</w:t>
            </w:r>
          </w:p>
        </w:tc>
        <w:tc>
          <w:tcPr>
            <w:tcW w:w="0" w:type="dxa"/>
            <w:vAlign w:val="bottom"/>
          </w:tcPr>
          <w:p>
            <w:pPr>
              <w:spacing w:after="0"/>
              <w:rPr>
                <w:sz w:val="1"/>
                <w:szCs w:val="1"/>
                <w:color w:val="auto"/>
              </w:rPr>
            </w:pPr>
          </w:p>
        </w:tc>
      </w:tr>
      <w:tr>
        <w:trPr>
          <w:trHeight w:val="216"/>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221,222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27,225</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301,595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302,461</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17,534</w:t>
            </w:r>
          </w:p>
        </w:tc>
        <w:tc>
          <w:tcPr>
            <w:tcW w:w="3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23,831</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91,461</w:t>
            </w:r>
          </w:p>
        </w:tc>
        <w:tc>
          <w:tcPr>
            <w:tcW w:w="0" w:type="dxa"/>
            <w:vAlign w:val="bottom"/>
          </w:tcPr>
          <w:p>
            <w:pPr>
              <w:spacing w:after="0"/>
              <w:rPr>
                <w:sz w:val="1"/>
                <w:szCs w:val="1"/>
                <w:color w:val="auto"/>
              </w:rPr>
            </w:pPr>
          </w:p>
        </w:tc>
      </w:tr>
      <w:tr>
        <w:trPr>
          <w:trHeight w:val="223"/>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Lease liability</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99,706</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Loan payable, net of discount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49,289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Total long term liabilities</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99,249</w:t>
            </w:r>
          </w:p>
        </w:tc>
        <w:tc>
          <w:tcPr>
            <w:tcW w:w="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198,955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Preferred stock, par value $0.0001 per share authorized: 5,000,000 shares at June 30, 2023 and December 31,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5"/>
              </w:rPr>
              <w:t>2022; 2,369,797 and 2,369,797 shares issued and outstanding at June 30, 2023 and December 31, 2022,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1"/>
              </w:rPr>
              <w:t>Common stock, par value $0.0001 per share authorized: 200,000,000 at June 30, 2023 and December 31, 2022;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w w:val="99"/>
              </w:rPr>
              <w:t>18,459,033 and 18,102,523 shares issued and outstanding at June 30, 2023 and December 31, 2022,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1,228,949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1,160,079</w:t>
            </w:r>
          </w:p>
        </w:tc>
        <w:tc>
          <w:tcPr>
            <w:tcW w:w="0" w:type="dxa"/>
            <w:vAlign w:val="bottom"/>
          </w:tcPr>
          <w:p>
            <w:pPr>
              <w:spacing w:after="0"/>
              <w:rPr>
                <w:sz w:val="1"/>
                <w:szCs w:val="1"/>
                <w:color w:val="auto"/>
              </w:rPr>
            </w:pPr>
          </w:p>
        </w:tc>
      </w:tr>
      <w:tr>
        <w:trPr>
          <w:trHeight w:val="216"/>
        </w:trPr>
        <w:tc>
          <w:tcPr>
            <w:tcW w:w="86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9"/>
              </w:rPr>
              <w:t>(1,125,356)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(962,660)</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103,506</w:t>
            </w:r>
          </w:p>
        </w:tc>
        <w:tc>
          <w:tcPr>
            <w:tcW w:w="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302,461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513"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14"/>
                <w:szCs w:val="14"/>
                <w:color w:val="auto"/>
              </w:rPr>
            </w:pPr>
          </w:p>
        </w:tc>
        <w:tc>
          <w:tcPr>
            <w:tcW w:w="2200" w:type="dxa"/>
            <w:vAlign w:val="bottom"/>
            <w:gridSpan w:val="6"/>
          </w:tcPr>
          <w:p>
            <w:pPr>
              <w:jc w:val="right"/>
              <w:ind w:right="281"/>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68,605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130,759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106,428</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34,027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21,432</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86,450</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70,273</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164,786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127,860</w:t>
            </w:r>
          </w:p>
        </w:tc>
        <w:tc>
          <w:tcPr>
            <w:tcW w:w="120" w:type="dxa"/>
            <w:vAlign w:val="bottom"/>
          </w:tcPr>
          <w:p>
            <w:pPr>
              <w:spacing w:after="0"/>
              <w:rPr>
                <w:sz w:val="20"/>
                <w:szCs w:val="20"/>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(127,860)</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7,327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392</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(2,901)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(85,800</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(70,730</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(162,696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(4.69)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(4.14)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(8.91)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18,310,952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17,103,395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6"/>
              </w:rPr>
              <w:t>18,249,778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17,103,395</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702"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left="420" w:right="2360"/>
        <w:spacing w:after="0" w:line="260"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120" w:type="dxa"/>
            <w:vAlign w:val="bottom"/>
            <w:gridSpan w:val="7"/>
          </w:tcPr>
          <w:p>
            <w:pPr>
              <w:jc w:val="right"/>
              <w:ind w:right="141"/>
              <w:spacing w:after="0"/>
              <w:rPr>
                <w:sz w:val="20"/>
                <w:szCs w:val="20"/>
                <w:color w:val="auto"/>
              </w:rPr>
            </w:pPr>
            <w:r>
              <w:rPr>
                <w:rFonts w:ascii="Arial" w:cs="Arial" w:eastAsia="Arial" w:hAnsi="Arial"/>
                <w:sz w:val="14"/>
                <w:szCs w:val="14"/>
                <w:b w:val="1"/>
                <w:bCs w:val="1"/>
                <w:color w:val="auto"/>
                <w:w w:val="94"/>
              </w:rPr>
              <w:t>Three Months Ended June 30,</w:t>
            </w:r>
          </w:p>
        </w:tc>
        <w:tc>
          <w:tcPr>
            <w:tcW w:w="1860" w:type="dxa"/>
            <w:vAlign w:val="bottom"/>
            <w:gridSpan w:val="5"/>
          </w:tcPr>
          <w:p>
            <w:pPr>
              <w:jc w:val="right"/>
              <w:ind w:right="61"/>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70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(70,730)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(162,696)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(128,248)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available-for-sale securities</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7040" w:type="dxa"/>
            <w:vAlign w:val="bottom"/>
          </w:tcPr>
          <w:p>
            <w:pPr>
              <w:ind w:left="72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(85,803</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(70,775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(162,753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(128,615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702"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left="420" w:right="2260"/>
        <w:spacing w:after="0" w:line="255" w:lineRule="auto"/>
        <w:rPr>
          <w:sz w:val="20"/>
          <w:szCs w:val="20"/>
          <w:color w:val="auto"/>
        </w:rPr>
      </w:pPr>
      <w:r>
        <w:rPr>
          <w:rFonts w:ascii="Arial" w:cs="Arial" w:eastAsia="Arial" w:hAnsi="Arial"/>
          <w:sz w:val="18"/>
          <w:szCs w:val="18"/>
          <w:b w:val="1"/>
          <w:bCs w:val="1"/>
          <w:color w:val="auto"/>
        </w:rPr>
        <w:t>MADRIGAL PHARMACEUTICALS, INC. CONDENSED CONSOLIDATED STATEMENTS OF STOCKHOLDERS’ EQUITY (Unaudited; in thousands, except share and per share amounts)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50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2"/>
                <w:szCs w:val="12"/>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2"/>
              </w:rPr>
              <w:t>Common stock</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5"/>
              </w:rPr>
              <w:t>paid-in</w:t>
            </w: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120" w:type="dxa"/>
            <w:vAlign w:val="bottom"/>
            <w:gridSpan w:val="3"/>
          </w:tcPr>
          <w:p>
            <w:pPr>
              <w:jc w:val="right"/>
              <w:ind w:right="201"/>
              <w:spacing w:after="0" w:line="129"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220" w:type="dxa"/>
            <w:vAlign w:val="bottom"/>
            <w:gridSpan w:val="2"/>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2,369,797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18,102,523</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1,160,079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(962,660)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197,389</w:t>
            </w:r>
          </w:p>
        </w:tc>
        <w:tc>
          <w:tcPr>
            <w:tcW w:w="0" w:type="dxa"/>
            <w:vAlign w:val="bottom"/>
          </w:tcPr>
          <w:p>
            <w:pPr>
              <w:spacing w:after="0"/>
              <w:rPr>
                <w:sz w:val="1"/>
                <w:szCs w:val="1"/>
                <w:color w:val="auto"/>
              </w:rPr>
            </w:pPr>
          </w:p>
        </w:tc>
      </w:tr>
      <w:tr>
        <w:trPr>
          <w:trHeight w:val="202"/>
        </w:trPr>
        <w:tc>
          <w:tcPr>
            <w:tcW w:w="3280" w:type="dxa"/>
            <w:vAlign w:val="bottom"/>
          </w:tcPr>
          <w:p>
            <w:pPr>
              <w:ind w:left="360"/>
              <w:spacing w:after="0" w:line="201" w:lineRule="exact"/>
              <w:rPr>
                <w:sz w:val="20"/>
                <w:szCs w:val="20"/>
                <w:color w:val="auto"/>
              </w:rPr>
            </w:pPr>
            <w:r>
              <w:rPr>
                <w:rFonts w:ascii="Arial" w:cs="Arial" w:eastAsia="Arial" w:hAnsi="Arial"/>
                <w:sz w:val="18"/>
                <w:szCs w:val="18"/>
                <w:color w:val="auto"/>
              </w:rPr>
              <w:t>Sale of common shares to related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540"/>
              <w:spacing w:after="0"/>
              <w:rPr>
                <w:sz w:val="20"/>
                <w:szCs w:val="20"/>
                <w:color w:val="auto"/>
              </w:rPr>
            </w:pPr>
            <w:r>
              <w:rPr>
                <w:rFonts w:ascii="Arial" w:cs="Arial" w:eastAsia="Arial" w:hAnsi="Arial"/>
                <w:sz w:val="18"/>
                <w:szCs w:val="18"/>
                <w:color w:val="auto"/>
              </w:rPr>
              <w:t>parties and exercise of common</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540"/>
              <w:spacing w:after="0"/>
              <w:rPr>
                <w:sz w:val="20"/>
                <w:szCs w:val="20"/>
                <w:color w:val="auto"/>
              </w:rPr>
            </w:pPr>
            <w:r>
              <w:rPr>
                <w:rFonts w:ascii="Arial" w:cs="Arial" w:eastAsia="Arial" w:hAnsi="Arial"/>
                <w:sz w:val="18"/>
                <w:szCs w:val="18"/>
                <w:color w:val="auto"/>
              </w:rPr>
              <w:t>stock options, net of transaction</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40"/>
              <w:spacing w:after="0"/>
              <w:rPr>
                <w:sz w:val="20"/>
                <w:szCs w:val="20"/>
                <w:color w:val="auto"/>
              </w:rPr>
            </w:pPr>
            <w:r>
              <w:rPr>
                <w:rFonts w:ascii="Arial" w:cs="Arial" w:eastAsia="Arial" w:hAnsi="Arial"/>
                <w:sz w:val="18"/>
                <w:szCs w:val="18"/>
                <w:color w:val="auto"/>
              </w:rPr>
              <w:t>costs</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180,551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17,903</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17,903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options for services</w:t>
            </w: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11,250</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02"/>
        </w:trPr>
        <w:tc>
          <w:tcPr>
            <w:tcW w:w="3280" w:type="dxa"/>
            <w:vAlign w:val="bottom"/>
          </w:tcPr>
          <w:p>
            <w:pPr>
              <w:ind w:left="360"/>
              <w:spacing w:after="0" w:line="201" w:lineRule="exact"/>
              <w:rPr>
                <w:sz w:val="20"/>
                <w:szCs w:val="20"/>
                <w:color w:val="auto"/>
              </w:rPr>
            </w:pPr>
            <w:r>
              <w:rPr>
                <w:rFonts w:ascii="Arial" w:cs="Arial" w:eastAsia="Arial" w:hAnsi="Arial"/>
                <w:sz w:val="18"/>
                <w:szCs w:val="18"/>
                <w:color w:val="auto"/>
              </w:rPr>
              <w:t>Unrealized loss on marketable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40"/>
              <w:spacing w:after="0"/>
              <w:rPr>
                <w:sz w:val="20"/>
                <w:szCs w:val="20"/>
                <w:color w:val="auto"/>
              </w:rPr>
            </w:pPr>
            <w:r>
              <w:rPr>
                <w:rFonts w:ascii="Arial" w:cs="Arial" w:eastAsia="Arial" w:hAnsi="Arial"/>
                <w:sz w:val="18"/>
                <w:szCs w:val="18"/>
                <w:color w:val="auto"/>
              </w:rPr>
              <w:t>securities</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Hercules warrant</w:t>
            </w: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3280" w:type="dxa"/>
            <w:vAlign w:val="bottom"/>
          </w:tcPr>
          <w:p>
            <w:pPr>
              <w:ind w:left="720"/>
              <w:spacing w:after="0"/>
              <w:rPr>
                <w:sz w:val="20"/>
                <w:szCs w:val="20"/>
                <w:color w:val="auto"/>
              </w:rPr>
            </w:pPr>
            <w:r>
              <w:rPr>
                <w:rFonts w:ascii="Arial" w:cs="Arial" w:eastAsia="Arial" w:hAnsi="Arial"/>
                <w:sz w:val="18"/>
                <w:szCs w:val="18"/>
                <w:color w:val="auto"/>
              </w:rPr>
              <w:t>Net loss</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(76,896)</w:t>
            </w: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(76,896)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2,369,797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18,283,074</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2</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1,189,776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(1,039,556)</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360"/>
              <w:spacing w:after="0" w:line="201" w:lineRule="exact"/>
              <w:rPr>
                <w:sz w:val="20"/>
                <w:szCs w:val="20"/>
                <w:color w:val="auto"/>
              </w:rPr>
            </w:pPr>
            <w:r>
              <w:rPr>
                <w:rFonts w:ascii="Arial" w:cs="Arial" w:eastAsia="Arial" w:hAnsi="Arial"/>
                <w:sz w:val="18"/>
                <w:szCs w:val="18"/>
                <w:color w:val="auto"/>
                <w:w w:val="97"/>
              </w:rPr>
              <w:t>Issuance of common shares in equity</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540"/>
              <w:spacing w:after="0"/>
              <w:rPr>
                <w:sz w:val="20"/>
                <w:szCs w:val="20"/>
                <w:color w:val="auto"/>
              </w:rPr>
            </w:pPr>
            <w:r>
              <w:rPr>
                <w:rFonts w:ascii="Arial" w:cs="Arial" w:eastAsia="Arial" w:hAnsi="Arial"/>
                <w:sz w:val="18"/>
                <w:szCs w:val="18"/>
                <w:color w:val="auto"/>
              </w:rPr>
              <w:t>offering, excluding to related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40"/>
              <w:spacing w:after="0"/>
              <w:rPr>
                <w:sz w:val="20"/>
                <w:szCs w:val="20"/>
                <w:color w:val="auto"/>
              </w:rPr>
            </w:pPr>
            <w:r>
              <w:rPr>
                <w:rFonts w:ascii="Arial" w:cs="Arial" w:eastAsia="Arial" w:hAnsi="Arial"/>
                <w:sz w:val="18"/>
                <w:szCs w:val="18"/>
                <w:color w:val="auto"/>
              </w:rPr>
              <w:t>parties, net of transaction costs</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85,901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21,754</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21,754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Sale of common shares to related</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parties and exercise of common</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options, net of transaction</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costs</w:t>
            </w: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90,058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6,251</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02"/>
        </w:trPr>
        <w:tc>
          <w:tcPr>
            <w:tcW w:w="328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40"/>
              <w:spacing w:after="0"/>
              <w:rPr>
                <w:sz w:val="20"/>
                <w:szCs w:val="20"/>
                <w:color w:val="auto"/>
              </w:rPr>
            </w:pPr>
            <w:r>
              <w:rPr>
                <w:rFonts w:ascii="Arial" w:cs="Arial" w:eastAsia="Arial" w:hAnsi="Arial"/>
                <w:sz w:val="18"/>
                <w:szCs w:val="18"/>
                <w:color w:val="auto"/>
              </w:rPr>
              <w:t>stock options for services</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10,973</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loss on marketable</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w:t>
            </w: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Hercules warrant</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(85,800)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(85,800)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2,369,797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18,459,033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1,228,949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(1,125,356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17,103,395</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863,495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(667,310)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196,107</w:t>
            </w:r>
          </w:p>
        </w:tc>
        <w:tc>
          <w:tcPr>
            <w:tcW w:w="0" w:type="dxa"/>
            <w:vAlign w:val="bottom"/>
          </w:tcPr>
          <w:p>
            <w:pPr>
              <w:spacing w:after="0"/>
              <w:rPr>
                <w:sz w:val="1"/>
                <w:szCs w:val="1"/>
                <w:color w:val="auto"/>
              </w:rPr>
            </w:pPr>
          </w:p>
        </w:tc>
      </w:tr>
      <w:tr>
        <w:trPr>
          <w:trHeight w:val="202"/>
        </w:trPr>
        <w:tc>
          <w:tcPr>
            <w:tcW w:w="328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40"/>
              <w:spacing w:after="0"/>
              <w:rPr>
                <w:sz w:val="20"/>
                <w:szCs w:val="20"/>
                <w:color w:val="auto"/>
              </w:rPr>
            </w:pPr>
            <w:r>
              <w:rPr>
                <w:rFonts w:ascii="Arial" w:cs="Arial" w:eastAsia="Arial" w:hAnsi="Arial"/>
                <w:sz w:val="18"/>
                <w:szCs w:val="18"/>
                <w:color w:val="auto"/>
              </w:rPr>
              <w:t>stock options for services</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7,477</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loss on marketable</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w:t>
            </w: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32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(57,518)</w:t>
            </w: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(57,518)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1,969,797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17,103,395</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2</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870,972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(724,828)</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40"/>
              <w:spacing w:after="0"/>
              <w:rPr>
                <w:sz w:val="20"/>
                <w:szCs w:val="20"/>
                <w:color w:val="auto"/>
              </w:rPr>
            </w:pPr>
            <w:r>
              <w:rPr>
                <w:rFonts w:ascii="Arial" w:cs="Arial" w:eastAsia="Arial" w:hAnsi="Arial"/>
                <w:sz w:val="18"/>
                <w:szCs w:val="18"/>
                <w:color w:val="auto"/>
              </w:rPr>
              <w:t>stock options for services</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7,944</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7,944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loss on marketable</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w:t>
            </w: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Hercules warrant</w:t>
            </w:r>
          </w:p>
        </w:tc>
        <w:tc>
          <w:tcPr>
            <w:tcW w:w="9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(70,730)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(70,730)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1,969,797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17,103,395</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879,538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(795,558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702"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8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(162,696)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(128,248)</w:t>
            </w: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54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15,421</w:t>
            </w:r>
          </w:p>
        </w:tc>
      </w:tr>
      <w:tr>
        <w:trPr>
          <w:trHeight w:val="216"/>
        </w:trPr>
        <w:tc>
          <w:tcPr>
            <w:tcW w:w="8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r>
      <w:tr>
        <w:trPr>
          <w:trHeight w:val="216"/>
        </w:trPr>
        <w:tc>
          <w:tcPr>
            <w:tcW w:w="8720" w:type="dxa"/>
            <w:vAlign w:val="bottom"/>
          </w:tcPr>
          <w:p>
            <w:pPr>
              <w:ind w:left="540"/>
              <w:spacing w:after="0"/>
              <w:rPr>
                <w:sz w:val="20"/>
                <w:szCs w:val="20"/>
                <w:color w:val="auto"/>
              </w:rPr>
            </w:pPr>
            <w:r>
              <w:rPr>
                <w:rFonts w:ascii="Arial" w:cs="Arial" w:eastAsia="Arial" w:hAnsi="Arial"/>
                <w:sz w:val="18"/>
                <w:szCs w:val="18"/>
                <w:color w:val="auto"/>
              </w:rPr>
              <w:t>Amortization of debt issuance costs and discount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r>
      <w:tr>
        <w:trPr>
          <w:trHeight w:val="216"/>
        </w:trPr>
        <w:tc>
          <w:tcPr>
            <w:tcW w:w="8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90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(1,442)</w:t>
            </w:r>
          </w:p>
        </w:tc>
      </w:tr>
      <w:tr>
        <w:trPr>
          <w:trHeight w:val="216"/>
        </w:trPr>
        <w:tc>
          <w:tcPr>
            <w:tcW w:w="87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(10,086)</w:t>
            </w:r>
          </w:p>
        </w:tc>
      </w:tr>
      <w:tr>
        <w:trPr>
          <w:trHeight w:val="216"/>
        </w:trPr>
        <w:tc>
          <w:tcPr>
            <w:tcW w:w="8720" w:type="dxa"/>
            <w:vAlign w:val="bottom"/>
          </w:tcPr>
          <w:p>
            <w:pPr>
              <w:ind w:left="900"/>
              <w:spacing w:after="0"/>
              <w:rPr>
                <w:sz w:val="20"/>
                <w:szCs w:val="20"/>
                <w:color w:val="auto"/>
              </w:rPr>
            </w:pPr>
            <w:r>
              <w:rPr>
                <w:rFonts w:ascii="Arial" w:cs="Arial" w:eastAsia="Arial" w:hAnsi="Arial"/>
                <w:sz w:val="18"/>
                <w:szCs w:val="18"/>
                <w:color w:val="auto"/>
              </w:rPr>
              <w:t>Accrued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(9,700)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16,788</w:t>
            </w:r>
          </w:p>
        </w:tc>
      </w:tr>
      <w:tr>
        <w:trPr>
          <w:trHeight w:val="216"/>
        </w:trPr>
        <w:tc>
          <w:tcPr>
            <w:tcW w:w="87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30"/>
        </w:trPr>
        <w:tc>
          <w:tcPr>
            <w:tcW w:w="8720" w:type="dxa"/>
            <w:vAlign w:val="bottom"/>
          </w:tcPr>
          <w:p>
            <w:pPr>
              <w:ind w:left="126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(159,377)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(107,273)</w:t>
            </w:r>
          </w:p>
        </w:tc>
        <w:tc>
          <w:tcPr>
            <w:tcW w:w="1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540"/>
              <w:spacing w:after="0"/>
              <w:rPr>
                <w:sz w:val="20"/>
                <w:szCs w:val="20"/>
                <w:color w:val="auto"/>
              </w:rPr>
            </w:pPr>
            <w:r>
              <w:rPr>
                <w:rFonts w:ascii="Arial" w:cs="Arial" w:eastAsia="Arial" w:hAnsi="Arial"/>
                <w:sz w:val="18"/>
                <w:szCs w:val="18"/>
                <w:color w:val="auto"/>
              </w:rPr>
              <w:t>Purchases of marketable securities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(290,696)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(116,496)</w:t>
            </w:r>
          </w:p>
        </w:tc>
      </w:tr>
      <w:tr>
        <w:trPr>
          <w:trHeight w:val="216"/>
        </w:trPr>
        <w:tc>
          <w:tcPr>
            <w:tcW w:w="8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Sales and maturities of marketable securities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100,204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191,813</w:t>
            </w:r>
          </w:p>
        </w:tc>
      </w:tr>
      <w:tr>
        <w:trPr>
          <w:trHeight w:val="223"/>
        </w:trPr>
        <w:tc>
          <w:tcPr>
            <w:tcW w:w="8720" w:type="dxa"/>
            <w:vAlign w:val="bottom"/>
          </w:tcPr>
          <w:p>
            <w:pPr>
              <w:ind w:left="540"/>
              <w:spacing w:after="0"/>
              <w:rPr>
                <w:sz w:val="20"/>
                <w:szCs w:val="20"/>
                <w:color w:val="auto"/>
              </w:rPr>
            </w:pPr>
            <w:r>
              <w:rPr>
                <w:rFonts w:ascii="Arial" w:cs="Arial" w:eastAsia="Arial" w:hAnsi="Arial"/>
                <w:sz w:val="18"/>
                <w:szCs w:val="18"/>
                <w:color w:val="auto"/>
              </w:rPr>
              <w:t>Purchases of property and equipment, net of disposals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87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(190,596)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75,162</w:t>
            </w:r>
          </w:p>
        </w:tc>
        <w:tc>
          <w:tcPr>
            <w:tcW w:w="120" w:type="dxa"/>
            <w:vAlign w:val="bottom"/>
            <w:shd w:val="clear" w:color="auto" w:fill="CCEEFF"/>
          </w:tcPr>
          <w:p>
            <w:pPr>
              <w:spacing w:after="0"/>
              <w:rPr>
                <w:sz w:val="18"/>
                <w:szCs w:val="18"/>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from issuances of stock, excluding related parties, net of transaction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ind w:left="540"/>
              <w:spacing w:after="0"/>
              <w:rPr>
                <w:sz w:val="20"/>
                <w:szCs w:val="20"/>
                <w:color w:val="auto"/>
              </w:rPr>
            </w:pPr>
            <w:r>
              <w:rPr>
                <w:rFonts w:ascii="Arial" w:cs="Arial" w:eastAsia="Arial" w:hAnsi="Arial"/>
                <w:sz w:val="18"/>
                <w:szCs w:val="18"/>
                <w:color w:val="auto"/>
                <w:w w:val="94"/>
              </w:rPr>
              <w:t>Proceeds from the sale of related party stock and exercise of common stock options, net of transaction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24,154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from issuance of loan payable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r>
      <w:tr>
        <w:trPr>
          <w:trHeight w:val="223"/>
        </w:trPr>
        <w:tc>
          <w:tcPr>
            <w:tcW w:w="8720" w:type="dxa"/>
            <w:vAlign w:val="bottom"/>
          </w:tcPr>
          <w:p>
            <w:pPr>
              <w:ind w:left="540"/>
              <w:spacing w:after="0"/>
              <w:rPr>
                <w:sz w:val="20"/>
                <w:szCs w:val="20"/>
                <w:color w:val="auto"/>
              </w:rPr>
            </w:pPr>
            <w:r>
              <w:rPr>
                <w:rFonts w:ascii="Arial" w:cs="Arial" w:eastAsia="Arial" w:hAnsi="Arial"/>
                <w:sz w:val="18"/>
                <w:szCs w:val="18"/>
                <w:color w:val="auto"/>
              </w:rPr>
              <w:t>Payment of debt issuance costs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(886)</w:t>
            </w:r>
          </w:p>
        </w:tc>
      </w:tr>
      <w:tr>
        <w:trPr>
          <w:trHeight w:val="216"/>
        </w:trPr>
        <w:tc>
          <w:tcPr>
            <w:tcW w:w="87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49,114</w:t>
            </w:r>
          </w:p>
        </w:tc>
        <w:tc>
          <w:tcPr>
            <w:tcW w:w="120" w:type="dxa"/>
            <w:vAlign w:val="bottom"/>
            <w:shd w:val="clear" w:color="auto" w:fill="CCEEFF"/>
          </w:tcPr>
          <w:p>
            <w:pPr>
              <w:spacing w:after="0"/>
              <w:rPr>
                <w:sz w:val="18"/>
                <w:szCs w:val="18"/>
                <w:color w:val="auto"/>
              </w:rPr>
            </w:pPr>
          </w:p>
        </w:tc>
      </w:tr>
      <w:tr>
        <w:trPr>
          <w:trHeight w:val="223"/>
        </w:trPr>
        <w:tc>
          <w:tcPr>
            <w:tcW w:w="8720" w:type="dxa"/>
            <w:vAlign w:val="bottom"/>
          </w:tcPr>
          <w:p>
            <w:pPr>
              <w:ind w:left="1440"/>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(254,353)</w:t>
            </w: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17,003</w:t>
            </w:r>
          </w:p>
        </w:tc>
        <w:tc>
          <w:tcPr>
            <w:tcW w:w="12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331,549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36,269</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77,196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53,272</w:t>
            </w:r>
          </w:p>
        </w:tc>
        <w:tc>
          <w:tcPr>
            <w:tcW w:w="12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720" w:type="dxa"/>
            <w:vAlign w:val="bottom"/>
          </w:tcPr>
          <w:p>
            <w:pPr>
              <w:ind w:left="540"/>
              <w:spacing w:after="0"/>
              <w:rPr>
                <w:sz w:val="20"/>
                <w:szCs w:val="20"/>
                <w:color w:val="auto"/>
              </w:rPr>
            </w:pPr>
            <w:r>
              <w:rPr>
                <w:rFonts w:ascii="Arial" w:cs="Arial" w:eastAsia="Arial" w:hAnsi="Arial"/>
                <w:sz w:val="18"/>
                <w:szCs w:val="18"/>
                <w:color w:val="auto"/>
              </w:rPr>
              <w:t>Obtaining a right-of-use asset in exchange for a lease liability</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583</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702"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left="420" w:right="2580"/>
        <w:spacing w:after="0" w:line="260"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7" w:lineRule="exact"/>
        <w:rPr>
          <w:sz w:val="20"/>
          <w:szCs w:val="20"/>
          <w:color w:val="auto"/>
        </w:rPr>
      </w:pPr>
    </w:p>
    <w:p>
      <w:pPr>
        <w:ind w:left="120" w:right="7040" w:hanging="4"/>
        <w:spacing w:after="0" w:line="377"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Madrigal Pharmaceuticals, Inc. (the “Company” or “Madrigal”) is a clinical-stage pharmaceutical company developing novel, high-quality, small-molecule drugs addressing major unmet needs in cardiovascular, metabolic, and liver diseases. The Company’s lead compound,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that are ongoing. The Company announced certain topline results from the MAESTRO-NAFLD-1 safety study of resmetirom in January 2022 and the MAESTRO-NASH study in December 2022. In August 2022, Madrigal initiated a third study, MAESTRO-NASH-OUTCOMES.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2023 or any subsequent period. These unaudited condensed consolidated financial statements should be read in conjunction with the audited consolidated financial statements and the notes to those statements for the year ended December 31, 2022.</w:t>
      </w:r>
    </w:p>
    <w:p>
      <w:pPr>
        <w:spacing w:after="0" w:line="282" w:lineRule="exact"/>
        <w:rPr>
          <w:sz w:val="20"/>
          <w:szCs w:val="20"/>
          <w:color w:val="auto"/>
        </w:rPr>
      </w:pPr>
    </w:p>
    <w:p>
      <w:pPr>
        <w:ind w:left="120" w:right="7480" w:hanging="4"/>
        <w:spacing w:after="0" w:line="377"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2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702"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six months ended June 30, 2023 and 2022, the Company determined it did not have any securities that were other-than-temporarily impaired.</w:t>
      </w:r>
    </w:p>
    <w:p>
      <w:pPr>
        <w:spacing w:after="0" w:line="177"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six months ended June 30, 2023 and 2022, the Company did not have any realized gains or losses on marketable securities.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 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As of June 30, 2023,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six months ended June 30, 2023 and 2022, the Company did not have any transfers of financial assets between Levels 1 and 2. As of June 30, 2023 and December 31, 2022, the Company did not have any financial liabilities that were recorded at fair value on a recurring basis on the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702"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0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and restricted stock units granted to employees, officers, and directors. Awards that vest as the recipient provides service are expensed on a straight-line basis over the requisite service period. 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six months ended June 30, 2023 and 2022,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 The following table summarizes outstanding securities not included in the computation of diluted net loss per common share, as their inclusion would be anti-dilutive:</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65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2,583,540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2,976,545</w:t>
            </w:r>
          </w:p>
        </w:tc>
        <w:tc>
          <w:tcPr>
            <w:tcW w:w="4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222,300</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2,369,797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1,969,797</w:t>
            </w:r>
          </w:p>
        </w:tc>
        <w:tc>
          <w:tcPr>
            <w:tcW w:w="40" w:type="dxa"/>
            <w:vAlign w:val="bottom"/>
            <w:shd w:val="clear" w:color="auto" w:fill="CCEE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Warrants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18,403</w:t>
            </w:r>
          </w:p>
        </w:tc>
        <w:tc>
          <w:tcPr>
            <w:tcW w:w="780" w:type="dxa"/>
            <w:vAlign w:val="bottom"/>
          </w:tcPr>
          <w:p>
            <w:pPr>
              <w:jc w:val="right"/>
              <w:spacing w:after="0"/>
              <w:rPr>
                <w:sz w:val="20"/>
                <w:szCs w:val="20"/>
                <w:color w:val="auto"/>
              </w:rPr>
            </w:pPr>
            <w:r>
              <w:rPr>
                <w:rFonts w:ascii="Arial" w:cs="Arial" w:eastAsia="Arial" w:hAnsi="Arial"/>
                <w:sz w:val="18"/>
                <w:szCs w:val="18"/>
                <w:color w:val="auto"/>
              </w:rPr>
              <w:t>14,899</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(FDA) and other government regulations.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702"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9" w:lineRule="auto"/>
        <w:rPr>
          <w:sz w:val="20"/>
          <w:szCs w:val="20"/>
          <w:color w:val="auto"/>
        </w:rPr>
      </w:pPr>
      <w:r>
        <w:rPr>
          <w:rFonts w:ascii="Arial" w:cs="Arial" w:eastAsia="Arial" w:hAnsi="Arial"/>
          <w:sz w:val="16"/>
          <w:szCs w:val="16"/>
          <w:color w:val="auto"/>
        </w:rPr>
        <w:t>The Company has incurred losses since inception, including approximately $162.7 million for the six months ended June 30, 2023, resulting in an accumulated deficit of approximately $1,125 million as of June 30, 2023. Management expects to incur losses for the foreseeable future. To date, the Company has funded its operations primarily through proceeds from sales of the Company’s capital stock and debt financings. The Company believes that its cash, cash equivalents and marketable securities at June 30, 2023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June 30, 2023 and December 31, 2022 is as follows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621"/>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280" w:type="dxa"/>
            <w:vAlign w:val="bottom"/>
            <w:gridSpan w:val="5"/>
          </w:tcPr>
          <w:p>
            <w:pPr>
              <w:ind w:left="400"/>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341"/>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(Level 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8,185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69,011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Total cash and cash equivalents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77,196</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144,036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1"/>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government and government sponsored entities due within 1 year of date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jc w:val="right"/>
              <w:ind w:right="4290"/>
              <w:spacing w:after="0"/>
              <w:rPr>
                <w:sz w:val="20"/>
                <w:szCs w:val="20"/>
                <w:color w:val="auto"/>
              </w:rPr>
            </w:pPr>
            <w:r>
              <w:rPr>
                <w:rFonts w:ascii="Arial" w:cs="Arial" w:eastAsia="Arial" w:hAnsi="Arial"/>
                <w:sz w:val="18"/>
                <w:szCs w:val="18"/>
                <w:color w:val="auto"/>
                <w:w w:val="99"/>
              </w:rPr>
              <w:t>of purchase (Level 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77,275</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77,278</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298,507</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298,418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481"/>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280" w:type="dxa"/>
            <w:vAlign w:val="bottom"/>
            <w:gridSpan w:val="5"/>
          </w:tcPr>
          <w:p>
            <w:pPr>
              <w:ind w:left="400"/>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341"/>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(Level 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15,100</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316,449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316,449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Total cash and cash equivalents</w:t>
            </w: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331,549</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331,549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27,257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21"/>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$ 358,806</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358,774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jc w:val="right"/>
              <w:ind w:right="850"/>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702"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Liabilities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as of June 30, 2023 and December 31, 2022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June 30,</w:t>
            </w:r>
          </w:p>
        </w:tc>
        <w:tc>
          <w:tcPr>
            <w:tcW w:w="1320" w:type="dxa"/>
            <w:vAlign w:val="bottom"/>
            <w:gridSpan w:val="4"/>
          </w:tcPr>
          <w:p>
            <w:pPr>
              <w:ind w:left="44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$ 58,050</w:t>
            </w: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clinical study related costs</w:t>
            </w:r>
          </w:p>
        </w:tc>
        <w:tc>
          <w:tcPr>
            <w:tcW w:w="620" w:type="dxa"/>
            <w:vAlign w:val="bottom"/>
          </w:tcPr>
          <w:p>
            <w:pPr>
              <w:jc w:val="right"/>
              <w:spacing w:after="0"/>
              <w:rPr>
                <w:sz w:val="20"/>
                <w:szCs w:val="20"/>
                <w:color w:val="auto"/>
              </w:rPr>
            </w:pPr>
            <w:r>
              <w:rPr>
                <w:rFonts w:ascii="Arial" w:cs="Arial" w:eastAsia="Arial" w:hAnsi="Arial"/>
                <w:sz w:val="18"/>
                <w:szCs w:val="18"/>
                <w:color w:val="auto"/>
              </w:rPr>
              <w:t>3,605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and drug supply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620" w:type="dxa"/>
            <w:vAlign w:val="bottom"/>
          </w:tcPr>
          <w:p>
            <w:pPr>
              <w:jc w:val="right"/>
              <w:spacing w:after="0"/>
              <w:rPr>
                <w:sz w:val="20"/>
                <w:szCs w:val="20"/>
                <w:color w:val="auto"/>
              </w:rPr>
            </w:pPr>
            <w:r>
              <w:rPr>
                <w:rFonts w:ascii="Arial" w:cs="Arial" w:eastAsia="Arial" w:hAnsi="Arial"/>
                <w:sz w:val="18"/>
                <w:szCs w:val="18"/>
                <w:color w:val="auto"/>
              </w:rPr>
              <w:t>5,453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14,864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$ 81,761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Long Term Debt</w:t>
      </w:r>
    </w:p>
    <w:p>
      <w:pPr>
        <w:spacing w:after="0" w:line="12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May 2022 the Company and its wholly-owned subsidiary, Canticle Pharmaceuticals, Inc., entered into the $250.0 million Loan Facility with the several banks and other financial 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also could draw up to an additional $125.0 million in two separate tranches upon achievement of certain resmetirom clinical and regulatory milestones. A fourth tranche of $75.0 million could be drawn by the Company, subject to the approval of Hercules. The Loan Facility had a minimum interest rate of 7.45% and adjusts with changes in the prime rate. The Company will pay interest-only monthly payments of accrued interest under the Loan Facility for a period of 30 months, which period may be extended to 36, 48, and 60 months upon the successive achievement of certain clinical and regulatory milestones and if the Company maintains compliance with applicable covenants. The Loan Facility matures in May 2026 and may be extended an additional year upon the achievement of certain clinical and regulatory milestones.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w:t>
      </w:r>
    </w:p>
    <w:p>
      <w:pPr>
        <w:spacing w:after="0" w:line="186"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On February 3, 2023, the Company entered into the First Amendment (the “Amendment”) to the Loan Facility (as amended, the “Amended Loan Facility”). Under the Amended Loan Facility, an additional $35.0 million was drawn under a second, expanded, $65.0 million tranche (“Tranche 2”) in February of 2023 following the Company’s achievement of the Phase 3 clinical development milestone. An additional $15.0 million was drawn under Tranche 2 in June of 2023. The Company has the ability to draw the remaining $15.0 million available under Tranche 2 by September 30, 2023 in accordance with the Amended Loan Facility. The third tranche (“Tranche 3”) of $75.0 million remains unchanged by the Amendment, and such borrowings are available subject to the Company obtaining a certain FDA approval for resmetirom. Coincident with the expansion of Tranche 2 borrowing capacity by $15 million, the Amendment reduced the fourth tranche under the Loan Facility (“Tranche 4”) by $15.0 million to $60.0 million , which amount is available subject to Hercules’ sole discretion. In connection with the $35.0 million drawn under Tranche 2 at the closing of the Amendment and $15.0 million drawn in June of 2023, the Company issued to Hercules and affiliates Tranche 2 Warrants to purchase 3,504 shares of common stock, which had a Black-Scholes value of $0.7 million. The Amendment reduced the interest rate under the Amended Loan Facility to the greater of (i) the prime rate as reported in The Wall Street Journal plus 2.45% and (ii) 8.25%. The Amendment and the Amended Loan Facility summary terms were disclosed in the Company’s Current Report on Form 8-K filed with the Securities and Exchange Commission on February 9, 2023.</w:t>
      </w:r>
    </w:p>
    <w:p>
      <w:pPr>
        <w:spacing w:after="0" w:line="168"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The Loan Facility includes affirmative and restrictive financial covenants commencing on January 1, 2023, including maintenance of a minimum cash, cash equivalents and liquid funds covenant of $35.0 million, which may decrease in certain circumstances if the Company achieves certain clinical milestones and a revenue milestone, and a revenue-based covenant that could apply commencing at or after the time that financial reporting is due for the quarter ending September 30, 2024.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 clinical milestone or approval milestone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702"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As of June 30, 2023, the outstanding principal under the Loan Facility was $100.0 million. The interest rate as of June 30, 2023 was 10.70%. As of June 30, 2023, the Company was in compliance with all loan covenants and provisions.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Future minimum payments, including interest and principal, under the loans payable outstanding as of June 30, 2023 are as follows (in thousands):</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Period Ending June 30, 2023:</w:t>
            </w:r>
          </w:p>
        </w:tc>
        <w:tc>
          <w:tcPr>
            <w:tcW w:w="20" w:type="dxa"/>
            <w:vAlign w:val="bottom"/>
          </w:tcPr>
          <w:p>
            <w:pPr>
              <w:spacing w:after="0"/>
              <w:rPr>
                <w:sz w:val="15"/>
                <w:szCs w:val="15"/>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r>
      <w:tr>
        <w:trPr>
          <w:trHeight w:val="20"/>
        </w:trPr>
        <w:tc>
          <w:tcPr>
            <w:tcW w:w="18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18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w w:val="91"/>
              </w:rPr>
              <w:t>2023 (remaining six</w:t>
            </w:r>
          </w:p>
        </w:tc>
        <w:tc>
          <w:tcPr>
            <w:tcW w:w="48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months)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5,372</w:t>
            </w:r>
          </w:p>
        </w:tc>
        <w:tc>
          <w:tcPr>
            <w:tcW w:w="100" w:type="dxa"/>
            <w:vAlign w:val="bottom"/>
            <w:shd w:val="clear" w:color="auto" w:fill="CCEEFF"/>
          </w:tcPr>
          <w:p>
            <w:pPr>
              <w:spacing w:after="0"/>
              <w:rPr>
                <w:sz w:val="17"/>
                <w:szCs w:val="17"/>
                <w:color w:val="auto"/>
              </w:rPr>
            </w:pPr>
          </w:p>
        </w:tc>
      </w:tr>
      <w:tr>
        <w:trPr>
          <w:trHeight w:val="216"/>
        </w:trPr>
        <w:tc>
          <w:tcPr>
            <w:tcW w:w="1820" w:type="dxa"/>
            <w:vAlign w:val="bottom"/>
          </w:tcPr>
          <w:p>
            <w:pPr>
              <w:ind w:left="360"/>
              <w:spacing w:after="0"/>
              <w:rPr>
                <w:sz w:val="20"/>
                <w:szCs w:val="20"/>
                <w:color w:val="auto"/>
              </w:rPr>
            </w:pPr>
            <w:r>
              <w:rPr>
                <w:rFonts w:ascii="Arial" w:cs="Arial" w:eastAsia="Arial" w:hAnsi="Arial"/>
                <w:sz w:val="18"/>
                <w:szCs w:val="18"/>
                <w:color w:val="auto"/>
              </w:rPr>
              <w:t>2024</w:t>
            </w: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4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69,044</w:t>
            </w:r>
          </w:p>
        </w:tc>
        <w:tc>
          <w:tcPr>
            <w:tcW w:w="100" w:type="dxa"/>
            <w:vAlign w:val="bottom"/>
            <w:shd w:val="clear" w:color="auto" w:fill="CCEEFF"/>
          </w:tcPr>
          <w:p>
            <w:pPr>
              <w:spacing w:after="0"/>
              <w:rPr>
                <w:sz w:val="18"/>
                <w:szCs w:val="18"/>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46,363</w:t>
            </w:r>
          </w:p>
        </w:tc>
        <w:tc>
          <w:tcPr>
            <w:tcW w:w="100" w:type="dxa"/>
            <w:vAlign w:val="bottom"/>
          </w:tcPr>
          <w:p>
            <w:pPr>
              <w:spacing w:after="0"/>
              <w:rPr>
                <w:sz w:val="19"/>
                <w:szCs w:val="19"/>
                <w:color w:val="auto"/>
              </w:rPr>
            </w:pPr>
          </w:p>
        </w:tc>
      </w:tr>
      <w:tr>
        <w:trPr>
          <w:trHeight w:val="216"/>
        </w:trPr>
        <w:tc>
          <w:tcPr>
            <w:tcW w:w="18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131,657</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Less amount representing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(26,307)</w:t>
            </w: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(6,101)</w:t>
            </w: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Loans payable, net of discount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99,249</w:t>
            </w:r>
          </w:p>
        </w:tc>
        <w:tc>
          <w:tcPr>
            <w:tcW w:w="100" w:type="dxa"/>
            <w:vAlign w:val="bottom"/>
          </w:tcPr>
          <w:p>
            <w:pPr>
              <w:spacing w:after="0"/>
              <w:rPr>
                <w:sz w:val="19"/>
                <w:szCs w:val="19"/>
                <w:color w:val="auto"/>
              </w:rPr>
            </w:pPr>
          </w:p>
        </w:tc>
      </w:tr>
      <w:tr>
        <w:trPr>
          <w:trHeight w:val="20"/>
        </w:trPr>
        <w:tc>
          <w:tcPr>
            <w:tcW w:w="1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9200" w:hanging="4"/>
        <w:spacing w:after="0" w:line="425" w:lineRule="auto"/>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ind w:left="120" w:right="140"/>
        <w:spacing w:after="0" w:line="259"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Company has never declared cash dividends on its common stock and does not expect to do so in the foreseeable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Series A and B Preferred Stock have a par value of $0.0001 per share and are convertible into shares of the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2022 Registered Direct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December 2022, the Company entered into a Securities Purchase Agreement (the “Purchase Agreement”) with a group of institutional accredited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investors, who were existing, non-controlling stockholders of the Company, pursuant to which the Company sold securities to the Investors in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offering that was registered under the Company’s existing shelf registration statement (the “2022 Registered Direct Offering”). Under the terms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Agreement, the Company sold 44,444 shares of its common stock at a price of $225 per share, and 400,000 shares of its Series B Convertible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Preferred Stock at a price of $225 per share. The 2022 Registered Direct Offering resulted in gross proceeds to the Company of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million, and net proceeds to the Company of approximately $99.5 million. The 2022 Registered Direct Offering closed on December 23, 2022.</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702"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At-The-Market Issuance Sales Agreement</w:t>
      </w:r>
    </w:p>
    <w:p>
      <w:pPr>
        <w:spacing w:after="0" w:line="103"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In June 2021, the Company entered into an at-the-market sales agreement (the “2021 Sales Agreement”) with Cowen and Company, LLC (“Cowen”), pursuant to which the Company could, from time to time, issue and sell shares of its common stock. The 2021 Sales Agreement initially authorized an aggregate offering of up to $200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w:t>
      </w:r>
    </w:p>
    <w:p>
      <w:pPr>
        <w:spacing w:after="0" w:line="17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 December 2022, the Company sold 738,900 shares of common stock under the 2021 Sales Agreement for an aggregate of $159.1 million in gross proceeds, with net proceeds to the Company of $155.9 million after deducting commissions and other transaction costs. In total, under the 2021 Sales Agreement the Company sold 1,235,943 shares for an aggregate of $199.9 million in gross proceeds, with net proceeds to the Company of approximately $195.8 million after deducting commissions and other transaction costs through December 31, 2022. Of those shares sold, 738,900 were sold in 2022, and 497,043 were sold in 2021. All shares were sold pursuant to the Company’s effective shelf registration statement on Form S-3 (the “Registration Statement”) and the prospectus supplement relating thereto. As of June 30, 2023, no amounts remained reserved and available for sale under the 2021 Sales Agreement and the related prospectus supplement.</w:t>
      </w:r>
    </w:p>
    <w:p>
      <w:pPr>
        <w:spacing w:after="0" w:line="17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May 2023, the Company amended the 2021 Agreement (the “Sales Agreement Amendment”), with Cowen, pursuant to which the Company may, from time to time, issue and sell in additional $200 million in shares of its common stock. The Company is not obligated to make any sales of its common stock under this arrangement. Any shares sold will be sold pursuant to the Company’s effective Registration Statement on Form S-3 (the “Registration Statement”) and prospectus supplement filed pursuant to the Registration Statement. The Sales Agreement Amendment authorizes sales of shares of our common stock, from time to time, at the Company’s option, through Cowen as its sales agent. Sales of common stock through Cowen may be made by any method that is deemed an “at-the-market” offering as defined in Rule 415 promulgated under the Securities Act of 1933, as amended, and as described in the prospectus supplement. In total, under the Sales Agreement Amendment, the Company sold 85,901 shares for an aggregate of $22.4 million in gross proceeds, with net proceeds to the Company of approximately $21.8 million after deducting commissions and other transaction costs. All shares were sold pursuant to the Company’s effective Registration Statement and the prospectus supplement relating thereto. As of June 30, 2023, $177.6 million remained reserved and available for sale under the 2023 Sales Agreement Amendment and the Company’s related prospectus supplement.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2015 Stock Plan, as amended, is our primary equity incentive compensation plan through which equity based grants are awarded.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2015 Stock Plan provides for the grant of incentive stock options, non-statutory stock options, restricted stock, restricted stock units and other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based compensation awards to employees, officers, directors, and consultants of the Company. The administration of the 2015 Stock Plan is 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general supervision of the Compensation Committee of the Board of Directors. The terms of stock options awarded under the 2015 Stock Plan,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are determined by the Compensation Committee, provided the exercise price per share generally shall not be set at less than the fair market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value of a share of the common stock on the date of grant and the term shall not be greater than ten years from the date the option is granted.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2023, the Company had restricted stock units and options outstanding to purchase an aggregate of 2,805,840 shares of its common stock, which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includes options outstanding under its prior incentive compensation plan, the 2006 Stock Plan. As of June 30, 2023, 670,634 shares were available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issuance under the 2015 Stock Plan.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during the six months ended June 30, 2023:</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gridSpan w:val="2"/>
            <w:vMerge w:val="restart"/>
          </w:tcPr>
          <w:p>
            <w:pPr>
              <w:spacing w:after="0"/>
              <w:rPr>
                <w:sz w:val="12"/>
                <w:szCs w:val="12"/>
                <w:color w:val="auto"/>
              </w:rPr>
            </w:pPr>
          </w:p>
        </w:tc>
        <w:tc>
          <w:tcPr>
            <w:tcW w:w="12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price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3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2,857,054</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Options granted</w:t>
            </w:r>
          </w:p>
        </w:tc>
        <w:tc>
          <w:tcPr>
            <w:tcW w:w="3680" w:type="dxa"/>
            <w:vAlign w:val="bottom"/>
            <w:gridSpan w:val="3"/>
          </w:tcPr>
          <w:p>
            <w:pPr>
              <w:jc w:val="right"/>
              <w:spacing w:after="0"/>
              <w:rPr>
                <w:sz w:val="20"/>
                <w:szCs w:val="20"/>
                <w:color w:val="auto"/>
              </w:rPr>
            </w:pPr>
            <w:r>
              <w:rPr>
                <w:rFonts w:ascii="Arial" w:cs="Arial" w:eastAsia="Arial" w:hAnsi="Arial"/>
                <w:sz w:val="18"/>
                <w:szCs w:val="18"/>
                <w:color w:val="auto"/>
              </w:rPr>
              <w:t>5,205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3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(270,609)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Options cancelled</w:t>
            </w:r>
          </w:p>
        </w:tc>
        <w:tc>
          <w:tcPr>
            <w:tcW w:w="3940" w:type="dxa"/>
            <w:vAlign w:val="bottom"/>
            <w:gridSpan w:val="4"/>
          </w:tcPr>
          <w:p>
            <w:pPr>
              <w:jc w:val="right"/>
              <w:ind w:right="200"/>
              <w:spacing w:after="0"/>
              <w:rPr>
                <w:sz w:val="20"/>
                <w:szCs w:val="20"/>
                <w:color w:val="auto"/>
              </w:rPr>
            </w:pPr>
            <w:r>
              <w:rPr>
                <w:rFonts w:ascii="Arial" w:cs="Arial" w:eastAsia="Arial" w:hAnsi="Arial"/>
                <w:sz w:val="18"/>
                <w:szCs w:val="18"/>
                <w:color w:val="auto"/>
              </w:rPr>
              <w:t>(8,110)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2023</w:t>
            </w:r>
          </w:p>
        </w:tc>
        <w:tc>
          <w:tcPr>
            <w:tcW w:w="2920" w:type="dxa"/>
            <w:vAlign w:val="bottom"/>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2,583,540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2023</w:t>
            </w:r>
          </w:p>
        </w:tc>
        <w:tc>
          <w:tcPr>
            <w:tcW w:w="2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60" w:type="dxa"/>
            <w:vAlign w:val="bottom"/>
            <w:gridSpan w:val="2"/>
            <w:vMerge w:val="continue"/>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1,719,944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920" w:type="dxa"/>
            <w:vAlign w:val="bottom"/>
          </w:tcPr>
          <w:p>
            <w:pPr>
              <w:jc w:val="right"/>
              <w:ind w:right="171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702"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total cash received by the Company as a result of stock option exercises was $21.8 million and $0 million, respectively, for the six months ended June 30, 2023 and 2022. The total intrinsic value of options exercised was $48.9 million and $0 million, respectively, for the six months ended June 30, 2023 and 2022. The weighted-average grant date fair values, based on the Black-Scholes option model, of options granted during the six months ended June 30, 2023 and 2022 were $219.02 and $55.84,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jc w:val="both"/>
        <w:ind w:left="120" w:right="360"/>
        <w:spacing w:after="0" w:line="311" w:lineRule="auto"/>
        <w:rPr>
          <w:sz w:val="20"/>
          <w:szCs w:val="20"/>
          <w:color w:val="auto"/>
        </w:rPr>
      </w:pPr>
      <w:r>
        <w:rPr>
          <w:rFonts w:ascii="Arial" w:cs="Arial" w:eastAsia="Arial" w:hAnsi="Arial"/>
          <w:sz w:val="16"/>
          <w:szCs w:val="16"/>
          <w:color w:val="auto"/>
        </w:rPr>
        <w:t>The Company’s share-based compensation plan provides for awards of restricted stock units to employees, officers, directors and consultants to the Company. Restricted stock units vest over the service period, and are subject to forfeiture if employment or service terminates before vesting. As of June 30, 2023, the Company had 222,300 restricted stock units outstanding, with a weighted average grant date fair value of $294.19 per unit.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during the six months ended June 30, 2023 and 2022 was as follows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Three Months Ended June 30,</w:t>
            </w:r>
          </w:p>
        </w:tc>
        <w:tc>
          <w:tcPr>
            <w:tcW w:w="18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5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7,431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7,944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16,029</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15,421</w:t>
            </w: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22,223</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15,421</w:t>
            </w:r>
          </w:p>
        </w:tc>
        <w:tc>
          <w:tcPr>
            <w:tcW w:w="4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5,184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10,570</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6,488</w:t>
            </w:r>
          </w:p>
        </w:tc>
        <w:tc>
          <w:tcPr>
            <w:tcW w:w="40" w:type="dxa"/>
            <w:vAlign w:val="bottom"/>
          </w:tcPr>
          <w:p>
            <w:pPr>
              <w:spacing w:after="0"/>
              <w:rPr>
                <w:sz w:val="18"/>
                <w:szCs w:val="18"/>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40" w:type="dxa"/>
            <w:vAlign w:val="bottom"/>
            <w:shd w:val="clear" w:color="auto" w:fill="CCEEFF"/>
          </w:tcPr>
          <w:p>
            <w:pPr>
              <w:spacing w:after="0"/>
              <w:rPr>
                <w:sz w:val="18"/>
                <w:szCs w:val="18"/>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22,223</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15,421</w:t>
            </w:r>
          </w:p>
        </w:tc>
        <w:tc>
          <w:tcPr>
            <w:tcW w:w="4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Unrecognized stock-based compensation expense as of June 30, 2023 was $98.2 million with a weighted average remaining period of 2.90 years.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agreement requires future milestone payments to Roche. Remaining milestones under the agreement total $8 million and are payable upon Madrigal achieving specified objectives related to future regulatory approval in the United States and Europe of resmetirom or a product developed from resmetirom. Furthermore, a tiered single-digit royalty is payable on net sales of resmetirom or a product developed from resmetirom, subject to certain reductions. The Company has not achieved any additional product development or regulatory milestones and had no Licensed Product sales for the six months ended June 30, 2023 and 2022.</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has entered into customary contractual arrangements and letters of intent in preparation for and in support of the clinical trials.</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END OF FINANCIAL STATEMENTS **********</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702"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“believes,” “can,” “continue,” “confidence,” “could,” “demonstrates,” “design,” “estimates,” “expectation,” “expects,” “forecasts,” “future,” “goal,” “help,” “hopeful,” “inform,” “informed,” “intends,” “may,” “might,” “on track,” “planned,” “planning,” “plans,” “positions,” “potential,” “powers,” “predicts,” ”predictive,” “projects,” “seeks,” “should,” “will,” “will achieve,” “will be,” “would” or similar expressions and the negatives of those terms. In particular, forward-looking statements contained in or incorporated by reference to this Quarterly Report relate to, among other things,</w:t>
      </w:r>
    </w:p>
    <w:p>
      <w:pPr>
        <w:spacing w:after="0" w:line="102" w:lineRule="exact"/>
        <w:rPr>
          <w:sz w:val="20"/>
          <w:szCs w:val="20"/>
          <w:color w:val="auto"/>
        </w:rPr>
      </w:pPr>
    </w:p>
    <w:p>
      <w:pPr>
        <w:ind w:left="1420" w:right="260" w:hanging="433"/>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or estimated future results, including the risks and uncertainties associated with our future operating performance and financial position;</w:t>
      </w:r>
    </w:p>
    <w:p>
      <w:pPr>
        <w:spacing w:after="0" w:line="75" w:lineRule="exact"/>
        <w:rPr>
          <w:rFonts w:ascii="Arial" w:cs="Arial" w:eastAsia="Arial" w:hAnsi="Arial"/>
          <w:sz w:val="18"/>
          <w:szCs w:val="18"/>
          <w:color w:val="auto"/>
        </w:rPr>
      </w:pPr>
    </w:p>
    <w:p>
      <w:pPr>
        <w:ind w:left="1420" w:right="320" w:hanging="433"/>
        <w:spacing w:after="0" w:line="279" w:lineRule="auto"/>
        <w:tabs>
          <w:tab w:leader="none" w:pos="1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possible or assumed future results of operations and expenses, business strategies and plans (including ex-U.S. launch/partnering plans),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w:t>
      </w:r>
    </w:p>
    <w:p>
      <w:pPr>
        <w:spacing w:after="0" w:line="76" w:lineRule="exact"/>
        <w:rPr>
          <w:rFonts w:ascii="Arial" w:cs="Arial" w:eastAsia="Arial" w:hAnsi="Arial"/>
          <w:sz w:val="17"/>
          <w:szCs w:val="17"/>
          <w:color w:val="auto"/>
        </w:rPr>
      </w:pPr>
    </w:p>
    <w:p>
      <w:pPr>
        <w:ind w:left="1420" w:hanging="433"/>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delay certain research activities and related clinical expenses as necessary;</w:t>
      </w:r>
    </w:p>
    <w:p>
      <w:pPr>
        <w:spacing w:after="0" w:line="130" w:lineRule="exact"/>
        <w:rPr>
          <w:rFonts w:ascii="Arial" w:cs="Arial" w:eastAsia="Arial" w:hAnsi="Arial"/>
          <w:sz w:val="18"/>
          <w:szCs w:val="18"/>
          <w:color w:val="auto"/>
        </w:rPr>
      </w:pPr>
    </w:p>
    <w:p>
      <w:pPr>
        <w:ind w:left="1420" w:right="540" w:hanging="433"/>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projected resources and sufficiency of capital to fund our operating expenses through the projected commercial launch of resmetirom, assuming Food and Drug Administration (“FDA”) approval is obtained;</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trials, including the anticipated timing of disclosure, presentations of data from, or outcomes from our trials,</w:t>
      </w:r>
    </w:p>
    <w:p>
      <w:pPr>
        <w:spacing w:after="0" w:line="130" w:lineRule="exact"/>
        <w:rPr>
          <w:rFonts w:ascii="Arial" w:cs="Arial" w:eastAsia="Arial" w:hAnsi="Arial"/>
          <w:sz w:val="18"/>
          <w:szCs w:val="18"/>
          <w:color w:val="auto"/>
        </w:rPr>
      </w:pPr>
    </w:p>
    <w:p>
      <w:pPr>
        <w:ind w:left="1420" w:right="340" w:hanging="433"/>
        <w:spacing w:after="0" w:line="311" w:lineRule="auto"/>
        <w:tabs>
          <w:tab w:leader="none" w:pos="1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Research and development activities, and the timing and results associated with the future development of our lead product candidate, resmetirom (formerly known as MGL-3196), including projected market size, sector leadership, and patient treatment estimates for non-alcoholic steatohepatitis (“NASH”) and nonalcoholic fatty liver disease (“NAFLD”) patients,</w:t>
      </w:r>
    </w:p>
    <w:p>
      <w:pPr>
        <w:spacing w:after="0" w:line="54" w:lineRule="exact"/>
        <w:rPr>
          <w:rFonts w:ascii="Arial" w:cs="Arial" w:eastAsia="Arial" w:hAnsi="Arial"/>
          <w:sz w:val="16"/>
          <w:szCs w:val="16"/>
          <w:color w:val="auto"/>
        </w:rPr>
      </w:pPr>
    </w:p>
    <w:p>
      <w:pPr>
        <w:ind w:left="1420" w:right="180" w:hanging="433"/>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completion of projected future clinical milestone events, including enrollment, additional studies, top-line data and open label projections,</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Resmetirom’s potential to be a cost-effective specialty therapy for NASH patients with significant liver fibrosis,</w:t>
      </w:r>
    </w:p>
    <w:p>
      <w:pPr>
        <w:spacing w:after="0" w:line="130" w:lineRule="exact"/>
        <w:rPr>
          <w:rFonts w:ascii="Arial" w:cs="Arial" w:eastAsia="Arial" w:hAnsi="Arial"/>
          <w:sz w:val="18"/>
          <w:szCs w:val="18"/>
          <w:color w:val="auto"/>
        </w:rPr>
      </w:pPr>
    </w:p>
    <w:p>
      <w:pPr>
        <w:ind w:left="1420" w:right="40" w:hanging="433"/>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Plans, objectives and timing for making a Subpart H (Accelerated Approval of New Drugs for Serious or Life-Threatening Illnesses) submission to the FDA,</w:t>
      </w:r>
    </w:p>
    <w:p>
      <w:pPr>
        <w:spacing w:after="0" w:line="75" w:lineRule="exact"/>
        <w:rPr>
          <w:rFonts w:ascii="Arial" w:cs="Arial" w:eastAsia="Arial" w:hAnsi="Arial"/>
          <w:sz w:val="18"/>
          <w:szCs w:val="18"/>
          <w:color w:val="auto"/>
        </w:rPr>
      </w:pPr>
    </w:p>
    <w:p>
      <w:pPr>
        <w:ind w:left="1420" w:right="300" w:hanging="433"/>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Projections or objectives for obtaining accelerated or full approval for resmetirom for NASH patients with significant fibrosis (or non-cirrhotic NASH patients) and NASH patients with compensated cirrhosis,</w:t>
      </w:r>
    </w:p>
    <w:p>
      <w:pPr>
        <w:spacing w:after="0" w:line="75" w:lineRule="exact"/>
        <w:rPr>
          <w:rFonts w:ascii="Arial" w:cs="Arial" w:eastAsia="Arial" w:hAnsi="Arial"/>
          <w:sz w:val="18"/>
          <w:szCs w:val="18"/>
          <w:color w:val="auto"/>
        </w:rPr>
      </w:pPr>
    </w:p>
    <w:p>
      <w:pPr>
        <w:ind w:left="1420" w:right="420" w:hanging="433"/>
        <w:spacing w:after="0" w:line="342" w:lineRule="auto"/>
        <w:tabs>
          <w:tab w:leader="none" w:pos="1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primary and key secondary study endpoints for resmetirom, and the potential for achieving such endpoints and projections, including NASH resolution, safety, fibrosis treatment, cardiovascular effects and lipid treatment with resmetirom,</w:t>
      </w:r>
    </w:p>
    <w:p>
      <w:pPr>
        <w:spacing w:after="0" w:line="29" w:lineRule="exact"/>
        <w:rPr>
          <w:rFonts w:ascii="Arial" w:cs="Arial" w:eastAsia="Arial" w:hAnsi="Arial"/>
          <w:sz w:val="16"/>
          <w:szCs w:val="16"/>
          <w:color w:val="auto"/>
        </w:rPr>
      </w:pPr>
    </w:p>
    <w:p>
      <w:pPr>
        <w:ind w:left="1420" w:right="280" w:hanging="433"/>
        <w:spacing w:after="0" w:line="263"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Optimal dosing levels for resmetirom and projections regarding potential NASH or NAFLD and potential patient benefits with resmetirom, including future NASH resolution, safety, fibrosis treatment, cardiovascular effects, lipid treatment and/or biomarker effects with resmetirom,</w:t>
      </w:r>
    </w:p>
    <w:p>
      <w:pPr>
        <w:spacing w:after="0" w:line="89" w:lineRule="exact"/>
        <w:rPr>
          <w:rFonts w:ascii="Arial" w:cs="Arial" w:eastAsia="Arial" w:hAnsi="Arial"/>
          <w:sz w:val="18"/>
          <w:szCs w:val="18"/>
          <w:color w:val="auto"/>
        </w:rPr>
      </w:pPr>
    </w:p>
    <w:p>
      <w:pPr>
        <w:ind w:left="1420" w:hanging="433"/>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address the unmet needs of patients suffering from NASH with significant fibrosis,</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efficacy and safety of resmetirom for non-cirrhotic NASH patients and cirrhotic NASH patients,</w:t>
      </w:r>
    </w:p>
    <w:p>
      <w:pPr>
        <w:spacing w:after="0" w:line="130" w:lineRule="exact"/>
        <w:rPr>
          <w:rFonts w:ascii="Arial" w:cs="Arial" w:eastAsia="Arial" w:hAnsi="Arial"/>
          <w:sz w:val="18"/>
          <w:szCs w:val="18"/>
          <w:color w:val="auto"/>
        </w:rPr>
      </w:pPr>
    </w:p>
    <w:p>
      <w:pPr>
        <w:ind w:left="1420" w:right="260" w:hanging="433"/>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for resmetirom to become the best-in-class and/or first-to-market treatment option for patients with NASH and liver fibrosis;</w:t>
      </w:r>
    </w:p>
    <w:p>
      <w:pPr>
        <w:spacing w:after="0" w:line="75" w:lineRule="exact"/>
        <w:rPr>
          <w:rFonts w:ascii="Arial" w:cs="Arial" w:eastAsia="Arial" w:hAnsi="Arial"/>
          <w:sz w:val="18"/>
          <w:szCs w:val="18"/>
          <w:color w:val="auto"/>
        </w:rPr>
      </w:pPr>
    </w:p>
    <w:p>
      <w:pPr>
        <w:ind w:left="1420" w:right="180" w:hanging="433"/>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or estimated future results of operations and expenses as we expand our resmetirom clinical development program and our commercial development program;</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Ex-U.S. launch/partnering plans,</w:t>
      </w:r>
    </w:p>
    <w:p>
      <w:pPr>
        <w:spacing w:after="0" w:line="130" w:lineRule="exact"/>
        <w:rPr>
          <w:rFonts w:ascii="Arial" w:cs="Arial" w:eastAsia="Arial" w:hAnsi="Arial"/>
          <w:sz w:val="18"/>
          <w:szCs w:val="18"/>
          <w:color w:val="auto"/>
        </w:rPr>
      </w:pPr>
    </w:p>
    <w:p>
      <w:pPr>
        <w:ind w:left="1420" w:right="40" w:hanging="433"/>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develop clinical evidence demonstrating the utility of non-invasive tools and techniques to screen and diagnose NASH and/or NAFLD patients,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513" w:right="439" w:bottom="1440" w:gutter="0" w:footer="0" w:header="0"/>
        </w:sectPr>
      </w:pPr>
    </w:p>
    <w:bookmarkStart w:id="17" w:name="page18"/>
    <w:bookmarkEnd w:id="17"/>
    <w:p>
      <w:pPr>
        <w:ind w:left="1420" w:right="80" w:hanging="433"/>
        <w:spacing w:after="0" w:line="27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predictive power of liver fat reduction with resmetirom, as measured by non-invasive tests, on NASH resolution and/or fibrosis reduction or improvement, and potential NASH or NAFLD patient risk profile benefits with resmetirom,</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predictive power of liver fat, liver volume changes or MAST scores for NASH and/or NAFLD patients,</w:t>
      </w:r>
    </w:p>
    <w:p>
      <w:pPr>
        <w:spacing w:after="0" w:line="130" w:lineRule="exact"/>
        <w:rPr>
          <w:rFonts w:ascii="Arial" w:cs="Arial" w:eastAsia="Arial" w:hAnsi="Arial"/>
          <w:sz w:val="18"/>
          <w:szCs w:val="18"/>
          <w:color w:val="auto"/>
        </w:rPr>
      </w:pPr>
    </w:p>
    <w:p>
      <w:pPr>
        <w:ind w:left="1420" w:right="100" w:hanging="433"/>
        <w:spacing w:after="0" w:line="27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predictive power of NASH resolution and/or liver fibrosis reduction with resmetirom or improvement using non-invasive tests, including the use of ELF, FibroScan, MRE and/or MRI-PDFF,</w:t>
      </w:r>
    </w:p>
    <w:p>
      <w:pPr>
        <w:spacing w:after="0" w:line="75" w:lineRule="exact"/>
        <w:rPr>
          <w:rFonts w:ascii="Arial" w:cs="Arial" w:eastAsia="Arial" w:hAnsi="Arial"/>
          <w:sz w:val="18"/>
          <w:szCs w:val="18"/>
          <w:color w:val="auto"/>
        </w:rPr>
      </w:pPr>
    </w:p>
    <w:p>
      <w:pPr>
        <w:ind w:left="1420" w:right="240" w:hanging="433"/>
        <w:spacing w:after="0" w:line="27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predictive power of non-invasive tests generally, including for purposes of diagnosing NASH, monitoring patient response to resmetirom, or recruiting and conducting a NASH clinical trial,</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and acceptance of our products,</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development and commercialization of new products,</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resmetirom to be an effective treatment for other disease indications,</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and maintaining regulatory approvals, including, but not limited to, potential regulatory delays or rejections,</w:t>
      </w:r>
    </w:p>
    <w:p>
      <w:pPr>
        <w:spacing w:after="0" w:line="130" w:lineRule="exact"/>
        <w:rPr>
          <w:rFonts w:ascii="Arial" w:cs="Arial" w:eastAsia="Arial" w:hAnsi="Arial"/>
          <w:sz w:val="18"/>
          <w:szCs w:val="18"/>
          <w:color w:val="auto"/>
        </w:rPr>
      </w:pPr>
    </w:p>
    <w:p>
      <w:pPr>
        <w:ind w:left="1420" w:right="20" w:hanging="433"/>
        <w:spacing w:after="0" w:line="279" w:lineRule="auto"/>
        <w:tabs>
          <w:tab w:leader="none" w:pos="1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76" w:lineRule="exact"/>
        <w:rPr>
          <w:rFonts w:ascii="Arial" w:cs="Arial" w:eastAsia="Arial" w:hAnsi="Arial"/>
          <w:sz w:val="17"/>
          <w:szCs w:val="17"/>
          <w:color w:val="auto"/>
        </w:rPr>
      </w:pPr>
    </w:p>
    <w:p>
      <w:pPr>
        <w:ind w:left="1420" w:hanging="433"/>
        <w:spacing w:after="0"/>
        <w:tabs>
          <w:tab w:leader="none" w:pos="1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continued reliance on third-party contract manufacturers for the manufacture of our product candidates, including resmetirom,</w:t>
      </w:r>
    </w:p>
    <w:p>
      <w:pPr>
        <w:spacing w:after="0" w:line="153" w:lineRule="exact"/>
        <w:rPr>
          <w:rFonts w:ascii="Arial" w:cs="Arial" w:eastAsia="Arial" w:hAnsi="Arial"/>
          <w:sz w:val="16"/>
          <w:szCs w:val="16"/>
          <w:color w:val="auto"/>
        </w:rPr>
      </w:pPr>
    </w:p>
    <w:p>
      <w:pPr>
        <w:ind w:left="1420" w:right="900" w:hanging="433"/>
        <w:spacing w:after="0" w:line="27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effects of resmetirom’s mechanism of action and our ability to accomplish our business and business development objectives and realize the anticipated benefit of any such transactions, and</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4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Forward-looking statements are subject to a number of risks and uncertainties including, but not limited to: our clinical and commercial development of resmetirom; enrollment and trial outlook uncertainties, generally, based on blinded, locked or limited trial data and in relation to COVID-19-related measures and individual precautionary measures that may be implemented or continued for an uncertain period of time; our potential inability to raise sufficient capital to fund our ongoing operations as currently planned or to obtain financings on terms similar to those we have arranged in the past;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limitations associated with early stage or non-placebo controlled study data;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 Item 1A of our Annual Report on Form 10-K for the year ended December 31, 2022, filed with the SEC on February 23, 2023 (the “2022 Form 10-K”), as well as in our other filings with the SEC. You should read the 2022 Form 10-K, this Quarterly Report, and the other documents that we file or have filed with the SEC, with the understanding that our actual future results may be materially different from the results expressed or implied by these forward-looking statements.</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517" w:right="459" w:bottom="1440" w:gutter="0" w:footer="0" w:header="0"/>
        </w:sectPr>
      </w:pPr>
    </w:p>
    <w:bookmarkStart w:id="18" w:name="page19"/>
    <w:bookmarkEnd w:id="18"/>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517" w:right="53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2022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under “Cautionary Note Regarding Forward-Looking Statements,” our actual results could differ materially from those discussed in these forward-looking statements. Factors that could cause or contribute to such differences include, but are not limited to, those discussed in the “Cautionary Note Regarding Forward-Looking Statements” and “Risk Factors” sections contained in our Annual Report on Form 10-K for the year ended December 31, 2022. Our operating results are not necessarily indicative of results that may occur for the full fiscal year or any other future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Our Focus. </w:t>
      </w:r>
      <w:r>
        <w:rPr>
          <w:rFonts w:ascii="Arial" w:cs="Arial" w:eastAsia="Arial" w:hAnsi="Arial"/>
          <w:sz w:val="18"/>
          <w:szCs w:val="18"/>
          <w:color w:val="auto"/>
        </w:rPr>
        <w:t>We are a clinical-stage biopharmaceutical company pursuing novel therapeutics for nonalcoholic steatohepatitis, or NASH. Our lead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 resmetirom, is a proprietary, liver-directed, selective thyroid hormone receptor-ß, or THR-ß, agonist being developed as a once-daily oral pill for the treatment of NASH.</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Our Patient Market Opportunity. </w:t>
      </w:r>
      <w:r>
        <w:rPr>
          <w:rFonts w:ascii="Arial" w:cs="Arial" w:eastAsia="Arial" w:hAnsi="Arial"/>
          <w:sz w:val="18"/>
          <w:szCs w:val="18"/>
          <w:color w:val="auto"/>
        </w:rPr>
        <w:t>NASH is a serious inflammatory form of nonalcoholic fatty liver disease, or NAFLD. NAFLD has become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22 million people in the United States by 2024, with similar prevalence in Europe and Asia. The prevalence of NASH is also increasing in developing regions due to the adoption of a more sedentary lifestyle and a diet consisting of processed foods with high fat and fructose content.</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Our Completed Studies. </w:t>
      </w:r>
      <w:r>
        <w:rPr>
          <w:rFonts w:ascii="Arial" w:cs="Arial" w:eastAsia="Arial" w:hAnsi="Arial"/>
          <w:sz w:val="18"/>
          <w:szCs w:val="18"/>
          <w:color w:val="auto"/>
        </w:rPr>
        <w:t>For NASH, we enrolled 125 patients in a Phase 2 clinical trial with resmetirom. We achieved the 12-week primary endpoint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(discussed below under “—Our Ongoing and Planned Studies”), with resmetirom doses of 80 mg or 100 mg or placebo. Enrollment objectives for this study were exceeded, with approximately 1,300 patients enrolled overall. Using noninvasive measures, MAESTRO-NAFLD-1 was designed to provide incremental safety information to support the NASH indication as well as provide additional data regarding clinically relevant key secondary efficacy endpoints to better characterize the potential clinical benefits of resmetirom on cardiovascular- and liver-related endpoints. In November of 2021, we reported data from the open label non-cirrhotic arm of MAESTRO-NAFLD-1, and in January 2022 we announced that we achieved primary and secondary endpoints for the double-blind portion of MAESTRO-NAFLD-1.</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additional open-label active treatment arm in 180 patients with early (well-compensated) NASH cirrhosis was conducted. Resmetirom was safe and well tolerated in the MAESTRO-NAFLD-1 open-label cohort of patients with well-compensated NASH cirrhosis. As observed in patients with noncirrhotic NASH, mild GI adverse events were seen at the beginning of therapy. Resmetirom reduced LDL-C, other atherogenic lipids and lipoproteins, and MRI-PDFF in patients with NASH cirrhosis and also reduced liver and spleen volume.</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Our Ongoing and Planned Studies. </w:t>
      </w:r>
      <w:r>
        <w:rPr>
          <w:rFonts w:ascii="Arial" w:cs="Arial" w:eastAsia="Arial" w:hAnsi="Arial"/>
          <w:sz w:val="18"/>
          <w:szCs w:val="18"/>
          <w:color w:val="auto"/>
        </w:rPr>
        <w:t>On March 28, 2019, the Company announced that it had initiated MAESTRO-NASH, a Phase 3 trial in NASH with</w:t>
      </w:r>
      <w:r>
        <w:rPr>
          <w:rFonts w:ascii="Arial" w:cs="Arial" w:eastAsia="Arial" w:hAnsi="Arial"/>
          <w:sz w:val="18"/>
          <w:szCs w:val="18"/>
          <w:i w:val="1"/>
          <w:iCs w:val="1"/>
          <w:color w:val="auto"/>
        </w:rPr>
        <w:t xml:space="preserve"> </w:t>
      </w:r>
      <w:r>
        <w:rPr>
          <w:rFonts w:ascii="Arial" w:cs="Arial" w:eastAsia="Arial" w:hAnsi="Arial"/>
          <w:sz w:val="18"/>
          <w:szCs w:val="18"/>
          <w:color w:val="auto"/>
        </w:rPr>
        <w:t>its once daily, oral thyroid hormone receptor beta selective agonist, resmetirom. This double-blind, placebo-controlled study is being conducted at more than 220 sites in the United States and the rest of the world. MAESTRO-NASH is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513" w:right="45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multicenter, randomized, double-blind, placebo-controlled Phase 3 study of resmetirom in patients with liver biopsy-confirmed NASH and was initiated in March 2019. The subpart H portion of the study enrolled more than 1,000 patients with biopsy-proven NASH (at least half with F3 (advanced) fibrosis, the remainder F2 or F1B (moderate fibrosis) with a few earlier F1 patients), randomized 1:1:1 to receive once-daily resmetirom 80 mg, resmetirom 100 mg, or placebo. After 52 weeks of treatment, a second liver biopsy is performed. The dual primary surrogate endpoints on biopsy are NASH resolution with ≥2-point reduction in NAS (NAFLD Activity Score), and with no worsening of fibrosis OR a 1-point decrease in fibrosis with no worsening of NAS. Achievement of either primary endpoint is considered a successful trial outcome. A key secondary endpoint is lowering of LDL-C. All patients enrolled in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517" w:right="499" w:bottom="1440" w:gutter="0" w:footer="0" w:header="0"/>
        </w:sectPr>
      </w:pPr>
    </w:p>
    <w:bookmarkStart w:id="21" w:name="page22"/>
    <w:bookmarkEnd w:id="21"/>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MAESTRO-NASH study (approximately 1,750) continue on therapy after the initial 52-week treatment period for up to 54 months to accrue and measure hepatic clinical outcome events including progression to cirrhosis on biopsy (52 weeks and 54 months) and hepatic decompensation events, as well as all-cause mortality. In December 2022, we reported topline results from the subpart H portion of the study: resmetirom achieved both primary endpoints with both daily oral doses, 80 mg and 100 mg, relative to placebo, as summarized in “- Key Developments” in our Annual Report on Form 10-K for the year ended December 31, 2022.</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August 2022, Madrigal initiated MAESTRO-NASH-OUTCOMES, a randomized double-blind placebo-controlled study in approximately 700 patients with early NASH cirrhosis to allow for noninvasive monitoring of progression to liver decompensation events. A positive outcome is expected to support the full approval of resmetirom for noncirrhotic NASH, potentially accelerating the timeline to full approval. In addition, this study has the potential to support an additional indication for resmetirom in patients with well-compensated NASH cirrhosis.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July 2023, Madrigal announced the completion of the rolling submission of its New Drug Application (NDA) to the FDA for resmetirom for the treatment of adults with NASH with liver fibrosis, a disease with no approved therapy. Madrigal has requested a priority review of the resmetirom NDA.</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2023, Madrigal announced that resmetirom has received Breakthrough Therapy designation from the FDA for the treatment of patients with NASH with liver fibrosis. Breakthrough Therapy designation is a process intended to expedite the development and review of drugs for serious or life-threatening conditions. The criteria for breakthrough therapy designation require preliminary clinical evidence that demonstrates the drug may have substantial improvement on at least one clinically significant endpoint over available therapy, or over placebo if there is no available therapy. A drug that receives Breakthrough Therapy designation is eligible for more intensive guidance on an efficient drug development program and organizational commitment involving senior managers from FDA.</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Also in April 2023, Madrigal announced that the outcomes portion of the Phase 3 MAESTRO-NASH biopsy trial has completed enrollment. Enrollment of the MAESTRO-NASH study was closed at approximately 1,750 patients based on the enrollment target of the 54-month long-term clinical outcome portion of the study.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31" w:lineRule="exact"/>
        <w:rPr>
          <w:sz w:val="20"/>
          <w:szCs w:val="20"/>
          <w:color w:val="auto"/>
        </w:rPr>
      </w:pPr>
    </w:p>
    <w:p>
      <w:pPr>
        <w:ind w:left="1420" w:hanging="43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30" w:lineRule="exact"/>
        <w:rPr>
          <w:rFonts w:ascii="Arial" w:cs="Arial" w:eastAsia="Arial" w:hAnsi="Arial"/>
          <w:sz w:val="18"/>
          <w:szCs w:val="18"/>
          <w:color w:val="auto"/>
        </w:rPr>
      </w:pPr>
    </w:p>
    <w:p>
      <w:pPr>
        <w:ind w:left="1420" w:right="380" w:hanging="433"/>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75" w:lineRule="exact"/>
        <w:rPr>
          <w:rFonts w:ascii="Arial" w:cs="Arial" w:eastAsia="Arial" w:hAnsi="Arial"/>
          <w:sz w:val="18"/>
          <w:szCs w:val="18"/>
          <w:color w:val="auto"/>
        </w:rPr>
      </w:pPr>
    </w:p>
    <w:p>
      <w:pPr>
        <w:ind w:left="1420" w:right="680" w:hanging="433"/>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related to development and the production of nonclinical and clinical trial supplies, including fees paid to contract manufacturers;</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517" w:right="459" w:bottom="1440" w:gutter="0" w:footer="0" w:header="0"/>
        </w:sectPr>
      </w:pPr>
    </w:p>
    <w:bookmarkStart w:id="22" w:name="page23"/>
    <w:bookmarkEnd w:id="22"/>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Our research and development expenses have increased period over period in each of 2023 and 2022 and we expect that our research and development expenses may increase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expect that our general and administrative expenses will increase in the future as we expand our operating activities, prepare for commercialization,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six months ended June 30, 2023, as compared to those disclosed in our Annual Report on Form 10-K for the fiscal year ended December 31, 2022 filed with the SEC on February 23, 2023.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517"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comparative unaudited results of operations for the three months ended June 30, 2023 and 2022 (in thousands):</w:t>
      </w:r>
    </w:p>
    <w:p>
      <w:pPr>
        <w:spacing w:after="0" w:line="255"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w:t>
            </w: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4"/>
              </w:rPr>
              <w:t>Increase / (Decrease)</w:t>
            </w:r>
          </w:p>
        </w:tc>
      </w:tr>
      <w:tr>
        <w:trPr>
          <w:trHeight w:val="142"/>
        </w:trPr>
        <w:tc>
          <w:tcPr>
            <w:tcW w:w="44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10,106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11,774</w:t>
            </w:r>
          </w:p>
        </w:tc>
        <w:tc>
          <w:tcPr>
            <w:tcW w:w="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6,071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2,121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r>
      <w:tr>
        <w:trPr>
          <w:trHeight w:val="216"/>
        </w:trPr>
        <w:tc>
          <w:tcPr>
            <w:tcW w:w="44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15,070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three months ended June 30, 2023 and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research and development expenses were $68.6 million for the three months ended June 30, 2023, compared to $58.5 million in the corresponding period in 2022. Research and development expenses increased by $10.1 million in the 2023 period due primarily to the additional activities related to our Phase 3 clinical trials, including MAESTRO-NASH Outcomes, an increase in headcount, and an increase in stock compensation expense. We expect our research and development expenses to increase as we advance our clinical and preclinical development programs for resmetirom.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general and administrative expenses were $17.8 million for the three months ended June 30, 2023, compared to $11.8 million in the corresponding period in 2022. General and administrative expenses increased by $6.1 million in the 2023 period due primarily to increases in commercial preparation activities, including a corresponding increase in headcount, and an increase in stock compensation expense. We believe our general and administrative expenses may increase over time as we advance our clinical and preclinical development programs for resmetirom, prepare for commercialization, and expand our operating activities, which will likely result in an increase in our headcount, consulting services, and related overhead needed to support those efforts.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net interest income was $3.6 million for the three months ended June 30, 2023, compared to $0.3 million in the corresponding period in 2022. The increase in interest income was due primarily to higher principal balances and interest rates in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Our interest expense was $2.9 million for the three months ended June 30, 2023, compared to $0.8 million in the corresponding period in 2022. The increase in interest expense was primarily as a result of higher outstanding principal balances during the period under the Loan Facility with Hercules.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comparative unaudited results of operations for the six months ended June 30, 2023 and 2022 (in thousands):</w:t>
      </w:r>
    </w:p>
    <w:p>
      <w:pPr>
        <w:spacing w:after="0" w:line="255"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4"/>
              </w:rPr>
              <w:t>Six Months Ended June 30,</w:t>
            </w:r>
          </w:p>
        </w:tc>
        <w:tc>
          <w:tcPr>
            <w:tcW w:w="16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Increase / (Decrease)</w:t>
            </w:r>
          </w:p>
        </w:tc>
      </w:tr>
      <w:tr>
        <w:trPr>
          <w:trHeight w:val="142"/>
        </w:trPr>
        <w:tc>
          <w:tcPr>
            <w:tcW w:w="38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$ 130,759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$ 106,428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34,027</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21,432</w:t>
            </w:r>
          </w:p>
        </w:tc>
        <w:tc>
          <w:tcPr>
            <w:tcW w:w="640" w:type="dxa"/>
            <w:vAlign w:val="bottom"/>
          </w:tcPr>
          <w:p>
            <w:pPr>
              <w:jc w:val="right"/>
              <w:spacing w:after="0"/>
              <w:rPr>
                <w:sz w:val="20"/>
                <w:szCs w:val="20"/>
                <w:color w:val="auto"/>
              </w:rPr>
            </w:pPr>
            <w:r>
              <w:rPr>
                <w:rFonts w:ascii="Arial" w:cs="Arial" w:eastAsia="Arial" w:hAnsi="Arial"/>
                <w:sz w:val="18"/>
                <w:szCs w:val="18"/>
                <w:color w:val="auto"/>
              </w:rPr>
              <w:t>12,595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(7,327)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1769%</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5,237</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780</w:t>
            </w:r>
          </w:p>
        </w:tc>
        <w:tc>
          <w:tcPr>
            <w:tcW w:w="640" w:type="dxa"/>
            <w:vAlign w:val="bottom"/>
          </w:tcPr>
          <w:p>
            <w:pPr>
              <w:jc w:val="right"/>
              <w:spacing w:after="0"/>
              <w:rPr>
                <w:sz w:val="20"/>
                <w:szCs w:val="20"/>
                <w:color w:val="auto"/>
              </w:rPr>
            </w:pPr>
            <w:r>
              <w:rPr>
                <w:rFonts w:ascii="Arial" w:cs="Arial" w:eastAsia="Arial" w:hAnsi="Arial"/>
                <w:sz w:val="18"/>
                <w:szCs w:val="18"/>
                <w:color w:val="auto"/>
              </w:rPr>
              <w:t>4,457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571%</w:t>
            </w:r>
          </w:p>
        </w:tc>
      </w:tr>
      <w:tr>
        <w:trPr>
          <w:trHeight w:val="216"/>
        </w:trPr>
        <w:tc>
          <w:tcPr>
            <w:tcW w:w="3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$ 162,696</w:t>
            </w: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$ 128,248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364"/>
        </w:trPr>
        <w:tc>
          <w:tcPr>
            <w:tcW w:w="3840" w:type="dxa"/>
            <w:vAlign w:val="bottom"/>
          </w:tcPr>
          <w:p>
            <w:pPr>
              <w:spacing w:after="0"/>
              <w:rPr>
                <w:sz w:val="24"/>
                <w:szCs w:val="24"/>
                <w:color w:val="auto"/>
              </w:rPr>
            </w:pPr>
          </w:p>
        </w:tc>
        <w:tc>
          <w:tcPr>
            <w:tcW w:w="2560" w:type="dxa"/>
            <w:vAlign w:val="bottom"/>
          </w:tcPr>
          <w:p>
            <w:pPr>
              <w:jc w:val="right"/>
              <w:ind w:right="1150"/>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000"/>
          </w:cols>
          <w:pgMar w:left="440" w:top="513"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six months ended June 30, 2023 and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research and development expenses were $130.8 million for the six months ended June 30, 2023, compared to $106.4 million in the corresponding period in 2022. Research and development expenses increased by $24.3 million in the 2023 period due primarily to the additional activities related to our Phase 3 clinical trials, including MAESTRO-NASH Outcomes, an increase in headcount, and an increase in stock compensation expense. We expect our research and development expenses to increase as we advance our clinical and preclinical development programs for resmetirom.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general and administrative expenses were $34.0 million for the six months ended June 30, 2023, compared to $21.4 million in the corresponding period in 2022. General and administrative expenses increased by $12.6 million in the 2023 period due primarily to increases in commercial preparation activities, including a corresponding increase in headcount, and an increase in stock compensation expense. We believe our general and administrative expenses may increase over time as we advance our clinical and preclinical development programs for resmetirom, prepare for commercialization, and expand our operating activities, which will likely result in an increase in our headcount, consulting services, and related overhead needed to support those efforts.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net interest income was $7.3 million for the six months ended June 30, 2023, compared to $0.4 million in the corresponding period in 2022. The increase in interest income was due primarily to higher principal balances and interest rates in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Our interest expense was $5.2 million for the six months ended June 30, 2023, compared to $0.8 million in the corresponding period in 2022. The increase in interest expense was primarily as a result of higher outstanding principal balances during the period under the Loan Facility with Hercules.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shares of our common stock and shares of our preferred stock, borrowings under the Loan Facility with Hercules, the issuance of convertible debt and the proceeds from the merger with Synta Pharmaceuticals Corp.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8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June 30, 2023, we had cash, cash equivalents and marketable securities totaling $298.4 million compared to $358.8 million as of December 31, 2022, with this decrease attributable to funding of operations, partially offset by $50.0 million drawn from the Loan Facility with Hercules, proceeds from the exercise of stock options, and proceeds from the at-the-market sales agreement with Cowen and Company, LLC (“Cowen”).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9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will likely increase in the future, in particular to support our product development and clinical trial efforts, as well as preparation for commercialization, we believe our available cash resources as of June 30, 2023 will be sufficient to fund our operations past one year from the issuance of the financial statements contained herein. Our future long-term liquidity requirements will be substantial and will depend on many factors. To meet future long-term liquidity requirements, as well as maintain compliance with certain of our Loan Facility covenants, we will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Additional capital may not be available on terms acceptable to us, or at all. We also have the ability to delay certain research activities and related clinical expenses, as well as commercial preparation investments,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517"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At-the-Market Sales Agreement</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May 9, 2023, the Company entered into Amendment No. 1 (the “Amendment”) to the Sales Agreement, dated June 1, 2021 (as amended, the “Sales Agreement”) with Cowen, which Amendment increased by up to an additional $200,000,000 the amount of common stock that can be issued and sold by the Company from time to time through or to Cowen under the Sales Agreement, acting as agent or principal.</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our common stock, if any, under the Sales Agreement will be made by any method that is deemed to be an “at the market” offering as defined in Rule 415(a)(4) of the Securities Act of 1933, as amended. The Company has no obligation to sell any common stock and may at any time suspend offers under the Sales Agreement or terminate the Sales Agreement pursuant to its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Facility</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Please see “Note 6 – Long Term Debt” to the condensed consolidated financial statements included in this Quarterly Report on Form 10-Q for information on our Loan Facility with Hercules.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9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64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$(159,377)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(107,273)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(190,596)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75,162</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49,114</w:t>
            </w:r>
          </w:p>
        </w:tc>
      </w:tr>
      <w:tr>
        <w:trPr>
          <w:trHeight w:val="224"/>
        </w:trPr>
        <w:tc>
          <w:tcPr>
            <w:tcW w:w="64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$(254,353)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17,003</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Net cash used in operating activities was $159.4 million for the six months ended June 30, 2023, compared to $107.3 million for the corresponding period in 2022. The use of cash in these periods resulted primarily from our losses from operations, as adjusted for non-cash charges for stock-based compensation, and changes in our working capital accounts.</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Net cash used in investing activities was $190.6 million for the six months ended June 30, 2023, compared to $75.2 million provided by for the corresponding period in 2022. Net cash used in investing activities for the six months ended June 30, 2023 primarily consisted of $290.7 million of purchases of marketable securities for our investment portfolio, partially offset by $100.2 million from sales and maturities of marketable securities. Net cash provided by investing activities for the corresponding period in 2022 primarily consisted of $191.8 million from sales and maturities of marketable securities, partially offset by $116.5 million of purchases of marketable securities for our investment portfolio.</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cash provided by financing activities was $95.6 million for the six months ended June 30, 2023, compared to $49.1 million for the corresponding period in 2022. Financing activities for the six months ended June 30, 2023 consisted of $50.0 million from borrowings under the Loan Facility, $24.2 million of proceeds from the exercise of common stock options, and $21.8 million from sales of our common stock under the 2023 Sales Agreement, partially offset by $0.3 million of loan issuance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Except for the future minimum payments due on the Loan Facility with Hercules set forth in “Note 6 – Long Term Debt” to the condensed consolidated financial statements included in this Quarterly Report on Form 10-Q, no significant changes to contractual obligations and commitments occurred during the six months ended June 30, 2023, as compared to those disclosed in our Annual Report on Form 10-K for the fiscal year ended December 31, 2022 filed with the SEC on February 23, 2023.</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517" w:right="47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and Loan Facility. We regularly review our investments and monitor the financial markets. We invest in high-quality financial instruments, primarily money market funds, U.S. government and agency securities, government- 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May 2022 we entered into the Loan Facility, which has an interest rate that is linked to the prime rate. We do not believe that we have any material exposure to interest rate risk given the current principal amount of the loan.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 Risk</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currently have no product revenues and depend on funds raised through other sources. One source of funding is through future debt or equity offerings. Our ability to raise funds in this manner depends upon, among other things, capital market forces affecting our stock price and the factors described in our “Cautionary Note Regarding Forward-Looking “Statements.” “Liquidity and Capital Resources” and “Risk Factors” disclosures included or referred to in this filing.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513" w:right="479" w:bottom="1440" w:gutter="0" w:footer="0" w:header="0"/>
        </w:sectPr>
      </w:pPr>
    </w:p>
    <w:bookmarkStart w:id="27" w:name="page28"/>
    <w:bookmarkEnd w:id="27"/>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Except as set forth below, there have been no material changes to the risk factors included in detail in the “Risk Factors” sections appearing in Part I, Item 1A of our Annual Report on Form 10-K for the year ended December 31, 2022, filed with the SEC on February 23, 2023.</w:t>
      </w:r>
    </w:p>
    <w:p>
      <w:pPr>
        <w:spacing w:after="0" w:line="2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Funds affiliated with Baker Bros. Advisors LP hold a significant portion of our total outstanding shares of common stock (including shares of our common stock issuable upon conversion of shares of our Series A Convertible Preferred Stock and Series B Convertible Preferred Stock), and any sale of such shares into the market, or perception that sales could occur, in the future could cause the market price of our common stock to drop significantly.</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a Registration Rights Agreement, dated August 7, 2023, among the Company, 667, L.P. and Baker Brothers Life Sciences, L.P., the Company filed with the SEC on August 8, 2023 a prospectus supplement to the prospectus that forms a part of its effective registration statement on Form S-3 registering for resale up to 3,914,910 shares of our common stock (which includes 1,969,797 shares of common stock issuable upon the conversion of our Series A Convertible Preferred Stock and 400,000 shares of common stock issuable upon the conversion of our Series B Convertible Preferred Stock, each of which are common stock equivalents with no voting rights, that are convertible into shares of common stock on a 1-for-1 basis only to the extent that after giving effect to such conversion the holders thereof and their affiliates and any persons who are members of a Section 13(d) group with the holders or their affiliates would beneficially own (in the aggregate, for purposes of Rule 13d-3 under the Exchange Act) no more than 4.99% of the outstanding common stock, which may be increased or decreased up to 19.99% at the holder’s election on 61 days’ notice and certain limitations) owned by funds affiliated with Baker Bros. Advisors LP (“Baker Bros.”). This represents approximately 18.8% of our total outstanding shares of common stock as of July 31, 2023 on a fully as-converted to common stock basis. Sales of a substantial number of shares of our common stock in the public market by Baker Bros., or the perception that these sales might occur, could depress the market price of our common stock and could impair our ability to raise capital through the sale of additional equity securities. We are unable to predict the effect that sales by Baker Bros., or any perception that sales may occur, may have on the prevailing market price of our common stock.</w:t>
      </w:r>
    </w:p>
    <w:p>
      <w:pPr>
        <w:spacing w:after="0" w:line="3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June of 2023, in accordance with the terms of its Loan and Security Agreement, as amended, (the “Loan Facility”) with Hercules Capital, Inc. (“Hercules”) the Company issued Hercules and affiliates warrants to purchase 1,051 shares of its common stock at an exercise price of $285.31 per share. The warrant had a Black-Scholes value of $0.2 million, and was issued as consideration in connection with the Company’s borrowing of $15 million under the second tranche of the Loan Facility (as described in “Note 6 – Long Term Debt” to the condensed consolidated financial statements included in this Quarterly Report on Form 10-Q).</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All warrants issued to Hercules under the Loan Facility have been issued in reliance upon the exemption provided in Section 4(a)(2) of the Securities Act of 1933, as amended and/or Regulation D promulgated thereunder.</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June 15, 2023, Julian Baker and Raymond Cheong, Ph.D./MD were appointed to the Board as Class III directors and will serve terms lasting until the Company’s Annual Meeting of Stockholders to be held in 2025, and until their respective successors have been elected and qualified. The same day the Board determined that it was appropriate for the Company to institute changes to its Board governance structure and implement a separation of the Chairman and Chief Executive Officer functions. Effective June 15, 2023, Julian Baker was appointed to serve as the independent Chairman of the Board of Directors and Paul A. Friedman, M.D. continued service as the Company’s Chief Executive Officer and as a Class I director on the Board until the Company’s Annual Meeting of Stockholders to be held in 2026, and until his successor has been elected and qualified.</w:t>
      </w:r>
    </w:p>
    <w:p>
      <w:pPr>
        <w:spacing w:after="0" w:line="16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Mr. Baker and Dr. Cheong are affiliated with Baker Bros. Advisors LP and its related funds (collectively, “Baker Bros.”), which are significant owners of the Company’s capital stock, as disclosed in SEC filings. Mr. Baker is a managing member of the general partner of Baker Bros. Advisors LP., and Dr. Cheong is a Managing Director at Baker Brothers Investments. In connection with the appointment of Mr. Baker and Dr. Cheong to the Board, Baker Bros. waived rights under that certain Securities Purchase Agreement, dated June 20, 2017 (the “2017 SPA”), as amended by Amendments No. 1 and 2 (collectively, the “SPA”), to designate a director to the Board while Mr. Baker or Dr. Cheong are on the Board or to appoint a Board observer subject the SPA, while Mr. Baker or Dr. Cheong are on the Board or serving as a Board observer.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 Signing; Resale Prospectus Filing</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Pursuant to the terms of the 2017 SPA, the Company agreed with certain fund affiliates of Baker Bros. (the “Baker Bros. Funds” or “BBA Investors”) that if the BBA Investors determined, based on the totality of the circumstances, that they may be deemed to be “affiliates” of the Company within the meaning of Rule 144 of the Securities Act of 1933, as amended (the “Securities Act”), whether through the exercise of their board designation rights under the SPA or otherwise, the Company would enter into the registration rights agreement with the BBA Investors in the form attached to the 2017 SPA (the “Registration Rights Agreement”). The BBA Investors informed the Company prior to the filing of this Form 10-Q they may be deemed to be “affiliates” of the Company and thereafter entered into the Registration Rights Agreement with the Company on August 7, 2023 covering certain resale</w:t>
      </w:r>
    </w:p>
    <w:p>
      <w:pPr>
        <w:sectPr>
          <w:pgSz w:w="11900" w:h="16874" w:orient="portrait"/>
          <w:cols w:equalWidth="0" w:num="1">
            <w:col w:w="11000"/>
          </w:cols>
          <w:pgMar w:left="440" w:top="513" w:right="459" w:bottom="0" w:gutter="0" w:footer="0" w:header="0"/>
        </w:sectPr>
      </w:pPr>
    </w:p>
    <w:bookmarkStart w:id="28" w:name="page29"/>
    <w:bookmarkEnd w:id="28"/>
    <w:p>
      <w:pPr>
        <w:ind w:right="500"/>
        <w:spacing w:after="0" w:line="308" w:lineRule="auto"/>
        <w:rPr>
          <w:sz w:val="20"/>
          <w:szCs w:val="20"/>
          <w:color w:val="auto"/>
        </w:rPr>
      </w:pPr>
      <w:r>
        <w:rPr>
          <w:rFonts w:ascii="Arial" w:cs="Arial" w:eastAsia="Arial" w:hAnsi="Arial"/>
          <w:sz w:val="17"/>
          <w:szCs w:val="17"/>
          <w:color w:val="auto"/>
        </w:rPr>
        <w:t>registration rights with respect to shares of the Company’s common stock (including shares of common stock issuable upon the conversion of any securities of the Company) that are now held or are hereafter acquired by the BBA Investors (the “Registrable Securities”).</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Registration Rights Agreement, and following request by the BBA Investors, the Company filed, in connection with the filing of this Form 10-Q, a resale prospectus supplement to the prospectus that forms a part of the Company’s effective Registration Statement on Form S-3ASR (the “Resale Prospectus”) registering the Registrable Securities for resale in satisfaction of the Company’s obligations under the Registration Rights Agreement. The Resale Prospectus registers or covers for resale up to 3,914,910 shares of our common stock currently owned or that may be acquired upon the conversion of securities beneficially owned by the Baker Bros. Funds (the “Resale Shares”). The Company is obligated under the Registration Rights Agreement to register additional Registrable Securities acquired by the BBA Investors, so the Company may be required to file additional supplements to the Resale Prospectus in the future to increase the number of shares that are covered thereby. The Company is obligated to use its reasonable best efforts to maintain the effectiveness of the Resale Prospectus (or any other appropriate subsequent form registering the Registrable Securities) until the earlier of such time that (i) all Registrable Securities covered by the Resale Prospectus have been sold or may be sold freely without limitations or restrictions as to volume or manner of sale pursuant to Rule 144 of the Securities Act, or (ii) all Registrable Securities covered by the Resale Prospectus otherwise cease to be considered Registrable Securities pursuant to the terms of the Registration Rights Agreement. Under the Registration Rights Agreement, the Baker Bros. Funds have the right to one underwritten public offering per calendar year, but no more than three underwritten public offerings in total, to effect the sale or distribution of their Registrable Securities, subject to specified exceptions, conditions and limitations. The rights of the Baker Bros. Funds concerning Registrable Securities under the Registration Rights Agreement will continue in effect for up to ten years following the date of the Registration Rights Agreement.</w:t>
      </w:r>
    </w:p>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foregoing description of the Registration Rights Agreement does not purport to be complete and is qualified in its entirety by reference to the full text of the Registration Rights Agreement, which is incorporated by reference as an exhibit to this Form 10-Q and is incorporated herein by reference. The Company is filing herewith a copy of the opinion of Hogan Lovells US LLP regarding the legality of the Resale Shares, attached hereto as an exhibit to this Form 10-Q.</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not offering for sale any shares of common stock under the Resale Prospectus, and the Company will not receive any proceeds from the sale of any Resale Shares by the selling stockholder from time to time pursuant to the resale prospectus.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125" w:right="459" w:bottom="1440" w:gutter="0" w:footer="0" w:header="0"/>
        </w:sectPr>
      </w:pPr>
    </w:p>
    <w:bookmarkStart w:id="29" w:name="page30"/>
    <w:bookmarkEnd w:id="29"/>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EXHIBIT INDEX</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tcPr>
          <w:p>
            <w:pPr>
              <w:jc w:val="center"/>
              <w:ind w:right="252"/>
              <w:spacing w:after="0"/>
              <w:rPr>
                <w:sz w:val="20"/>
                <w:szCs w:val="20"/>
                <w:color w:val="auto"/>
              </w:rPr>
            </w:pPr>
            <w:r>
              <w:rPr>
                <w:rFonts w:ascii="Arial" w:cs="Arial" w:eastAsia="Arial" w:hAnsi="Arial"/>
                <w:sz w:val="14"/>
                <w:szCs w:val="14"/>
                <w:b w:val="1"/>
                <w:bCs w:val="1"/>
                <w:color w:val="auto"/>
                <w:w w:val="98"/>
              </w:rPr>
              <w:t>Exhibit</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60" w:type="dxa"/>
            <w:vAlign w:val="bottom"/>
            <w:gridSpan w:val="16"/>
            <w:vMerge w:val="restart"/>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Form</w:t>
            </w:r>
          </w:p>
        </w:tc>
        <w:tc>
          <w:tcPr>
            <w:tcW w:w="276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Incorporated by Reference</w:t>
            </w: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0"/>
        </w:trPr>
        <w:tc>
          <w:tcPr>
            <w:tcW w:w="1000" w:type="dxa"/>
            <w:vAlign w:val="bottom"/>
          </w:tcPr>
          <w:p>
            <w:pPr>
              <w:jc w:val="center"/>
              <w:ind w:right="252"/>
              <w:spacing w:after="0"/>
              <w:rPr>
                <w:sz w:val="20"/>
                <w:szCs w:val="20"/>
                <w:color w:val="auto"/>
              </w:rPr>
            </w:pPr>
            <w:r>
              <w:rPr>
                <w:rFonts w:ascii="Arial" w:cs="Arial" w:eastAsia="Arial" w:hAnsi="Arial"/>
                <w:sz w:val="14"/>
                <w:szCs w:val="14"/>
                <w:b w:val="1"/>
                <w:bCs w:val="1"/>
                <w:color w:val="auto"/>
                <w:w w:val="94"/>
              </w:rPr>
              <w:t>Number</w:t>
            </w: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60" w:type="dxa"/>
            <w:vAlign w:val="bottom"/>
            <w:gridSpan w:val="16"/>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File No.</w:t>
            </w: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rPr>
              <w:t>Exhibit</w:t>
            </w: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rPr>
              <w:t>Filing Date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69"/>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3.1</w:t>
            </w:r>
          </w:p>
        </w:tc>
        <w:tc>
          <w:tcPr>
            <w:tcW w:w="5840" w:type="dxa"/>
            <w:vAlign w:val="bottom"/>
            <w:gridSpan w:val="18"/>
          </w:tcPr>
          <w:p>
            <w:pP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Certificate of Amendment to Restated Certificate of Incorporation of Madrigal</w:t>
              </w:r>
            </w:hyperlink>
          </w:p>
        </w:tc>
        <w:tc>
          <w:tcPr>
            <w:tcW w:w="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8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Pharmaceuticals, Inc., as filed on June 16, 2023 with the Secretary of State of the</w:t>
              </w:r>
            </w:hyperlink>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840" w:type="dxa"/>
            <w:vAlign w:val="bottom"/>
            <w:gridSpan w:val="18"/>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State of Delaware</w:t>
              </w:r>
            </w:hyperlink>
          </w:p>
        </w:tc>
        <w:tc>
          <w:tcPr>
            <w:tcW w:w="680" w:type="dxa"/>
            <w:vAlign w:val="bottom"/>
          </w:tcPr>
          <w:p>
            <w:pPr>
              <w:jc w:val="right"/>
              <w:ind w:right="76"/>
              <w:spacing w:after="0" w:line="196" w:lineRule="exact"/>
              <w:rPr>
                <w:sz w:val="20"/>
                <w:szCs w:val="20"/>
                <w:color w:val="auto"/>
              </w:rPr>
            </w:pPr>
            <w:r>
              <w:rPr>
                <w:rFonts w:ascii="Arial" w:cs="Arial" w:eastAsia="Arial" w:hAnsi="Arial"/>
                <w:sz w:val="18"/>
                <w:szCs w:val="18"/>
                <w:color w:val="auto"/>
              </w:rPr>
              <w:t>8-K</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001-33277</w:t>
            </w:r>
          </w:p>
        </w:tc>
        <w:tc>
          <w:tcPr>
            <w:tcW w:w="620" w:type="dxa"/>
            <w:vAlign w:val="bottom"/>
          </w:tcPr>
          <w:p>
            <w:pPr>
              <w:jc w:val="right"/>
              <w:ind w:right="16"/>
              <w:spacing w:after="0" w:line="196" w:lineRule="exact"/>
              <w:rPr>
                <w:sz w:val="20"/>
                <w:szCs w:val="20"/>
                <w:color w:val="auto"/>
              </w:rPr>
            </w:pPr>
            <w:r>
              <w:rPr>
                <w:rFonts w:ascii="Arial" w:cs="Arial" w:eastAsia="Arial" w:hAnsi="Arial"/>
                <w:sz w:val="18"/>
                <w:szCs w:val="18"/>
                <w:color w:val="auto"/>
              </w:rPr>
              <w:t>3.1</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w w:val="94"/>
              </w:rPr>
              <w:t>June 20, 2023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5.1</w:t>
            </w:r>
          </w:p>
        </w:tc>
        <w:tc>
          <w:tcPr>
            <w:tcW w:w="5840" w:type="dxa"/>
            <w:vAlign w:val="bottom"/>
            <w:gridSpan w:val="18"/>
          </w:tcPr>
          <w:p>
            <w:pPr>
              <w:spacing w:after="0"/>
              <w:rPr>
                <w:sz w:val="20"/>
                <w:szCs w:val="20"/>
                <w:color w:val="auto"/>
              </w:rPr>
            </w:pPr>
            <w:r>
              <w:rPr>
                <w:rFonts w:ascii="Arial" w:cs="Arial" w:eastAsia="Arial" w:hAnsi="Arial"/>
                <w:sz w:val="18"/>
                <w:szCs w:val="18"/>
                <w:color w:val="0000EE"/>
              </w:rPr>
              <w:t>Legal Opinion of Hogan Lovells US LLP</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10.1</w:t>
            </w:r>
          </w:p>
        </w:tc>
        <w:tc>
          <w:tcPr>
            <w:tcW w:w="5440" w:type="dxa"/>
            <w:vAlign w:val="bottom"/>
            <w:tcBorders>
              <w:bottom w:val="single" w:sz="8" w:color="0000EE"/>
            </w:tcBorders>
            <w:gridSpan w:val="12"/>
          </w:tcPr>
          <w:p>
            <w:pPr>
              <w:spacing w:after="0"/>
              <w:rPr>
                <w:rFonts w:ascii="Arial" w:cs="Arial" w:eastAsia="Arial" w:hAnsi="Arial"/>
                <w:sz w:val="18"/>
                <w:szCs w:val="18"/>
                <w:color w:val="0000EE"/>
                <w:w w:val="89"/>
              </w:rPr>
            </w:pPr>
            <w:hyperlink r:id="rId47">
              <w:r>
                <w:rPr>
                  <w:rFonts w:ascii="Arial" w:cs="Arial" w:eastAsia="Arial" w:hAnsi="Arial"/>
                  <w:sz w:val="18"/>
                  <w:szCs w:val="18"/>
                  <w:color w:val="0000EE"/>
                  <w:w w:val="89"/>
                </w:rPr>
                <w:t>Amendment No. 1 to Sales Agreement, dated May 9, 2023, by and between</w:t>
              </w:r>
            </w:hyperlink>
          </w:p>
        </w:tc>
        <w:tc>
          <w:tcPr>
            <w:tcW w:w="40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Madrigal Pharmaceuticals, Inc. and Cowen and Company, LLC.</w:t>
              </w:r>
            </w:hyperlink>
          </w:p>
        </w:tc>
        <w:tc>
          <w:tcPr>
            <w:tcW w:w="1220" w:type="dxa"/>
            <w:vAlign w:val="bottom"/>
            <w:gridSpan w:val="9"/>
          </w:tcPr>
          <w:p>
            <w:pPr>
              <w:spacing w:after="0"/>
              <w:rPr>
                <w:sz w:val="17"/>
                <w:szCs w:val="17"/>
                <w:color w:val="auto"/>
              </w:rPr>
            </w:pPr>
          </w:p>
        </w:tc>
        <w:tc>
          <w:tcPr>
            <w:tcW w:w="680" w:type="dxa"/>
            <w:vAlign w:val="bottom"/>
          </w:tcPr>
          <w:p>
            <w:pPr>
              <w:jc w:val="right"/>
              <w:ind w:right="76"/>
              <w:spacing w:after="0" w:line="196" w:lineRule="exact"/>
              <w:rPr>
                <w:sz w:val="20"/>
                <w:szCs w:val="20"/>
                <w:color w:val="auto"/>
              </w:rPr>
            </w:pPr>
            <w:r>
              <w:rPr>
                <w:rFonts w:ascii="Arial" w:cs="Arial" w:eastAsia="Arial" w:hAnsi="Arial"/>
                <w:sz w:val="18"/>
                <w:szCs w:val="18"/>
                <w:color w:val="auto"/>
              </w:rPr>
              <w:t>8-K</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001-33277</w:t>
            </w:r>
          </w:p>
        </w:tc>
        <w:tc>
          <w:tcPr>
            <w:tcW w:w="620" w:type="dxa"/>
            <w:vAlign w:val="bottom"/>
          </w:tcPr>
          <w:p>
            <w:pPr>
              <w:jc w:val="right"/>
              <w:ind w:right="16"/>
              <w:spacing w:after="0" w:line="196" w:lineRule="exact"/>
              <w:rPr>
                <w:sz w:val="20"/>
                <w:szCs w:val="20"/>
                <w:color w:val="auto"/>
              </w:rPr>
            </w:pPr>
            <w:r>
              <w:rPr>
                <w:rFonts w:ascii="Arial" w:cs="Arial" w:eastAsia="Arial" w:hAnsi="Arial"/>
                <w:sz w:val="18"/>
                <w:szCs w:val="18"/>
                <w:color w:val="auto"/>
              </w:rPr>
              <w:t>1.1</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May 9, 2023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10.2</w:t>
            </w:r>
          </w:p>
        </w:tc>
        <w:tc>
          <w:tcPr>
            <w:tcW w:w="56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Registration Rights Agreement, dated August 7, 2023, by and among Madrigal</w:t>
            </w:r>
          </w:p>
        </w:tc>
        <w:tc>
          <w:tcPr>
            <w:tcW w:w="18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840" w:type="dxa"/>
            <w:vAlign w:val="bottom"/>
            <w:gridSpan w:val="18"/>
          </w:tcPr>
          <w:p>
            <w:pPr>
              <w:spacing w:after="0" w:line="196" w:lineRule="exact"/>
              <w:rPr>
                <w:sz w:val="20"/>
                <w:szCs w:val="20"/>
                <w:color w:val="auto"/>
              </w:rPr>
            </w:pPr>
            <w:r>
              <w:rPr>
                <w:rFonts w:ascii="Arial" w:cs="Arial" w:eastAsia="Arial" w:hAnsi="Arial"/>
                <w:sz w:val="18"/>
                <w:szCs w:val="18"/>
                <w:color w:val="0000EE"/>
              </w:rPr>
              <w:t>Pharmaceuticals, Inc., 667, L.P. and Baker Brothers Life Sciences, L.P.</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10.3</w:t>
            </w:r>
          </w:p>
        </w:tc>
        <w:tc>
          <w:tcPr>
            <w:tcW w:w="27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Form of RSU Agreement for Directors</w:t>
            </w:r>
          </w:p>
        </w:tc>
        <w:tc>
          <w:tcPr>
            <w:tcW w:w="2320" w:type="dxa"/>
            <w:vAlign w:val="bottom"/>
            <w:tcBorders>
              <w:top w:val="single" w:sz="8" w:color="0000EE"/>
            </w:tcBorders>
            <w:gridSpan w:val="7"/>
          </w:tcPr>
          <w:p>
            <w:pPr>
              <w:spacing w:after="0"/>
              <w:rPr>
                <w:sz w:val="24"/>
                <w:szCs w:val="24"/>
                <w:color w:val="auto"/>
              </w:rPr>
            </w:pPr>
          </w:p>
        </w:tc>
        <w:tc>
          <w:tcPr>
            <w:tcW w:w="74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10.4</w:t>
            </w:r>
          </w:p>
        </w:tc>
        <w:tc>
          <w:tcPr>
            <w:tcW w:w="34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Form of RSU Agreement for Executive Officers</w:t>
            </w:r>
          </w:p>
        </w:tc>
        <w:tc>
          <w:tcPr>
            <w:tcW w:w="238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10.5</w:t>
            </w:r>
          </w:p>
        </w:tc>
        <w:tc>
          <w:tcPr>
            <w:tcW w:w="5840" w:type="dxa"/>
            <w:vAlign w:val="bottom"/>
            <w:gridSpan w:val="18"/>
          </w:tcPr>
          <w:p>
            <w:pPr>
              <w:spacing w:after="0"/>
              <w:rPr>
                <w:sz w:val="20"/>
                <w:szCs w:val="20"/>
                <w:color w:val="auto"/>
              </w:rPr>
            </w:pPr>
            <w:r>
              <w:rPr>
                <w:rFonts w:ascii="Arial" w:cs="Arial" w:eastAsia="Arial" w:hAnsi="Arial"/>
                <w:sz w:val="18"/>
                <w:szCs w:val="18"/>
                <w:color w:val="0000EE"/>
              </w:rPr>
              <w:t>Form of RSU Agreement for Employees</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23.1</w:t>
            </w:r>
          </w:p>
        </w:tc>
        <w:tc>
          <w:tcPr>
            <w:tcW w:w="43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Consent of Hogan Lovells US LLP (included in Exhibit 5.1)</w:t>
            </w:r>
          </w:p>
        </w:tc>
        <w:tc>
          <w:tcPr>
            <w:tcW w:w="150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31.1</w:t>
            </w:r>
          </w:p>
        </w:tc>
        <w:tc>
          <w:tcPr>
            <w:tcW w:w="56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2"/>
              </w:rPr>
              <w:t>Certification of Principal Executive Officer pursuant to Rule 13a-14(a) or Rule</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2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15d-14(a) of the Securities Exchange Act of 1934, as adopted pursuant to</w:t>
            </w:r>
          </w:p>
        </w:tc>
        <w:tc>
          <w:tcPr>
            <w:tcW w:w="5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840" w:type="dxa"/>
            <w:vAlign w:val="bottom"/>
            <w:gridSpan w:val="18"/>
          </w:tcPr>
          <w:p>
            <w:pPr>
              <w:spacing w:after="0" w:line="196" w:lineRule="exact"/>
              <w:rPr>
                <w:sz w:val="20"/>
                <w:szCs w:val="20"/>
                <w:color w:val="auto"/>
              </w:rPr>
            </w:pPr>
            <w:r>
              <w:rPr>
                <w:rFonts w:ascii="Arial" w:cs="Arial" w:eastAsia="Arial" w:hAnsi="Arial"/>
                <w:sz w:val="18"/>
                <w:szCs w:val="18"/>
                <w:color w:val="0000EE"/>
              </w:rPr>
              <w:t>Section 302 of the Sarbanes-Oxley Act of 2002.</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512"/>
              <w:spacing w:after="0"/>
              <w:rPr>
                <w:sz w:val="20"/>
                <w:szCs w:val="20"/>
                <w:color w:val="auto"/>
              </w:rPr>
            </w:pPr>
            <w:r>
              <w:rPr>
                <w:rFonts w:ascii="Arial" w:cs="Arial" w:eastAsia="Arial" w:hAnsi="Arial"/>
                <w:sz w:val="18"/>
                <w:szCs w:val="18"/>
                <w:color w:val="auto"/>
              </w:rPr>
              <w:t>31.2</w:t>
            </w:r>
          </w:p>
        </w:tc>
        <w:tc>
          <w:tcPr>
            <w:tcW w:w="5840" w:type="dxa"/>
            <w:vAlign w:val="bottom"/>
            <w:gridSpan w:val="18"/>
          </w:tcPr>
          <w:p>
            <w:pPr>
              <w:spacing w:after="0"/>
              <w:rPr>
                <w:sz w:val="20"/>
                <w:szCs w:val="20"/>
                <w:color w:val="auto"/>
              </w:rPr>
            </w:pPr>
            <w:r>
              <w:rPr>
                <w:rFonts w:ascii="Arial" w:cs="Arial" w:eastAsia="Arial" w:hAnsi="Arial"/>
                <w:sz w:val="18"/>
                <w:szCs w:val="18"/>
                <w:color w:val="0000EE"/>
                <w:w w:val="95"/>
              </w:rPr>
              <w:t>Certification of Principal Financial Officer pursuant to Rule 13a-14(a) or Rule</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15d-14(a) of the Securities Exchange Act of 1934, as adopted pursuant to</w:t>
            </w:r>
          </w:p>
        </w:tc>
        <w:tc>
          <w:tcPr>
            <w:tcW w:w="360" w:type="dxa"/>
            <w:vAlign w:val="bottom"/>
            <w:tcBorders>
              <w:top w:val="single" w:sz="8" w:color="0000EE"/>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840" w:type="dxa"/>
            <w:vAlign w:val="bottom"/>
            <w:gridSpan w:val="18"/>
          </w:tcPr>
          <w:p>
            <w:pPr>
              <w:spacing w:after="0" w:line="196" w:lineRule="exact"/>
              <w:rPr>
                <w:sz w:val="20"/>
                <w:szCs w:val="20"/>
                <w:color w:val="auto"/>
              </w:rPr>
            </w:pPr>
            <w:r>
              <w:rPr>
                <w:rFonts w:ascii="Arial" w:cs="Arial" w:eastAsia="Arial" w:hAnsi="Arial"/>
                <w:sz w:val="18"/>
                <w:szCs w:val="18"/>
                <w:color w:val="0000EE"/>
              </w:rPr>
              <w:t>Section 302 of the Sarbanes-Oxley Act of 2002.</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32.1*</w:t>
            </w:r>
          </w:p>
        </w:tc>
        <w:tc>
          <w:tcPr>
            <w:tcW w:w="5840" w:type="dxa"/>
            <w:vAlign w:val="bottom"/>
            <w:gridSpan w:val="18"/>
          </w:tcPr>
          <w:p>
            <w:pPr>
              <w:spacing w:after="0"/>
              <w:rPr>
                <w:sz w:val="20"/>
                <w:szCs w:val="20"/>
                <w:color w:val="auto"/>
              </w:rPr>
            </w:pPr>
            <w:r>
              <w:rPr>
                <w:rFonts w:ascii="Arial" w:cs="Arial" w:eastAsia="Arial" w:hAnsi="Arial"/>
                <w:sz w:val="18"/>
                <w:szCs w:val="18"/>
                <w:color w:val="0000EE"/>
                <w:w w:val="98"/>
              </w:rPr>
              <w:t>Certifications of Principal Executive Officer and Principal Financial Officer,</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420" w:type="dxa"/>
            <w:vAlign w:val="bottom"/>
            <w:gridSpan w:val="11"/>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840" w:type="dxa"/>
            <w:vAlign w:val="bottom"/>
            <w:gridSpan w:val="18"/>
          </w:tcPr>
          <w:p>
            <w:pPr>
              <w:spacing w:after="0" w:line="196" w:lineRule="exact"/>
              <w:rPr>
                <w:sz w:val="20"/>
                <w:szCs w:val="20"/>
                <w:color w:val="auto"/>
              </w:rPr>
            </w:pPr>
            <w:r>
              <w:rPr>
                <w:rFonts w:ascii="Arial" w:cs="Arial" w:eastAsia="Arial" w:hAnsi="Arial"/>
                <w:sz w:val="18"/>
                <w:szCs w:val="18"/>
                <w:color w:val="0000EE"/>
                <w:w w:val="92"/>
              </w:rPr>
              <w:t>pursuant to 18 U.S.C. Section 1350, as adopted pursuant to Section 906 of the</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6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Sarbanes-Oxley Act of 2002.</w:t>
            </w:r>
          </w:p>
        </w:tc>
        <w:tc>
          <w:tcPr>
            <w:tcW w:w="2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76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jc w:val="right"/>
              <w:ind w:right="312"/>
              <w:spacing w:after="0"/>
              <w:rPr>
                <w:sz w:val="20"/>
                <w:szCs w:val="20"/>
                <w:color w:val="auto"/>
              </w:rPr>
            </w:pPr>
            <w:r>
              <w:rPr>
                <w:rFonts w:ascii="Arial" w:cs="Arial" w:eastAsia="Arial" w:hAnsi="Arial"/>
                <w:sz w:val="18"/>
                <w:szCs w:val="18"/>
                <w:color w:val="auto"/>
                <w:w w:val="89"/>
              </w:rPr>
              <w:t>101.INS</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00" w:type="dxa"/>
            <w:vAlign w:val="bottom"/>
          </w:tcPr>
          <w:p>
            <w:pPr>
              <w:jc w:val="center"/>
              <w:ind w:right="252"/>
              <w:spacing w:after="0"/>
              <w:rPr>
                <w:sz w:val="20"/>
                <w:szCs w:val="20"/>
                <w:color w:val="auto"/>
              </w:rPr>
            </w:pPr>
            <w:r>
              <w:rPr>
                <w:rFonts w:ascii="Arial" w:cs="Arial" w:eastAsia="Arial" w:hAnsi="Arial"/>
                <w:sz w:val="18"/>
                <w:szCs w:val="18"/>
                <w:color w:val="auto"/>
                <w:w w:val="90"/>
              </w:rPr>
              <w:t>101.SCH</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00" w:type="dxa"/>
            <w:vAlign w:val="bottom"/>
          </w:tcPr>
          <w:p>
            <w:pPr>
              <w:jc w:val="center"/>
              <w:ind w:right="232"/>
              <w:spacing w:after="0"/>
              <w:rPr>
                <w:sz w:val="20"/>
                <w:szCs w:val="20"/>
                <w:color w:val="auto"/>
              </w:rPr>
            </w:pPr>
            <w:r>
              <w:rPr>
                <w:rFonts w:ascii="Arial" w:cs="Arial" w:eastAsia="Arial" w:hAnsi="Arial"/>
                <w:sz w:val="18"/>
                <w:szCs w:val="18"/>
                <w:color w:val="auto"/>
                <w:w w:val="97"/>
              </w:rPr>
              <w:t>101.CAL</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00" w:type="dxa"/>
            <w:vAlign w:val="bottom"/>
          </w:tcPr>
          <w:p>
            <w:pPr>
              <w:jc w:val="center"/>
              <w:ind w:right="232"/>
              <w:spacing w:after="0"/>
              <w:rPr>
                <w:sz w:val="20"/>
                <w:szCs w:val="20"/>
                <w:color w:val="auto"/>
              </w:rPr>
            </w:pPr>
            <w:r>
              <w:rPr>
                <w:rFonts w:ascii="Arial" w:cs="Arial" w:eastAsia="Arial" w:hAnsi="Arial"/>
                <w:sz w:val="18"/>
                <w:szCs w:val="18"/>
                <w:color w:val="auto"/>
                <w:w w:val="98"/>
              </w:rPr>
              <w:t>101.LAB</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00" w:type="dxa"/>
            <w:vAlign w:val="bottom"/>
          </w:tcPr>
          <w:p>
            <w:pPr>
              <w:jc w:val="center"/>
              <w:ind w:right="272"/>
              <w:spacing w:after="0"/>
              <w:rPr>
                <w:sz w:val="20"/>
                <w:szCs w:val="20"/>
                <w:color w:val="auto"/>
              </w:rPr>
            </w:pPr>
            <w:r>
              <w:rPr>
                <w:rFonts w:ascii="Arial" w:cs="Arial" w:eastAsia="Arial" w:hAnsi="Arial"/>
                <w:sz w:val="18"/>
                <w:szCs w:val="18"/>
                <w:color w:val="auto"/>
                <w:w w:val="88"/>
              </w:rPr>
              <w:t>101.PRE</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00" w:type="dxa"/>
            <w:vAlign w:val="bottom"/>
          </w:tcPr>
          <w:p>
            <w:pPr>
              <w:jc w:val="center"/>
              <w:ind w:right="252"/>
              <w:spacing w:after="0"/>
              <w:rPr>
                <w:sz w:val="20"/>
                <w:szCs w:val="20"/>
                <w:color w:val="auto"/>
              </w:rPr>
            </w:pPr>
            <w:r>
              <w:rPr>
                <w:rFonts w:ascii="Arial" w:cs="Arial" w:eastAsia="Arial" w:hAnsi="Arial"/>
                <w:sz w:val="18"/>
                <w:szCs w:val="18"/>
                <w:color w:val="auto"/>
                <w:w w:val="92"/>
              </w:rPr>
              <w:t>101.DEF</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04" w:right="4080" w:hanging="1004"/>
        <w:spacing w:after="0" w:line="277" w:lineRule="auto"/>
        <w:tabs>
          <w:tab w:leader="none" w:pos="100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197" w:lineRule="exact"/>
        <w:rPr>
          <w:sz w:val="20"/>
          <w:szCs w:val="20"/>
          <w:color w:val="auto"/>
        </w:rPr>
      </w:pPr>
    </w:p>
    <w:p>
      <w:pPr>
        <w:ind w:left="224" w:hanging="224"/>
        <w:spacing w:after="0" w:line="259" w:lineRule="auto"/>
        <w:tabs>
          <w:tab w:leader="none" w:pos="2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1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4"/>
          </w:cols>
          <w:pgMar w:left="436" w:top="513" w:right="539" w:bottom="1440" w:gutter="0" w:footer="0" w:header="0"/>
        </w:sectPr>
      </w:pPr>
    </w:p>
    <w:bookmarkStart w:id="30" w:name="page31"/>
    <w:bookmarkEnd w:id="30"/>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MADRIGAL PHARMACEUTICALS,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60"/>
          </w:cols>
          <w:pgMar w:left="440" w:top="513" w:right="11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22960" cy="822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Hogan Lovells US LLP</w:t>
      </w:r>
    </w:p>
    <w:p>
      <w:pPr>
        <w:ind w:left="5620"/>
        <w:spacing w:after="0" w:line="221" w:lineRule="auto"/>
        <w:rPr>
          <w:sz w:val="20"/>
          <w:szCs w:val="20"/>
          <w:color w:val="auto"/>
        </w:rPr>
      </w:pPr>
      <w:r>
        <w:rPr>
          <w:rFonts w:ascii="Arial" w:cs="Arial" w:eastAsia="Arial" w:hAnsi="Arial"/>
          <w:sz w:val="14"/>
          <w:szCs w:val="14"/>
          <w:color w:val="auto"/>
        </w:rPr>
        <w:t>555 Thirteenth Street, NW</w:t>
      </w:r>
    </w:p>
    <w:p>
      <w:pPr>
        <w:ind w:left="5620"/>
        <w:spacing w:after="0" w:line="221" w:lineRule="auto"/>
        <w:rPr>
          <w:sz w:val="20"/>
          <w:szCs w:val="20"/>
          <w:color w:val="auto"/>
        </w:rPr>
      </w:pPr>
      <w:r>
        <w:rPr>
          <w:rFonts w:ascii="Arial" w:cs="Arial" w:eastAsia="Arial" w:hAnsi="Arial"/>
          <w:sz w:val="14"/>
          <w:szCs w:val="14"/>
          <w:color w:val="auto"/>
        </w:rPr>
        <w:t>Washington, D.C. 20004</w:t>
      </w:r>
    </w:p>
    <w:p>
      <w:pPr>
        <w:ind w:left="5620"/>
        <w:spacing w:after="0" w:line="222" w:lineRule="auto"/>
        <w:rPr>
          <w:sz w:val="20"/>
          <w:szCs w:val="20"/>
          <w:color w:val="auto"/>
        </w:rPr>
      </w:pPr>
      <w:r>
        <w:rPr>
          <w:rFonts w:ascii="Arial" w:cs="Arial" w:eastAsia="Arial" w:hAnsi="Arial"/>
          <w:sz w:val="14"/>
          <w:szCs w:val="14"/>
          <w:color w:val="auto"/>
        </w:rPr>
        <w:t>T +1 202 637 5600</w:t>
      </w:r>
    </w:p>
    <w:p>
      <w:pPr>
        <w:ind w:left="5620"/>
        <w:spacing w:after="0" w:line="221" w:lineRule="auto"/>
        <w:rPr>
          <w:sz w:val="20"/>
          <w:szCs w:val="20"/>
          <w:color w:val="auto"/>
        </w:rPr>
      </w:pPr>
      <w:r>
        <w:rPr>
          <w:rFonts w:ascii="Arial" w:cs="Arial" w:eastAsia="Arial" w:hAnsi="Arial"/>
          <w:sz w:val="14"/>
          <w:szCs w:val="14"/>
          <w:color w:val="auto"/>
        </w:rPr>
        <w:t>F +1 202 637 5910</w:t>
      </w:r>
    </w:p>
    <w:p>
      <w:pPr>
        <w:ind w:left="5620"/>
        <w:spacing w:after="0"/>
        <w:rPr>
          <w:sz w:val="20"/>
          <w:szCs w:val="20"/>
          <w:color w:val="auto"/>
        </w:rPr>
      </w:pPr>
      <w:r>
        <w:rPr>
          <w:rFonts w:ascii="Arial" w:cs="Arial" w:eastAsia="Arial" w:hAnsi="Arial"/>
          <w:sz w:val="14"/>
          <w:szCs w:val="14"/>
          <w:color w:val="auto"/>
        </w:rPr>
        <w:t>www.hoganlovells.com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August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Madrigal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 Tower Bridge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Barr Harbor Drive,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Conshohocken, PA 19428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acting as counsel to Madrigal Pharmaceuticals,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public offering by entities affiliated with Baker Bros. Advisors LP (collectively, the “</w:t>
      </w:r>
      <w:r>
        <w:rPr>
          <w:rFonts w:ascii="Arial" w:cs="Arial" w:eastAsia="Arial" w:hAnsi="Arial"/>
          <w:sz w:val="16"/>
          <w:szCs w:val="16"/>
          <w:b w:val="1"/>
          <w:bCs w:val="1"/>
          <w:color w:val="auto"/>
        </w:rPr>
        <w:t>Selling Stockholder</w:t>
      </w:r>
      <w:r>
        <w:rPr>
          <w:rFonts w:ascii="Arial" w:cs="Arial" w:eastAsia="Arial" w:hAnsi="Arial"/>
          <w:sz w:val="16"/>
          <w:szCs w:val="16"/>
          <w:color w:val="auto"/>
        </w:rPr>
        <w:t>”) of up to (i) 1,545,113 shares of the Company’s common stock, par value $0.01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currently issued and outstanding (the “</w:t>
      </w:r>
      <w:r>
        <w:rPr>
          <w:rFonts w:ascii="Arial" w:cs="Arial" w:eastAsia="Arial" w:hAnsi="Arial"/>
          <w:sz w:val="16"/>
          <w:szCs w:val="16"/>
          <w:b w:val="1"/>
          <w:bCs w:val="1"/>
          <w:color w:val="auto"/>
        </w:rPr>
        <w:t>Outstanding Shares</w:t>
      </w:r>
      <w:r>
        <w:rPr>
          <w:rFonts w:ascii="Arial" w:cs="Arial" w:eastAsia="Arial" w:hAnsi="Arial"/>
          <w:sz w:val="16"/>
          <w:szCs w:val="16"/>
          <w:color w:val="auto"/>
        </w:rPr>
        <w:t>”), including 979,457 shares of Common Stock purchased by the Selling Stockholders in open market transactions (the “</w:t>
      </w:r>
      <w:r>
        <w:rPr>
          <w:rFonts w:ascii="Arial" w:cs="Arial" w:eastAsia="Arial" w:hAnsi="Arial"/>
          <w:sz w:val="16"/>
          <w:szCs w:val="16"/>
          <w:b w:val="1"/>
          <w:bCs w:val="1"/>
          <w:color w:val="auto"/>
        </w:rPr>
        <w:t>Open Market Shares</w:t>
      </w:r>
      <w:r>
        <w:rPr>
          <w:rFonts w:ascii="Arial" w:cs="Arial" w:eastAsia="Arial" w:hAnsi="Arial"/>
          <w:sz w:val="16"/>
          <w:szCs w:val="16"/>
          <w:color w:val="auto"/>
        </w:rPr>
        <w:t>”) and (ii) 1,969,797 shares of Common Stock issuable upon conversion (the “</w:t>
      </w:r>
      <w:r>
        <w:rPr>
          <w:rFonts w:ascii="Arial" w:cs="Arial" w:eastAsia="Arial" w:hAnsi="Arial"/>
          <w:sz w:val="16"/>
          <w:szCs w:val="16"/>
          <w:b w:val="1"/>
          <w:bCs w:val="1"/>
          <w:color w:val="auto"/>
        </w:rPr>
        <w:t>Series A Conversion Shares</w:t>
      </w:r>
      <w:r>
        <w:rPr>
          <w:rFonts w:ascii="Arial" w:cs="Arial" w:eastAsia="Arial" w:hAnsi="Arial"/>
          <w:sz w:val="16"/>
          <w:szCs w:val="16"/>
          <w:color w:val="auto"/>
        </w:rPr>
        <w:t>”) of the Company’s Series A Convertible Preferred Stock, par value $0.01 per share (the “</w:t>
      </w:r>
      <w:r>
        <w:rPr>
          <w:rFonts w:ascii="Arial" w:cs="Arial" w:eastAsia="Arial" w:hAnsi="Arial"/>
          <w:sz w:val="16"/>
          <w:szCs w:val="16"/>
          <w:b w:val="1"/>
          <w:b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Shares</w:t>
      </w:r>
      <w:r>
        <w:rPr>
          <w:rFonts w:ascii="Arial" w:cs="Arial" w:eastAsia="Arial" w:hAnsi="Arial"/>
          <w:sz w:val="16"/>
          <w:szCs w:val="16"/>
          <w:color w:val="auto"/>
        </w:rPr>
        <w:t>”) and 400,000 shares of Common Stock issuable upon conversion (the “</w:t>
      </w:r>
      <w:r>
        <w:rPr>
          <w:rFonts w:ascii="Arial" w:cs="Arial" w:eastAsia="Arial" w:hAnsi="Arial"/>
          <w:sz w:val="16"/>
          <w:szCs w:val="16"/>
          <w:b w:val="1"/>
          <w:bCs w:val="1"/>
          <w:color w:val="auto"/>
        </w:rPr>
        <w:t>Series B Conversion Shares</w:t>
      </w:r>
      <w:r>
        <w:rPr>
          <w:rFonts w:ascii="Arial" w:cs="Arial" w:eastAsia="Arial" w:hAnsi="Arial"/>
          <w:sz w:val="16"/>
          <w:szCs w:val="16"/>
          <w:color w:val="auto"/>
        </w:rPr>
        <w:t>” and, together with the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Shares, the “</w:t>
      </w:r>
      <w:r>
        <w:rPr>
          <w:rFonts w:ascii="Arial" w:cs="Arial" w:eastAsia="Arial" w:hAnsi="Arial"/>
          <w:sz w:val="16"/>
          <w:szCs w:val="16"/>
          <w:b w:val="1"/>
          <w:bCs w:val="1"/>
          <w:color w:val="auto"/>
        </w:rPr>
        <w:t>Conversion Shares</w:t>
      </w:r>
      <w:r>
        <w:rPr>
          <w:rFonts w:ascii="Arial" w:cs="Arial" w:eastAsia="Arial" w:hAnsi="Arial"/>
          <w:sz w:val="16"/>
          <w:szCs w:val="16"/>
          <w:color w:val="auto"/>
        </w:rPr>
        <w:t>”) of the Company’s Series B Convertible Preferred Stock, par value $0.01 per share (the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Shares</w:t>
      </w:r>
      <w:r>
        <w:rPr>
          <w:rFonts w:ascii="Arial" w:cs="Arial" w:eastAsia="Arial" w:hAnsi="Arial"/>
          <w:sz w:val="16"/>
          <w:szCs w:val="16"/>
          <w:color w:val="auto"/>
        </w:rPr>
        <w:t>”) owned by the Selling Stockholder pursuant to the prospectus supplement, dated August 8, 2023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on June 1, 2021, including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and together with the Prospectus Supplement, the “</w:t>
      </w:r>
      <w:r>
        <w:rPr>
          <w:rFonts w:ascii="Arial" w:cs="Arial" w:eastAsia="Arial" w:hAnsi="Arial"/>
          <w:sz w:val="16"/>
          <w:szCs w:val="16"/>
          <w:b w:val="1"/>
          <w:bCs w:val="1"/>
          <w:color w:val="auto"/>
        </w:rPr>
        <w:t>Prospectus</w:t>
      </w:r>
      <w:r>
        <w:rPr>
          <w:rFonts w:ascii="Arial" w:cs="Arial" w:eastAsia="Arial" w:hAnsi="Arial"/>
          <w:sz w:val="16"/>
          <w:szCs w:val="16"/>
          <w:color w:val="auto"/>
        </w:rPr>
        <w:t>”) that forms a part thereof. This opinion letter is furnished to you at your request to enable you to fulfill the requirements of Item 601(b)(5) of Regulation S-K, 17 C.F.R. § 229.601(b)(5), in connection with the Registration Statement.</w:t>
      </w:r>
    </w:p>
    <w:p>
      <w:pPr>
        <w:spacing w:after="0" w:line="17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 For purposes of our opinion, we assume that the Open Market Shares were, when originally issued, duly authorized,</w:t>
      </w:r>
    </w:p>
    <w:p>
      <w:pPr>
        <w:spacing w:after="0" w:line="105"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Hogan Lovells US LLP is a limited liability partnership registered in the District of Columbia. “Hogan Lovells” is an international legal practice that includes Hogan Lovells US LLP and Hogan Lovells International LLP, with offices in: Alicante Amsterdam Baltimore Beijing Birmingham Boston Brussels Colorado Springs Denver Dubai Dusseldorf Frankfurt Hamburg Hanoi Ho Chi Minh City Hong Kong Houston Johannesburg London Los Angeles Luxembourg Madrid Mexico City Miami Milan Minneapolis Monterrey Munich New York Northern Virginia Paris Philadelphia Rome San Francisco São Paulo Shanghai Silicon Valley Singapore Sydney Tokyo Warsaw Washington, D.C. Associated Offices: Budapest Jakarta Riyadh Shanghai FTZ Ulaanbaatar. Business Service Centers: Johannesburg Louisville. Legal Services Center: Berlin. For more information see www.hoganlovells.com</w:t>
      </w:r>
    </w:p>
    <w:p>
      <w:pPr>
        <w:sectPr>
          <w:pgSz w:w="11900" w:h="16838" w:orient="portrait"/>
          <w:cols w:equalWidth="0" w:num="1">
            <w:col w:w="11020"/>
          </w:cols>
          <w:pgMar w:left="440" w:top="121" w:right="439" w:bottom="1440" w:gutter="0" w:footer="0" w:header="0"/>
        </w:sectPr>
      </w:pPr>
    </w:p>
    <w:bookmarkStart w:id="32" w:name="page33"/>
    <w:bookmarkEnd w:id="32"/>
    <w:p>
      <w:pPr>
        <w:ind w:left="5500"/>
        <w:spacing w:after="0"/>
        <w:tabs>
          <w:tab w:leader="none" w:pos="9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-2-</w:t>
      </w:r>
      <w:r>
        <w:rPr>
          <w:sz w:val="20"/>
          <w:szCs w:val="20"/>
          <w:color w:val="auto"/>
        </w:rPr>
        <w:tab/>
      </w:r>
      <w:r>
        <w:rPr>
          <w:rFonts w:ascii="Arial" w:cs="Arial" w:eastAsia="Arial" w:hAnsi="Arial"/>
          <w:sz w:val="16"/>
          <w:szCs w:val="16"/>
          <w:color w:val="auto"/>
        </w:rPr>
        <w:t>August 8, 2023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validly issued, fully-paid and non-assessable, and were the subject of a legal opinion issued prior to the date hereof by another firm of licensed attorneys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such effect.</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opinion letter is based as to matters of law solely on the Delaware General Corporation Law, as amended. We express no opinion herein as to any other statutes, rules or regulations.</w:t>
      </w:r>
    </w:p>
    <w:p>
      <w:pPr>
        <w:spacing w:after="0" w:line="17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Based upon, subject to and limited by the foregoing, we are of the opinion that (i) the Outstanding Shares are validly issued, fully paid, and nonassessable, and (ii) the Conversion Shares have been duly authorized and, if issued upon conversion of the Series A Preferred Shares and the Series B Preferred Shares on the date hereof in accordance with the Certificate of Designation of Preferences, Rights and Limitations of Series A Convertible Preferred Stock, the Certificate of Designation of Preferences, Rights and Limitations of Series B Convertible Preferred Stock and the Restated Certificate of Incorporation, as amended, of the Company, would be validly issued, fully paid and non-assessable.</w:t>
      </w:r>
    </w:p>
    <w:p>
      <w:pPr>
        <w:spacing w:after="0" w:line="176"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This opinion letter has been prepared for use in connection with the filing by the Company of a Quarterly Report on Form 10-Q on the date hereof, which Form 10-Q will be incorporated by reference into the Registration Statement and Prospectus, and speaks as of the date hereof. We assume no obligation to advise of any changes in the foregoing subsequent to the delivery of this letter.</w:t>
      </w:r>
    </w:p>
    <w:p>
      <w:pPr>
        <w:spacing w:after="0" w:line="18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hereby consent to the filing of this opinion letter as Exhibit 5.1 to the above-described Form 10-Q and to the reference to this firm under the caption “Legal Matters” in the Prospectus. In giving this consent, we do not thereby admit that we are an “expert” within the meaning of the 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Hogan Lovells US LLP</w:t>
      </w:r>
    </w:p>
    <w:p>
      <w:pPr>
        <w:sectPr>
          <w:pgSz w:w="11900" w:h="16838" w:orient="portrait"/>
          <w:cols w:equalWidth="0" w:num="1">
            <w:col w:w="11020"/>
          </w:cols>
          <w:pgMar w:left="440" w:top="638"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August 7, 2023 by and between Madrigal Pharmaceuticals,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the persons listed on the attached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who are signatories to this Agreement (collectively, the “</w:t>
      </w:r>
      <w:r>
        <w:rPr>
          <w:rFonts w:ascii="Arial" w:cs="Arial" w:eastAsia="Arial" w:hAnsi="Arial"/>
          <w:sz w:val="16"/>
          <w:szCs w:val="16"/>
          <w:u w:val="single" w:color="auto"/>
          <w:color w:val="auto"/>
        </w:rPr>
        <w:t>Investors</w:t>
      </w:r>
      <w:r>
        <w:rPr>
          <w:rFonts w:ascii="Arial" w:cs="Arial" w:eastAsia="Arial" w:hAnsi="Arial"/>
          <w:sz w:val="16"/>
          <w:szCs w:val="16"/>
          <w:color w:val="auto"/>
        </w:rPr>
        <w:t xml:space="preserve">”). Unless otherwise defined herein, capitalized terms used in this Agreement have the respective meanings ascribed to them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wish to provide for certain arrangements with respect to the registration of the Registrable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below) by the Company under the Securities Act (as defined below).</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covenants set forth herein, and other consideration, the receipt and adequacy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hereby acknowledged, the parties hereto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the terms defined elsewhere in this Agreement, as used in this Agreement, the following terms have the respective meanings set forth below:</w:t>
      </w:r>
    </w:p>
    <w:p>
      <w:pPr>
        <w:spacing w:after="0" w:line="62" w:lineRule="exact"/>
        <w:rPr>
          <w:sz w:val="20"/>
          <w:szCs w:val="20"/>
          <w:color w:val="auto"/>
        </w:rPr>
      </w:pPr>
    </w:p>
    <w:p>
      <w:pPr>
        <w:ind w:left="1240" w:hanging="25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shall mean the Securities and Exchange Commission or any other federal agency at the time administering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color w:val="auto"/>
        </w:rPr>
      </w:pPr>
    </w:p>
    <w:p>
      <w:pPr>
        <w:ind w:left="1240" w:hanging="25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$0.0001 per share.</w:t>
      </w:r>
    </w:p>
    <w:p>
      <w:pPr>
        <w:spacing w:after="0" w:line="225"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or any similar successor federal statute and the rules and regulations thereunder, all as the same shall be in effect from time to time.</w:t>
      </w:r>
    </w:p>
    <w:p>
      <w:pPr>
        <w:spacing w:after="0" w:line="170" w:lineRule="exact"/>
        <w:rPr>
          <w:rFonts w:ascii="Arial" w:cs="Arial" w:eastAsia="Arial" w:hAnsi="Arial"/>
          <w:sz w:val="18"/>
          <w:szCs w:val="18"/>
          <w:color w:val="auto"/>
        </w:rPr>
      </w:pPr>
    </w:p>
    <w:p>
      <w:pPr>
        <w:ind w:right="280" w:firstLine="987"/>
        <w:spacing w:after="0" w:line="277"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Securities</w:t>
      </w:r>
      <w:r>
        <w:rPr>
          <w:rFonts w:ascii="Arial" w:cs="Arial" w:eastAsia="Arial" w:hAnsi="Arial"/>
          <w:sz w:val="18"/>
          <w:szCs w:val="18"/>
          <w:color w:val="auto"/>
        </w:rPr>
        <w:t>” shall mean securities of the Company, other than Registrable Securities (as defined below), with respect to which registration rights have been granted by the Company from time to time.</w:t>
      </w:r>
    </w:p>
    <w:p>
      <w:pPr>
        <w:sectPr>
          <w:pgSz w:w="11900" w:h="16838" w:orient="portrait"/>
          <w:cols w:equalWidth="0" w:num="1">
            <w:col w:w="11020"/>
          </w:cols>
          <w:pgMar w:left="440" w:top="121" w:right="439" w:bottom="1440" w:gutter="0" w:footer="0" w:header="0"/>
        </w:sectPr>
      </w:pPr>
    </w:p>
    <w:bookmarkStart w:id="34" w:name="page35"/>
    <w:bookmarkEnd w:id="34"/>
    <w:p>
      <w:pPr>
        <w:ind w:left="-120" w:right="340" w:firstLine="987"/>
        <w:spacing w:after="0" w:line="342" w:lineRule="auto"/>
        <w:tabs>
          <w:tab w:leader="none" w:pos="1096"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23" w:lineRule="exact"/>
        <w:rPr>
          <w:rFonts w:ascii="Arial" w:cs="Arial" w:eastAsia="Arial" w:hAnsi="Arial"/>
          <w:sz w:val="16"/>
          <w:szCs w:val="16"/>
          <w:color w:val="auto"/>
        </w:rPr>
      </w:pPr>
    </w:p>
    <w:p>
      <w:pPr>
        <w:jc w:val="both"/>
        <w:ind w:left="-120" w:firstLine="987"/>
        <w:spacing w:after="0" w:line="286" w:lineRule="auto"/>
        <w:tabs>
          <w:tab w:leader="none" w:pos="112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shall mean shares of Common Stock and any Common Stock issuable upon the exercise or conversion of any other securities (whether equity, debt or otherwise) of the Company, including, but not limited to, the shares of Common Stock issued or issuable upon conversion of the Company’s Series A Convertible Preferred Stock, now owned or hereafter acquired by any of the Investors.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560" w:top="490" w:right="559" w:bottom="1440" w:gutter="0" w:footer="0" w:header="0"/>
        </w:sectPr>
      </w:pPr>
    </w:p>
    <w:bookmarkStart w:id="35" w:name="page36"/>
    <w:bookmarkEnd w:id="35"/>
    <w:p>
      <w:pPr>
        <w:ind w:left="-20" w:right="700" w:firstLine="987"/>
        <w:spacing w:after="0" w:line="342" w:lineRule="auto"/>
        <w:tabs>
          <w:tab w:leader="none" w:pos="1223"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shall refer to a registration effected by preparing and filing a Registration Statement in compliance with the Securities Act, and such Registration Statement becoming effective under the Securities Act.</w:t>
      </w:r>
    </w:p>
    <w:p>
      <w:pPr>
        <w:spacing w:after="0" w:line="123" w:lineRule="exact"/>
        <w:rPr>
          <w:rFonts w:ascii="Arial" w:cs="Arial" w:eastAsia="Arial" w:hAnsi="Arial"/>
          <w:sz w:val="16"/>
          <w:szCs w:val="16"/>
          <w:color w:val="auto"/>
        </w:rPr>
      </w:pPr>
    </w:p>
    <w:p>
      <w:pPr>
        <w:ind w:left="-20" w:right="180" w:firstLine="987"/>
        <w:spacing w:after="0" w:line="275" w:lineRule="auto"/>
        <w:tabs>
          <w:tab w:leader="none" w:pos="11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shall mean all expenses incurred by the Company in effecting any registration pursuant to this Agreement, including, without limitation, all registration, qualification, and filing fees, printing expenses, escrow fees, fees and disbursements of counsel for the Company and up to $50,000 of reasonable legal expenses of one special counsel for Investors (if different from the Company’s counsel and if such counsel is reasonably approved by the Company) for underwritten public offerings, blue sky fees and expenses, and expenses of any regular or special audits incident to or required by any such registration, but shall not include Selling Expenses.</w:t>
      </w:r>
    </w:p>
    <w:p>
      <w:pPr>
        <w:spacing w:after="0" w:line="176" w:lineRule="exact"/>
        <w:rPr>
          <w:rFonts w:ascii="Arial" w:cs="Arial" w:eastAsia="Arial" w:hAnsi="Arial"/>
          <w:sz w:val="17"/>
          <w:szCs w:val="17"/>
          <w:color w:val="auto"/>
        </w:rPr>
      </w:pPr>
    </w:p>
    <w:p>
      <w:pPr>
        <w:ind w:left="-20" w:right="260" w:firstLine="987"/>
        <w:spacing w:after="0" w:line="301" w:lineRule="auto"/>
        <w:tabs>
          <w:tab w:leader="none" w:pos="11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of the Company filed with, or to be filed with, the Commission under the Securities Act,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other than a registration statement (and related prospectus) filed on Form S-4 or Form S-8 or any successor forms thereto.</w:t>
      </w:r>
    </w:p>
    <w:p>
      <w:pPr>
        <w:spacing w:after="0" w:line="157" w:lineRule="exact"/>
        <w:rPr>
          <w:rFonts w:ascii="Arial" w:cs="Arial" w:eastAsia="Arial" w:hAnsi="Arial"/>
          <w:sz w:val="16"/>
          <w:szCs w:val="16"/>
          <w:color w:val="auto"/>
        </w:rPr>
      </w:pPr>
    </w:p>
    <w:p>
      <w:pPr>
        <w:ind w:left="-20" w:right="100" w:firstLine="987"/>
        <w:spacing w:after="0" w:line="277" w:lineRule="auto"/>
        <w:tabs>
          <w:tab w:leader="none" w:pos="12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left="-20" w:right="820" w:firstLine="987"/>
        <w:spacing w:after="0" w:line="277" w:lineRule="auto"/>
        <w:tabs>
          <w:tab w:leader="none" w:pos="1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or any similar successor federal statute and the rules and regulations thereunder, all as the same shall be in effect from time to time.</w:t>
      </w:r>
    </w:p>
    <w:p>
      <w:pPr>
        <w:spacing w:after="0" w:line="170" w:lineRule="exact"/>
        <w:rPr>
          <w:rFonts w:ascii="Arial" w:cs="Arial" w:eastAsia="Arial" w:hAnsi="Arial"/>
          <w:sz w:val="18"/>
          <w:szCs w:val="18"/>
          <w:color w:val="auto"/>
        </w:rPr>
      </w:pPr>
    </w:p>
    <w:p>
      <w:pPr>
        <w:jc w:val="both"/>
        <w:ind w:left="-20" w:right="20" w:firstLine="987"/>
        <w:spacing w:after="0" w:line="263" w:lineRule="auto"/>
        <w:tabs>
          <w:tab w:leader="none" w:pos="12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Expenses</w:t>
      </w:r>
      <w:r>
        <w:rPr>
          <w:rFonts w:ascii="Arial" w:cs="Arial" w:eastAsia="Arial" w:hAnsi="Arial"/>
          <w:sz w:val="18"/>
          <w:szCs w:val="18"/>
          <w:color w:val="auto"/>
        </w:rPr>
        <w:t>” shall mean all underwriting discounts and selling commissions applicable to the sale of Registrable Securities, the fees and expenses of any legal counsel and any other advisors any of the Investors engage and all similar fees and commissions relating to the Investors’ disposition of the Registrable Securities.</w:t>
      </w:r>
    </w:p>
    <w:p>
      <w:pPr>
        <w:spacing w:after="0" w:line="183" w:lineRule="exact"/>
        <w:rPr>
          <w:rFonts w:ascii="Arial" w:cs="Arial" w:eastAsia="Arial" w:hAnsi="Arial"/>
          <w:sz w:val="18"/>
          <w:szCs w:val="18"/>
          <w:color w:val="auto"/>
        </w:rPr>
      </w:pPr>
    </w:p>
    <w:p>
      <w:pPr>
        <w:jc w:val="both"/>
        <w:ind w:left="-20" w:right="20" w:firstLine="987"/>
        <w:spacing w:after="0" w:line="263" w:lineRule="auto"/>
        <w:tabs>
          <w:tab w:leader="none" w:pos="12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Convertible Preferred Stock</w:t>
      </w:r>
      <w:r>
        <w:rPr>
          <w:rFonts w:ascii="Arial" w:cs="Arial" w:eastAsia="Arial" w:hAnsi="Arial"/>
          <w:sz w:val="18"/>
          <w:szCs w:val="18"/>
          <w:color w:val="auto"/>
        </w:rPr>
        <w:t>” shall mean the Series A Convertible Preferred Stock, par value $0.0001 per share, issued by the Company pursuant to the terms and conditions of that certain Securities Purchase Agreement dated as of June 20, 2017, by and among the Company and the parties signatory thereto.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Resale Registration Rights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Resale Registration Rights</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54" w:lineRule="auto"/>
        <w:tabs>
          <w:tab w:leader="none" w:pos="12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demand by any Investor, the Company shall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the Registrable Securities by the Investors (the “</w:t>
      </w:r>
      <w:r>
        <w:rPr>
          <w:rFonts w:ascii="Arial" w:cs="Arial" w:eastAsia="Arial" w:hAnsi="Arial"/>
          <w:sz w:val="18"/>
          <w:szCs w:val="18"/>
          <w:u w:val="single" w:color="auto"/>
          <w:color w:val="auto"/>
        </w:rPr>
        <w:t>Resale Registration Shelf</w:t>
      </w:r>
      <w:r>
        <w:rPr>
          <w:rFonts w:ascii="Arial" w:cs="Arial" w:eastAsia="Arial" w:hAnsi="Arial"/>
          <w:sz w:val="18"/>
          <w:szCs w:val="18"/>
          <w:color w:val="auto"/>
        </w:rPr>
        <w:t xml:space="preserve">”), and the Company shall file such Resale Registration Shelf as promptly as reasonably practicable following such demand, and in any event within sixty (60) days of such demand. Such Resale Registration Shelf shall include a “final” prospectus, including the information required by Item 507 of Regulation S-K of the Securities Act, as provided by the Investors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Notwithstanding the foregoing, before filing the Resale Registration Shelf,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490" w:right="459" w:bottom="1440" w:gutter="0" w:footer="0" w:header="0"/>
        </w:sectPr>
      </w:pPr>
    </w:p>
    <w:bookmarkStart w:id="36" w:name="page37"/>
    <w:bookmarkEnd w:id="36"/>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the Company shall furnish to the Investors a copy of the Resale Registration Shelf and afford the Investors an opportunity to review and comment on the Resale Registration Shelf. The Company’s obligation pursuant to this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is conditioned upon the Investors providing the information contemplated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84" w:lineRule="exact"/>
        <w:rPr>
          <w:sz w:val="20"/>
          <w:szCs w:val="20"/>
          <w:color w:val="auto"/>
        </w:rPr>
      </w:pPr>
    </w:p>
    <w:p>
      <w:pPr>
        <w:ind w:left="4" w:right="20" w:firstLine="987"/>
        <w:spacing w:after="0" w:line="254" w:lineRule="auto"/>
        <w:tabs>
          <w:tab w:leader="none" w:pos="12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The Company shall use its reasonable best efforts to cause the Resale Registration Shelf and related prospectuses to become effective as promptly as practicable after filing. The Company shall use its reasonable best efforts to cause such Registration Statement to remain effective under the Securities Act until the earlier of the date (i) all Registrable Securities covered by the Resale Registration Shelf have been sold or may be sold freely without limitations or restrictions as to volume or manner of sale pursuant to Rule 144 or (ii) all Registrable Securities covered by the Resale Registration Shelf otherwise cease to be Registrable Securities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hereof. The Company shall promptly, and within two (2) business days after the Company confirms effectiveness of the Resale Registration Shelf with the Commission, notify the Investors of the effectiveness of the Resale Registration Shelf.</w:t>
      </w:r>
    </w:p>
    <w:p>
      <w:pPr>
        <w:spacing w:after="0" w:line="194" w:lineRule="exact"/>
        <w:rPr>
          <w:rFonts w:ascii="Arial" w:cs="Arial" w:eastAsia="Arial" w:hAnsi="Arial"/>
          <w:sz w:val="18"/>
          <w:szCs w:val="18"/>
          <w:color w:val="auto"/>
        </w:rPr>
      </w:pPr>
    </w:p>
    <w:p>
      <w:pPr>
        <w:ind w:left="4" w:right="60" w:firstLine="987"/>
        <w:spacing w:after="0" w:line="277" w:lineRule="auto"/>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the Company shall not be obligated to effect, or to take any action to effect, a registration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660" w:firstLine="1428"/>
        <w:spacing w:after="0" w:line="277" w:lineRule="auto"/>
        <w:tabs>
          <w:tab w:leader="none" w:pos="1651" w:val="left"/>
        </w:tabs>
        <w:numPr>
          <w:ilvl w:val="2"/>
          <w:numId w:val="15"/>
        </w:numPr>
        <w:rPr>
          <w:rFonts w:ascii="Arial" w:cs="Arial" w:eastAsia="Arial" w:hAnsi="Arial"/>
          <w:sz w:val="18"/>
          <w:szCs w:val="18"/>
          <w:color w:val="auto"/>
        </w:rPr>
      </w:pPr>
      <w:r>
        <w:rPr>
          <w:rFonts w:ascii="Arial" w:cs="Arial" w:eastAsia="Arial" w:hAnsi="Arial"/>
          <w:sz w:val="18"/>
          <w:szCs w:val="18"/>
          <w:color w:val="auto"/>
        </w:rPr>
        <w:t>if the Company has and maintains an effective Registration Statement on Form S-3ASR that provides for the resale of an unlimited number of securities by selling stockholders (a “Company Registration Shelf”); or</w:t>
      </w:r>
    </w:p>
    <w:p>
      <w:pPr>
        <w:spacing w:after="0" w:line="170" w:lineRule="exact"/>
        <w:rPr>
          <w:rFonts w:ascii="Arial" w:cs="Arial" w:eastAsia="Arial" w:hAnsi="Arial"/>
          <w:sz w:val="18"/>
          <w:szCs w:val="18"/>
          <w:color w:val="auto"/>
        </w:rPr>
      </w:pPr>
    </w:p>
    <w:p>
      <w:pPr>
        <w:ind w:left="1704" w:hanging="272"/>
        <w:spacing w:after="0"/>
        <w:tabs>
          <w:tab w:leader="none" w:pos="1704" w:val="left"/>
        </w:tabs>
        <w:numPr>
          <w:ilvl w:val="2"/>
          <w:numId w:val="15"/>
        </w:numPr>
        <w:rPr>
          <w:rFonts w:ascii="Arial" w:cs="Arial" w:eastAsia="Arial" w:hAnsi="Arial"/>
          <w:sz w:val="16"/>
          <w:szCs w:val="16"/>
          <w:color w:val="auto"/>
        </w:rPr>
      </w:pPr>
      <w:r>
        <w:rPr>
          <w:rFonts w:ascii="Arial" w:cs="Arial" w:eastAsia="Arial" w:hAnsi="Arial"/>
          <w:sz w:val="16"/>
          <w:szCs w:val="16"/>
          <w:color w:val="auto"/>
        </w:rPr>
        <w:t>during the period forty-five (45) days prior to the Company’s good faith estimate of the date of filing of a Company Registration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Shelf; or</w:t>
      </w:r>
    </w:p>
    <w:p>
      <w:pPr>
        <w:spacing w:after="0" w:line="210" w:lineRule="exact"/>
        <w:rPr>
          <w:rFonts w:ascii="Arial" w:cs="Arial" w:eastAsia="Arial" w:hAnsi="Arial"/>
          <w:sz w:val="16"/>
          <w:szCs w:val="16"/>
          <w:color w:val="auto"/>
        </w:rPr>
      </w:pPr>
    </w:p>
    <w:p>
      <w:pPr>
        <w:ind w:left="1744" w:hanging="312"/>
        <w:spacing w:after="0"/>
        <w:tabs>
          <w:tab w:leader="none" w:pos="1744" w:val="left"/>
        </w:tabs>
        <w:numPr>
          <w:ilvl w:val="2"/>
          <w:numId w:val="15"/>
        </w:numPr>
        <w:rPr>
          <w:rFonts w:ascii="Arial" w:cs="Arial" w:eastAsia="Arial" w:hAnsi="Arial"/>
          <w:sz w:val="16"/>
          <w:szCs w:val="16"/>
          <w:color w:val="auto"/>
        </w:rPr>
      </w:pPr>
      <w:r>
        <w:rPr>
          <w:rFonts w:ascii="Arial" w:cs="Arial" w:eastAsia="Arial" w:hAnsi="Arial"/>
          <w:sz w:val="16"/>
          <w:szCs w:val="16"/>
          <w:color w:val="auto"/>
        </w:rPr>
        <w:t xml:space="preserve">if the Company has caused a Registration Statement to become effective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during the prior twelve</w:t>
      </w:r>
    </w:p>
    <w:p>
      <w:pPr>
        <w:spacing w:after="0" w:line="46" w:lineRule="exact"/>
        <w:rPr>
          <w:rFonts w:ascii="Arial" w:cs="Arial" w:eastAsia="Arial" w:hAnsi="Arial"/>
          <w:sz w:val="16"/>
          <w:szCs w:val="16"/>
          <w:color w:val="auto"/>
        </w:rPr>
      </w:pPr>
    </w:p>
    <w:p>
      <w:pPr>
        <w:ind w:left="344" w:hanging="344"/>
        <w:spacing w:after="0"/>
        <w:tabs>
          <w:tab w:leader="none" w:pos="3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 period.</w:t>
      </w:r>
    </w:p>
    <w:p>
      <w:pPr>
        <w:spacing w:after="0" w:line="210" w:lineRule="exact"/>
        <w:rPr>
          <w:rFonts w:ascii="Arial" w:cs="Arial" w:eastAsia="Arial" w:hAnsi="Arial"/>
          <w:sz w:val="18"/>
          <w:szCs w:val="18"/>
          <w:color w:val="auto"/>
        </w:rPr>
      </w:pPr>
    </w:p>
    <w:p>
      <w:pPr>
        <w:ind w:left="1244" w:hanging="253"/>
        <w:spacing w:after="0"/>
        <w:tabs>
          <w:tab w:leader="none" w:pos="12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Company has a Company Registration Shelf in place at any time in which the Investors make a demand pursuant to</w:t>
      </w:r>
    </w:p>
    <w:p>
      <w:pPr>
        <w:spacing w:after="0" w:line="23" w:lineRule="exact"/>
        <w:rPr>
          <w:sz w:val="20"/>
          <w:szCs w:val="20"/>
          <w:color w:val="auto"/>
        </w:rPr>
      </w:pPr>
    </w:p>
    <w:p>
      <w:pPr>
        <w:ind w:left="4" w:right="40"/>
        <w:spacing w:after="0" w:line="251" w:lineRule="auto"/>
        <w:rPr>
          <w:sz w:val="20"/>
          <w:szCs w:val="20"/>
          <w:color w:val="auto"/>
        </w:rPr>
      </w:pP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the Company shall file with the Commission, as promptly as practicable, and in any event within fifteen (15) business days after such demand, a “final” prospectus supplement to its Company Registration Shelf covering the resale of the Registrable Securities by the Investors (the “Prospectus”); provided, however, that the Company shall not be obligated to file more than one Prospectus pursuant to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in any six month period to add additional Registrable Securities to the Company Registration Shelf that were acquired by the Investors other than directly from the Company or in an underwritten public offering by the Company. The Prospectus shall include the information required under Item 507 of Regulation S-K of the Securities Act, which information shall be provided by the Investors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Notwithstanding the foregoing, before filing the Prospectus, the Company shall furnish to the Investors a copy of the Prospectus and afford the Investors an opportunity to review and comment on the Prospectus. The Company’s obligation pursuant to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is conditioned upon the Investors providing the information contemplated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97" w:lineRule="exact"/>
        <w:rPr>
          <w:sz w:val="20"/>
          <w:szCs w:val="20"/>
          <w:color w:val="auto"/>
        </w:rPr>
      </w:pPr>
    </w:p>
    <w:p>
      <w:pPr>
        <w:ind w:left="4" w:right="80" w:firstLine="987"/>
        <w:spacing w:after="0" w:line="275"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Deferral and Suspension. At any time after being obligated to file a Resale Registration Shelf or Prospectus, or after any Resale Registration Shelf has become effective or a Prospectus filed with the Commission, the Company may defer the filing of or suspend the use of any such Resale Registration Shelf or Prospectus, upon giving written notice of such action to the Investors with a certificate signed by the Principal Executive Officer of the Company stating that in the good faith judgment of the Board, the filing or use of any such Resale Registration Shelf or Prospectus covering the Registrable Securities would be seriously detrimental to the Company or its stockholders at such time and</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490" w:right="459" w:bottom="1440" w:gutter="0" w:footer="0" w:header="0"/>
        </w:sectPr>
      </w:pPr>
    </w:p>
    <w:bookmarkStart w:id="37" w:name="page38"/>
    <w:bookmarkEnd w:id="3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that the Board concludes, as a result, that it is in the best interests of the Company and its stockholders to defer the filing or suspend the use of such Resale Registration Shelf or Prospectus at such time. The Company shall have the right to defer the filing of or suspend the use of such Resale Registration Shelf or Prospectus for a period of not more than one hundred twenty (120) days from the date the Company notifies the Investors of such deferral or suspension; provided that the Company shall not exercise the right contained in this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more than once in any twelve month period. In the case of the suspension of use of any effective Resale Registration Shelf or Prospectus, the Investors, immediately upon receipt of notice thereof from the Company, shall discontinue any offers or sales of Registrable Securities pursuant to such Resale Registration Shelf or Prospectus until advised in writing by the Company that the use of such Resale Registration Shelf or Prospectus may be resumed. In the case of a deferred Prospectus or Resale Registration Shelf filing, the Company shall provide prompt written notice to the Investors of (i) the Company’s decision to file or seek effectiveness of the Prospectus or Resale Registration Shelf, as the case may be, following such deferral and (ii) in the case of a Resale Registration Shelf, the effectiveness of such Resale Registration Shelf. In the case of either a suspension of use of, or deferred filing of, any Resale Registration Shelf or Prospectus, the Company shall not, during the pendency of such suspension or deferral, be required to take any action hereunder (including any action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with respect to the registration or sale of any Registrable Securities pursuant to any such Resale Registration Shelf, Company Registration Shelf or Prospectus.</w:t>
      </w:r>
    </w:p>
    <w:p>
      <w:pPr>
        <w:spacing w:after="0" w:line="186" w:lineRule="exact"/>
        <w:rPr>
          <w:sz w:val="20"/>
          <w:szCs w:val="20"/>
          <w:color w:val="auto"/>
        </w:rPr>
      </w:pPr>
    </w:p>
    <w:p>
      <w:pPr>
        <w:ind w:right="120" w:firstLine="987"/>
        <w:spacing w:after="0" w:line="301" w:lineRule="auto"/>
        <w:tabs>
          <w:tab w:leader="none" w:pos="12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Other Securities. Subject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below, any Resale Registration Shelf or Prospectus may include Other Securities, and may include securities of the Company being sold for the account of the Company; provided such Other Securities are excluded first from such Registration Statement in order to comply with any applicable laws or request from any Government Entity, Nasdaq or any applicable listing agency. For the avoidance of doubt, no Other Securities may be included in an underwritten offering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without the consent of the Investors.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Sales and Underwritten Offerings of the Registrable Securities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987"/>
        <w:spacing w:after="0" w:line="263"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Notwithstanding any provision contained herein to the contrary, the Investors, collectively, shall, subject to the limitations set forth in this </w:t>
      </w:r>
      <w:r>
        <w:rPr>
          <w:rFonts w:ascii="Arial" w:cs="Arial" w:eastAsia="Arial" w:hAnsi="Arial"/>
          <w:sz w:val="18"/>
          <w:szCs w:val="18"/>
          <w:u w:val="single" w:color="auto"/>
          <w:color w:val="auto"/>
        </w:rPr>
        <w:t>Section 2.2</w:t>
      </w:r>
      <w:r>
        <w:rPr>
          <w:rFonts w:ascii="Arial" w:cs="Arial" w:eastAsia="Arial" w:hAnsi="Arial"/>
          <w:sz w:val="18"/>
          <w:szCs w:val="18"/>
          <w:color w:val="auto"/>
        </w:rPr>
        <w:t>, be permitted one underwritten public offering per calendar year, but no more than three underwritten public offerings in total, to effect the sale or distribution of Registrable Securities.</w:t>
      </w:r>
    </w:p>
    <w:p>
      <w:pPr>
        <w:spacing w:after="0" w:line="183" w:lineRule="exact"/>
        <w:rPr>
          <w:rFonts w:ascii="Arial" w:cs="Arial" w:eastAsia="Arial" w:hAnsi="Arial"/>
          <w:sz w:val="18"/>
          <w:szCs w:val="18"/>
          <w:color w:val="auto"/>
        </w:rPr>
      </w:pPr>
    </w:p>
    <w:p>
      <w:pPr>
        <w:ind w:right="100" w:firstLine="987"/>
        <w:spacing w:after="0" w:line="259"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Investors intend to effect an underwritten public offering pursuant to a Resale Registration Shelf or Company Registration Shelf to sell or otherwise distribute Registrable Securities, they shall so advise the Company and provide as much notice to the Company as reasonably practicable (and in any event not less than fifteen (15) business days prior to the Investors’ request that the Company file a prospectus supplement to a Resale Registration Shelf or Company Registration Shelf).</w:t>
      </w:r>
    </w:p>
    <w:p>
      <w:pPr>
        <w:spacing w:after="0" w:line="186" w:lineRule="exact"/>
        <w:rPr>
          <w:rFonts w:ascii="Arial" w:cs="Arial" w:eastAsia="Arial" w:hAnsi="Arial"/>
          <w:sz w:val="18"/>
          <w:szCs w:val="18"/>
          <w:color w:val="auto"/>
        </w:rPr>
      </w:pPr>
    </w:p>
    <w:p>
      <w:pPr>
        <w:ind w:right="160" w:firstLine="987"/>
        <w:spacing w:after="0" w:line="263"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 connection with any offering initiated by the Investors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involving an underwriting of shares of Registrable Securities, the Investors shall be entitled to select the underwriter or underwriters for such offering, subject to the consent of the Company, such consent not to be unreasonably withheld, conditioned or delayed.</w:t>
      </w:r>
    </w:p>
    <w:p>
      <w:pPr>
        <w:spacing w:after="0" w:line="183" w:lineRule="exact"/>
        <w:rPr>
          <w:rFonts w:ascii="Arial" w:cs="Arial" w:eastAsia="Arial" w:hAnsi="Arial"/>
          <w:sz w:val="18"/>
          <w:szCs w:val="18"/>
          <w:color w:val="auto"/>
        </w:rPr>
      </w:pPr>
    </w:p>
    <w:p>
      <w:pPr>
        <w:ind w:right="40" w:firstLine="987"/>
        <w:spacing w:after="0" w:line="275" w:lineRule="auto"/>
        <w:tabs>
          <w:tab w:leader="none" w:pos="12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initiated by the Investors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involving an underwriting of shares of Registrable Securities, the Company shall not be required to include any of the Registrable Securities in such underwriting unless the Investors (i) enter into an underwriting agreement in customary form with the underwriter or underwriters, (ii) accept customary terms in such underwriting agreement with regard to representations and warranties relating to ownership of the Registrable Securities and authority and power to enter into such underwriting agreement and (iii) complete and execute all questionnaires, powers of attorney, custody agreements, indemnities and other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90" w:right="459" w:bottom="1440" w:gutter="0" w:footer="0" w:header="0"/>
        </w:sectPr>
      </w:pPr>
    </w:p>
    <w:bookmarkStart w:id="38" w:name="page39"/>
    <w:bookmarkEnd w:id="38"/>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documents as may be requested by such underwriter or underwriters. Further, the Company shall not be required to include any of the Registrable Securities in such underwriting if (Y) the underwriting agreement proposed by the underwriter or underwriters contains representations, warranties or conditions that are not reasonable in light of the Company’s then-current business or (Z) the underwriter, underwriters or the Investors require the Company to participate in any marketing, road show or comparable activity that may be required to complete the orderly sale of shares by the underwriter or underwriters.</w:t>
      </w:r>
    </w:p>
    <w:p>
      <w:pPr>
        <w:spacing w:after="0" w:line="188" w:lineRule="exact"/>
        <w:rPr>
          <w:sz w:val="20"/>
          <w:szCs w:val="20"/>
          <w:color w:val="auto"/>
        </w:rPr>
      </w:pPr>
    </w:p>
    <w:p>
      <w:pPr>
        <w:ind w:right="60" w:firstLine="987"/>
        <w:spacing w:after="0" w:line="289" w:lineRule="auto"/>
        <w:tabs>
          <w:tab w:leader="none" w:pos="12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If the total amount of securities to be sold in any offering initiated by the Investors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involving an underwriting of shares of Registrable Securities exceeds the amount that the underwriters determine in their sole discretion is compatible with the success of the offering, then the Company shall be required to include in the offering only that number of such securities, including Registrable Securities (subject in each case to the cutback provisions set forth in this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that the underwriters and the Company determine in their sole discretion shall not jeopardize the success of the offering. If the underwritten public offering has been requested pursuant to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hereof, the number of shares that are entitled to be included in the registration and underwriting shall be allocated in the following manner: (a) first, shares of Company equity securities that the Company desires to include in such registration shall be excluded and (b) second, Registrable Securities requested to be included in such registration by the Investors shall be excluded. To facilitate the allocation of shares in accordance with the above provisions, the Company or the underwriters may round down the number of shares allocated to any of the Investors to the nearest 100 shares.</w:t>
      </w:r>
    </w:p>
    <w:p>
      <w:pPr>
        <w:spacing w:after="0" w:line="16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may be agreed upon between the Investors and the Company, all Registration Expenses incurred in connection with registrations pursuant to this Agreement shall be borne by the Company. All Selling Expenses relating to securities registered on behalf of the Investors shall be borne by the Investors.</w:t>
      </w:r>
    </w:p>
    <w:p>
      <w:pPr>
        <w:spacing w:after="0" w:line="18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xml:space="preserve">. In the case of each registration of Registrable Securities effected by the Company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the Company shall keep the Investors advised as to the initiation of each such registration and as to the status thereof. The Company shall use its reasonable best efforts, within the limits set forth in this </w:t>
      </w:r>
      <w:r>
        <w:rPr>
          <w:rFonts w:ascii="Arial" w:cs="Arial" w:eastAsia="Arial" w:hAnsi="Arial"/>
          <w:sz w:val="18"/>
          <w:szCs w:val="18"/>
          <w:u w:val="single" w:color="auto"/>
          <w:color w:val="auto"/>
        </w:rPr>
        <w:t>Section 2.4</w:t>
      </w:r>
      <w:r>
        <w:rPr>
          <w:rFonts w:ascii="Arial" w:cs="Arial" w:eastAsia="Arial" w:hAnsi="Arial"/>
          <w:sz w:val="18"/>
          <w:szCs w:val="18"/>
          <w:color w:val="auto"/>
        </w:rPr>
        <w:t>, to:</w:t>
      </w:r>
    </w:p>
    <w:p>
      <w:pPr>
        <w:spacing w:after="0" w:line="76" w:lineRule="exact"/>
        <w:rPr>
          <w:sz w:val="20"/>
          <w:szCs w:val="20"/>
          <w:color w:val="auto"/>
        </w:rPr>
      </w:pPr>
    </w:p>
    <w:p>
      <w:pPr>
        <w:ind w:right="140" w:firstLine="987"/>
        <w:spacing w:after="0" w:line="286"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prepare and file with the Commission such amendments and supplements to such Registration Statement and the prospectuses used in connection with such Registration Statement as may be necessary to keep such Registration Statement effective and current and comply with the provisions of the Securities Act with respect to the disposition of all securities covered by such Registration Statement;</w:t>
      </w:r>
    </w:p>
    <w:p>
      <w:pPr>
        <w:spacing w:after="0" w:line="165" w:lineRule="exact"/>
        <w:rPr>
          <w:rFonts w:ascii="Arial" w:cs="Arial" w:eastAsia="Arial" w:hAnsi="Arial"/>
          <w:sz w:val="17"/>
          <w:szCs w:val="17"/>
          <w:color w:val="auto"/>
        </w:rPr>
      </w:pPr>
    </w:p>
    <w:p>
      <w:pPr>
        <w:ind w:right="60" w:firstLine="987"/>
        <w:spacing w:after="0" w:line="263"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 to the Investors such numbers of copies of a prospectus, including preliminary prospectuses, in conformity with the requirements of the Securities Act, and such other documents as the Investors may reasonably request in order to facilitate the disposition of Registrable Securities;</w:t>
      </w:r>
    </w:p>
    <w:p>
      <w:pPr>
        <w:spacing w:after="0" w:line="183" w:lineRule="exact"/>
        <w:rPr>
          <w:rFonts w:ascii="Arial" w:cs="Arial" w:eastAsia="Arial" w:hAnsi="Arial"/>
          <w:sz w:val="18"/>
          <w:szCs w:val="18"/>
          <w:color w:val="auto"/>
        </w:rPr>
      </w:pPr>
    </w:p>
    <w:p>
      <w:pPr>
        <w:ind w:firstLine="987"/>
        <w:spacing w:after="0" w:line="259"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its reasonable best efforts to register and qualify the Registrable Securities covered by such Registration Statement under such other securities or blue sky laws of such jurisdictions in the United States as shall be reasonably requested by the Investors, provided that the Company shall not be required in connection therewith or as a condition thereto to qualify to do business or to file a general consent to service of process in any such states or jurisdictions;</w:t>
      </w:r>
    </w:p>
    <w:p>
      <w:pPr>
        <w:spacing w:after="0" w:line="186"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the event of any underwritten public offering, and subject to </w:t>
      </w:r>
      <w:r>
        <w:rPr>
          <w:rFonts w:ascii="Arial" w:cs="Arial" w:eastAsia="Arial" w:hAnsi="Arial"/>
          <w:sz w:val="18"/>
          <w:szCs w:val="18"/>
          <w:u w:val="single" w:color="auto"/>
          <w:color w:val="auto"/>
        </w:rPr>
        <w:t>Section 2.2(d)</w:t>
      </w:r>
      <w:r>
        <w:rPr>
          <w:rFonts w:ascii="Arial" w:cs="Arial" w:eastAsia="Arial" w:hAnsi="Arial"/>
          <w:sz w:val="18"/>
          <w:szCs w:val="18"/>
          <w:color w:val="auto"/>
        </w:rPr>
        <w:t>, enter into and perform its obligations under an underwriting agreement, in usual and customary form,with the managing underwriter of such offering and take such other usual and customary action as the Investors may reasonably request in order to facilitate the disposition of such Registrable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490" w:right="459" w:bottom="1440" w:gutter="0" w:footer="0" w:header="0"/>
        </w:sectPr>
      </w:pPr>
    </w:p>
    <w:bookmarkStart w:id="39" w:name="page40"/>
    <w:bookmarkEnd w:id="39"/>
    <w:p>
      <w:pPr>
        <w:ind w:left="-20" w:right="140" w:firstLine="987"/>
        <w:spacing w:after="0" w:line="293" w:lineRule="auto"/>
        <w:tabs>
          <w:tab w:leader="none" w:pos="1216"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notify the Investors at any time when a prospectus relating to a Registration Statement covering any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shall use its reasonable best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64" w:lineRule="exact"/>
        <w:rPr>
          <w:rFonts w:ascii="Arial" w:cs="Arial" w:eastAsia="Arial" w:hAnsi="Arial"/>
          <w:sz w:val="16"/>
          <w:szCs w:val="16"/>
          <w:color w:val="auto"/>
        </w:rPr>
      </w:pPr>
    </w:p>
    <w:p>
      <w:pPr>
        <w:ind w:left="-20" w:right="40" w:firstLine="987"/>
        <w:spacing w:after="0" w:line="277" w:lineRule="auto"/>
        <w:tabs>
          <w:tab w:leader="none" w:pos="1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such Registration Statement and, if required,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jc w:val="both"/>
        <w:ind w:left="-20" w:firstLine="987"/>
        <w:spacing w:after="0" w:line="263" w:lineRule="auto"/>
        <w:tabs>
          <w:tab w:leader="none" w:pos="12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requested by an Investor, use reasonable best efforts to cause the Company’s transfer agent to remove any restrictive legend from any Registrable Securities being transferred by an Investor pursuant to a Resale Registration Shelf or Company Registration Shelf, within two business days following such request;</w:t>
      </w:r>
    </w:p>
    <w:p>
      <w:pPr>
        <w:spacing w:after="0" w:line="183" w:lineRule="exact"/>
        <w:rPr>
          <w:rFonts w:ascii="Arial" w:cs="Arial" w:eastAsia="Arial" w:hAnsi="Arial"/>
          <w:sz w:val="18"/>
          <w:szCs w:val="18"/>
          <w:color w:val="auto"/>
        </w:rPr>
      </w:pPr>
    </w:p>
    <w:p>
      <w:pPr>
        <w:ind w:left="-20" w:right="80" w:firstLine="987"/>
        <w:spacing w:after="0" w:line="296" w:lineRule="auto"/>
        <w:tabs>
          <w:tab w:leader="none" w:pos="122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cause to be furnished, at the request of the Investors, on the date that Registrable Securities are delivered to underwriters for sale in connection with an underwritten offering pursuant to this Agreement, (i) an opinion, dated such date, of the counsel representing the Company for the purposes of such registration, in form and substance as is customarily given to underwriters in an underwritten public offering, addressed to the underwriters, and (ii) a letter or letters from the independent certified public accountants of the Company, in form and substance as is customarily given by independent certified public accountants to underwriters in an underwritten public offering, addressed to the underwriters; and</w:t>
      </w:r>
    </w:p>
    <w:p>
      <w:pPr>
        <w:spacing w:after="0" w:line="161" w:lineRule="exact"/>
        <w:rPr>
          <w:rFonts w:ascii="Arial" w:cs="Arial" w:eastAsia="Arial" w:hAnsi="Arial"/>
          <w:sz w:val="16"/>
          <w:szCs w:val="16"/>
          <w:color w:val="auto"/>
        </w:rPr>
      </w:pPr>
    </w:p>
    <w:p>
      <w:pPr>
        <w:ind w:left="-20" w:right="360" w:firstLine="987"/>
        <w:spacing w:after="0" w:line="277" w:lineRule="auto"/>
        <w:tabs>
          <w:tab w:leader="none" w:pos="11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all such Registrable Securities included in a Registration Statement pursuant to this Agreement to be listed on each securities exchange or other securities trading markets on which Common Stock is then listed.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The Investors Obligations</w:t>
      </w:r>
      <w:r>
        <w:rPr>
          <w:rFonts w:ascii="Arial" w:cs="Arial" w:eastAsia="Arial" w:hAnsi="Arial"/>
          <w:sz w:val="18"/>
          <w:szCs w:val="18"/>
          <w:color w:val="auto"/>
        </w:rPr>
        <w:t>.</w:t>
      </w:r>
    </w:p>
    <w:p>
      <w:pPr>
        <w:spacing w:after="0" w:line="225" w:lineRule="exact"/>
        <w:rPr>
          <w:sz w:val="20"/>
          <w:szCs w:val="20"/>
          <w:color w:val="auto"/>
        </w:rPr>
      </w:pPr>
    </w:p>
    <w:p>
      <w:pPr>
        <w:ind w:left="-20" w:right="120" w:firstLine="987"/>
        <w:spacing w:after="0" w:line="296" w:lineRule="auto"/>
        <w:tabs>
          <w:tab w:leader="none" w:pos="1216"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Discontinuance of Distribution. The Investors agree that, upon receipt of any notice from the Company of the occurrence of any event of the kind described in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hereof, the Investors shall immediately discontinue disposition of Registrable Securities pursuant to any Registration Statement covering such Registrable Securities until the Investors’ receipt of the copies of the supplemented or amended prospectus contemplated by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hereof or receipt of notice that no supplement or amendment is required and that the Investors’ disposition of the Registrable Securities may be resumed. The Company may provide appropriate stop orders to enforce the provisions of this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20" w:right="120" w:firstLine="987"/>
        <w:spacing w:after="0" w:line="263" w:lineRule="auto"/>
        <w:tabs>
          <w:tab w:leader="none" w:pos="122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Compliance with Prospectus Delivery Requirements</w:t>
      </w:r>
      <w:r>
        <w:rPr>
          <w:rFonts w:ascii="Arial" w:cs="Arial" w:eastAsia="Arial" w:hAnsi="Arial"/>
          <w:sz w:val="18"/>
          <w:szCs w:val="18"/>
          <w:color w:val="auto"/>
        </w:rPr>
        <w:t>. The Investors covenant and agree that they shall comply with the prospectus delivery requirements of the Securities Act as applicable to them or an exemption therefrom in connection with sales of Registrable Securities pursuant to any Registration Statement filed by the Company pursuant to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490" w:right="459" w:bottom="1440" w:gutter="0" w:footer="0" w:header="0"/>
        </w:sectPr>
      </w:pPr>
    </w:p>
    <w:bookmarkStart w:id="40" w:name="page41"/>
    <w:bookmarkEnd w:id="40"/>
    <w:p>
      <w:pPr>
        <w:ind w:left="4" w:right="140" w:firstLine="987"/>
        <w:spacing w:after="0" w:line="263"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Notification of Sale of Registrable Securities</w:t>
      </w:r>
      <w:r>
        <w:rPr>
          <w:rFonts w:ascii="Arial" w:cs="Arial" w:eastAsia="Arial" w:hAnsi="Arial"/>
          <w:sz w:val="18"/>
          <w:szCs w:val="18"/>
          <w:color w:val="auto"/>
        </w:rPr>
        <w:t>. The Investors covenant and agree that they shall notify the Company following the sale of Registrable Securities to a third party as promptly as reasonably practicable, and in any event within thirty (30) days, following the sale of such Registrable Securities.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4" w:right="80" w:firstLine="987"/>
        <w:spacing w:after="0" w:line="284" w:lineRule="auto"/>
        <w:tabs>
          <w:tab w:leader="none" w:pos="1237"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the extent permitted by law, the Company shall indemnify the Investors, and, as applicable, their officers, directors, and constituent partners, legal counsel for each Investor and each Person controlling the Investors, with respect to which registration, related qualification, or related compliance of Registrable Securities has been effected pursuant to this Agreement, and each underwriter, if any, and each Person who controls any underwriter within the meaning of the Securities Act against all claims, losses, damages, or liabilities (or actions in respect thereof) to the extent such claims, losses, damages, or liabilities arise out of or are based upon (i) any untrue statement (or alleged untrue statement) of a material fact contained in any prospectus or other document (including any related Registration Statement) incident to any such registration, qualification, or compliance, or</w:t>
      </w:r>
    </w:p>
    <w:p>
      <w:pPr>
        <w:spacing w:after="0" w:line="4" w:lineRule="exact"/>
        <w:rPr>
          <w:rFonts w:ascii="Arial" w:cs="Arial" w:eastAsia="Arial" w:hAnsi="Arial"/>
          <w:sz w:val="16"/>
          <w:szCs w:val="16"/>
          <w:color w:val="auto"/>
        </w:rPr>
      </w:pPr>
    </w:p>
    <w:p>
      <w:pPr>
        <w:ind w:left="4" w:right="100" w:hanging="4"/>
        <w:spacing w:after="0" w:line="285" w:lineRule="auto"/>
        <w:tabs>
          <w:tab w:leader="none" w:pos="26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any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applicable to the Company and relating to action or inaction required of the Company in connection with any such registration, qualification, or compliance; and the Company shall pay as incurred to the Investors, each such underwriter, and each Person who controls the Investors or underwriter, any legal and any other expenses reasonably incurred in connection with investigating or defending any such claim, loss, damage, liability, or action; provided, however, that the indemnity contained in this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shall not apply to amounts paid in settlement of any such claim, loss, damage, liability, or action if settlement is effected without the consent of the Company (which consent shall not unreasonably be withheld); and provided, further, that the Company shall not be liable in any such case to the extent that any such claim, loss, damage, liability, or expense arises out of or is based upon any violation by such Investor of the obligations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or any untrue statement or omission contained in such prospectus or other document based upon written information furnished to the Company by the Investors, such underwriter, or such controlling Person and stated to be for use therein.</w:t>
      </w:r>
    </w:p>
    <w:p>
      <w:pPr>
        <w:spacing w:after="0" w:line="174" w:lineRule="exact"/>
        <w:rPr>
          <w:rFonts w:ascii="Arial" w:cs="Arial" w:eastAsia="Arial" w:hAnsi="Arial"/>
          <w:sz w:val="16"/>
          <w:szCs w:val="16"/>
          <w:color w:val="auto"/>
        </w:rPr>
      </w:pPr>
    </w:p>
    <w:p>
      <w:pPr>
        <w:ind w:left="4" w:firstLine="987"/>
        <w:spacing w:after="0" w:line="268" w:lineRule="auto"/>
        <w:tabs>
          <w:tab w:leader="none" w:pos="1247"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Investor (severally and not jointly) shall, if Registrable Securities held by such Investor are included for sale in the registration and related qualification and compliance effected pursuant to this Agreement, indemnify the Company, each of its directors, each officer of the Company who signs the applicable Registration Statement, each legal counsel and each underwriter of the Company’s securities covered by such a Registration Statement,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 (ii) any omission (or alleged omission) to state therein a material fact required to be stated therein or necessary to make the statements therein not misleading, or (iii) any violation or alleged violation by such Investor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hereof, the Securities Act, the Exchange Act, any state securities law, or any rule or regulation promulgated under the Securities Act, the Exchange Act or any state securities law applicable to such Investor and relating to action or inaction required of such Investor in connection with any such registration and related qualification and compliance, and shall pay as incurred to such persons, any legal and any other expenses reasonably incurred in connection with investigating or defending any such claim, loss, damage, liability, or action, in each case only to the extent that such untrue statement (or alleged untrue statement) or omission (or alleged omission) is made in (and such violation pertains to) such Registration Statement or related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490" w:right="479" w:bottom="1440" w:gutter="0" w:footer="0" w:header="0"/>
        </w:sectPr>
      </w:pPr>
    </w:p>
    <w:bookmarkStart w:id="41" w:name="page42"/>
    <w:bookmarkEnd w:id="41"/>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document in reliance upon and in conformity with written information furnished to the Company by such Investor and stated to be specifically for use therein; provided, however, that the indemnity contained in this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shall not apply to amounts paid in settlement of any such claim, loss, damage, liability, or action if settlement is effected without the consent of such Investor (which consent shall not unreasonably be withheld); provided, further, that such Investor’s liability under this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(when combined with any amounts such Investor is liable for under </w:t>
      </w:r>
      <w:r>
        <w:rPr>
          <w:rFonts w:ascii="Arial" w:cs="Arial" w:eastAsia="Arial" w:hAnsi="Arial"/>
          <w:sz w:val="17"/>
          <w:szCs w:val="17"/>
          <w:u w:val="single" w:color="auto"/>
          <w:color w:val="auto"/>
        </w:rPr>
        <w:t>Section 2.6(d)</w:t>
      </w:r>
      <w:r>
        <w:rPr>
          <w:rFonts w:ascii="Arial" w:cs="Arial" w:eastAsia="Arial" w:hAnsi="Arial"/>
          <w:sz w:val="17"/>
          <w:szCs w:val="17"/>
          <w:color w:val="auto"/>
        </w:rPr>
        <w:t>) shall not exceed such Investor’s net proceeds from the offering of securities made in connection with such registration.</w:t>
      </w:r>
    </w:p>
    <w:p>
      <w:pPr>
        <w:spacing w:after="0" w:line="176" w:lineRule="exact"/>
        <w:rPr>
          <w:sz w:val="20"/>
          <w:szCs w:val="20"/>
          <w:color w:val="auto"/>
        </w:rPr>
      </w:pPr>
    </w:p>
    <w:p>
      <w:pPr>
        <w:ind w:firstLine="987"/>
        <w:spacing w:after="0" w:line="287" w:lineRule="auto"/>
        <w:tabs>
          <w:tab w:leader="none" w:pos="12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of notice of the commencement of any action, such indemnified party shall, if a claim in respect thereof is to be made against an indemnifying party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notify the indemnifying party in writing of the commencement thereof and generally summarize such action. The indemnifying party shall have the right to participate in and to assume the defense of such claim; provided, however, that the indemnifying party shall be entitled to select counsel for the defense of such claim with the approval of any parties entitled to indemnification, which approval shall not be unreasonably withheld; provided further, however, that if either party reasonably determines that there may be a conflict between the position of the Company and the Investors in conducting the defense of such action, suit, or proceeding by reason of recognized claims for indemnity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party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but the omission so to notify the indemnifying party shall not relieve such party of any liability that such party may have to any indemnified party otherwise than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right="40" w:firstLine="987"/>
        <w:spacing w:after="0" w:line="269" w:lineRule="auto"/>
        <w:tabs>
          <w:tab w:leader="none" w:pos="1246"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If the indemnification provided for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In no event, however, shall (i) any amount due for contribution hereunder be in excess of the amount that would otherwise be due under </w:t>
      </w:r>
      <w:r>
        <w:rPr>
          <w:rFonts w:ascii="Arial" w:cs="Arial" w:eastAsia="Arial" w:hAnsi="Arial"/>
          <w:sz w:val="17"/>
          <w:szCs w:val="17"/>
          <w:u w:val="single" w:color="auto"/>
          <w:color w:val="auto"/>
        </w:rPr>
        <w:t>Section 2.6(a)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2.6(b)</w:t>
      </w:r>
      <w:r>
        <w:rPr>
          <w:rFonts w:ascii="Arial" w:cs="Arial" w:eastAsia="Arial" w:hAnsi="Arial"/>
          <w:sz w:val="17"/>
          <w:szCs w:val="17"/>
          <w:color w:val="auto"/>
        </w:rPr>
        <w:t>, as applicable, based on the limitations of such provisions and (ii) a Person guilty of fraudulent misrepresentation (within the meaning of the Securities Act) be entitled to contribution from a Person who was not guilty of such fraudulent misrepresentation.</w:t>
      </w:r>
    </w:p>
    <w:p>
      <w:pPr>
        <w:spacing w:after="0" w:line="178" w:lineRule="exact"/>
        <w:rPr>
          <w:rFonts w:ascii="Arial" w:cs="Arial" w:eastAsia="Arial" w:hAnsi="Arial"/>
          <w:sz w:val="17"/>
          <w:szCs w:val="17"/>
          <w:color w:val="auto"/>
        </w:rPr>
      </w:pPr>
    </w:p>
    <w:p>
      <w:pPr>
        <w:ind w:right="140" w:firstLine="987"/>
        <w:spacing w:after="0" w:line="279" w:lineRule="auto"/>
        <w:tabs>
          <w:tab w:leader="none" w:pos="12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Notwithstanding the foregoing, to the extent that the provisions on indemnification and contribution contained in the underwriting agreement entered into in connection with an underwritten public offering are in conflict with the foregoing provisions, the provisions in the underwriting agreement shall control; provided, however, that the failure of the underwriting agreement to provide for or address a matter provided for or addressed by the foregoing provisions shall not be a conflict between the underwriting agreement and the foregoing provisions.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490" w:right="479" w:bottom="1440" w:gutter="0" w:footer="0" w:header="0"/>
        </w:sectPr>
      </w:pPr>
    </w:p>
    <w:bookmarkStart w:id="42" w:name="page43"/>
    <w:bookmarkEnd w:id="42"/>
    <w:p>
      <w:pPr>
        <w:ind w:right="320" w:firstLine="987"/>
        <w:spacing w:after="0" w:line="277" w:lineRule="auto"/>
        <w:tabs>
          <w:tab w:leader="none" w:pos="1213"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obligations of the Company and the Investors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survive the completion of any offering of Registrable Securities in a Registration Statement under this Agreement or otherwise.</w:t>
      </w:r>
    </w:p>
    <w:p>
      <w:pPr>
        <w:spacing w:after="0" w:line="170"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The Investors shall furnish to the Company such information regarding the Investors and the distribution proposed by the Investors as the Company may reasonably request and as shall be reasonably required in connection with any registration referred to in this Agreement. The Investors agree to, as promptly as practicable (and in any event prior to any sales made pursuant to a prospectus), furnish to the Company all information required to be disclosed in order to make the information previously furnished to the Company by the Investors not misleading. The Investors agree to keep confidential the receipt of any notice received pursuant to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and the contents thereof, except as required pursuant to applicable law. Notwithstanding anything to the contrary herein, the Company shall be under no obligation to name the Investors in any Registration Statement if the Investors have not provided the information required by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with respect to the Investors as a selling securityholder in such Registration Statement or any related prospectus.</w:t>
      </w:r>
    </w:p>
    <w:p>
      <w:pPr>
        <w:spacing w:after="0" w:line="1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Rule 144 Requirements</w:t>
      </w:r>
      <w:r>
        <w:rPr>
          <w:rFonts w:ascii="Arial" w:cs="Arial" w:eastAsia="Arial" w:hAnsi="Arial"/>
          <w:sz w:val="18"/>
          <w:szCs w:val="18"/>
          <w:color w:val="auto"/>
        </w:rPr>
        <w:t>. With a view to making available to the Investors the benefits of Rule 144 promulgated under the Securities Act and any other rule or regulation of the Commission that may at any time permit the Investors to sell Registrable Securities to the public without registration, the Company agrees to use its reasonable best efforts to:</w:t>
      </w:r>
    </w:p>
    <w:p>
      <w:pPr>
        <w:spacing w:after="0" w:line="76" w:lineRule="exact"/>
        <w:rPr>
          <w:sz w:val="20"/>
          <w:szCs w:val="20"/>
          <w:color w:val="auto"/>
        </w:rPr>
      </w:pPr>
    </w:p>
    <w:p>
      <w:pPr>
        <w:ind w:firstLine="987"/>
        <w:spacing w:after="0" w:line="277"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under the Securities Act at all times after the date hereof;</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file with the Commission in a timely manner all reports and other documents required of the Company under the Securities Act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Exchange Act;</w:t>
      </w:r>
    </w:p>
    <w:p>
      <w:pPr>
        <w:spacing w:after="0" w:line="210" w:lineRule="exact"/>
        <w:rPr>
          <w:rFonts w:ascii="Arial" w:cs="Arial" w:eastAsia="Arial" w:hAnsi="Arial"/>
          <w:sz w:val="16"/>
          <w:szCs w:val="16"/>
          <w:color w:val="auto"/>
        </w:rPr>
      </w:pPr>
    </w:p>
    <w:p>
      <w:pPr>
        <w:ind w:right="180" w:firstLine="987"/>
        <w:spacing w:after="0" w:line="263"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 filing of the Registration Statement or any amendment thereto (whether pre-effective or post-effective), and prior to the filing of any prospectus or prospectus supplement related thereto, to provide the Investors with copies of all of the pages thereof (if any) that reference the Investors; and</w:t>
      </w:r>
    </w:p>
    <w:p>
      <w:pPr>
        <w:spacing w:after="0" w:line="183" w:lineRule="exact"/>
        <w:rPr>
          <w:rFonts w:ascii="Arial" w:cs="Arial" w:eastAsia="Arial" w:hAnsi="Arial"/>
          <w:sz w:val="18"/>
          <w:szCs w:val="18"/>
          <w:color w:val="auto"/>
        </w:rPr>
      </w:pPr>
    </w:p>
    <w:p>
      <w:pPr>
        <w:ind w:right="60" w:firstLine="987"/>
        <w:spacing w:after="0" w:line="279" w:lineRule="auto"/>
        <w:tabs>
          <w:tab w:leader="none" w:pos="1246" w:val="left"/>
        </w:tabs>
        <w:numPr>
          <w:ilvl w:val="0"/>
          <w:numId w:val="29"/>
        </w:numPr>
        <w:rPr>
          <w:rFonts w:ascii="Arial" w:cs="Arial" w:eastAsia="Arial" w:hAnsi="Arial"/>
          <w:sz w:val="17"/>
          <w:szCs w:val="17"/>
          <w:color w:val="auto"/>
        </w:rPr>
      </w:pPr>
      <w:r>
        <w:rPr>
          <w:rFonts w:ascii="Arial" w:cs="Arial" w:eastAsia="Arial" w:hAnsi="Arial"/>
          <w:sz w:val="17"/>
          <w:szCs w:val="17"/>
          <w:color w:val="auto"/>
        </w:rPr>
        <w:t>furnish to any Investor, so long as the Investor owns any Registrable Securities, forthwith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by an Investor in availing itself of any rule or regulation of the Commission which permits an Investor to sell any such securities without registration.</w:t>
      </w:r>
    </w:p>
    <w:p>
      <w:pPr>
        <w:spacing w:after="0" w:line="17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Termination of Status as Registrable Securities</w:t>
      </w:r>
      <w:r>
        <w:rPr>
          <w:rFonts w:ascii="Arial" w:cs="Arial" w:eastAsia="Arial" w:hAnsi="Arial"/>
          <w:sz w:val="16"/>
          <w:szCs w:val="16"/>
          <w:color w:val="auto"/>
        </w:rPr>
        <w:t>. The Registrable Securities shall cease to be Registrable Securities upon the earliest to occur of the following events: (i) such Registrable Securities have been sold pursuant to an effective Registration Statement; (ii) such Registrable Securities have been sold by the Investors pursuant to Rule 144 (or other similar rule), (iii) such Registrable Securities may be resold by the Investor holding such Registrable Securities without limitations as to volume or manner of sale pursuant to Rule 144; or (iv) ten (10) years after the date of this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w:t>
      </w:r>
      <w:r>
        <w:rPr>
          <w:rFonts w:ascii="Arial" w:cs="Arial" w:eastAsia="Arial" w:hAnsi="Arial"/>
          <w:sz w:val="18"/>
          <w:szCs w:val="18"/>
          <w:color w:val="auto"/>
        </w:rPr>
        <w:t>. No amendment, alteration or modification of any of the provisions of this Agreement shall be binding unless made in writing and signed by each of the Company and the Investors.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43" w:name="page44"/>
    <w:bookmarkEnd w:id="43"/>
    <w:p>
      <w:pPr>
        <w:ind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 </w:t>
      </w:r>
      <w:r>
        <w:rPr>
          <w:rFonts w:ascii="Arial" w:cs="Arial" w:eastAsia="Arial" w:hAnsi="Arial"/>
          <w:sz w:val="18"/>
          <w:szCs w:val="18"/>
          <w:u w:val="single" w:color="auto"/>
          <w:color w:val="auto"/>
        </w:rPr>
        <w:t>Injunctive Relief</w:t>
      </w:r>
      <w:r>
        <w:rPr>
          <w:rFonts w:ascii="Arial" w:cs="Arial" w:eastAsia="Arial" w:hAnsi="Arial"/>
          <w:sz w:val="18"/>
          <w:szCs w:val="18"/>
          <w:color w:val="auto"/>
        </w:rPr>
        <w:t>. It is hereby agreed and acknowledged that it shall be impossible to measure in money the damages that would be suffered if the parties fail to comply with any of the obligations herein imposed on them and that in the event of any such failure, an aggrieved Person shall be irreparably damaged and shall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spacing w:after="0" w:line="192"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or permitted under this Agreement must be in writing and sent to the address or facsimile number identified below. Notices must be given: (a) by personal delivery, with receipt acknowledged; (b) by facsimile followed by hard copy delivered by the methods under clause (c) or (d); (c) by prepaid certified or registered mail, return receipt requested; or (d) by prepaid reputable overnight delivery service. Notices shall be effective upon receipt. Either party may change its notice address by providing the other party written notice of such change. Notices shall be delivered as follows: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to the Investors: At such Investor’s address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Four Tower Bridge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200 Barr Harbor Drive, Suite 200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West Conshohocken, Pennsylvania 19428 Attention: General Counsel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Governing Law; Jurisdiction; Venue; Jury Trial</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63" w:lineRule="auto"/>
        <w:tabs>
          <w:tab w:leader="none" w:pos="12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83" w:lineRule="exact"/>
        <w:rPr>
          <w:rFonts w:ascii="Arial" w:cs="Arial" w:eastAsia="Arial" w:hAnsi="Arial"/>
          <w:sz w:val="18"/>
          <w:szCs w:val="18"/>
          <w:color w:val="auto"/>
        </w:rPr>
      </w:pPr>
    </w:p>
    <w:p>
      <w:pPr>
        <w:ind w:firstLine="987"/>
        <w:spacing w:after="0" w:line="291" w:lineRule="auto"/>
        <w:tabs>
          <w:tab w:leader="none" w:pos="12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of the Company and the Investors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Agreement and the transactions contemplated herein, or for recognition or enforcement of any judgment, and each of the Company and the Investors irrevocably and unconditionally agrees that all claims in respect of any such action or proceeding may be heard and determined in such New York state court or, to the fullest extent permitted by applicable law, in such federal court. Each of the Company and the Investors hereto agrees that a final judgment in any such action or proceeding shall be conclusive and may be enforced in other jurisdictions by suit on the judgment or in any other manner provided by law.</w:t>
      </w:r>
    </w:p>
    <w:p>
      <w:pPr>
        <w:spacing w:after="0" w:line="166" w:lineRule="exact"/>
        <w:rPr>
          <w:rFonts w:ascii="Arial" w:cs="Arial" w:eastAsia="Arial" w:hAnsi="Arial"/>
          <w:sz w:val="16"/>
          <w:szCs w:val="16"/>
          <w:color w:val="auto"/>
        </w:rPr>
      </w:pPr>
    </w:p>
    <w:p>
      <w:pPr>
        <w:ind w:right="100" w:firstLine="987"/>
        <w:spacing w:after="0" w:line="301" w:lineRule="auto"/>
        <w:tabs>
          <w:tab w:leader="none" w:pos="12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Each of the Company and the Investors irrevocably and unconditionally waives, to the fullest extent permitted by applicable law, any objection that it may now or hereafter have to the laying of venue of any action or proceeding arising out of or relating to this Agreement and the transactions contemplated herein in any court referred to in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hereof. Each of the Company and the Investors hereby irrevocably waives, to the fullest extent permitted by applicable law, the defense of an inconvenient forum to the maintenance of such action or proceeding in any such court.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490" w:right="439" w:bottom="1440" w:gutter="0" w:footer="0" w:header="0"/>
        </w:sectPr>
      </w:pPr>
    </w:p>
    <w:bookmarkStart w:id="44" w:name="page45"/>
    <w:bookmarkEnd w:id="44"/>
    <w:p>
      <w:pPr>
        <w:ind w:right="100" w:firstLine="987"/>
        <w:spacing w:after="0" w:line="271" w:lineRule="auto"/>
        <w:tabs>
          <w:tab w:leader="none" w:pos="1246"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OF THE COMPANY AND THE INVESTORS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OF THE COMPANY AND THE INVESTORS (A) CERTIFIES THAT NO REPRESENTATIVE, AGENT OR ATTORNEY OF ANY OTHER PERSON HAS REPRESENTED, EXPRESSLY OR OTHERWISE, THAT SUCH OTHER PERSON WOULD NOT, IN THE EVENT OF LITIGATION, SEEK TO ENFORCE THE FOREGOING WAIVER AND (B) ACKNOWLEDGES THAT EACH OF THE COMPANY AND THE INVESTORS HAS BEEN INDUCED TO ENTER INTO THIS AGREEMENT BY, AMONG OTHER THINGS, THE MUTUAL WAIVERS AND CERTIFICATIONS IN THIS SECTION.</w:t>
      </w:r>
    </w:p>
    <w:p>
      <w:pPr>
        <w:spacing w:after="0" w:line="178"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Successors, Assigns and Transferees</w:t>
      </w:r>
      <w:r>
        <w:rPr>
          <w:rFonts w:ascii="Arial" w:cs="Arial" w:eastAsia="Arial" w:hAnsi="Arial"/>
          <w:sz w:val="17"/>
          <w:szCs w:val="17"/>
          <w:color w:val="auto"/>
        </w:rPr>
        <w:t xml:space="preserve">. Any and all rights, duties and obligations hereunder shall not be assigned, transferred, delegated or sublicensed by any party hereto without the prior written consent of the other party; provided, however, that the Investors shall be entitled to transfer Registrable Securities to one or more of their affiliates and, solely in connection therewith, may assign their rights hereunder in respect of such transferred Registrable Securities, in each case, so long as such Investor is not relieved of any liability or obligations hereunder, without the prior consent of the Company. Any transfer or assignment made other than as provided in the first sentence of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shall be null and void. Subject to the foregoing and except as otherwise provided herein, the provisions of this Agreement shall inure to the benefit of, and be binding upon, the successors, permitted assigns, heirs, executors and administrators of the parties hereto.</w:t>
      </w:r>
    </w:p>
    <w:p>
      <w:pPr>
        <w:spacing w:after="0" w:line="177"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any exhibits hereto, constitute the entire agreement between the parties relating to the subject matter hereof and all previous agreements or arrangements between the parties, written or oral, relating to the subject matter hereof are superseded.</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Waiver</w:t>
      </w:r>
      <w:r>
        <w:rPr>
          <w:rFonts w:ascii="Arial" w:cs="Arial" w:eastAsia="Arial" w:hAnsi="Arial"/>
          <w:sz w:val="18"/>
          <w:szCs w:val="18"/>
          <w:color w:val="auto"/>
        </w:rPr>
        <w:t>. No failure on the part of either party hereto to exercise any power, right, privilege or remedy under this 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this Agreement is declared invalid or unenforceable by any court of competent jurisdiction, such declaration shall not affect the remainder of the Agreement and the invalidated provision shall be revised in a manner that shall render such provision valid while preserving the parties’ original intent to the maximum extent possible.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 All references in this Agreement to sections, paragraphs and exhibits shall, unless otherwise provided, refer to sections and paragraphs hereof and exhibits attached hereto.</w:t>
      </w:r>
    </w:p>
    <w:p>
      <w:pPr>
        <w:spacing w:after="0" w:line="184"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enforceable against the parties that execute such counterparts (including by facsimile or other electronic means), and all of which together shall constitute one instrument.</w:t>
      </w:r>
    </w:p>
    <w:p>
      <w:pPr>
        <w:spacing w:after="0" w:line="12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 xml:space="preserve">. The Investors’ rights to demand the registration of the Registrable Securities under this Agreement, as well as the Company’s obligations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terminate automatically once all Registrable Securities cease to be Registrable Securities pursuant to the terms of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490" w:right="459" w:bottom="1440" w:gutter="0" w:footer="0" w:header="0"/>
        </w:sectPr>
      </w:pPr>
    </w:p>
    <w:bookmarkStart w:id="45" w:name="page46"/>
    <w:bookmarkEnd w:id="4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hereto have executed this Registration Rights Agreement effective as of the day, month and year first above written.</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606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Brian J. Lynch</w:t>
      </w:r>
    </w:p>
    <w:p>
      <w:pPr>
        <w:spacing w:after="0" w:line="36"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Senior Vice President and General Counsel</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0960"/>
          </w:cols>
          <w:pgMar w:left="440" w:top="490" w:right="499" w:bottom="1440" w:gutter="0" w:footer="0" w:header="0"/>
        </w:sectPr>
      </w:pPr>
    </w:p>
    <w:bookmarkStart w:id="46" w:name="page47"/>
    <w:bookmarkEnd w:id="46"/>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667, L.P.</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BY: BAKER BROS. ADVISORS LP, management company</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and investment adviser to 667, L.P., pursuant to authority</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granted to it by Baker Biotech Capital, L.P., general partner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to 667, L.P., and not as the general partner.</w:t>
      </w:r>
    </w:p>
    <w:p>
      <w:pPr>
        <w:spacing w:after="0" w:line="200" w:lineRule="exact"/>
        <w:rPr>
          <w:sz w:val="20"/>
          <w:szCs w:val="20"/>
          <w:color w:val="auto"/>
        </w:rPr>
      </w:pPr>
    </w:p>
    <w:p>
      <w:pPr>
        <w:spacing w:after="0" w:line="25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Scott Lessing</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BAKER BROTHERS LIFE SCIENCES, L.P.</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By: BAKER BROS. ADVISORS LP, management company</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and investment adviser to Baker Brothers Life Sciences,</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L.P., pursuant to authority granted to it by Baker Brothers</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Life Sciences Capital, L.P., general partner to Baker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Brothers Life Sciences, L.P., and not as the general partner.</w:t>
      </w:r>
    </w:p>
    <w:p>
      <w:pPr>
        <w:spacing w:after="0" w:line="200" w:lineRule="exact"/>
        <w:rPr>
          <w:sz w:val="20"/>
          <w:szCs w:val="20"/>
          <w:color w:val="auto"/>
        </w:rPr>
      </w:pP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606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Scott Lessing</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980"/>
          </w:cols>
          <w:pgMar w:left="1440" w:top="486" w:right="479" w:bottom="1440" w:gutter="0" w:footer="0" w:header="0"/>
        </w:sectPr>
      </w:pPr>
    </w:p>
    <w:bookmarkStart w:id="47" w:name="page48"/>
    <w:bookmarkEnd w:id="47"/>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A</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The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667,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Baker Brothers Life Sciences,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above Investors: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Baker Bros. Advisors 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860 Washington St. 3d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Scott Lessing, President</w:t>
      </w:r>
    </w:p>
    <w:p>
      <w:pPr>
        <w:sectPr>
          <w:pgSz w:w="11900" w:h="16838" w:orient="portrait"/>
          <w:cols w:equalWidth="0" w:num="1">
            <w:col w:w="10019"/>
          </w:cols>
          <w:pgMar w:left="440" w:top="486"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2015 STOCK PLAN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RESTRICTED STOCK UNIT AWARD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 NOTICE</w:t>
      </w:r>
    </w:p>
    <w:p>
      <w:pPr>
        <w:spacing w:after="0" w:line="234" w:lineRule="exact"/>
        <w:rPr>
          <w:sz w:val="20"/>
          <w:szCs w:val="20"/>
          <w:color w:val="auto"/>
        </w:rPr>
      </w:pPr>
    </w:p>
    <w:p>
      <w:pPr>
        <w:ind w:left="444" w:hanging="444"/>
        <w:spacing w:after="0"/>
        <w:tabs>
          <w:tab w:leader="none" w:pos="444"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Name of Participant:</w:t>
      </w:r>
    </w:p>
    <w:p>
      <w:pPr>
        <w:spacing w:after="0" w:line="198" w:lineRule="exact"/>
        <w:rPr>
          <w:rFonts w:ascii="Arial" w:cs="Arial" w:eastAsia="Arial" w:hAnsi="Arial"/>
          <w:sz w:val="18"/>
          <w:szCs w:val="18"/>
          <w:color w:val="auto"/>
        </w:rPr>
      </w:pPr>
    </w:p>
    <w:p>
      <w:pPr>
        <w:ind w:left="444" w:right="8760" w:hanging="444"/>
        <w:spacing w:after="0" w:line="347" w:lineRule="auto"/>
        <w:tabs>
          <w:tab w:leader="none" w:pos="444"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Grant Date of the RSUs (the “Grant Date”):</w:t>
      </w:r>
    </w:p>
    <w:p>
      <w:pPr>
        <w:spacing w:after="0" w:line="88" w:lineRule="exact"/>
        <w:rPr>
          <w:rFonts w:ascii="Arial" w:cs="Arial" w:eastAsia="Arial" w:hAnsi="Arial"/>
          <w:sz w:val="16"/>
          <w:szCs w:val="16"/>
          <w:color w:val="auto"/>
        </w:rPr>
      </w:pPr>
    </w:p>
    <w:p>
      <w:pPr>
        <w:ind w:left="444" w:hanging="444"/>
        <w:spacing w:after="0"/>
        <w:tabs>
          <w:tab w:leader="none" w:pos="444"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Number of RSUs:</w:t>
      </w:r>
    </w:p>
    <w:p>
      <w:pPr>
        <w:spacing w:after="0" w:line="144" w:lineRule="exact"/>
        <w:rPr>
          <w:rFonts w:ascii="Arial" w:cs="Arial" w:eastAsia="Arial" w:hAnsi="Arial"/>
          <w:sz w:val="18"/>
          <w:szCs w:val="18"/>
          <w:color w:val="auto"/>
        </w:rPr>
      </w:pPr>
    </w:p>
    <w:p>
      <w:pPr>
        <w:ind w:left="444" w:hanging="444"/>
        <w:spacing w:after="0" w:line="303" w:lineRule="auto"/>
        <w:tabs>
          <w:tab w:leader="none" w:pos="444"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Vesting of Award: </w:t>
      </w:r>
      <w:r>
        <w:rPr>
          <w:rFonts w:ascii="Arial" w:cs="Arial" w:eastAsia="Arial" w:hAnsi="Arial"/>
          <w:sz w:val="16"/>
          <w:szCs w:val="16"/>
          <w:color w:val="auto"/>
        </w:rPr>
        <w:t>Subject to the Participant’s continuous employment or other service relationship with or to the Company or any of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as an Employee, director, and/or Consultant from the Grant Date through the first anniversary of the Grant Date (the “</w:t>
      </w:r>
      <w:r>
        <w:rPr>
          <w:rFonts w:ascii="Arial" w:cs="Arial" w:eastAsia="Arial" w:hAnsi="Arial"/>
          <w:sz w:val="16"/>
          <w:szCs w:val="16"/>
          <w:b w:val="1"/>
          <w:bCs w:val="1"/>
          <w:color w:val="auto"/>
        </w:rPr>
        <w:t>Vesting Date</w:t>
      </w:r>
      <w:r>
        <w:rPr>
          <w:rFonts w:ascii="Arial" w:cs="Arial" w:eastAsia="Arial" w:hAnsi="Arial"/>
          <w:sz w:val="16"/>
          <w:szCs w:val="16"/>
          <w:color w:val="auto"/>
        </w:rPr>
        <w:t>”), the RSUs shall become 100 percent (100%) vested on such Vesting Date. Any terms used and not defined herein have the meanings ascribed to such terms in the Madrigal Pharmaceuticals, Inc. Amended 2015 Stock Plan (as it has been and may be amended and/or restated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-1315085</wp:posOffset>
            </wp:positionV>
            <wp:extent cx="4877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2117090</wp:posOffset>
            </wp:positionH>
            <wp:positionV relativeFrom="paragraph">
              <wp:posOffset>-920750</wp:posOffset>
            </wp:positionV>
            <wp:extent cx="4877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2117090</wp:posOffset>
            </wp:positionH>
            <wp:positionV relativeFrom="paragraph">
              <wp:posOffset>-663575</wp:posOffset>
            </wp:positionV>
            <wp:extent cx="4877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131"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By signing this Grant Notice or by electronic acknowledgment of this Grant Notice, the Participant acknowledges receipt of and agrees to all the terms and conditions described in this Restricted Stock Unit Award Grant Notice, the attached Restricted Stock Unit Agreement, and the Plan. The Participant acknowledges that he or she has carefully reviewed the Plan and agrees that the Plan will control in the event any provision of the Agreement should appear to be inconsistent with the Plan.</w:t>
      </w:r>
    </w:p>
    <w:p>
      <w:pPr>
        <w:spacing w:after="0" w:line="207" w:lineRule="exact"/>
        <w:rPr>
          <w:sz w:val="20"/>
          <w:szCs w:val="20"/>
          <w:color w:val="auto"/>
        </w:rPr>
      </w:pPr>
    </w:p>
    <w:p>
      <w:pPr>
        <w:ind w:left="6604"/>
        <w:spacing w:after="0"/>
        <w:rPr>
          <w:sz w:val="20"/>
          <w:szCs w:val="20"/>
          <w:color w:val="auto"/>
        </w:rPr>
      </w:pPr>
      <w:r>
        <w:rPr>
          <w:rFonts w:ascii="Arial" w:cs="Arial" w:eastAsia="Arial" w:hAnsi="Arial"/>
          <w:sz w:val="18"/>
          <w:szCs w:val="18"/>
          <w:b w:val="1"/>
          <w:bCs w:val="1"/>
          <w:color w:val="auto"/>
        </w:rPr>
        <w:t>MADRIGAL PHARMACEUTICALS, INC.</w:t>
      </w:r>
    </w:p>
    <w:p>
      <w:pPr>
        <w:spacing w:after="0" w:line="229"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606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606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606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04"/>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ATTACHMENT</w:t>
      </w:r>
      <w:r>
        <w:rPr>
          <w:rFonts w:ascii="Arial" w:cs="Arial" w:eastAsia="Arial" w:hAnsi="Arial"/>
          <w:sz w:val="18"/>
          <w:szCs w:val="18"/>
          <w:color w:val="auto"/>
        </w:rPr>
        <w:t>: Restricted Stock Unit Agreement</w:t>
      </w:r>
    </w:p>
    <w:p>
      <w:pPr>
        <w:sectPr>
          <w:pgSz w:w="11900" w:h="16838" w:orient="portrait"/>
          <w:cols w:equalWidth="0" w:num="1">
            <w:col w:w="11024"/>
          </w:cols>
          <w:pgMar w:left="436" w:top="121" w:right="439" w:bottom="1440" w:gutter="0" w:footer="0" w:header="0"/>
        </w:sectPr>
      </w:pPr>
    </w:p>
    <w:bookmarkStart w:id="49" w:name="page50"/>
    <w:bookmarkEnd w:id="49"/>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MADRIGAL PHARMACEUTICALS, INC.</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AMENDED 2015 STOCK PLAN</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RESTRICTED STOCK UNIT AGREEMENT</w:t>
      </w:r>
    </w:p>
    <w:p>
      <w:pPr>
        <w:spacing w:after="0" w:line="207" w:lineRule="exact"/>
        <w:rPr>
          <w:sz w:val="20"/>
          <w:szCs w:val="20"/>
          <w:color w:val="auto"/>
        </w:rPr>
      </w:pPr>
    </w:p>
    <w:p>
      <w:pPr>
        <w:ind w:left="4" w:right="420" w:firstLine="440"/>
        <w:spacing w:after="0" w:line="266"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“Grant Date” set forth in the Restricted Stock Unit Award Grant Notice (“</w:t>
      </w:r>
      <w:r>
        <w:rPr>
          <w:rFonts w:ascii="Arial" w:cs="Arial" w:eastAsia="Arial" w:hAnsi="Arial"/>
          <w:sz w:val="18"/>
          <w:szCs w:val="18"/>
          <w:b w:val="1"/>
          <w:bCs w:val="1"/>
          <w:color w:val="auto"/>
        </w:rPr>
        <w:t>Grant Notice</w:t>
      </w:r>
      <w:r>
        <w:rPr>
          <w:rFonts w:ascii="Arial" w:cs="Arial" w:eastAsia="Arial" w:hAnsi="Arial"/>
          <w:sz w:val="18"/>
          <w:szCs w:val="18"/>
          <w:color w:val="auto"/>
        </w:rPr>
        <w:t>”) between MADRIGAL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a Delaware corporation, and the individual whose name appears on the Restricted Stock Unit Award Grant Notice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180"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WHEREAS, the Company has adopted the Madrigal Pharmaceuticals, Inc. Amended 2015 Stock Plan (as it has been and may be amended and/or restated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to promote the interests of the Company by providing an incentive for Employees, directors, and Consultants of the Company and its Affiliates;</w:t>
      </w:r>
    </w:p>
    <w:p>
      <w:pPr>
        <w:spacing w:after="0" w:line="184" w:lineRule="exact"/>
        <w:rPr>
          <w:sz w:val="20"/>
          <w:szCs w:val="20"/>
          <w:color w:val="auto"/>
        </w:rPr>
      </w:pPr>
    </w:p>
    <w:p>
      <w:pPr>
        <w:ind w:left="4" w:right="480" w:firstLine="440"/>
        <w:spacing w:after="0" w:line="311" w:lineRule="auto"/>
        <w:rPr>
          <w:sz w:val="20"/>
          <w:szCs w:val="20"/>
          <w:color w:val="auto"/>
        </w:rPr>
      </w:pPr>
      <w:r>
        <w:rPr>
          <w:rFonts w:ascii="Arial" w:cs="Arial" w:eastAsia="Arial" w:hAnsi="Arial"/>
          <w:sz w:val="16"/>
          <w:szCs w:val="16"/>
          <w:color w:val="auto"/>
        </w:rPr>
        <w:t>WHEREAS, pursuant to the provisions of the Plan, and in consideration for the Participant’s past and future services to the Company, the Company desires to grant to the Participant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related to the Company’s common stock, $0.0001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in accordance with the provisions of the Plan, all on the terms and conditions hereinafter set forth; and</w:t>
      </w:r>
    </w:p>
    <w:p>
      <w:pPr>
        <w:spacing w:after="0" w:line="149"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meanings ascribed to such terms in the Plan.</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76" w:lineRule="exact"/>
        <w:rPr>
          <w:sz w:val="20"/>
          <w:szCs w:val="20"/>
          <w:color w:val="auto"/>
        </w:rPr>
      </w:pPr>
    </w:p>
    <w:p>
      <w:pPr>
        <w:ind w:left="444" w:right="140" w:hanging="444"/>
        <w:spacing w:after="0" w:line="311" w:lineRule="auto"/>
        <w:tabs>
          <w:tab w:leader="none" w:pos="444"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Grant of Award</w:t>
      </w:r>
      <w:r>
        <w:rPr>
          <w:rFonts w:ascii="Arial" w:cs="Arial" w:eastAsia="Arial" w:hAnsi="Arial"/>
          <w:sz w:val="16"/>
          <w:szCs w:val="16"/>
          <w:color w:val="auto"/>
        </w:rPr>
        <w:t>. The Company hereby grants to the Participant a Stock-Based Award for the number of RSUs set forth in the Grant Notice (the “</w:t>
      </w:r>
      <w:r>
        <w:rPr>
          <w:rFonts w:ascii="Arial" w:cs="Arial" w:eastAsia="Arial" w:hAnsi="Arial"/>
          <w:sz w:val="16"/>
          <w:szCs w:val="16"/>
          <w:b w:val="1"/>
          <w:bCs w:val="1"/>
          <w:color w:val="auto"/>
        </w:rPr>
        <w:t>Award</w:t>
      </w:r>
      <w:r>
        <w:rPr>
          <w:rFonts w:ascii="Arial" w:cs="Arial" w:eastAsia="Arial" w:hAnsi="Arial"/>
          <w:sz w:val="16"/>
          <w:szCs w:val="16"/>
          <w:color w:val="auto"/>
        </w:rPr>
        <w:t>”). Each RSU represents a contingent entitlement of the Participant to receive one share of Common Stock, on the terms and conditions and subject to all the limitations set forth herein, in the Grant Notice, and in the Plan, which are incorporated herein by reference.</w:t>
      </w:r>
    </w:p>
    <w:p>
      <w:pPr>
        <w:spacing w:after="0" w:line="54" w:lineRule="exact"/>
        <w:rPr>
          <w:rFonts w:ascii="Arial" w:cs="Arial" w:eastAsia="Arial" w:hAnsi="Arial"/>
          <w:sz w:val="16"/>
          <w:szCs w:val="16"/>
          <w:color w:val="auto"/>
        </w:rPr>
      </w:pPr>
    </w:p>
    <w:p>
      <w:pPr>
        <w:ind w:left="444" w:hanging="444"/>
        <w:spacing w:after="0"/>
        <w:tabs>
          <w:tab w:leader="none" w:pos="44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20" w:hanging="544"/>
        <w:spacing w:after="0" w:line="263" w:lineRule="auto"/>
        <w:tabs>
          <w:tab w:leader="none" w:pos="9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and the Plan: (i) the Award shall vest as set forth in the Grant Notice and is subject to the other terms and conditions of this Agreement and the Plan; and (ii) upon vesting, the Participant shall be entitled to receive such number of shares of Common Stock equivalent to the number of such vested RSUs.</w:t>
      </w:r>
    </w:p>
    <w:p>
      <w:pPr>
        <w:sectPr>
          <w:pgSz w:w="11900" w:h="16838" w:orient="portrait"/>
          <w:cols w:equalWidth="0" w:num="1">
            <w:col w:w="10924"/>
          </w:cols>
          <w:pgMar w:left="436" w:top="486" w:right="539" w:bottom="1440" w:gutter="0" w:footer="0" w:header="0"/>
        </w:sectPr>
      </w:pPr>
    </w:p>
    <w:bookmarkStart w:id="50" w:name="page51"/>
    <w:bookmarkEnd w:id="50"/>
    <w:p>
      <w:pPr>
        <w:ind w:left="984" w:right="20" w:hanging="544"/>
        <w:spacing w:after="0" w:line="311" w:lineRule="auto"/>
        <w:tabs>
          <w:tab w:leader="none" w:pos="984" w:val="left"/>
        </w:tabs>
        <w:numPr>
          <w:ilvl w:val="1"/>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anything to the contrary in the Grant Notice or this Agreement, any fractional Shares resulting from the vesting schedule set forth in the Grant Notice will be rounded to the nearest whole Share and shall be rounded up or down as necessary as of the last Vesting Date; provided, in all cases, the Participant cannot vest in more than the number of RSUs set forth in the Grant Notice.</w:t>
      </w:r>
    </w:p>
    <w:p>
      <w:pPr>
        <w:spacing w:after="0" w:line="54" w:lineRule="exact"/>
        <w:rPr>
          <w:rFonts w:ascii="Arial" w:cs="Arial" w:eastAsia="Arial" w:hAnsi="Arial"/>
          <w:sz w:val="16"/>
          <w:szCs w:val="16"/>
          <w:color w:val="auto"/>
        </w:rPr>
      </w:pPr>
    </w:p>
    <w:p>
      <w:pPr>
        <w:ind w:left="444" w:hanging="444"/>
        <w:spacing w:after="0"/>
        <w:tabs>
          <w:tab w:leader="none" w:pos="4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Forfeiture of Unvested RSUs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60" w:hanging="544"/>
        <w:spacing w:after="0" w:line="257" w:lineRule="auto"/>
        <w:tabs>
          <w:tab w:leader="none" w:pos="98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Except as otherwise set forth in this Agreement, the Grant Notice, the Plan, or a separate agreement between Participant and the Company, if the Participant ceases his or her continuous employment or other service relationship with or to the Company or any of its Affiliates as an Employee, director, and/or Consultant (“</w:t>
      </w:r>
      <w:r>
        <w:rPr>
          <w:rFonts w:ascii="Arial" w:cs="Arial" w:eastAsia="Arial" w:hAnsi="Arial"/>
          <w:sz w:val="18"/>
          <w:szCs w:val="18"/>
          <w:b w:val="1"/>
          <w:bCs w:val="1"/>
          <w:color w:val="auto"/>
        </w:rPr>
        <w:t>Termination</w:t>
      </w:r>
      <w:r>
        <w:rPr>
          <w:rFonts w:ascii="Arial" w:cs="Arial" w:eastAsia="Arial" w:hAnsi="Arial"/>
          <w:sz w:val="18"/>
          <w:szCs w:val="18"/>
          <w:color w:val="auto"/>
        </w:rPr>
        <w:t>”), then all then-unvested RSUs shall automatically and immediately be forfeited to the Company as of such Termination, and this Agreement and the Grant Notice shall automatically and immediately terminate and be of no further force or effect.</w:t>
      </w:r>
    </w:p>
    <w:p>
      <w:pPr>
        <w:spacing w:after="0" w:line="93" w:lineRule="exact"/>
        <w:rPr>
          <w:rFonts w:ascii="Arial" w:cs="Arial" w:eastAsia="Arial" w:hAnsi="Arial"/>
          <w:sz w:val="18"/>
          <w:szCs w:val="18"/>
          <w:color w:val="auto"/>
        </w:rPr>
      </w:pPr>
    </w:p>
    <w:p>
      <w:pPr>
        <w:ind w:left="984" w:hanging="544"/>
        <w:spacing w:after="0" w:line="290" w:lineRule="auto"/>
        <w:tabs>
          <w:tab w:leader="none" w:pos="984" w:val="left"/>
        </w:tabs>
        <w:numPr>
          <w:ilvl w:val="1"/>
          <w:numId w:val="35"/>
        </w:numPr>
        <w:rPr>
          <w:rFonts w:ascii="Arial" w:cs="Arial" w:eastAsia="Arial" w:hAnsi="Arial"/>
          <w:sz w:val="16"/>
          <w:szCs w:val="16"/>
          <w:color w:val="auto"/>
        </w:rPr>
      </w:pPr>
      <w:r>
        <w:rPr>
          <w:rFonts w:ascii="Arial" w:cs="Arial" w:eastAsia="Arial" w:hAnsi="Arial"/>
          <w:sz w:val="16"/>
          <w:szCs w:val="16"/>
          <w:color w:val="auto"/>
        </w:rPr>
        <w:t>For purposes of this Agreement, the Participant’s continuous employment or other service relationship with or to the Company or any of its Affiliates as an Employee, director, and/or Consultant does not terminate when the Participant goes on a bona fide leave of absence that was approved by the Administrator in writing, if the terms of the leave provide for continued service crediting, or when continued service crediting is required by applicable law. The Participant’s continuous employment or other service relationship with or to the Company or any of its Affiliates as an Employee, director, and/or Consultant terminates in any event when the approved leave ends unless the Participant immediately returns to active work. The Administrator may determine, in its discretion, which leaves count for this purpose and when the Participant’s continuous employment or other service relationship with or to the Company or any of its Affiliates as an Employee, director, and/or Consultant terminates for all purposes under the Plan in accordance with the provisions of the Plan.</w:t>
      </w:r>
    </w:p>
    <w:p>
      <w:pPr>
        <w:spacing w:after="0" w:line="70" w:lineRule="exact"/>
        <w:rPr>
          <w:rFonts w:ascii="Arial" w:cs="Arial" w:eastAsia="Arial" w:hAnsi="Arial"/>
          <w:sz w:val="16"/>
          <w:szCs w:val="16"/>
          <w:color w:val="auto"/>
        </w:rPr>
      </w:pPr>
    </w:p>
    <w:p>
      <w:pPr>
        <w:ind w:left="444" w:right="320" w:hanging="444"/>
        <w:spacing w:after="0" w:line="301" w:lineRule="auto"/>
        <w:tabs>
          <w:tab w:leader="none" w:pos="444"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Delivery of Award; Evidence of Issuance</w:t>
      </w:r>
      <w:r>
        <w:rPr>
          <w:rFonts w:ascii="Arial" w:cs="Arial" w:eastAsia="Arial" w:hAnsi="Arial"/>
          <w:sz w:val="16"/>
          <w:szCs w:val="16"/>
          <w:color w:val="auto"/>
        </w:rPr>
        <w:t>. Delivery of the Shares represented by the Participant’s vested RSUs shall be made as soon as practicable after the applicable Vesting Date and, in any event, by no later than sixty (60) days following each applicable Vesting Date. The issuance of the Shares represented by the Participant’s vested RSUs shall be evidenced in such a manner as the Administrator, in its discretion, deems appropriate, including, without limitation, by (i) book-entry registration or (ii) issuance of one or more share certificates.</w:t>
      </w:r>
    </w:p>
    <w:p>
      <w:pPr>
        <w:sectPr>
          <w:pgSz w:w="11900" w:h="16838" w:orient="portrait"/>
          <w:cols w:equalWidth="0" w:num="1">
            <w:col w:w="11024"/>
          </w:cols>
          <w:pgMar w:left="436" w:top="490" w:right="439" w:bottom="1440" w:gutter="0" w:footer="0" w:header="0"/>
        </w:sectPr>
      </w:pPr>
    </w:p>
    <w:bookmarkStart w:id="51" w:name="page52"/>
    <w:bookmarkEnd w:id="51"/>
    <w:p>
      <w:pPr>
        <w:ind w:left="444" w:right="20" w:hanging="444"/>
        <w:spacing w:after="0" w:line="290" w:lineRule="auto"/>
        <w:tabs>
          <w:tab w:leader="none" w:pos="44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Prohibitions on Transfer and Sale</w:t>
      </w:r>
      <w:r>
        <w:rPr>
          <w:rFonts w:ascii="Arial" w:cs="Arial" w:eastAsia="Arial" w:hAnsi="Arial"/>
          <w:sz w:val="16"/>
          <w:szCs w:val="16"/>
          <w:color w:val="auto"/>
        </w:rPr>
        <w:t xml:space="preserve">. This Award (including any additional RSUs received by the Participant as a result of stock dividends, stock splits, or any other similar transaction affecting the Company’s securities without receipt of consideration) shall not be transferable, without the prior approval of the Administrator, by the Participant, by the Participant, other than by will or by the laws of descent and distribution. Except as provided in the previous sentence, the Shares to be issued pursuant to this Agreement shall be issued, during the Participant’s lifetime, only to the Participant (or, in the event of legal incapacity or incompetence, to the Participant’s guardian or representative), and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or the levy of any attachment or similar process upon this Award, shall be null and void.</w:t>
      </w:r>
    </w:p>
    <w:p>
      <w:pPr>
        <w:spacing w:after="0" w:line="70" w:lineRule="exact"/>
        <w:rPr>
          <w:rFonts w:ascii="Arial" w:cs="Arial" w:eastAsia="Arial" w:hAnsi="Arial"/>
          <w:sz w:val="16"/>
          <w:szCs w:val="16"/>
          <w:color w:val="auto"/>
        </w:rPr>
      </w:pPr>
    </w:p>
    <w:p>
      <w:pPr>
        <w:ind w:left="444" w:right="140" w:hanging="444"/>
        <w:spacing w:after="0" w:line="286" w:lineRule="auto"/>
        <w:tabs>
          <w:tab w:leader="none" w:pos="44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The Plan contains provisions covering the treatment of RSUs and Shares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70" w:lineRule="exact"/>
        <w:rPr>
          <w:rFonts w:ascii="Arial" w:cs="Arial" w:eastAsia="Arial" w:hAnsi="Arial"/>
          <w:sz w:val="17"/>
          <w:szCs w:val="17"/>
          <w:color w:val="auto"/>
        </w:rPr>
      </w:pPr>
    </w:p>
    <w:p>
      <w:pPr>
        <w:ind w:left="444" w:hanging="444"/>
        <w:spacing w:after="0" w:line="296" w:lineRule="auto"/>
        <w:tabs>
          <w:tab w:leader="none" w:pos="44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The Participant specifically acknowledges and agrees that any sales of Shares shall be made in accordance with the requirements of the Securities Act. The Company currently has an effective registration statement on file with the United States Securities and Exchange Commission with respect to the Shares to be granted hereunder. Despite registration, applicable securities laws may restrict the ability of the Participant to sell his or her Shares, including due to the Participant’s affiliation with the Company. The Company shall not be obligated to either issue the Shares or permit the resale of any Shares if such issuance or resale would violate any applicable securities law, rule, or regulation.</w:t>
      </w:r>
    </w:p>
    <w:p>
      <w:pPr>
        <w:spacing w:after="0" w:line="66" w:lineRule="exact"/>
        <w:rPr>
          <w:rFonts w:ascii="Arial" w:cs="Arial" w:eastAsia="Arial" w:hAnsi="Arial"/>
          <w:sz w:val="16"/>
          <w:szCs w:val="16"/>
          <w:color w:val="auto"/>
        </w:rPr>
      </w:pPr>
    </w:p>
    <w:p>
      <w:pPr>
        <w:ind w:left="444" w:right="160" w:hanging="444"/>
        <w:spacing w:after="0" w:line="273" w:lineRule="auto"/>
        <w:tabs>
          <w:tab w:leader="none" w:pos="44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The Participant shall have no rights as a stockholder, including voting and dividend rights, with respect to the RSUs subject to this Agreement, unless and until Shares represented by the Participant’s vested RSUs have been issued to the Participant and either a certificate evidencing the Shares has been issued or an appropriate entry has been made on the Company’s books. No adjustments to Shares represented by the Participant’s vested RSUs shall be made for dividends, distributions, or other rights on or with respect to the Common Stock generally if the applicable record date for any such dividend, distribution, or right occurs before the Participant’s certificate is issued or an appropriate book entry is made, except as otherwise described in the Plan.</w:t>
      </w:r>
    </w:p>
    <w:p>
      <w:pPr>
        <w:spacing w:after="0" w:line="83" w:lineRule="exact"/>
        <w:rPr>
          <w:rFonts w:ascii="Arial" w:cs="Arial" w:eastAsia="Arial" w:hAnsi="Arial"/>
          <w:sz w:val="17"/>
          <w:szCs w:val="17"/>
          <w:color w:val="auto"/>
        </w:rPr>
      </w:pPr>
    </w:p>
    <w:p>
      <w:pPr>
        <w:ind w:left="444" w:right="180" w:hanging="444"/>
        <w:spacing w:after="0" w:line="263" w:lineRule="auto"/>
        <w:tabs>
          <w:tab w:leader="none" w:pos="44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Incorporation of the Plan; Clawback</w:t>
      </w:r>
      <w:r>
        <w:rPr>
          <w:rFonts w:ascii="Arial" w:cs="Arial" w:eastAsia="Arial" w:hAnsi="Arial"/>
          <w:sz w:val="18"/>
          <w:szCs w:val="18"/>
          <w:color w:val="auto"/>
        </w:rPr>
        <w:t>. The Participant specifically understands and agrees that the RSUs and the Shares to be issued under the Agreement will be issued to the Participant pursuant to the Plan, a copy of which Plan the Participant acknowledges he or she has received, has read, and understands and by which Plan he or she agrees to be</w:t>
      </w:r>
    </w:p>
    <w:p>
      <w:pPr>
        <w:sectPr>
          <w:pgSz w:w="11900" w:h="16838" w:orient="portrait"/>
          <w:cols w:equalWidth="0" w:num="1">
            <w:col w:w="10924"/>
          </w:cols>
          <w:pgMar w:left="436" w:top="490" w:right="539" w:bottom="1440" w:gutter="0" w:footer="0" w:header="0"/>
        </w:sectPr>
      </w:pPr>
    </w:p>
    <w:bookmarkStart w:id="52" w:name="page53"/>
    <w:bookmarkEnd w:id="52"/>
    <w:p>
      <w:pPr>
        <w:ind w:left="44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bound. The provisions of the Plan are incorporated herein by reference. In addition, the RSUs (and any compensation paid or Shares issued pursuant to this Agreement) is subject to recoupment in accordance with The Sarbanes-Oxley Act,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resign for “good reason” or for a “constructive termination” (or similar terms) under any agreement between the Participant and the Company or any Affiliate.</w:t>
      </w:r>
    </w:p>
    <w:p>
      <w:pPr>
        <w:spacing w:after="0" w:line="98" w:lineRule="exact"/>
        <w:rPr>
          <w:sz w:val="20"/>
          <w:szCs w:val="20"/>
          <w:color w:val="auto"/>
        </w:rPr>
      </w:pPr>
    </w:p>
    <w:p>
      <w:pPr>
        <w:ind w:left="444" w:hanging="444"/>
        <w:spacing w:after="0" w:line="268" w:lineRule="auto"/>
        <w:tabs>
          <w:tab w:leader="none" w:pos="444"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Tax Liability of the Participant and Payment of Taxes</w:t>
      </w:r>
      <w:r>
        <w:rPr>
          <w:rFonts w:ascii="Arial" w:cs="Arial" w:eastAsia="Arial" w:hAnsi="Arial"/>
          <w:sz w:val="17"/>
          <w:szCs w:val="17"/>
          <w:color w:val="auto"/>
        </w:rPr>
        <w:t>. The Participant acknowledges and agrees that any income or other taxes due from the Participant with respect to this Award or the Shares to be issued pursuant to this Agreement or otherwise sold shall be the Participant’s responsibility. In the event that the Company or an Affiliate determines that any federal, state, local, or foreign tax or withholding payment is required relating to the RSUs, or the delivery of Shares with respect to this Award, the Company or any Affiliate, subject to the proviso below, will have the right to withhold the delivery of vested Shares otherwise deliverable under this Agreement to meet such obligations, provided that, to the extent required to avoid adverse accounting consequences to the Company, the Shares so withheld will have an aggregate Fair Market Value not exceeding the minimum amount of tax required to be withheld by applicable laws and fractional Shares will not be retained to satisfy any portion of the Company’s withholding obligation (such process, “</w:t>
      </w:r>
      <w:r>
        <w:rPr>
          <w:rFonts w:ascii="Arial" w:cs="Arial" w:eastAsia="Arial" w:hAnsi="Arial"/>
          <w:sz w:val="17"/>
          <w:szCs w:val="17"/>
          <w:b w:val="1"/>
          <w:bCs w:val="1"/>
          <w:color w:val="auto"/>
        </w:rPr>
        <w:t>Net Settlement</w:t>
      </w:r>
      <w:r>
        <w:rPr>
          <w:rFonts w:ascii="Arial" w:cs="Arial" w:eastAsia="Arial" w:hAnsi="Arial"/>
          <w:sz w:val="17"/>
          <w:szCs w:val="17"/>
          <w:color w:val="auto"/>
        </w:rPr>
        <w:t>”); provided, however, the Administrator shall have the discretion to override Net Settlement, (i) provided ninety (90) days’ advance notice is given prior to a Vesting Date from the Company to the Participant, in which case such withholding shall be through a “same day sale” commitment with a broker-dealer that is a member of the Financial Industry Regulatory Authority (a “</w:t>
      </w:r>
      <w:r>
        <w:rPr>
          <w:rFonts w:ascii="Arial" w:cs="Arial" w:eastAsia="Arial" w:hAnsi="Arial"/>
          <w:sz w:val="17"/>
          <w:szCs w:val="17"/>
          <w:b w:val="1"/>
          <w:bCs w:val="1"/>
          <w:color w:val="auto"/>
        </w:rPr>
        <w:t>FINRA Dealer</w:t>
      </w:r>
      <w:r>
        <w:rPr>
          <w:rFonts w:ascii="Arial" w:cs="Arial" w:eastAsia="Arial" w:hAnsi="Arial"/>
          <w:sz w:val="17"/>
          <w:szCs w:val="17"/>
          <w:color w:val="auto"/>
        </w:rPr>
        <w:t>”), whereby the Participant irrevocably elects to sell a portion of the Shares to be delivered in connection with the RSUs to satisfy withholding obligations and whereby the FINRA Dealer irrevocably commits to forward the proceeds necessary to satisfy the withholding obligations directly to the Company or any Affiliate (“</w:t>
      </w:r>
      <w:r>
        <w:rPr>
          <w:rFonts w:ascii="Arial" w:cs="Arial" w:eastAsia="Arial" w:hAnsi="Arial"/>
          <w:sz w:val="17"/>
          <w:szCs w:val="17"/>
          <w:b w:val="1"/>
          <w:bCs w:val="1"/>
          <w:color w:val="auto"/>
        </w:rPr>
        <w:t>Sell to Cover</w:t>
      </w:r>
      <w:r>
        <w:rPr>
          <w:rFonts w:ascii="Arial" w:cs="Arial" w:eastAsia="Arial" w:hAnsi="Arial"/>
          <w:sz w:val="17"/>
          <w:szCs w:val="17"/>
          <w:color w:val="auto"/>
        </w:rPr>
        <w:t>”) or (ii)(A) in lieu of withholding (under Net Settlement) or selling (under Sell to Cover) a fractional vested Share or (B) in connection with withholding obligations arising outside the ordinary course, such as outside annual Vesting Dates of the RSUs, and in each case under (A) or (B) such withholding may be through deduction from payments of any kind otherwise due to the Participant.</w:t>
      </w:r>
    </w:p>
    <w:p>
      <w:pPr>
        <w:spacing w:after="0" w:line="67" w:lineRule="exact"/>
        <w:rPr>
          <w:rFonts w:ascii="Arial" w:cs="Arial" w:eastAsia="Arial" w:hAnsi="Arial"/>
          <w:sz w:val="17"/>
          <w:szCs w:val="17"/>
          <w:color w:val="auto"/>
        </w:rPr>
      </w:pPr>
    </w:p>
    <w:p>
      <w:pPr>
        <w:ind w:left="444" w:right="100"/>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The Participant hereby (i) agrees that the Company or any Affiliate shall be entitled to use the foregoing methods to recover such taxes and (ii) acknowledges that, absent further action by the Administrator, in the event that the Company or an Affiliate determines that any federal, state, local, or foreign tax or withholding payment is required relating to the RSUs, or the delivery of Shares with respect to this Award, the Company or any Affiliate will utilize Net Settlement.</w:t>
      </w:r>
    </w:p>
    <w:p>
      <w:pPr>
        <w:sectPr>
          <w:pgSz w:w="11900" w:h="16838" w:orient="portrait"/>
          <w:cols w:equalWidth="0" w:num="1">
            <w:col w:w="11004"/>
          </w:cols>
          <w:pgMar w:left="436" w:top="490" w:right="459" w:bottom="1440" w:gutter="0" w:footer="0" w:header="0"/>
        </w:sectPr>
      </w:pPr>
    </w:p>
    <w:bookmarkStart w:id="53" w:name="page54"/>
    <w:bookmarkEnd w:id="53"/>
    <w:p>
      <w:pPr>
        <w:ind w:left="444"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Participant further agrees that the Administrator may, as it reasonably considers necessary, amend or vary this Agreement due to changes in tax laws to facilitate such recovery of taxes.</w:t>
      </w:r>
    </w:p>
    <w:p>
      <w:pPr>
        <w:spacing w:after="0" w:line="76" w:lineRule="exact"/>
        <w:rPr>
          <w:sz w:val="20"/>
          <w:szCs w:val="20"/>
          <w:color w:val="auto"/>
        </w:rPr>
      </w:pPr>
    </w:p>
    <w:p>
      <w:pPr>
        <w:ind w:left="444" w:hanging="444"/>
        <w:spacing w:after="0"/>
        <w:tabs>
          <w:tab w:leader="none" w:pos="4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Participant Acknowledgements and Authorizations</w:t>
      </w:r>
      <w:r>
        <w:rPr>
          <w:rFonts w:ascii="Arial" w:cs="Arial" w:eastAsia="Arial" w:hAnsi="Arial"/>
          <w:sz w:val="18"/>
          <w:szCs w:val="18"/>
          <w:color w:val="auto"/>
        </w:rPr>
        <w:t>. The Participant hereby acknowledges the following:</w:t>
      </w:r>
    </w:p>
    <w:p>
      <w:pPr>
        <w:spacing w:after="0" w:line="130" w:lineRule="exact"/>
        <w:rPr>
          <w:rFonts w:ascii="Arial" w:cs="Arial" w:eastAsia="Arial" w:hAnsi="Arial"/>
          <w:sz w:val="18"/>
          <w:szCs w:val="18"/>
          <w:color w:val="auto"/>
        </w:rPr>
      </w:pPr>
    </w:p>
    <w:p>
      <w:pPr>
        <w:ind w:left="984" w:right="140" w:hanging="544"/>
        <w:spacing w:after="0" w:line="301" w:lineRule="auto"/>
        <w:tabs>
          <w:tab w:leader="none" w:pos="984" w:val="left"/>
        </w:tabs>
        <w:numPr>
          <w:ilvl w:val="1"/>
          <w:numId w:val="38"/>
        </w:numPr>
        <w:rPr>
          <w:rFonts w:ascii="Arial" w:cs="Arial" w:eastAsia="Arial" w:hAnsi="Arial"/>
          <w:sz w:val="16"/>
          <w:szCs w:val="16"/>
          <w:color w:val="auto"/>
        </w:rPr>
      </w:pPr>
      <w:r>
        <w:rPr>
          <w:rFonts w:ascii="Arial" w:cs="Arial" w:eastAsia="Arial" w:hAnsi="Arial"/>
          <w:sz w:val="16"/>
          <w:szCs w:val="16"/>
          <w:color w:val="auto"/>
        </w:rPr>
        <w:t>Neither the Company nor any Affiliate is, by the Plan or this Award, obligated to continue the Participant as an Employee, director, or Consultant of the Company or an Affiliate. Unless otherwise specified in a written employment or other written compensatory agreement between the Participant and the Company or an Affiliate, the Company or any Affiliate, as applicable, reserves the right to terminate the Participant’s employment or other service relationship with the Company or an Affiliate at any time and for any reason.</w:t>
      </w:r>
    </w:p>
    <w:p>
      <w:pPr>
        <w:spacing w:after="0" w:line="62" w:lineRule="exact"/>
        <w:rPr>
          <w:rFonts w:ascii="Arial" w:cs="Arial" w:eastAsia="Arial" w:hAnsi="Arial"/>
          <w:sz w:val="16"/>
          <w:szCs w:val="16"/>
          <w:color w:val="auto"/>
        </w:rPr>
      </w:pPr>
    </w:p>
    <w:p>
      <w:pPr>
        <w:ind w:left="984" w:hanging="544"/>
        <w:spacing w:after="0"/>
        <w:tabs>
          <w:tab w:leader="none" w:pos="9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Plan is discretionary in nature and may be suspended or terminated by the Company at any time.</w:t>
      </w:r>
    </w:p>
    <w:p>
      <w:pPr>
        <w:spacing w:after="0" w:line="130" w:lineRule="exact"/>
        <w:rPr>
          <w:rFonts w:ascii="Arial" w:cs="Arial" w:eastAsia="Arial" w:hAnsi="Arial"/>
          <w:sz w:val="18"/>
          <w:szCs w:val="18"/>
          <w:color w:val="auto"/>
        </w:rPr>
      </w:pPr>
    </w:p>
    <w:p>
      <w:pPr>
        <w:ind w:left="984" w:right="160" w:hanging="544"/>
        <w:spacing w:after="0" w:line="277" w:lineRule="auto"/>
        <w:tabs>
          <w:tab w:leader="none" w:pos="9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75" w:lineRule="exact"/>
        <w:rPr>
          <w:rFonts w:ascii="Arial" w:cs="Arial" w:eastAsia="Arial" w:hAnsi="Arial"/>
          <w:sz w:val="18"/>
          <w:szCs w:val="18"/>
          <w:color w:val="auto"/>
        </w:rPr>
      </w:pPr>
    </w:p>
    <w:p>
      <w:pPr>
        <w:ind w:left="984" w:right="260" w:hanging="544"/>
        <w:spacing w:after="0" w:line="308" w:lineRule="auto"/>
        <w:tabs>
          <w:tab w:leader="none" w:pos="984"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51" w:lineRule="exact"/>
        <w:rPr>
          <w:rFonts w:ascii="Arial" w:cs="Arial" w:eastAsia="Arial" w:hAnsi="Arial"/>
          <w:sz w:val="17"/>
          <w:szCs w:val="17"/>
          <w:color w:val="auto"/>
        </w:rPr>
      </w:pPr>
    </w:p>
    <w:p>
      <w:pPr>
        <w:ind w:left="984" w:hanging="544"/>
        <w:spacing w:after="0" w:line="279" w:lineRule="auto"/>
        <w:tabs>
          <w:tab w:leader="none" w:pos="984"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76" w:lineRule="exact"/>
        <w:rPr>
          <w:rFonts w:ascii="Arial" w:cs="Arial" w:eastAsia="Arial" w:hAnsi="Arial"/>
          <w:sz w:val="17"/>
          <w:szCs w:val="17"/>
          <w:color w:val="auto"/>
        </w:rPr>
      </w:pPr>
    </w:p>
    <w:p>
      <w:pPr>
        <w:ind w:left="984" w:hanging="544"/>
        <w:spacing w:after="0" w:line="286" w:lineRule="auto"/>
        <w:tabs>
          <w:tab w:leader="none" w:pos="984"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obligation of the Company to deliver Shares pursuant to this Award constitutes an unfunded and unsecured obligation of the Company. Until Shares are delivered, the Participant shall have no rights under this Agreement or the Plan, other than those of a general unsecured creditor of the Company. No assets of the Company shall be set aside for the settlement of the RSUs.</w:t>
      </w:r>
    </w:p>
    <w:p>
      <w:pPr>
        <w:sectPr>
          <w:pgSz w:w="11900" w:h="16838" w:orient="portrait"/>
          <w:cols w:equalWidth="0" w:num="1">
            <w:col w:w="11004"/>
          </w:cols>
          <w:pgMar w:left="436" w:top="490" w:right="459" w:bottom="1440" w:gutter="0" w:footer="0" w:header="0"/>
        </w:sectPr>
      </w:pPr>
    </w:p>
    <w:bookmarkStart w:id="54" w:name="page55"/>
    <w:bookmarkEnd w:id="54"/>
    <w:p>
      <w:pPr>
        <w:ind w:left="444" w:right="20" w:hanging="444"/>
        <w:spacing w:after="0" w:line="259" w:lineRule="auto"/>
        <w:tabs>
          <w:tab w:leader="none" w:pos="4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Notices</w:t>
      </w:r>
      <w:r>
        <w:rPr>
          <w:rFonts w:ascii="Arial" w:cs="Arial" w:eastAsia="Arial" w:hAnsi="Arial"/>
          <w:sz w:val="18"/>
          <w:szCs w:val="18"/>
          <w:color w:val="auto"/>
        </w:rPr>
        <w:t>. By accepting the Award,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92" w:lineRule="exact"/>
        <w:rPr>
          <w:rFonts w:ascii="Arial" w:cs="Arial" w:eastAsia="Arial" w:hAnsi="Arial"/>
          <w:sz w:val="18"/>
          <w:szCs w:val="18"/>
          <w:color w:val="auto"/>
        </w:rPr>
      </w:pPr>
    </w:p>
    <w:p>
      <w:pPr>
        <w:ind w:left="444" w:hanging="444"/>
        <w:spacing w:after="0"/>
        <w:tabs>
          <w:tab w:leader="none" w:pos="4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Assignment and Successors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220" w:hanging="544"/>
        <w:spacing w:after="0" w:line="263" w:lineRule="auto"/>
        <w:tabs>
          <w:tab w:leader="none" w:pos="98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Agreement is personal to the Participant and, without the prior approval of the Administrator, shall not be assignable by the Participant, other than by will or the laws of descent and distribution. This Agreement shall inure to the benefit of and be enforceable by the Participant’s legal representatives and beneficiaries.</w:t>
      </w:r>
    </w:p>
    <w:p>
      <w:pPr>
        <w:spacing w:after="0" w:line="89" w:lineRule="exact"/>
        <w:rPr>
          <w:rFonts w:ascii="Arial" w:cs="Arial" w:eastAsia="Arial" w:hAnsi="Arial"/>
          <w:sz w:val="18"/>
          <w:szCs w:val="18"/>
          <w:color w:val="auto"/>
        </w:rPr>
      </w:pPr>
    </w:p>
    <w:p>
      <w:pPr>
        <w:ind w:left="984" w:hanging="544"/>
        <w:spacing w:after="0"/>
        <w:tabs>
          <w:tab w:leader="none" w:pos="98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130" w:lineRule="exact"/>
        <w:rPr>
          <w:rFonts w:ascii="Arial" w:cs="Arial" w:eastAsia="Arial" w:hAnsi="Arial"/>
          <w:sz w:val="18"/>
          <w:szCs w:val="18"/>
          <w:color w:val="auto"/>
        </w:rPr>
      </w:pPr>
    </w:p>
    <w:p>
      <w:pPr>
        <w:jc w:val="both"/>
        <w:ind w:left="444" w:hanging="444"/>
        <w:spacing w:after="0" w:line="279" w:lineRule="auto"/>
        <w:tabs>
          <w:tab w:leader="none" w:pos="44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the Commonwealth of Pennsylvania and agree that such litigation shall be conducted in the state courts of the Commonwealth of Pennsylvania or the federal courts of the United States for the Eastern District of Pennsylvania.</w:t>
      </w:r>
    </w:p>
    <w:p>
      <w:pPr>
        <w:spacing w:after="0" w:line="76" w:lineRule="exact"/>
        <w:rPr>
          <w:rFonts w:ascii="Arial" w:cs="Arial" w:eastAsia="Arial" w:hAnsi="Arial"/>
          <w:sz w:val="17"/>
          <w:szCs w:val="17"/>
          <w:color w:val="auto"/>
        </w:rPr>
      </w:pPr>
    </w:p>
    <w:p>
      <w:pPr>
        <w:ind w:left="444" w:right="100" w:hanging="444"/>
        <w:spacing w:after="0" w:line="259" w:lineRule="auto"/>
        <w:tabs>
          <w:tab w:leader="none" w:pos="4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92" w:lineRule="exact"/>
        <w:rPr>
          <w:rFonts w:ascii="Arial" w:cs="Arial" w:eastAsia="Arial" w:hAnsi="Arial"/>
          <w:sz w:val="18"/>
          <w:szCs w:val="18"/>
          <w:color w:val="auto"/>
        </w:rPr>
      </w:pPr>
    </w:p>
    <w:p>
      <w:pPr>
        <w:ind w:left="444" w:right="60" w:hanging="444"/>
        <w:spacing w:after="0" w:line="296" w:lineRule="auto"/>
        <w:tabs>
          <w:tab w:leader="none" w:pos="44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Grant Notice and the Plan, constitutes the entire agreement and understanding between the parties hereto with respect to the subject matter hereof and supersedes all prior oral or written agreements and understandings relating to the subject matter hereof, including without limitation any offer letter provision related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ectPr>
          <w:pgSz w:w="11900" w:h="16838" w:orient="portrait"/>
          <w:cols w:equalWidth="0" w:num="1">
            <w:col w:w="11004"/>
          </w:cols>
          <w:pgMar w:left="436" w:top="490" w:right="459" w:bottom="1440" w:gutter="0" w:footer="0" w:header="0"/>
        </w:sectPr>
      </w:pPr>
    </w:p>
    <w:bookmarkStart w:id="55" w:name="page56"/>
    <w:bookmarkEnd w:id="55"/>
    <w:p>
      <w:pPr>
        <w:ind w:left="444" w:right="100" w:hanging="444"/>
        <w:spacing w:after="0" w:line="255" w:lineRule="auto"/>
        <w:tabs>
          <w:tab w:leader="none" w:pos="4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Modifications and Amendments; Waivers and Consents</w:t>
      </w:r>
      <w:r>
        <w:rPr>
          <w:rFonts w:ascii="Arial" w:cs="Arial" w:eastAsia="Arial" w:hAnsi="Arial"/>
          <w:sz w:val="18"/>
          <w:szCs w:val="18"/>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97" w:lineRule="exact"/>
        <w:rPr>
          <w:rFonts w:ascii="Arial" w:cs="Arial" w:eastAsia="Arial" w:hAnsi="Arial"/>
          <w:sz w:val="18"/>
          <w:szCs w:val="18"/>
          <w:color w:val="auto"/>
        </w:rPr>
      </w:pPr>
    </w:p>
    <w:p>
      <w:pPr>
        <w:ind w:left="444" w:right="60" w:hanging="444"/>
        <w:spacing w:after="0" w:line="293" w:lineRule="auto"/>
        <w:tabs>
          <w:tab w:leader="none" w:pos="44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The Award of RSUs evidenced by this Agreement is intended to be exempt from the nonqualified deferred compensation rules of Code Section 409A as a “short-term deferral” within the meaning of Code Section 409A and, to the maximum extent permitted, shall be construed accordingly. Notwithstanding anything to the contrary in the Plan or this Agreement, none of the Company, its Affiliates, the Board of Directors, the Administrator, or any of their respective agents or delegates will have any obligation to take any action to prevent the assessment of any excise tax or penalty on the Participant under Code Section 409A, and none of the Company, its Affiliates, the Board of Directors, the Administrator, or any of their respective agents or delegates will have any liability to the Participant or any other person for such tax or penalty.</w:t>
      </w:r>
    </w:p>
    <w:p>
      <w:pPr>
        <w:spacing w:after="0" w:line="56" w:lineRule="exact"/>
        <w:rPr>
          <w:rFonts w:ascii="Arial" w:cs="Arial" w:eastAsia="Arial" w:hAnsi="Arial"/>
          <w:sz w:val="16"/>
          <w:szCs w:val="16"/>
          <w:color w:val="auto"/>
        </w:rPr>
      </w:pPr>
    </w:p>
    <w:p>
      <w:pPr>
        <w:ind w:left="444"/>
        <w:spacing w:after="0" w:line="284" w:lineRule="auto"/>
        <w:rPr>
          <w:rFonts w:ascii="Arial" w:cs="Arial" w:eastAsia="Arial" w:hAnsi="Arial"/>
          <w:sz w:val="16"/>
          <w:szCs w:val="16"/>
          <w:color w:val="auto"/>
        </w:rPr>
      </w:pPr>
      <w:r>
        <w:rPr>
          <w:rFonts w:ascii="Arial" w:cs="Arial" w:eastAsia="Arial" w:hAnsi="Arial"/>
          <w:sz w:val="16"/>
          <w:szCs w:val="16"/>
          <w:color w:val="auto"/>
        </w:rPr>
        <w:t>To the extent that the RSUs constitute “deferred compensation” under Code Section 409A, a termination of Service occurs only upon an event that would be a “separation from service” within the meaning of Code Section 409A. If, at the time of the Participant’s “separation from service,” (i) the Participant is a “specified employee” within the meaning of Code Section 409A (and as applied according to procedures of the Company and its Affiliates), and (ii) the Administrator makes a good faith determination that an amount payable under this Agreement on account of the Participant’s separation from service constitutes deferred compensation (within the meaning of Code Section 409A), the payment of which is required to be delayed pursuant to the six (6)-month delay rule set forth in Code Section 409A to avoid taxes or penalties under Code</w:t>
      </w:r>
    </w:p>
    <w:p>
      <w:pPr>
        <w:spacing w:after="0" w:line="4" w:lineRule="exact"/>
        <w:rPr>
          <w:rFonts w:ascii="Arial" w:cs="Arial" w:eastAsia="Arial" w:hAnsi="Arial"/>
          <w:sz w:val="16"/>
          <w:szCs w:val="16"/>
          <w:color w:val="auto"/>
        </w:rPr>
      </w:pPr>
    </w:p>
    <w:p>
      <w:pPr>
        <w:ind w:left="444"/>
        <w:spacing w:after="0" w:line="253" w:lineRule="auto"/>
        <w:rPr>
          <w:rFonts w:ascii="Arial" w:cs="Arial" w:eastAsia="Arial" w:hAnsi="Arial"/>
          <w:sz w:val="16"/>
          <w:szCs w:val="16"/>
          <w:color w:val="auto"/>
        </w:rPr>
      </w:pPr>
      <w:r>
        <w:rPr>
          <w:rFonts w:ascii="Arial" w:cs="Arial" w:eastAsia="Arial" w:hAnsi="Arial"/>
          <w:sz w:val="18"/>
          <w:szCs w:val="18"/>
          <w:color w:val="auto"/>
        </w:rPr>
        <w:t>Section 409A (the “</w:t>
      </w:r>
      <w:r>
        <w:rPr>
          <w:rFonts w:ascii="Arial" w:cs="Arial" w:eastAsia="Arial" w:hAnsi="Arial"/>
          <w:sz w:val="18"/>
          <w:szCs w:val="18"/>
          <w:b w:val="1"/>
          <w:bCs w:val="1"/>
          <w:color w:val="auto"/>
        </w:rPr>
        <w:t>Delay Period</w:t>
      </w:r>
      <w:r>
        <w:rPr>
          <w:rFonts w:ascii="Arial" w:cs="Arial" w:eastAsia="Arial" w:hAnsi="Arial"/>
          <w:sz w:val="18"/>
          <w:szCs w:val="18"/>
          <w:color w:val="auto"/>
        </w:rPr>
        <w:t>”), then the Company will not pay such amount on the otherwise scheduled payment date but will instead pay it in a lump sum on the first business day after the Delay Period (or upon the Participant’s death, if earlier), without interest. Each installment of RSUs that vest under this Agreement (if there is more than one installment) will be considered one of a series of separate payments for purposes of Code Section 409A.</w:t>
      </w:r>
    </w:p>
    <w:p>
      <w:pPr>
        <w:spacing w:after="0" w:line="19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4"/>
          </w:cols>
          <w:pgMar w:left="436" w:top="490" w:right="4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Section 16 Officer Form</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2015 STOCK PLAN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RESTRICTED STOCK UNIT AWARD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 NOTICE</w:t>
      </w:r>
    </w:p>
    <w:p>
      <w:pPr>
        <w:spacing w:after="0" w:line="234" w:lineRule="exact"/>
        <w:rPr>
          <w:sz w:val="20"/>
          <w:szCs w:val="20"/>
          <w:color w:val="auto"/>
        </w:rPr>
      </w:pPr>
    </w:p>
    <w:p>
      <w:pPr>
        <w:ind w:left="444" w:hanging="444"/>
        <w:spacing w:after="0"/>
        <w:tabs>
          <w:tab w:leader="none" w:pos="444"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Name of Participant:</w:t>
      </w:r>
    </w:p>
    <w:p>
      <w:pPr>
        <w:spacing w:after="0" w:line="198" w:lineRule="exact"/>
        <w:rPr>
          <w:rFonts w:ascii="Arial" w:cs="Arial" w:eastAsia="Arial" w:hAnsi="Arial"/>
          <w:sz w:val="18"/>
          <w:szCs w:val="18"/>
          <w:color w:val="auto"/>
        </w:rPr>
      </w:pPr>
    </w:p>
    <w:p>
      <w:pPr>
        <w:ind w:left="444" w:right="8760" w:hanging="444"/>
        <w:spacing w:after="0" w:line="347" w:lineRule="auto"/>
        <w:tabs>
          <w:tab w:leader="none" w:pos="444"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Grant Date of the RSUs (the “Grant Date”):</w:t>
      </w:r>
    </w:p>
    <w:p>
      <w:pPr>
        <w:spacing w:after="0" w:line="88" w:lineRule="exact"/>
        <w:rPr>
          <w:rFonts w:ascii="Arial" w:cs="Arial" w:eastAsia="Arial" w:hAnsi="Arial"/>
          <w:sz w:val="16"/>
          <w:szCs w:val="16"/>
          <w:color w:val="auto"/>
        </w:rPr>
      </w:pPr>
    </w:p>
    <w:p>
      <w:pPr>
        <w:ind w:left="444" w:hanging="444"/>
        <w:spacing w:after="0"/>
        <w:tabs>
          <w:tab w:leader="none" w:pos="444"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Number of RSUs:</w:t>
      </w:r>
    </w:p>
    <w:p>
      <w:pPr>
        <w:spacing w:after="0" w:line="144" w:lineRule="exact"/>
        <w:rPr>
          <w:rFonts w:ascii="Arial" w:cs="Arial" w:eastAsia="Arial" w:hAnsi="Arial"/>
          <w:sz w:val="18"/>
          <w:szCs w:val="18"/>
          <w:color w:val="auto"/>
        </w:rPr>
      </w:pPr>
    </w:p>
    <w:p>
      <w:pPr>
        <w:ind w:left="444" w:right="20" w:hanging="444"/>
        <w:spacing w:after="0" w:line="277" w:lineRule="auto"/>
        <w:tabs>
          <w:tab w:leader="none" w:pos="444"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Vesting of Award: </w:t>
      </w:r>
      <w:r>
        <w:rPr>
          <w:rFonts w:ascii="Arial" w:cs="Arial" w:eastAsia="Arial" w:hAnsi="Arial"/>
          <w:sz w:val="17"/>
          <w:szCs w:val="17"/>
          <w:color w:val="auto"/>
        </w:rPr>
        <w:t>Subject to the Participant’s continuous employment or other service relationship with or to the Company or any of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as an Employee, director, and/or Consultant from the Grant Date through each of the following applicable dates (each such date, a “</w:t>
      </w:r>
      <w:r>
        <w:rPr>
          <w:rFonts w:ascii="Arial" w:cs="Arial" w:eastAsia="Arial" w:hAnsi="Arial"/>
          <w:sz w:val="17"/>
          <w:szCs w:val="17"/>
          <w:b w:val="1"/>
          <w:bCs w:val="1"/>
          <w:color w:val="auto"/>
        </w:rPr>
        <w:t>Vesting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RSUs shall vest twenty-five percent (25%) of the Number of RSUs above on each of the first, second, third, and fourth anniversaries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Grant Date. Any terms used and not defined herein have the meanings ascribed to such terms in the Madrigal Pharmaceuticals, Inc. Amended 2015 Stock Plan (as it has been and may be amended and/or restated from time to time,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-1441450</wp:posOffset>
            </wp:positionV>
            <wp:extent cx="4877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4877435" cy="8890"/>
                    </a:xfrm>
                    <a:prstGeom prst="rect">
                      <a:avLst/>
                    </a:prstGeom>
                    <a:noFill/>
                  </pic:spPr>
                </pic:pic>
              </a:graphicData>
            </a:graphic>
          </wp:anchor>
        </w:drawing>
        <w:drawing>
          <wp:anchor simplePos="0" relativeHeight="251657728" behindDoc="1" locked="0" layoutInCell="0" allowOverlap="1">
            <wp:simplePos x="0" y="0"/>
            <wp:positionH relativeFrom="column">
              <wp:posOffset>2117090</wp:posOffset>
            </wp:positionH>
            <wp:positionV relativeFrom="paragraph">
              <wp:posOffset>-1047115</wp:posOffset>
            </wp:positionV>
            <wp:extent cx="4877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2117090</wp:posOffset>
            </wp:positionH>
            <wp:positionV relativeFrom="paragraph">
              <wp:posOffset>-789940</wp:posOffset>
            </wp:positionV>
            <wp:extent cx="4877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256" w:lineRule="exact"/>
        <w:rPr>
          <w:sz w:val="20"/>
          <w:szCs w:val="20"/>
          <w:color w:val="auto"/>
        </w:rPr>
      </w:pPr>
    </w:p>
    <w:p>
      <w:pPr>
        <w:ind w:left="4" w:right="80" w:firstLine="440"/>
        <w:spacing w:after="0" w:line="258" w:lineRule="auto"/>
        <w:rPr>
          <w:sz w:val="20"/>
          <w:szCs w:val="20"/>
          <w:color w:val="auto"/>
        </w:rPr>
      </w:pPr>
      <w:r>
        <w:rPr>
          <w:rFonts w:ascii="Arial" w:cs="Arial" w:eastAsia="Arial" w:hAnsi="Arial"/>
          <w:sz w:val="18"/>
          <w:szCs w:val="18"/>
          <w:b w:val="1"/>
          <w:bCs w:val="1"/>
          <w:color w:val="auto"/>
        </w:rPr>
        <w:t>By signing this Grant Notice or by electronic acknowledgment of this Grant Notice, the Participant acknowledges receipt of and agrees to all the terms and conditions described in this Restricted Stock Unit Award Grant Notice, the attached Restricted Stock Unit Agreement (including the Restrictive Covenants Agreement attached thereto), and the Plan. The Participant acknowledges that he or she has carefully reviewed the Plan and agrees that the Plan will control in the event any provision of the Agreement should appear to be inconsistent with the Plan.</w:t>
      </w:r>
    </w:p>
    <w:p>
      <w:pPr>
        <w:spacing w:after="0" w:line="210" w:lineRule="exact"/>
        <w:rPr>
          <w:sz w:val="20"/>
          <w:szCs w:val="20"/>
          <w:color w:val="auto"/>
        </w:rPr>
      </w:pPr>
    </w:p>
    <w:p>
      <w:pPr>
        <w:ind w:left="6604"/>
        <w:spacing w:after="0"/>
        <w:rPr>
          <w:sz w:val="20"/>
          <w:szCs w:val="20"/>
          <w:color w:val="auto"/>
        </w:rPr>
      </w:pPr>
      <w:r>
        <w:rPr>
          <w:rFonts w:ascii="Arial" w:cs="Arial" w:eastAsia="Arial" w:hAnsi="Arial"/>
          <w:sz w:val="18"/>
          <w:szCs w:val="18"/>
          <w:b w:val="1"/>
          <w:bCs w:val="1"/>
          <w:color w:val="auto"/>
        </w:rPr>
        <w:t>MADRIGAL PHARMACEUTICALS, INC.</w:t>
      </w:r>
    </w:p>
    <w:p>
      <w:pPr>
        <w:spacing w:after="0" w:line="229"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606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606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606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4"/>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ATTACHMENT</w:t>
      </w:r>
      <w:r>
        <w:rPr>
          <w:rFonts w:ascii="Arial" w:cs="Arial" w:eastAsia="Arial" w:hAnsi="Arial"/>
          <w:sz w:val="18"/>
          <w:szCs w:val="18"/>
          <w:color w:val="auto"/>
        </w:rPr>
        <w:t>: Restricted Stock Unit Agreement &amp; Restrictive Covenants Agreement</w:t>
      </w:r>
    </w:p>
    <w:p>
      <w:pPr>
        <w:sectPr>
          <w:pgSz w:w="11900" w:h="16838" w:orient="portrait"/>
          <w:cols w:equalWidth="0" w:num="1">
            <w:col w:w="11024"/>
          </w:cols>
          <w:pgMar w:left="436" w:top="121" w:right="439" w:bottom="1440" w:gutter="0" w:footer="0" w:header="0"/>
        </w:sectPr>
      </w:pPr>
    </w:p>
    <w:bookmarkStart w:id="57" w:name="page58"/>
    <w:bookmarkEnd w:id="57"/>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MADRIGAL PHARMACEUTICALS, INC.</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AMENDED 2015 STOCK PLAN</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RESTRICTED STOCK UNIT AGREEMENT</w:t>
      </w:r>
    </w:p>
    <w:p>
      <w:pPr>
        <w:spacing w:after="0" w:line="207" w:lineRule="exact"/>
        <w:rPr>
          <w:sz w:val="20"/>
          <w:szCs w:val="20"/>
          <w:color w:val="auto"/>
        </w:rPr>
      </w:pPr>
    </w:p>
    <w:p>
      <w:pPr>
        <w:ind w:left="4" w:right="420" w:firstLine="440"/>
        <w:spacing w:after="0" w:line="266"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“Grant Date” set forth in the Restricted Stock Unit Award Grant Notice (“</w:t>
      </w:r>
      <w:r>
        <w:rPr>
          <w:rFonts w:ascii="Arial" w:cs="Arial" w:eastAsia="Arial" w:hAnsi="Arial"/>
          <w:sz w:val="18"/>
          <w:szCs w:val="18"/>
          <w:b w:val="1"/>
          <w:bCs w:val="1"/>
          <w:color w:val="auto"/>
        </w:rPr>
        <w:t>Grant Notice</w:t>
      </w:r>
      <w:r>
        <w:rPr>
          <w:rFonts w:ascii="Arial" w:cs="Arial" w:eastAsia="Arial" w:hAnsi="Arial"/>
          <w:sz w:val="18"/>
          <w:szCs w:val="18"/>
          <w:color w:val="auto"/>
        </w:rPr>
        <w:t>”) between MADRIGAL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a Delaware corporation, and the individual whose name appears on the Restricted Stock Unit Award Grant Notice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180"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WHEREAS, the Company has adopted the Madrigal Pharmaceuticals, Inc. Amended 2015 Stock Plan (as it has been and may be amended and/or restated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to promote the interests of the Company by providing an incentive for Employees, directors, and Consultants of the Company and its Affiliates;</w:t>
      </w:r>
    </w:p>
    <w:p>
      <w:pPr>
        <w:spacing w:after="0" w:line="184" w:lineRule="exact"/>
        <w:rPr>
          <w:sz w:val="20"/>
          <w:szCs w:val="20"/>
          <w:color w:val="auto"/>
        </w:rPr>
      </w:pPr>
    </w:p>
    <w:p>
      <w:pPr>
        <w:ind w:left="4" w:right="240" w:firstLine="440"/>
        <w:spacing w:after="0" w:line="279" w:lineRule="auto"/>
        <w:rPr>
          <w:sz w:val="20"/>
          <w:szCs w:val="20"/>
          <w:color w:val="auto"/>
        </w:rPr>
      </w:pPr>
      <w:r>
        <w:rPr>
          <w:rFonts w:ascii="Arial" w:cs="Arial" w:eastAsia="Arial" w:hAnsi="Arial"/>
          <w:sz w:val="17"/>
          <w:szCs w:val="17"/>
          <w:color w:val="auto"/>
        </w:rPr>
        <w:t>WHEREAS, pursuant to the provisions of the Plan, and in consideration for the Participant’s past and future services to the Company and for compliance with certain Restrictive Covenants Agreement (as defined below) restrictions set forth herein, the Company desires to grant to the Participant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related to the Company’s 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in accordance with the provisions of the Plan, all on the terms and conditions hereinafter set forth; and</w:t>
      </w:r>
    </w:p>
    <w:p>
      <w:pPr>
        <w:spacing w:after="0" w:line="171"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meanings ascribed to such terms in the Plan.</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76" w:lineRule="exact"/>
        <w:rPr>
          <w:sz w:val="20"/>
          <w:szCs w:val="20"/>
          <w:color w:val="auto"/>
        </w:rPr>
      </w:pPr>
    </w:p>
    <w:p>
      <w:pPr>
        <w:ind w:left="444" w:right="140" w:hanging="444"/>
        <w:spacing w:after="0" w:line="311" w:lineRule="auto"/>
        <w:tabs>
          <w:tab w:leader="none" w:pos="44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Grant of Award</w:t>
      </w:r>
      <w:r>
        <w:rPr>
          <w:rFonts w:ascii="Arial" w:cs="Arial" w:eastAsia="Arial" w:hAnsi="Arial"/>
          <w:sz w:val="16"/>
          <w:szCs w:val="16"/>
          <w:color w:val="auto"/>
        </w:rPr>
        <w:t>. The Company hereby grants to the Participant a Stock-Based Award for the number of RSUs set forth in the Grant Notice (the “</w:t>
      </w:r>
      <w:r>
        <w:rPr>
          <w:rFonts w:ascii="Arial" w:cs="Arial" w:eastAsia="Arial" w:hAnsi="Arial"/>
          <w:sz w:val="16"/>
          <w:szCs w:val="16"/>
          <w:b w:val="1"/>
          <w:bCs w:val="1"/>
          <w:color w:val="auto"/>
        </w:rPr>
        <w:t>Award</w:t>
      </w:r>
      <w:r>
        <w:rPr>
          <w:rFonts w:ascii="Arial" w:cs="Arial" w:eastAsia="Arial" w:hAnsi="Arial"/>
          <w:sz w:val="16"/>
          <w:szCs w:val="16"/>
          <w:color w:val="auto"/>
        </w:rPr>
        <w:t>”). Each RSU represents a contingent entitlement of the Participant to receive one share of Common Stock, on the terms and conditions and subject to all the limitations set forth herein, in the Grant Notice, and in the Plan, which are incorporated herein by reference.</w:t>
      </w:r>
    </w:p>
    <w:p>
      <w:pPr>
        <w:spacing w:after="0" w:line="54" w:lineRule="exact"/>
        <w:rPr>
          <w:rFonts w:ascii="Arial" w:cs="Arial" w:eastAsia="Arial" w:hAnsi="Arial"/>
          <w:sz w:val="16"/>
          <w:szCs w:val="16"/>
          <w:color w:val="auto"/>
        </w:rPr>
      </w:pPr>
    </w:p>
    <w:p>
      <w:pPr>
        <w:ind w:left="444" w:hanging="444"/>
        <w:spacing w:after="0"/>
        <w:tabs>
          <w:tab w:leader="none" w:pos="44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20" w:hanging="544"/>
        <w:spacing w:after="0" w:line="263" w:lineRule="auto"/>
        <w:tabs>
          <w:tab w:leader="none" w:pos="984"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and the Plan: (i) the Award shall vest as set forth in the Grant Notice and is subject to the other terms and conditions of this Agreement and the Plan; and (ii) upon vesting, the Participant shall be entitled to receive such number of shares of Common Stock equivalent to the number of such vested RSUs.</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4"/>
          </w:cols>
          <w:pgMar w:left="436" w:top="486" w:right="539" w:bottom="1440" w:gutter="0" w:footer="0" w:header="0"/>
        </w:sectPr>
      </w:pPr>
    </w:p>
    <w:bookmarkStart w:id="58" w:name="page59"/>
    <w:bookmarkEnd w:id="58"/>
    <w:p>
      <w:pPr>
        <w:ind w:left="984" w:right="20" w:hanging="544"/>
        <w:spacing w:after="0" w:line="311" w:lineRule="auto"/>
        <w:tabs>
          <w:tab w:leader="none" w:pos="984" w:val="left"/>
        </w:tabs>
        <w:numPr>
          <w:ilvl w:val="1"/>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anything to the contrary in the Grant Notice or this Agreement, any fractional Shares resulting from the vesting schedule set forth in the Grant Notice will be rounded to the nearest whole Share and shall be rounded up or down as necessary as of the last Vesting Date; provided, in all cases, the Participant cannot vest in more than the number of RSUs set forth in the Grant Notice.</w:t>
      </w:r>
    </w:p>
    <w:p>
      <w:pPr>
        <w:spacing w:after="0" w:line="54" w:lineRule="exact"/>
        <w:rPr>
          <w:rFonts w:ascii="Arial" w:cs="Arial" w:eastAsia="Arial" w:hAnsi="Arial"/>
          <w:sz w:val="16"/>
          <w:szCs w:val="16"/>
          <w:color w:val="auto"/>
        </w:rPr>
      </w:pPr>
    </w:p>
    <w:p>
      <w:pPr>
        <w:ind w:left="444" w:hanging="444"/>
        <w:spacing w:after="0"/>
        <w:tabs>
          <w:tab w:leader="none" w:pos="44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Forfeiture of Unvested RSUs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60" w:hanging="544"/>
        <w:spacing w:after="0" w:line="257" w:lineRule="auto"/>
        <w:tabs>
          <w:tab w:leader="none" w:pos="9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otherwise set forth in this Agreement, the Grant Notice, the Plan, or a separate agreement between Participant and the Company, if the Participant ceases his or her continuous employment or other service relationship with or to the Company or any of its Affiliates as an Employee, director, and/or Consultant (“</w:t>
      </w:r>
      <w:r>
        <w:rPr>
          <w:rFonts w:ascii="Arial" w:cs="Arial" w:eastAsia="Arial" w:hAnsi="Arial"/>
          <w:sz w:val="18"/>
          <w:szCs w:val="18"/>
          <w:b w:val="1"/>
          <w:bCs w:val="1"/>
          <w:color w:val="auto"/>
        </w:rPr>
        <w:t>Termination</w:t>
      </w:r>
      <w:r>
        <w:rPr>
          <w:rFonts w:ascii="Arial" w:cs="Arial" w:eastAsia="Arial" w:hAnsi="Arial"/>
          <w:sz w:val="18"/>
          <w:szCs w:val="18"/>
          <w:color w:val="auto"/>
        </w:rPr>
        <w:t>”), then all then-unvested RSUs shall automatically and immediately be forfeited to the Company as of such Termination, and this Agreement and the Grant Notice shall automatically and immediately terminate and be of no further force or effect.</w:t>
      </w:r>
    </w:p>
    <w:p>
      <w:pPr>
        <w:spacing w:after="0" w:line="93" w:lineRule="exact"/>
        <w:rPr>
          <w:rFonts w:ascii="Arial" w:cs="Arial" w:eastAsia="Arial" w:hAnsi="Arial"/>
          <w:sz w:val="18"/>
          <w:szCs w:val="18"/>
          <w:color w:val="auto"/>
        </w:rPr>
      </w:pPr>
    </w:p>
    <w:p>
      <w:pPr>
        <w:ind w:left="984" w:hanging="544"/>
        <w:spacing w:after="0" w:line="290" w:lineRule="auto"/>
        <w:tabs>
          <w:tab w:leader="none" w:pos="984" w:val="left"/>
        </w:tabs>
        <w:numPr>
          <w:ilvl w:val="1"/>
          <w:numId w:val="44"/>
        </w:numPr>
        <w:rPr>
          <w:rFonts w:ascii="Arial" w:cs="Arial" w:eastAsia="Arial" w:hAnsi="Arial"/>
          <w:sz w:val="16"/>
          <w:szCs w:val="16"/>
          <w:color w:val="auto"/>
        </w:rPr>
      </w:pPr>
      <w:r>
        <w:rPr>
          <w:rFonts w:ascii="Arial" w:cs="Arial" w:eastAsia="Arial" w:hAnsi="Arial"/>
          <w:sz w:val="16"/>
          <w:szCs w:val="16"/>
          <w:color w:val="auto"/>
        </w:rPr>
        <w:t>For purposes of this Agreement, the Participant’s continuous employment or other service relationship with or to the Company or any of its Affiliates as an Employee, director, and/or Consultant does not terminate when the Participant goes on a bona fide leave of absence that was approved by the Administrator in writing, if the terms of the leave provide for continued service crediting, or when continued service crediting is required by applicable law. The Participant’s continuous employment or other service relationship with or to the Company or any of its Affiliates as an Employee, director, and/or Consultant terminates in any event when the approved leave ends unless the Participant immediately returns to active work. The Administrator may determine, in its discretion, which leaves count for this purpose and when the Participant’s continuous employment or other service relationship with or to the Company or any of its Affiliates as an Employee, director, and/or Consultant terminates for all purposes under the Plan in accordance with the provisions of the Plan.</w:t>
      </w:r>
    </w:p>
    <w:p>
      <w:pPr>
        <w:spacing w:after="0" w:line="70" w:lineRule="exact"/>
        <w:rPr>
          <w:rFonts w:ascii="Arial" w:cs="Arial" w:eastAsia="Arial" w:hAnsi="Arial"/>
          <w:sz w:val="16"/>
          <w:szCs w:val="16"/>
          <w:color w:val="auto"/>
        </w:rPr>
      </w:pPr>
    </w:p>
    <w:p>
      <w:pPr>
        <w:ind w:left="984" w:right="100" w:hanging="544"/>
        <w:spacing w:after="0" w:line="272" w:lineRule="auto"/>
        <w:tabs>
          <w:tab w:leader="none" w:pos="984"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This Award is expressly granted as consideration for the Participant’s agreement to comply with the Confidentiality and Inventions and Restrictive Covenants Agreement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Restrictive Covenants Agreement</w:t>
      </w:r>
      <w:r>
        <w:rPr>
          <w:rFonts w:ascii="Arial" w:cs="Arial" w:eastAsia="Arial" w:hAnsi="Arial"/>
          <w:sz w:val="17"/>
          <w:szCs w:val="17"/>
          <w:color w:val="auto"/>
        </w:rPr>
        <w:t xml:space="preserve">”). Therefore, notwithstanding anything to the contrary contained in this Agreement, in the event that the Participant materially breaches the terms of the Restrictive Covenants Agreement, all of the Unvested RSUs then held by the Participant and all Common Stock issued upon the vesting of RSUs that are outstanding and held by the Participant shall be forfeited to the Company immediately upon written notice by the Company. No other awards granted to the Participant under the Plan shall be subject to the forfeiture and repayment obligation set forth in this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unless they expressly provide for such obligation.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490" w:right="439" w:bottom="1440" w:gutter="0" w:footer="0" w:header="0"/>
        </w:sectPr>
      </w:pPr>
    </w:p>
    <w:bookmarkStart w:id="59" w:name="page60"/>
    <w:bookmarkEnd w:id="59"/>
    <w:p>
      <w:pPr>
        <w:ind w:left="444" w:right="220" w:hanging="444"/>
        <w:spacing w:after="0" w:line="301" w:lineRule="auto"/>
        <w:tabs>
          <w:tab w:leader="none" w:pos="444"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Delivery of Award; Evidence of Issuance</w:t>
      </w:r>
      <w:r>
        <w:rPr>
          <w:rFonts w:ascii="Arial" w:cs="Arial" w:eastAsia="Arial" w:hAnsi="Arial"/>
          <w:sz w:val="16"/>
          <w:szCs w:val="16"/>
          <w:color w:val="auto"/>
        </w:rPr>
        <w:t>. Delivery of the Shares represented by the Participant’s vested RSUs shall be made as soon as practicable after the applicable Vesting Date and, in any event, by no later than sixty (60) days following each applicable Vesting Date. The issuance of the Shares represented by the Participant’s vested RSUs shall be evidenced in such a manner as the Administrator, in its discretion, deems appropriate, including, without limitation, by (i) book-entry registration or (ii) issuance of one or more share certificates.</w:t>
      </w:r>
    </w:p>
    <w:p>
      <w:pPr>
        <w:spacing w:after="0" w:line="62" w:lineRule="exact"/>
        <w:rPr>
          <w:rFonts w:ascii="Arial" w:cs="Arial" w:eastAsia="Arial" w:hAnsi="Arial"/>
          <w:sz w:val="16"/>
          <w:szCs w:val="16"/>
          <w:color w:val="auto"/>
        </w:rPr>
      </w:pPr>
    </w:p>
    <w:p>
      <w:pPr>
        <w:ind w:left="444" w:hanging="444"/>
        <w:spacing w:after="0" w:line="290" w:lineRule="auto"/>
        <w:tabs>
          <w:tab w:leader="none" w:pos="444"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Prohibitions on Transfer and Sale</w:t>
      </w:r>
      <w:r>
        <w:rPr>
          <w:rFonts w:ascii="Arial" w:cs="Arial" w:eastAsia="Arial" w:hAnsi="Arial"/>
          <w:sz w:val="16"/>
          <w:szCs w:val="16"/>
          <w:color w:val="auto"/>
        </w:rPr>
        <w:t xml:space="preserve">. This Award (including any additional RSUs received by the Participant as a result of stock dividends, stock splits, or any other similar transaction affecting the Company’s securities without receipt of consideration) shall not be transferable, without the prior approval of the Administrator, by the Participant, other than by will or by the laws of descent and distribution. Except as provided in the previous sentence, the Shares to be issued pursuant to this Agreement shall be issued, during the Participant’s lifetime, only to the Participant (or, in the event of legal incapacity or incompetence, to the Participant’s guardian or representative), and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or the levy of any attachment or similar process upon this Award, shall be null and void.</w:t>
      </w:r>
    </w:p>
    <w:p>
      <w:pPr>
        <w:spacing w:after="0" w:line="70" w:lineRule="exact"/>
        <w:rPr>
          <w:rFonts w:ascii="Arial" w:cs="Arial" w:eastAsia="Arial" w:hAnsi="Arial"/>
          <w:sz w:val="16"/>
          <w:szCs w:val="16"/>
          <w:color w:val="auto"/>
        </w:rPr>
      </w:pPr>
    </w:p>
    <w:p>
      <w:pPr>
        <w:ind w:left="444" w:right="140" w:hanging="444"/>
        <w:spacing w:after="0" w:line="286" w:lineRule="auto"/>
        <w:tabs>
          <w:tab w:leader="none" w:pos="444"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The Plan contains provisions covering the treatment of RSUs and Shares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70" w:lineRule="exact"/>
        <w:rPr>
          <w:rFonts w:ascii="Arial" w:cs="Arial" w:eastAsia="Arial" w:hAnsi="Arial"/>
          <w:sz w:val="17"/>
          <w:szCs w:val="17"/>
          <w:color w:val="auto"/>
        </w:rPr>
      </w:pPr>
    </w:p>
    <w:p>
      <w:pPr>
        <w:ind w:left="444" w:hanging="444"/>
        <w:spacing w:after="0" w:line="296" w:lineRule="auto"/>
        <w:tabs>
          <w:tab w:leader="none" w:pos="444"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The Participant specifically acknowledges and agrees that any sales of Shares shall be made in accordance with the requirements of the Securities Act. The Company currently has an effective registration statement on file with the United States Securities and Exchange Commission with respect to the Shares to be granted hereunder. Despite registration, applicable securities laws may restrict the ability of the Participant to sell his or her Shares, including due to the Participant’s affiliation with the Company. The Company shall not be obligated to either issue the Shares or permit the resale of any Shares if such issuance or resale would violate any applicable securities law, rule, or regulation.</w:t>
      </w:r>
    </w:p>
    <w:p>
      <w:pPr>
        <w:spacing w:after="0" w:line="9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490" w:right="539" w:bottom="1440" w:gutter="0" w:footer="0" w:header="0"/>
        </w:sectPr>
      </w:pPr>
    </w:p>
    <w:bookmarkStart w:id="60" w:name="page61"/>
    <w:bookmarkEnd w:id="60"/>
    <w:p>
      <w:pPr>
        <w:ind w:left="444" w:right="240" w:hanging="444"/>
        <w:spacing w:after="0" w:line="273" w:lineRule="auto"/>
        <w:tabs>
          <w:tab w:leader="none" w:pos="44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Rights as a Stockholder</w:t>
      </w:r>
      <w:r>
        <w:rPr>
          <w:rFonts w:ascii="Arial" w:cs="Arial" w:eastAsia="Arial" w:hAnsi="Arial"/>
          <w:sz w:val="17"/>
          <w:szCs w:val="17"/>
          <w:color w:val="auto"/>
        </w:rPr>
        <w:t>. The Participant shall have no rights as a stockholder, including voting and dividend rights, with respect to the RSUs subject to this Agreement, unless and until Shares represented by the Participant’s vested RSUs have been issued to the Participant and either a certificate evidencing the Shares has been issued or an appropriate entry has been made on the Company’s books. No adjustments to Shares represented by the Participant’s vested RSUs shall be made for dividends, distributions, or other rights on or with respect to the Common Stock generally if the applicable record date for any such dividend, distribution, or right occurs before the Participant’s certificate is issued or an appropriate book entry is made, except as otherwise described in the Plan.</w:t>
      </w:r>
    </w:p>
    <w:p>
      <w:pPr>
        <w:spacing w:after="0" w:line="83" w:lineRule="exact"/>
        <w:rPr>
          <w:rFonts w:ascii="Arial" w:cs="Arial" w:eastAsia="Arial" w:hAnsi="Arial"/>
          <w:sz w:val="17"/>
          <w:szCs w:val="17"/>
          <w:color w:val="auto"/>
        </w:rPr>
      </w:pPr>
    </w:p>
    <w:p>
      <w:pPr>
        <w:ind w:left="444" w:right="160" w:hanging="444"/>
        <w:spacing w:after="0" w:line="290" w:lineRule="auto"/>
        <w:tabs>
          <w:tab w:leader="none" w:pos="44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Incorporation of the Plan; Clawback</w:t>
      </w:r>
      <w:r>
        <w:rPr>
          <w:rFonts w:ascii="Arial" w:cs="Arial" w:eastAsia="Arial" w:hAnsi="Arial"/>
          <w:sz w:val="16"/>
          <w:szCs w:val="16"/>
          <w:color w:val="auto"/>
        </w:rPr>
        <w:t>. The Participant specifically understands and agrees that the RSUs and the Shares to be issued under the Agreement will be issued to the Participant pursuant to the Plan, a copy of which Plan the Participant acknowledges he or she has received, has read, and understands and by which Plan he or she agrees to be bound. The provisions of the Plan are incorporated herein by reference. In addition, the RSUs (and any compensation paid or Shares issued pursuant to this Agreement) are subject to recoupment in accordance with The Sarbanes-Oxley Act,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resign for “good reason” or for a “constructive termination” (or similar terms) under any agreement between the Participant and the Company or any Affiliate.</w:t>
      </w:r>
    </w:p>
    <w:p>
      <w:pPr>
        <w:spacing w:after="0" w:line="70" w:lineRule="exact"/>
        <w:rPr>
          <w:rFonts w:ascii="Arial" w:cs="Arial" w:eastAsia="Arial" w:hAnsi="Arial"/>
          <w:sz w:val="16"/>
          <w:szCs w:val="16"/>
          <w:color w:val="auto"/>
        </w:rPr>
      </w:pPr>
    </w:p>
    <w:p>
      <w:pPr>
        <w:ind w:left="444" w:hanging="444"/>
        <w:spacing w:after="0" w:line="269" w:lineRule="auto"/>
        <w:tabs>
          <w:tab w:leader="none" w:pos="44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Tax Liability of the Participant and Payment of Taxes</w:t>
      </w:r>
      <w:r>
        <w:rPr>
          <w:rFonts w:ascii="Arial" w:cs="Arial" w:eastAsia="Arial" w:hAnsi="Arial"/>
          <w:sz w:val="17"/>
          <w:szCs w:val="17"/>
          <w:color w:val="auto"/>
        </w:rPr>
        <w:t>. The Participant acknowledges and agrees that any income or other taxes due from the Participant with respect to this Award or the Shares to be issued pursuant to this Agreement or otherwise sold shall be the Participant’s responsibility. In the event that the Company or an Affiliate determines that any federal, state, local, or foreign tax or withholding payment is required relating to the RSUs, or the delivery of Shares with respect to this Award, the Company or any Affiliate, subject to the proviso below, will have the right to withhold the delivery of vested Shares otherwise deliverable under this Agreement to meet such obligations, provided that, to the extent required to avoid adverse accounting consequences to the Company, the Shares so withheld will have an aggregate Fair Market Value not exceeding the minimum amount of tax required to be withheld by applicable laws and fractional Shares will not be retained to satisfy any portion of the Company’s withholding obligation (such process, “</w:t>
      </w:r>
      <w:r>
        <w:rPr>
          <w:rFonts w:ascii="Arial" w:cs="Arial" w:eastAsia="Arial" w:hAnsi="Arial"/>
          <w:sz w:val="17"/>
          <w:szCs w:val="17"/>
          <w:b w:val="1"/>
          <w:bCs w:val="1"/>
          <w:color w:val="auto"/>
        </w:rPr>
        <w:t>Net Settlement</w:t>
      </w:r>
      <w:r>
        <w:rPr>
          <w:rFonts w:ascii="Arial" w:cs="Arial" w:eastAsia="Arial" w:hAnsi="Arial"/>
          <w:sz w:val="17"/>
          <w:szCs w:val="17"/>
          <w:color w:val="auto"/>
        </w:rPr>
        <w:t>”); provided, however, the Administrator shall have the discretion to override Net Settlement, (i) provided ninety (90) days’ advance notice is given prior to a Vesting Date from the Company to the Participant, in which case such withholding shall be through a “same day sale” commitment with a broker-dealer that is a member of the Financial Industry Regulatory Authority (a “</w:t>
      </w:r>
      <w:r>
        <w:rPr>
          <w:rFonts w:ascii="Arial" w:cs="Arial" w:eastAsia="Arial" w:hAnsi="Arial"/>
          <w:sz w:val="17"/>
          <w:szCs w:val="17"/>
          <w:b w:val="1"/>
          <w:bCs w:val="1"/>
          <w:color w:val="auto"/>
        </w:rPr>
        <w:t>FINRA Dealer</w:t>
      </w:r>
      <w:r>
        <w:rPr>
          <w:rFonts w:ascii="Arial" w:cs="Arial" w:eastAsia="Arial" w:hAnsi="Arial"/>
          <w:sz w:val="17"/>
          <w:szCs w:val="17"/>
          <w:color w:val="auto"/>
        </w:rPr>
        <w:t>”), whereby the Participant irrevocably</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490" w:right="459" w:bottom="1440" w:gutter="0" w:footer="0" w:header="0"/>
        </w:sectPr>
      </w:pPr>
    </w:p>
    <w:bookmarkStart w:id="61" w:name="page62"/>
    <w:bookmarkEnd w:id="61"/>
    <w:p>
      <w:pPr>
        <w:ind w:left="444"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elects to sell a portion of the Shares to be delivered in connection with the RSUs to satisfy withholding obligations and whereby the FINRA Dealer irrevocably commits to forward the proceeds necessary to satisfy the withholding obligations directly to the Company or any Affiliate (“</w:t>
      </w:r>
      <w:r>
        <w:rPr>
          <w:rFonts w:ascii="Arial" w:cs="Arial" w:eastAsia="Arial" w:hAnsi="Arial"/>
          <w:sz w:val="17"/>
          <w:szCs w:val="17"/>
          <w:b w:val="1"/>
          <w:bCs w:val="1"/>
          <w:color w:val="auto"/>
        </w:rPr>
        <w:t>Sell to Cover</w:t>
      </w:r>
      <w:r>
        <w:rPr>
          <w:rFonts w:ascii="Arial" w:cs="Arial" w:eastAsia="Arial" w:hAnsi="Arial"/>
          <w:sz w:val="17"/>
          <w:szCs w:val="17"/>
          <w:color w:val="auto"/>
        </w:rPr>
        <w:t>”) or (ii)(A) in lieu of withholding (under Net Settlement) or selling (under Sell to Cover) a fractional vested Share or (B) in connection with withholding obligations arising outside the ordinary course, such as outside annual Vesting Dates of the RSUs, and in each case under (A) or (B) such withholding may be through deduction from payments of any kind otherwise due to the Participant.</w:t>
      </w:r>
    </w:p>
    <w:p>
      <w:pPr>
        <w:spacing w:after="0" w:line="64" w:lineRule="exact"/>
        <w:rPr>
          <w:sz w:val="20"/>
          <w:szCs w:val="20"/>
          <w:color w:val="auto"/>
        </w:rPr>
      </w:pPr>
    </w:p>
    <w:p>
      <w:pPr>
        <w:ind w:left="444"/>
        <w:spacing w:after="0" w:line="261" w:lineRule="auto"/>
        <w:rPr>
          <w:sz w:val="20"/>
          <w:szCs w:val="20"/>
          <w:color w:val="auto"/>
        </w:rPr>
      </w:pPr>
      <w:r>
        <w:rPr>
          <w:rFonts w:ascii="Arial" w:cs="Arial" w:eastAsia="Arial" w:hAnsi="Arial"/>
          <w:sz w:val="18"/>
          <w:szCs w:val="18"/>
          <w:b w:val="1"/>
          <w:bCs w:val="1"/>
          <w:color w:val="auto"/>
        </w:rPr>
        <w:t>The Participant hereby (i) agrees that the Company or any Affiliate shall be entitled to use the foregoing methods to recover such taxes and (ii) acknowledges that, absent further action by the Administrator, in the event that the Company or an Affiliate determines that any federal, state, local, or foreign tax or withholding payment is required relating to the RSUs, or the delivery of Shares with respect to this Award, the Company or any Affiliate will utilize Net Settlement.</w:t>
      </w:r>
    </w:p>
    <w:p>
      <w:pPr>
        <w:spacing w:after="0" w:line="76"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color w:val="auto"/>
        </w:rPr>
        <w:t>The Participant further agrees that the Administrator may, as it reasonably considers necessary, amend or vary this Agreement due to changes in tax laws to facilitate such recovery of taxes.</w:t>
      </w:r>
    </w:p>
    <w:p>
      <w:pPr>
        <w:spacing w:after="0" w:line="76" w:lineRule="exact"/>
        <w:rPr>
          <w:sz w:val="20"/>
          <w:szCs w:val="20"/>
          <w:color w:val="auto"/>
        </w:rPr>
      </w:pPr>
    </w:p>
    <w:p>
      <w:pPr>
        <w:ind w:left="444" w:hanging="444"/>
        <w:spacing w:after="0"/>
        <w:tabs>
          <w:tab w:leader="none" w:pos="44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Participant Acknowledgements and Authorizations</w:t>
      </w:r>
      <w:r>
        <w:rPr>
          <w:rFonts w:ascii="Arial" w:cs="Arial" w:eastAsia="Arial" w:hAnsi="Arial"/>
          <w:sz w:val="18"/>
          <w:szCs w:val="18"/>
          <w:color w:val="auto"/>
        </w:rPr>
        <w:t>. The Participant hereby acknowledges the following:</w:t>
      </w:r>
    </w:p>
    <w:p>
      <w:pPr>
        <w:spacing w:after="0" w:line="130" w:lineRule="exact"/>
        <w:rPr>
          <w:rFonts w:ascii="Arial" w:cs="Arial" w:eastAsia="Arial" w:hAnsi="Arial"/>
          <w:sz w:val="18"/>
          <w:szCs w:val="18"/>
          <w:color w:val="auto"/>
        </w:rPr>
      </w:pPr>
    </w:p>
    <w:p>
      <w:pPr>
        <w:ind w:left="984" w:right="40" w:hanging="544"/>
        <w:spacing w:after="0" w:line="301" w:lineRule="auto"/>
        <w:tabs>
          <w:tab w:leader="none" w:pos="984" w:val="left"/>
        </w:tabs>
        <w:numPr>
          <w:ilvl w:val="1"/>
          <w:numId w:val="47"/>
        </w:numPr>
        <w:rPr>
          <w:rFonts w:ascii="Arial" w:cs="Arial" w:eastAsia="Arial" w:hAnsi="Arial"/>
          <w:sz w:val="16"/>
          <w:szCs w:val="16"/>
          <w:color w:val="auto"/>
        </w:rPr>
      </w:pPr>
      <w:r>
        <w:rPr>
          <w:rFonts w:ascii="Arial" w:cs="Arial" w:eastAsia="Arial" w:hAnsi="Arial"/>
          <w:sz w:val="16"/>
          <w:szCs w:val="16"/>
          <w:color w:val="auto"/>
        </w:rPr>
        <w:t>Neither the Company nor any Affiliate is, by the Plan or this Award, obligated to continue the Participant as an Employee, director, or Consultant of the Company or an Affiliate. Unless otherwise specified in a written employment or other written compensatory agreement between the Participant and the Company or an Affiliate, the Company or any Affiliate, as applicable, reserves the right to terminate the Participant’s employment or other service relationship with the Company or an Affiliate at any time and for any reason.</w:t>
      </w:r>
    </w:p>
    <w:p>
      <w:pPr>
        <w:spacing w:after="0" w:line="62" w:lineRule="exact"/>
        <w:rPr>
          <w:rFonts w:ascii="Arial" w:cs="Arial" w:eastAsia="Arial" w:hAnsi="Arial"/>
          <w:sz w:val="16"/>
          <w:szCs w:val="16"/>
          <w:color w:val="auto"/>
        </w:rPr>
      </w:pPr>
    </w:p>
    <w:p>
      <w:pPr>
        <w:ind w:left="984" w:hanging="544"/>
        <w:spacing w:after="0"/>
        <w:tabs>
          <w:tab w:leader="none" w:pos="98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Plan is discretionary in nature and may be suspended or terminated by the Company at any time.</w:t>
      </w:r>
    </w:p>
    <w:p>
      <w:pPr>
        <w:spacing w:after="0" w:line="130" w:lineRule="exact"/>
        <w:rPr>
          <w:rFonts w:ascii="Arial" w:cs="Arial" w:eastAsia="Arial" w:hAnsi="Arial"/>
          <w:sz w:val="18"/>
          <w:szCs w:val="18"/>
          <w:color w:val="auto"/>
        </w:rPr>
      </w:pPr>
    </w:p>
    <w:p>
      <w:pPr>
        <w:ind w:left="984" w:right="60" w:hanging="544"/>
        <w:spacing w:after="0" w:line="277" w:lineRule="auto"/>
        <w:tabs>
          <w:tab w:leader="none" w:pos="98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75" w:lineRule="exact"/>
        <w:rPr>
          <w:rFonts w:ascii="Arial" w:cs="Arial" w:eastAsia="Arial" w:hAnsi="Arial"/>
          <w:sz w:val="18"/>
          <w:szCs w:val="18"/>
          <w:color w:val="auto"/>
        </w:rPr>
      </w:pPr>
    </w:p>
    <w:p>
      <w:pPr>
        <w:ind w:left="984" w:right="160" w:hanging="544"/>
        <w:spacing w:after="0" w:line="308" w:lineRule="auto"/>
        <w:tabs>
          <w:tab w:leader="none" w:pos="984"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7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4"/>
          </w:cols>
          <w:pgMar w:left="436" w:top="490" w:right="559" w:bottom="1440" w:gutter="0" w:footer="0" w:header="0"/>
        </w:sectPr>
      </w:pPr>
    </w:p>
    <w:bookmarkStart w:id="62" w:name="page63"/>
    <w:bookmarkEnd w:id="62"/>
    <w:p>
      <w:pPr>
        <w:ind w:left="984" w:right="220" w:hanging="544"/>
        <w:spacing w:after="0" w:line="301" w:lineRule="auto"/>
        <w:tabs>
          <w:tab w:leader="none" w:pos="984" w:val="left"/>
        </w:tabs>
        <w:numPr>
          <w:ilvl w:val="1"/>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value of this Award is an extraordinary item of compensation outside of the scope of the Participant’s employment or consulting contract, agreement, or arrangement. As such, the Award is not part of normal or expected compensation for purposes of calculating any severance, resignation, redundancy, end of service payments, bonuses, long-service awards, pension or retirement benefits, or similar payments. The future value of the shares of Common Stock is unknown and cannot be predicted with certainty.</w:t>
      </w:r>
    </w:p>
    <w:p>
      <w:pPr>
        <w:spacing w:after="0" w:line="62" w:lineRule="exact"/>
        <w:rPr>
          <w:rFonts w:ascii="Arial" w:cs="Arial" w:eastAsia="Arial" w:hAnsi="Arial"/>
          <w:sz w:val="16"/>
          <w:szCs w:val="16"/>
          <w:color w:val="auto"/>
        </w:rPr>
      </w:pPr>
    </w:p>
    <w:p>
      <w:pPr>
        <w:ind w:left="984" w:hanging="544"/>
        <w:spacing w:after="0" w:line="279" w:lineRule="auto"/>
        <w:tabs>
          <w:tab w:leader="none" w:pos="984"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76" w:lineRule="exact"/>
        <w:rPr>
          <w:rFonts w:ascii="Arial" w:cs="Arial" w:eastAsia="Arial" w:hAnsi="Arial"/>
          <w:sz w:val="17"/>
          <w:szCs w:val="17"/>
          <w:color w:val="auto"/>
        </w:rPr>
      </w:pPr>
    </w:p>
    <w:p>
      <w:pPr>
        <w:ind w:left="984" w:hanging="544"/>
        <w:spacing w:after="0" w:line="286" w:lineRule="auto"/>
        <w:tabs>
          <w:tab w:leader="none" w:pos="984"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obligation of the Company to deliver Shares pursuant to this Award constitutes an unfunded and unsecured obligation of the Company. Until Shares are delivered, the Participant shall have no rights under this Agreement or the Plan, other than those of a general unsecured creditor of the Company. No assets of the Company shall be set aside for the settlement of the RSUs.</w:t>
      </w:r>
    </w:p>
    <w:p>
      <w:pPr>
        <w:spacing w:after="0" w:line="70" w:lineRule="exact"/>
        <w:rPr>
          <w:rFonts w:ascii="Arial" w:cs="Arial" w:eastAsia="Arial" w:hAnsi="Arial"/>
          <w:sz w:val="17"/>
          <w:szCs w:val="17"/>
          <w:color w:val="auto"/>
        </w:rPr>
      </w:pPr>
    </w:p>
    <w:p>
      <w:pPr>
        <w:ind w:left="444" w:right="20" w:hanging="444"/>
        <w:spacing w:after="0" w:line="259" w:lineRule="auto"/>
        <w:tabs>
          <w:tab w:leader="none" w:pos="44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By accepting the Award,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92" w:lineRule="exact"/>
        <w:rPr>
          <w:rFonts w:ascii="Arial" w:cs="Arial" w:eastAsia="Arial" w:hAnsi="Arial"/>
          <w:sz w:val="18"/>
          <w:szCs w:val="18"/>
          <w:color w:val="auto"/>
        </w:rPr>
      </w:pPr>
    </w:p>
    <w:p>
      <w:pPr>
        <w:ind w:left="444" w:hanging="444"/>
        <w:spacing w:after="0"/>
        <w:tabs>
          <w:tab w:leader="none" w:pos="44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Assignment and Successors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220" w:hanging="544"/>
        <w:spacing w:after="0" w:line="263" w:lineRule="auto"/>
        <w:tabs>
          <w:tab w:leader="none" w:pos="9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Agreement is personal to the Participant and, without the prior approval of the Administrator, shall not be assignable by the Participant, other than by will or the laws of descent and distribution. This Agreement shall inure to the benefit of and be enforceable by the Participant’s legal representatives and beneficiaries.</w:t>
      </w:r>
    </w:p>
    <w:p>
      <w:pPr>
        <w:spacing w:after="0" w:line="89" w:lineRule="exact"/>
        <w:rPr>
          <w:rFonts w:ascii="Arial" w:cs="Arial" w:eastAsia="Arial" w:hAnsi="Arial"/>
          <w:sz w:val="18"/>
          <w:szCs w:val="18"/>
          <w:color w:val="auto"/>
        </w:rPr>
      </w:pPr>
    </w:p>
    <w:p>
      <w:pPr>
        <w:ind w:left="984" w:hanging="544"/>
        <w:spacing w:after="0"/>
        <w:tabs>
          <w:tab w:leader="none" w:pos="9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490" w:right="459" w:bottom="1440" w:gutter="0" w:footer="0" w:header="0"/>
        </w:sectPr>
      </w:pPr>
    </w:p>
    <w:bookmarkStart w:id="63" w:name="page64"/>
    <w:bookmarkEnd w:id="63"/>
    <w:p>
      <w:pPr>
        <w:ind w:left="444" w:hanging="444"/>
        <w:spacing w:after="0" w:line="275" w:lineRule="auto"/>
        <w:tabs>
          <w:tab w:leader="none" w:pos="444"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Governing Law</w:t>
      </w:r>
      <w:r>
        <w:rPr>
          <w:rFonts w:ascii="Arial" w:cs="Arial" w:eastAsia="Arial" w:hAnsi="Arial"/>
          <w:sz w:val="17"/>
          <w:szCs w:val="17"/>
          <w:color w:val="auto"/>
        </w:rPr>
        <w:t>. This Agreement shall be construed and enforced in accordance with the laws of the State of Delaware, without giving effect to the conflict of law principles thereof; provided that, for the avoidance of doubt, the Restrictive Covenants Agreement shall continue to be governed solely by Pennsylvania law. For the purpose of litigating any dispute that arises under this Agreement, whether at law or in equity, the parties hereby consent to exclusive jurisdiction in the Commonwealth of Pennsylvania and agree that such litigation shall be conducted in the state courts of the Commonwealth of Pennsylvania or the federal courts of the United States for the Eastern District of Pennsylvania.</w:t>
      </w:r>
    </w:p>
    <w:p>
      <w:pPr>
        <w:spacing w:after="0" w:line="81" w:lineRule="exact"/>
        <w:rPr>
          <w:rFonts w:ascii="Arial" w:cs="Arial" w:eastAsia="Arial" w:hAnsi="Arial"/>
          <w:sz w:val="17"/>
          <w:szCs w:val="17"/>
          <w:color w:val="auto"/>
        </w:rPr>
      </w:pPr>
    </w:p>
    <w:p>
      <w:pPr>
        <w:ind w:left="444" w:right="100" w:hanging="444"/>
        <w:spacing w:after="0" w:line="259" w:lineRule="auto"/>
        <w:tabs>
          <w:tab w:leader="none" w:pos="44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92" w:lineRule="exact"/>
        <w:rPr>
          <w:rFonts w:ascii="Arial" w:cs="Arial" w:eastAsia="Arial" w:hAnsi="Arial"/>
          <w:sz w:val="18"/>
          <w:szCs w:val="18"/>
          <w:color w:val="auto"/>
        </w:rPr>
      </w:pPr>
    </w:p>
    <w:p>
      <w:pPr>
        <w:ind w:left="444" w:right="100" w:hanging="444"/>
        <w:spacing w:after="0" w:line="255" w:lineRule="auto"/>
        <w:tabs>
          <w:tab w:leader="none" w:pos="44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Grant Notice, the Restrictive Covenants Agreement, and the Plan, constitutes the entire agreement and understanding between the parties hereto with respect to the subject matter hereof and supersedes all prior oral or written agreements and understandings relating to the subject matter hereof, including without limitation any offer letter provision related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97" w:lineRule="exact"/>
        <w:rPr>
          <w:rFonts w:ascii="Arial" w:cs="Arial" w:eastAsia="Arial" w:hAnsi="Arial"/>
          <w:sz w:val="18"/>
          <w:szCs w:val="18"/>
          <w:color w:val="auto"/>
        </w:rPr>
      </w:pPr>
    </w:p>
    <w:p>
      <w:pPr>
        <w:ind w:left="444" w:right="100" w:hanging="444"/>
        <w:spacing w:after="0" w:line="255" w:lineRule="auto"/>
        <w:tabs>
          <w:tab w:leader="none" w:pos="44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Modifications and Amendments; Waivers and Consents</w:t>
      </w:r>
      <w:r>
        <w:rPr>
          <w:rFonts w:ascii="Arial" w:cs="Arial" w:eastAsia="Arial" w:hAnsi="Arial"/>
          <w:sz w:val="18"/>
          <w:szCs w:val="18"/>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97" w:lineRule="exact"/>
        <w:rPr>
          <w:rFonts w:ascii="Arial" w:cs="Arial" w:eastAsia="Arial" w:hAnsi="Arial"/>
          <w:sz w:val="18"/>
          <w:szCs w:val="18"/>
          <w:color w:val="auto"/>
        </w:rPr>
      </w:pPr>
    </w:p>
    <w:p>
      <w:pPr>
        <w:ind w:left="444" w:right="60" w:hanging="444"/>
        <w:spacing w:after="0" w:line="293" w:lineRule="auto"/>
        <w:tabs>
          <w:tab w:leader="none" w:pos="444"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The Award of RSUs evidenced by this Agreement is intended to be exempt from the nonqualified deferred compensation rules of Code Section 409A as a “short-term deferral” within the meaning of Code Section 409A and, to the maximum extent permitted, shall be construed accordingly. Notwithstanding anything to the contrary in the Plan or this Agreement, none of the Company, its Affiliates, the Board of Directors, the Administrator, or any of their respective agents or delegates will have any obligation to take any action to prevent the assessment of any excise tax or penalty on the Participant under Code Section 409A, and none of the Company, its Affiliates, the Board of Directors, the Administrator, or any of their respective agents or delegates will have any liability to the Participant or any other person for such tax or penalty.</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90" w:right="459" w:bottom="1440" w:gutter="0" w:footer="0" w:header="0"/>
        </w:sectPr>
      </w:pPr>
    </w:p>
    <w:bookmarkStart w:id="64" w:name="page65"/>
    <w:bookmarkEnd w:id="6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extent that the RSUs constitute “deferred compensation” under Code Section 409A, a termination of Service occurs only upon an event that would be a “separation from service” within the meaning of Code Section 409A. If, at the time of the Participant’s “separation from service,” (i) the Participant is a “specified employee” within the meaning of Code Section 409A (and as applied according to procedures of the Company and its Affiliates), and (ii) the Administrator makes a good faith determination that an amount payable under this Agreement on account of the Participant’s separation from service constitutes deferred compensation (within the meaning of Code Section 409A), the payment of which is required to be delayed pursuant to the six (6)-month delay rule set forth in Code Section 409A to avoid taxes or penalties under Code</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409A (the “</w:t>
      </w:r>
      <w:r>
        <w:rPr>
          <w:rFonts w:ascii="Arial" w:cs="Arial" w:eastAsia="Arial" w:hAnsi="Arial"/>
          <w:sz w:val="18"/>
          <w:szCs w:val="18"/>
          <w:b w:val="1"/>
          <w:bCs w:val="1"/>
          <w:color w:val="auto"/>
        </w:rPr>
        <w:t>Delay Period</w:t>
      </w:r>
      <w:r>
        <w:rPr>
          <w:rFonts w:ascii="Arial" w:cs="Arial" w:eastAsia="Arial" w:hAnsi="Arial"/>
          <w:sz w:val="18"/>
          <w:szCs w:val="18"/>
          <w:color w:val="auto"/>
        </w:rPr>
        <w:t>”), then the Company will not pay such amount on the otherwise scheduled payment date but will instead pay it in a lump sum on the first business day after the Delay Period (or upon the Participant’s death, if earlier), without interest. Each installment of RSUs that vest under this Agreement (if there is more than one installment) will be considered one of a series of separate payments for purposes of Code Section 409A.</w:t>
      </w:r>
    </w:p>
    <w:p>
      <w:pPr>
        <w:spacing w:after="0" w:line="1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490" w:right="4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Restrictive Covenants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490"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Non-Section 16 Officer Form</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2015 STOCK PLAN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RESTRICTED STOCK UNIT AWARD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 NOTICE</w:t>
      </w:r>
    </w:p>
    <w:p>
      <w:pPr>
        <w:spacing w:after="0" w:line="234" w:lineRule="exact"/>
        <w:rPr>
          <w:sz w:val="20"/>
          <w:szCs w:val="20"/>
          <w:color w:val="auto"/>
        </w:rPr>
      </w:pPr>
    </w:p>
    <w:p>
      <w:pPr>
        <w:ind w:left="444" w:hanging="444"/>
        <w:spacing w:after="0"/>
        <w:tabs>
          <w:tab w:leader="none" w:pos="444"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Name of Participant:</w:t>
      </w:r>
    </w:p>
    <w:p>
      <w:pPr>
        <w:spacing w:after="0" w:line="198" w:lineRule="exact"/>
        <w:rPr>
          <w:rFonts w:ascii="Arial" w:cs="Arial" w:eastAsia="Arial" w:hAnsi="Arial"/>
          <w:sz w:val="18"/>
          <w:szCs w:val="18"/>
          <w:color w:val="auto"/>
        </w:rPr>
      </w:pPr>
    </w:p>
    <w:p>
      <w:pPr>
        <w:ind w:left="444" w:right="8760" w:hanging="444"/>
        <w:spacing w:after="0" w:line="347" w:lineRule="auto"/>
        <w:tabs>
          <w:tab w:leader="none" w:pos="444"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Grant Date of the RSUs (the “Grant Date”):</w:t>
      </w:r>
    </w:p>
    <w:p>
      <w:pPr>
        <w:spacing w:after="0" w:line="88" w:lineRule="exact"/>
        <w:rPr>
          <w:rFonts w:ascii="Arial" w:cs="Arial" w:eastAsia="Arial" w:hAnsi="Arial"/>
          <w:sz w:val="16"/>
          <w:szCs w:val="16"/>
          <w:color w:val="auto"/>
        </w:rPr>
      </w:pPr>
    </w:p>
    <w:p>
      <w:pPr>
        <w:ind w:left="444" w:hanging="444"/>
        <w:spacing w:after="0"/>
        <w:tabs>
          <w:tab w:leader="none" w:pos="444"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Number of RSUs:</w:t>
      </w:r>
    </w:p>
    <w:p>
      <w:pPr>
        <w:spacing w:after="0" w:line="265" w:lineRule="exact"/>
        <w:rPr>
          <w:rFonts w:ascii="Arial" w:cs="Arial" w:eastAsia="Arial" w:hAnsi="Arial"/>
          <w:sz w:val="18"/>
          <w:szCs w:val="18"/>
          <w:color w:val="auto"/>
        </w:rPr>
      </w:pPr>
    </w:p>
    <w:p>
      <w:pPr>
        <w:ind w:left="444" w:right="100" w:hanging="444"/>
        <w:spacing w:after="0" w:line="277" w:lineRule="auto"/>
        <w:tabs>
          <w:tab w:leader="none" w:pos="444"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 xml:space="preserve">ting of Award: </w:t>
      </w:r>
      <w:r>
        <w:rPr>
          <w:rFonts w:ascii="Arial" w:cs="Arial" w:eastAsia="Arial" w:hAnsi="Arial"/>
          <w:sz w:val="17"/>
          <w:szCs w:val="17"/>
          <w:color w:val="auto"/>
        </w:rPr>
        <w:t>Subject to the Participant’s continuous employment or other service relationship with or to the Company or any of its Affiliates as</w:t>
      </w:r>
      <w:r>
        <w:rPr>
          <w:rFonts w:ascii="Arial" w:cs="Arial" w:eastAsia="Arial" w:hAnsi="Arial"/>
          <w:sz w:val="17"/>
          <w:szCs w:val="17"/>
          <w:b w:val="1"/>
          <w:bCs w:val="1"/>
          <w:color w:val="auto"/>
        </w:rPr>
        <w:t xml:space="preserve"> </w:t>
      </w:r>
      <w:r>
        <w:rPr>
          <w:rFonts w:ascii="Arial" w:cs="Arial" w:eastAsia="Arial" w:hAnsi="Arial"/>
          <w:sz w:val="17"/>
          <w:szCs w:val="17"/>
          <w:color w:val="auto"/>
        </w:rPr>
        <w:t>an Employee, director, and/or Consultant from the Grant Date through each of the following applicable dates (each such date, a “</w:t>
      </w:r>
      <w:r>
        <w:rPr>
          <w:rFonts w:ascii="Arial" w:cs="Arial" w:eastAsia="Arial" w:hAnsi="Arial"/>
          <w:sz w:val="17"/>
          <w:szCs w:val="17"/>
          <w:b w:val="1"/>
          <w:bCs w:val="1"/>
          <w:color w:val="auto"/>
        </w:rPr>
        <w:t>Vesting Date</w:t>
      </w:r>
      <w:r>
        <w:rPr>
          <w:rFonts w:ascii="Arial" w:cs="Arial" w:eastAsia="Arial" w:hAnsi="Arial"/>
          <w:sz w:val="17"/>
          <w:szCs w:val="17"/>
          <w:color w:val="auto"/>
        </w:rPr>
        <w:t>”), the RSUs shall vest twenty-five percent (25%) of the Number of RSUs above on each of the first, second, third, and fourth anniversaries of the Grant Date. Any terms used and not defined herein have the meanings ascribed to such terms in the Madrigal Pharmaceuticals, Inc. Amended 2015 Stock Plan (as it has been and may be amended and/or restated from time to time,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-1518285</wp:posOffset>
            </wp:positionV>
            <wp:extent cx="4877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4877435" cy="8890"/>
                    </a:xfrm>
                    <a:prstGeom prst="rect">
                      <a:avLst/>
                    </a:prstGeom>
                    <a:noFill/>
                  </pic:spPr>
                </pic:pic>
              </a:graphicData>
            </a:graphic>
          </wp:anchor>
        </w:drawing>
        <w:drawing>
          <wp:anchor simplePos="0" relativeHeight="251657728" behindDoc="1" locked="0" layoutInCell="0" allowOverlap="1">
            <wp:simplePos x="0" y="0"/>
            <wp:positionH relativeFrom="column">
              <wp:posOffset>2117090</wp:posOffset>
            </wp:positionH>
            <wp:positionV relativeFrom="paragraph">
              <wp:posOffset>-1123950</wp:posOffset>
            </wp:positionV>
            <wp:extent cx="4877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2117090</wp:posOffset>
            </wp:positionH>
            <wp:positionV relativeFrom="paragraph">
              <wp:posOffset>-866775</wp:posOffset>
            </wp:positionV>
            <wp:extent cx="4877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148"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By signing this Grant Notice or by electronic acknowledgment of this Grant Notice, the Participant acknowledges receipt of and agrees to all the terms and conditions described in this Restricted Stock Unit Award Grant Notice, the attached Restricted Stock Unit Agreement, and the Plan. The Participant acknowledges that he or she has carefully reviewed the Plan and agrees that the Plan will control in the event any provision of the Agreement should appear to be inconsistent with the Plan.</w:t>
      </w:r>
    </w:p>
    <w:p>
      <w:pPr>
        <w:spacing w:after="0" w:line="207" w:lineRule="exact"/>
        <w:rPr>
          <w:sz w:val="20"/>
          <w:szCs w:val="20"/>
          <w:color w:val="auto"/>
        </w:rPr>
      </w:pPr>
    </w:p>
    <w:p>
      <w:pPr>
        <w:ind w:left="6604"/>
        <w:spacing w:after="0"/>
        <w:rPr>
          <w:sz w:val="20"/>
          <w:szCs w:val="20"/>
          <w:color w:val="auto"/>
        </w:rPr>
      </w:pPr>
      <w:r>
        <w:rPr>
          <w:rFonts w:ascii="Arial" w:cs="Arial" w:eastAsia="Arial" w:hAnsi="Arial"/>
          <w:sz w:val="18"/>
          <w:szCs w:val="18"/>
          <w:b w:val="1"/>
          <w:bCs w:val="1"/>
          <w:color w:val="auto"/>
        </w:rPr>
        <w:t>MADRIGAL PHARMACEUTICALS, INC.</w:t>
      </w:r>
    </w:p>
    <w:p>
      <w:pPr>
        <w:spacing w:after="0" w:line="229"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606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5715</wp:posOffset>
            </wp:positionV>
            <wp:extent cx="24606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ind w:left="660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314325</wp:posOffset>
            </wp:positionV>
            <wp:extent cx="27946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5715</wp:posOffset>
            </wp:positionV>
            <wp:extent cx="24606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6604"/>
        <w:spacing w:after="0"/>
        <w:rPr>
          <w:sz w:val="20"/>
          <w:szCs w:val="20"/>
          <w:color w:val="auto"/>
        </w:rPr>
      </w:pPr>
      <w:r>
        <w:rPr>
          <w:rFonts w:ascii="Arial" w:cs="Arial" w:eastAsia="Arial" w:hAnsi="Arial"/>
          <w:sz w:val="18"/>
          <w:szCs w:val="18"/>
          <w:b w:val="1"/>
          <w:bCs w:val="1"/>
          <w:color w:val="auto"/>
        </w:rPr>
        <w:t>PARTICIPANT</w:t>
      </w:r>
    </w:p>
    <w:p>
      <w:pPr>
        <w:spacing w:after="0" w:line="34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ATTACHMENT</w:t>
      </w:r>
      <w:r>
        <w:rPr>
          <w:rFonts w:ascii="Arial" w:cs="Arial" w:eastAsia="Arial" w:hAnsi="Arial"/>
          <w:sz w:val="18"/>
          <w:szCs w:val="18"/>
          <w:color w:val="auto"/>
        </w:rPr>
        <w:t>: Restricted Stock Unit Agreement</w:t>
      </w:r>
    </w:p>
    <w:p>
      <w:pPr>
        <w:sectPr>
          <w:pgSz w:w="11900" w:h="16838" w:orient="portrait"/>
          <w:cols w:equalWidth="0" w:num="1">
            <w:col w:w="11024"/>
          </w:cols>
          <w:pgMar w:left="436" w:top="121" w:right="439" w:bottom="1440" w:gutter="0" w:footer="0" w:header="0"/>
        </w:sectPr>
      </w:pPr>
    </w:p>
    <w:bookmarkStart w:id="67" w:name="page68"/>
    <w:bookmarkEnd w:id="67"/>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MADRIGAL PHARMACEUTICALS, INC.</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AMENDED 2015 STOCK PLAN</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RESTRICTED STOCK UNIT AGREEMENT</w:t>
      </w:r>
    </w:p>
    <w:p>
      <w:pPr>
        <w:spacing w:after="0" w:line="207" w:lineRule="exact"/>
        <w:rPr>
          <w:sz w:val="20"/>
          <w:szCs w:val="20"/>
          <w:color w:val="auto"/>
        </w:rPr>
      </w:pPr>
    </w:p>
    <w:p>
      <w:pPr>
        <w:ind w:left="4" w:right="420" w:firstLine="440"/>
        <w:spacing w:after="0" w:line="266"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“Grant Date” set forth in the Restricted Stock Unit Award Grant Notice (“</w:t>
      </w:r>
      <w:r>
        <w:rPr>
          <w:rFonts w:ascii="Arial" w:cs="Arial" w:eastAsia="Arial" w:hAnsi="Arial"/>
          <w:sz w:val="18"/>
          <w:szCs w:val="18"/>
          <w:b w:val="1"/>
          <w:bCs w:val="1"/>
          <w:color w:val="auto"/>
        </w:rPr>
        <w:t>Grant Notice</w:t>
      </w:r>
      <w:r>
        <w:rPr>
          <w:rFonts w:ascii="Arial" w:cs="Arial" w:eastAsia="Arial" w:hAnsi="Arial"/>
          <w:sz w:val="18"/>
          <w:szCs w:val="18"/>
          <w:color w:val="auto"/>
        </w:rPr>
        <w:t>”) between MADRIGAL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a Delaware corporation, and the individual whose name appears on the Restricted Stock Unit Award Grant Notice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180"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WHEREAS, the Company has adopted the Madrigal Pharmaceuticals, Inc. Amended 2015 Stock Plan (as it has been and may be amended and/or restated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to promote the interests of the Company by providing an incentive for Employees, directors, and Consultants of the Company and its Affiliates;</w:t>
      </w:r>
    </w:p>
    <w:p>
      <w:pPr>
        <w:spacing w:after="0" w:line="180"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WHEREAS, pursuant to the provisions of the Plan, the Company desires to grant to the Participant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related to the Company’s 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in accordance with the provisions of the Plan, all on the terms and conditions hereinafter set forth; and</w:t>
      </w:r>
    </w:p>
    <w:p>
      <w:pPr>
        <w:spacing w:after="0" w:line="18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meanings ascribed to such terms in the Plan.</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76" w:lineRule="exact"/>
        <w:rPr>
          <w:sz w:val="20"/>
          <w:szCs w:val="20"/>
          <w:color w:val="auto"/>
        </w:rPr>
      </w:pPr>
    </w:p>
    <w:p>
      <w:pPr>
        <w:ind w:left="444" w:right="140" w:hanging="444"/>
        <w:spacing w:after="0" w:line="311" w:lineRule="auto"/>
        <w:tabs>
          <w:tab w:leader="none" w:pos="444"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Grant of Award</w:t>
      </w:r>
      <w:r>
        <w:rPr>
          <w:rFonts w:ascii="Arial" w:cs="Arial" w:eastAsia="Arial" w:hAnsi="Arial"/>
          <w:sz w:val="16"/>
          <w:szCs w:val="16"/>
          <w:color w:val="auto"/>
        </w:rPr>
        <w:t>. The Company hereby grants to the Participant a Stock-Based Award for the number of RSUs set forth in the Grant Notice (the “</w:t>
      </w:r>
      <w:r>
        <w:rPr>
          <w:rFonts w:ascii="Arial" w:cs="Arial" w:eastAsia="Arial" w:hAnsi="Arial"/>
          <w:sz w:val="16"/>
          <w:szCs w:val="16"/>
          <w:b w:val="1"/>
          <w:bCs w:val="1"/>
          <w:color w:val="auto"/>
        </w:rPr>
        <w:t>Award</w:t>
      </w:r>
      <w:r>
        <w:rPr>
          <w:rFonts w:ascii="Arial" w:cs="Arial" w:eastAsia="Arial" w:hAnsi="Arial"/>
          <w:sz w:val="16"/>
          <w:szCs w:val="16"/>
          <w:color w:val="auto"/>
        </w:rPr>
        <w:t>”). Each RSU represents a contingent entitlement of the Participant to receive one share of Common Stock, on the terms and conditions and subject to all the limitations set forth herein, in the Grant Notice, and in the Plan, which are incorporated herein by reference.</w:t>
      </w:r>
    </w:p>
    <w:p>
      <w:pPr>
        <w:spacing w:after="0" w:line="54" w:lineRule="exact"/>
        <w:rPr>
          <w:rFonts w:ascii="Arial" w:cs="Arial" w:eastAsia="Arial" w:hAnsi="Arial"/>
          <w:sz w:val="16"/>
          <w:szCs w:val="16"/>
          <w:color w:val="auto"/>
        </w:rPr>
      </w:pPr>
    </w:p>
    <w:p>
      <w:pPr>
        <w:ind w:left="444" w:hanging="444"/>
        <w:spacing w:after="0"/>
        <w:tabs>
          <w:tab w:leader="none" w:pos="44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20" w:hanging="544"/>
        <w:spacing w:after="0" w:line="263" w:lineRule="auto"/>
        <w:tabs>
          <w:tab w:leader="none" w:pos="984"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and the Plan: (i) the Award shall vest as set forth in the Grant Notice and is subject to the other terms and conditions of this Agreement and the Plan; and (ii) upon vesting, the Participant shall be entitled to receive such number of shares of Common Stock equivalent to the number of such vested RSUs.</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4"/>
          </w:cols>
          <w:pgMar w:left="436" w:top="486" w:right="539" w:bottom="1440" w:gutter="0" w:footer="0" w:header="0"/>
        </w:sectPr>
      </w:pPr>
    </w:p>
    <w:bookmarkStart w:id="68" w:name="page69"/>
    <w:bookmarkEnd w:id="68"/>
    <w:p>
      <w:pPr>
        <w:ind w:left="984" w:right="20" w:hanging="544"/>
        <w:spacing w:after="0" w:line="311" w:lineRule="auto"/>
        <w:tabs>
          <w:tab w:leader="none" w:pos="984"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anything to the contrary in the Grant Notice or this Agreement, any fractional Shares resulting from the vesting schedule set forth in the Grant Notice will be rounded to the nearest whole Share and shall be rounded up or down as necessary as of the last Vesting Date; provided, in all cases, the Participant cannot vest in more than the number of RSUs set forth in the Grant Notice.</w:t>
      </w:r>
    </w:p>
    <w:p>
      <w:pPr>
        <w:spacing w:after="0" w:line="54" w:lineRule="exact"/>
        <w:rPr>
          <w:rFonts w:ascii="Arial" w:cs="Arial" w:eastAsia="Arial" w:hAnsi="Arial"/>
          <w:sz w:val="16"/>
          <w:szCs w:val="16"/>
          <w:color w:val="auto"/>
        </w:rPr>
      </w:pPr>
    </w:p>
    <w:p>
      <w:pPr>
        <w:ind w:left="444" w:hanging="444"/>
        <w:spacing w:after="0"/>
        <w:tabs>
          <w:tab w:leader="none" w:pos="4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Forfeiture of Unvested RSUs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60" w:hanging="544"/>
        <w:spacing w:after="0" w:line="257" w:lineRule="auto"/>
        <w:tabs>
          <w:tab w:leader="none" w:pos="984" w:val="left"/>
        </w:tabs>
        <w:numPr>
          <w:ilvl w:val="1"/>
          <w:numId w:val="54"/>
        </w:numPr>
        <w:rPr>
          <w:rFonts w:ascii="Arial" w:cs="Arial" w:eastAsia="Arial" w:hAnsi="Arial"/>
          <w:sz w:val="18"/>
          <w:szCs w:val="18"/>
          <w:color w:val="auto"/>
        </w:rPr>
      </w:pPr>
      <w:r>
        <w:rPr>
          <w:rFonts w:ascii="Arial" w:cs="Arial" w:eastAsia="Arial" w:hAnsi="Arial"/>
          <w:sz w:val="18"/>
          <w:szCs w:val="18"/>
          <w:color w:val="auto"/>
        </w:rPr>
        <w:t>Except as otherwise set forth in this Agreement, the Grant Notice, the Plan, or a separate agreement between Participant and the Company, if the Participant ceases his or her continuous employment or other service relationship with or to the Company or any of its Affiliates as an Employee, director, and/or Consultant (“</w:t>
      </w:r>
      <w:r>
        <w:rPr>
          <w:rFonts w:ascii="Arial" w:cs="Arial" w:eastAsia="Arial" w:hAnsi="Arial"/>
          <w:sz w:val="18"/>
          <w:szCs w:val="18"/>
          <w:b w:val="1"/>
          <w:bCs w:val="1"/>
          <w:color w:val="auto"/>
        </w:rPr>
        <w:t>Termination</w:t>
      </w:r>
      <w:r>
        <w:rPr>
          <w:rFonts w:ascii="Arial" w:cs="Arial" w:eastAsia="Arial" w:hAnsi="Arial"/>
          <w:sz w:val="18"/>
          <w:szCs w:val="18"/>
          <w:color w:val="auto"/>
        </w:rPr>
        <w:t>”), then all then-unvested RSUs shall automatically and immediately be forfeited to the Company as of such Termination, and this Agreement and the Grant Notice shall automatically and immediately terminate and be of no further force or effect.</w:t>
      </w:r>
    </w:p>
    <w:p>
      <w:pPr>
        <w:spacing w:after="0" w:line="93" w:lineRule="exact"/>
        <w:rPr>
          <w:rFonts w:ascii="Arial" w:cs="Arial" w:eastAsia="Arial" w:hAnsi="Arial"/>
          <w:sz w:val="18"/>
          <w:szCs w:val="18"/>
          <w:color w:val="auto"/>
        </w:rPr>
      </w:pPr>
    </w:p>
    <w:p>
      <w:pPr>
        <w:ind w:left="984" w:hanging="544"/>
        <w:spacing w:after="0" w:line="290" w:lineRule="auto"/>
        <w:tabs>
          <w:tab w:leader="none" w:pos="984" w:val="left"/>
        </w:tabs>
        <w:numPr>
          <w:ilvl w:val="1"/>
          <w:numId w:val="54"/>
        </w:numPr>
        <w:rPr>
          <w:rFonts w:ascii="Arial" w:cs="Arial" w:eastAsia="Arial" w:hAnsi="Arial"/>
          <w:sz w:val="16"/>
          <w:szCs w:val="16"/>
          <w:color w:val="auto"/>
        </w:rPr>
      </w:pPr>
      <w:r>
        <w:rPr>
          <w:rFonts w:ascii="Arial" w:cs="Arial" w:eastAsia="Arial" w:hAnsi="Arial"/>
          <w:sz w:val="16"/>
          <w:szCs w:val="16"/>
          <w:color w:val="auto"/>
        </w:rPr>
        <w:t>For purposes of this Agreement, the Participant’s continuous employment or other service relationship with or to the Company or any of its Affiliates as an Employee, director, and/or Consultant does not terminate when the Participant goes on a bona fide leave of absence that was approved by the Administrator in writing, if the terms of the leave provide for continued service crediting, or when continued service crediting is required by applicable law. The Participant’s continuous employment or other service relationship with or to the Company or any of its Affiliates as an Employee, director, and/or Consultant terminates in any event when the approved leave ends unless the Participant immediately returns to active work. The Administrator may determine, in its discretion, which leaves count for this purpose and when the Participant’s continuous employment or other service relationship with or to the Company or any of its Affiliates as an Employee, director, and/or Consultant terminates for all purposes under the Plan in accordance with the provisions of the Plan.</w:t>
      </w:r>
    </w:p>
    <w:p>
      <w:pPr>
        <w:spacing w:after="0" w:line="192" w:lineRule="exact"/>
        <w:rPr>
          <w:rFonts w:ascii="Arial" w:cs="Arial" w:eastAsia="Arial" w:hAnsi="Arial"/>
          <w:sz w:val="16"/>
          <w:szCs w:val="16"/>
          <w:color w:val="auto"/>
        </w:rPr>
      </w:pPr>
    </w:p>
    <w:p>
      <w:pPr>
        <w:ind w:left="444" w:right="320" w:hanging="444"/>
        <w:spacing w:after="0" w:line="301" w:lineRule="auto"/>
        <w:tabs>
          <w:tab w:leader="none" w:pos="444"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Delivery of Award; Evidence of Issuance</w:t>
      </w:r>
      <w:r>
        <w:rPr>
          <w:rFonts w:ascii="Arial" w:cs="Arial" w:eastAsia="Arial" w:hAnsi="Arial"/>
          <w:sz w:val="16"/>
          <w:szCs w:val="16"/>
          <w:color w:val="auto"/>
        </w:rPr>
        <w:t>. Delivery of the Shares represented by the Participant’s vested RSUs shall be made as soon as practicable after the applicable Vesting Date and, in any event, by no later than sixty (60) days following each applicable Vesting Date. The issuance of the Shares represented by the Participant’s vested RSUs shall be evidenced in such a manner as the Administrator, in its discretion, deems appropriate, including, without limitation, by (i) book-entry registration or (ii) issuance of one or more share certificates.</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490" w:right="439" w:bottom="1440" w:gutter="0" w:footer="0" w:header="0"/>
        </w:sectPr>
      </w:pPr>
    </w:p>
    <w:bookmarkStart w:id="69" w:name="page70"/>
    <w:bookmarkEnd w:id="69"/>
    <w:p>
      <w:pPr>
        <w:ind w:left="444" w:hanging="444"/>
        <w:spacing w:after="0" w:line="290" w:lineRule="auto"/>
        <w:tabs>
          <w:tab w:leader="none" w:pos="44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Prohibitions on Transfer and Sale</w:t>
      </w:r>
      <w:r>
        <w:rPr>
          <w:rFonts w:ascii="Arial" w:cs="Arial" w:eastAsia="Arial" w:hAnsi="Arial"/>
          <w:sz w:val="16"/>
          <w:szCs w:val="16"/>
          <w:color w:val="auto"/>
        </w:rPr>
        <w:t xml:space="preserve">. This Award (including any additional RSUs received by the Participant as a result of stock dividends, stock splits, or any other similar transaction affecting the Company’s securities without receipt of consideration) shall not be transferable, without the prior approval of the Administrator, by the Participant, other than by will or by the laws of descent and distribution. Except as provided in the previous sentence, the Shares to be issued pursuant to this Agreement shall be issued, during the Participant’s lifetime, only to the Participant (or, in the event of legal incapacity or incompetence, to the Participant’s guardian or representative), and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or the levy of any attachment or similar process upon this Award, shall be null and void.</w:t>
      </w:r>
    </w:p>
    <w:p>
      <w:pPr>
        <w:spacing w:after="0" w:line="70" w:lineRule="exact"/>
        <w:rPr>
          <w:rFonts w:ascii="Arial" w:cs="Arial" w:eastAsia="Arial" w:hAnsi="Arial"/>
          <w:sz w:val="16"/>
          <w:szCs w:val="16"/>
          <w:color w:val="auto"/>
        </w:rPr>
      </w:pPr>
    </w:p>
    <w:p>
      <w:pPr>
        <w:ind w:left="444" w:right="140" w:hanging="444"/>
        <w:spacing w:after="0" w:line="286" w:lineRule="auto"/>
        <w:tabs>
          <w:tab w:leader="none" w:pos="44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The Plan contains provisions covering the treatment of RSUs and Shares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70" w:lineRule="exact"/>
        <w:rPr>
          <w:rFonts w:ascii="Arial" w:cs="Arial" w:eastAsia="Arial" w:hAnsi="Arial"/>
          <w:sz w:val="17"/>
          <w:szCs w:val="17"/>
          <w:color w:val="auto"/>
        </w:rPr>
      </w:pPr>
    </w:p>
    <w:p>
      <w:pPr>
        <w:ind w:left="444" w:right="120" w:hanging="444"/>
        <w:spacing w:after="0" w:line="263" w:lineRule="auto"/>
        <w:tabs>
          <w:tab w:leader="none" w:pos="44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The Participant specifically acknowledges and agrees that any sales of Shares shall be made in accordance with the requirements of the Securities Act. The Company currently has an effective registration statement on file with the United States Securities and Exchange Commission with respect to the Shares to be granted hereunder.</w:t>
      </w:r>
    </w:p>
    <w:p>
      <w:pPr>
        <w:spacing w:after="0" w:line="89" w:lineRule="exact"/>
        <w:rPr>
          <w:rFonts w:ascii="Arial" w:cs="Arial" w:eastAsia="Arial" w:hAnsi="Arial"/>
          <w:sz w:val="18"/>
          <w:szCs w:val="18"/>
          <w:color w:val="auto"/>
        </w:rPr>
      </w:pPr>
    </w:p>
    <w:p>
      <w:pPr>
        <w:ind w:left="444" w:right="160" w:hanging="444"/>
        <w:spacing w:after="0" w:line="273" w:lineRule="auto"/>
        <w:tabs>
          <w:tab w:leader="none" w:pos="44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The Participant shall have no rights as a stockholder, including voting and dividend rights, with respect to the RSUs subject to this Agreement, unless and until Shares represented by the Participant’s vested RSUs have been issued to the Participant and either a certificate evidencing the Shares has been issued or an appropriate entry has been made on the Company’s books. No adjustments to Shares represented by the Participant’s vested RSUs shall be made for dividends, distributions, or other rights on or with respect to the Common Stock generally if the applicable record date for any such dividend, distribution, or right occurs before the Participant’s certificate is issued or an appropriate book entry is made, except as otherwise described in the Plan.</w:t>
      </w:r>
    </w:p>
    <w:p>
      <w:pPr>
        <w:spacing w:after="0" w:line="83" w:lineRule="exact"/>
        <w:rPr>
          <w:rFonts w:ascii="Arial" w:cs="Arial" w:eastAsia="Arial" w:hAnsi="Arial"/>
          <w:sz w:val="17"/>
          <w:szCs w:val="17"/>
          <w:color w:val="auto"/>
        </w:rPr>
      </w:pPr>
    </w:p>
    <w:p>
      <w:pPr>
        <w:ind w:left="444" w:right="160" w:hanging="444"/>
        <w:spacing w:after="0" w:line="296" w:lineRule="auto"/>
        <w:tabs>
          <w:tab w:leader="none" w:pos="44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Incorporation of the Plan; Clawback</w:t>
      </w:r>
      <w:r>
        <w:rPr>
          <w:rFonts w:ascii="Arial" w:cs="Arial" w:eastAsia="Arial" w:hAnsi="Arial"/>
          <w:sz w:val="16"/>
          <w:szCs w:val="16"/>
          <w:color w:val="auto"/>
        </w:rPr>
        <w:t>. The Participant specifically understands and agrees that the RSUs and the Shares to be issued under the Agreement will be issued to the Participant pursuant to the Plan, a copy of which Plan the Participant acknowledges he or she has received, has read, and understands and by which Plan he or she agrees to be bound. The provisions of the Plan are incorporated herein by reference. In addition, the RSUs (and any compensation paid or Shares issued pursuant to this Agreement) are subject to recoupment in accordance with The Sarbanes-Oxley Act, The Dodd-Frank Wall Street Reform and Consumer Protection Act and any implementing regulations thereunder, any</w:t>
      </w:r>
    </w:p>
    <w:p>
      <w:pPr>
        <w:spacing w:after="0" w:line="9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490" w:right="539" w:bottom="1440" w:gutter="0" w:footer="0" w:header="0"/>
        </w:sectPr>
      </w:pPr>
    </w:p>
    <w:bookmarkStart w:id="70" w:name="page71"/>
    <w:bookmarkEnd w:id="70"/>
    <w:p>
      <w:pPr>
        <w:ind w:left="44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clawback policy adopted by the Company, and any compensation recovery policy otherwise required by applicable law. No recovery of compensation under such a clawback policy will be an event giving rise to a right to resign for “good reason” or for a “constructive termination” (or similar terms) under any agreement between the Participant and the Company or any Affiliate.</w:t>
      </w:r>
    </w:p>
    <w:p>
      <w:pPr>
        <w:spacing w:after="0" w:line="89" w:lineRule="exact"/>
        <w:rPr>
          <w:sz w:val="20"/>
          <w:szCs w:val="20"/>
          <w:color w:val="auto"/>
        </w:rPr>
      </w:pPr>
    </w:p>
    <w:p>
      <w:pPr>
        <w:ind w:left="444" w:hanging="444"/>
        <w:spacing w:after="0" w:line="287" w:lineRule="auto"/>
        <w:tabs>
          <w:tab w:leader="none" w:pos="44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Tax Liability of the Participant and Payment of Taxes</w:t>
      </w:r>
      <w:r>
        <w:rPr>
          <w:rFonts w:ascii="Arial" w:cs="Arial" w:eastAsia="Arial" w:hAnsi="Arial"/>
          <w:sz w:val="16"/>
          <w:szCs w:val="16"/>
          <w:color w:val="auto"/>
        </w:rPr>
        <w:t>. The Participant acknowledges and agrees that any income or other taxes due from the Participant with respect to this Award or the Shares to be issued pursuant to this Agreement or otherwise sold shall be the Participant’s responsibility. In the event that the Company or an Affiliate determines that any federal, state, local, or foreign tax or withholding payment is required relating to the RSUs, or the delivery of Shares with respect to this Award, the Company or any Affiliate will have the right, and Participant agrees, that the Company shall cause Participant to, and Participant shall, enter into a “same day sale” commitment with a broker-dealer that is a member of the Financial Industry Regulatory Authority (a “</w:t>
      </w:r>
      <w:r>
        <w:rPr>
          <w:rFonts w:ascii="Arial" w:cs="Arial" w:eastAsia="Arial" w:hAnsi="Arial"/>
          <w:sz w:val="16"/>
          <w:szCs w:val="16"/>
          <w:b w:val="1"/>
          <w:bCs w:val="1"/>
          <w:color w:val="auto"/>
        </w:rPr>
        <w:t>FINRA Dealer</w:t>
      </w:r>
      <w:r>
        <w:rPr>
          <w:rFonts w:ascii="Arial" w:cs="Arial" w:eastAsia="Arial" w:hAnsi="Arial"/>
          <w:sz w:val="16"/>
          <w:szCs w:val="16"/>
          <w:color w:val="auto"/>
        </w:rPr>
        <w:t>”), whereby the Participant irrevocably elects to sell a portion of the Shares to be delivered in connection with the RSUs to satisfy withholding obligations and whereby the FINRA Dealer irrevocably commits to forward the proceeds necessary to satisfy the withholding obligations directly to the Company or any Affiliate (such process, “</w:t>
      </w:r>
      <w:r>
        <w:rPr>
          <w:rFonts w:ascii="Arial" w:cs="Arial" w:eastAsia="Arial" w:hAnsi="Arial"/>
          <w:sz w:val="16"/>
          <w:szCs w:val="16"/>
          <w:b w:val="1"/>
          <w:bCs w:val="1"/>
          <w:color w:val="auto"/>
        </w:rPr>
        <w:t>Sell to</w:t>
      </w:r>
      <w:r>
        <w:rPr>
          <w:rFonts w:ascii="Arial" w:cs="Arial" w:eastAsia="Arial" w:hAnsi="Arial"/>
          <w:sz w:val="16"/>
          <w:szCs w:val="16"/>
          <w:color w:val="auto"/>
        </w:rPr>
        <w:t xml:space="preserve"> </w:t>
      </w:r>
      <w:r>
        <w:rPr>
          <w:rFonts w:ascii="Arial" w:cs="Arial" w:eastAsia="Arial" w:hAnsi="Arial"/>
          <w:sz w:val="16"/>
          <w:szCs w:val="16"/>
          <w:b w:val="1"/>
          <w:bCs w:val="1"/>
          <w:color w:val="auto"/>
        </w:rPr>
        <w:t>Cover</w:t>
      </w:r>
      <w:r>
        <w:rPr>
          <w:rFonts w:ascii="Arial" w:cs="Arial" w:eastAsia="Arial" w:hAnsi="Arial"/>
          <w:sz w:val="16"/>
          <w:szCs w:val="16"/>
          <w:color w:val="auto"/>
        </w:rPr>
        <w:t>”); provided, however, the Administrator shall have the discretion to override Sell to Cover, (i) in lieu of selling a fractional vested Share or</w:t>
      </w:r>
      <w:r>
        <w:rPr>
          <w:rFonts w:ascii="Arial" w:cs="Arial" w:eastAsia="Arial" w:hAnsi="Arial"/>
          <w:sz w:val="16"/>
          <w:szCs w:val="16"/>
          <w:b w:val="1"/>
          <w:bCs w:val="1"/>
          <w:color w:val="auto"/>
        </w:rPr>
        <w:t xml:space="preserve"> </w:t>
      </w:r>
      <w:r>
        <w:rPr>
          <w:rFonts w:ascii="Arial" w:cs="Arial" w:eastAsia="Arial" w:hAnsi="Arial"/>
          <w:sz w:val="16"/>
          <w:szCs w:val="16"/>
          <w:color w:val="auto"/>
        </w:rPr>
        <w:t>(ii) in connection with withholding obligations arising outside the ordinary course, such as outside annual Vesting Dates of the RSUs, and in each case such withholding may be through deduction from payments of any kind otherwise due to the Participant.</w:t>
      </w:r>
    </w:p>
    <w:p>
      <w:pPr>
        <w:spacing w:after="0" w:line="60" w:lineRule="exact"/>
        <w:rPr>
          <w:sz w:val="20"/>
          <w:szCs w:val="20"/>
          <w:color w:val="auto"/>
        </w:rPr>
      </w:pPr>
    </w:p>
    <w:p>
      <w:pPr>
        <w:ind w:left="444" w:right="40"/>
        <w:spacing w:after="0" w:line="277" w:lineRule="auto"/>
        <w:rPr>
          <w:sz w:val="20"/>
          <w:szCs w:val="20"/>
          <w:color w:val="auto"/>
        </w:rPr>
      </w:pPr>
      <w:r>
        <w:rPr>
          <w:rFonts w:ascii="Arial" w:cs="Arial" w:eastAsia="Arial" w:hAnsi="Arial"/>
          <w:sz w:val="17"/>
          <w:szCs w:val="17"/>
          <w:b w:val="1"/>
          <w:bCs w:val="1"/>
          <w:color w:val="auto"/>
        </w:rPr>
        <w:t>The Participant hereby agrees and acknowledges that, in the event that the Company or an Affiliate determines that any federal, state, local, or foreign tax or withholding payment is required relating to the RSUs, or the delivery of Shares with respect to this Award, the Company or any Affiliate will utilize Sell to Cover, and that, in the event Sell to Cover is unavailable for any reason, the Company or any Affiliate shall be entitled to use whatever method it may deem appropriate to recover such taxes (including, without limitation, through deduction from payments of any kind otherwise due to the Participant).</w:t>
      </w:r>
    </w:p>
    <w:p>
      <w:pPr>
        <w:spacing w:after="0" w:line="64"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color w:val="auto"/>
        </w:rPr>
        <w:t>The Participant further agrees that the Administrator may, as it reasonably considers necessary, amend or vary this Agreement due to changes in tax laws to facilitate such recovery of taxes.</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490" w:right="519" w:bottom="1440" w:gutter="0" w:footer="0" w:header="0"/>
        </w:sectPr>
      </w:pPr>
    </w:p>
    <w:bookmarkStart w:id="71" w:name="page72"/>
    <w:bookmarkEnd w:id="71"/>
    <w:p>
      <w:pPr>
        <w:ind w:left="444" w:hanging="444"/>
        <w:spacing w:after="0"/>
        <w:tabs>
          <w:tab w:leader="none" w:pos="4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Participant Acknowledgements and Authorizations</w:t>
      </w:r>
      <w:r>
        <w:rPr>
          <w:rFonts w:ascii="Arial" w:cs="Arial" w:eastAsia="Arial" w:hAnsi="Arial"/>
          <w:sz w:val="18"/>
          <w:szCs w:val="18"/>
          <w:color w:val="auto"/>
        </w:rPr>
        <w:t>. The Participant hereby acknowledges the following:</w:t>
      </w:r>
    </w:p>
    <w:p>
      <w:pPr>
        <w:spacing w:after="0" w:line="130" w:lineRule="exact"/>
        <w:rPr>
          <w:rFonts w:ascii="Arial" w:cs="Arial" w:eastAsia="Arial" w:hAnsi="Arial"/>
          <w:sz w:val="18"/>
          <w:szCs w:val="18"/>
          <w:color w:val="auto"/>
        </w:rPr>
      </w:pPr>
    </w:p>
    <w:p>
      <w:pPr>
        <w:ind w:left="984" w:right="140" w:hanging="544"/>
        <w:spacing w:after="0" w:line="301" w:lineRule="auto"/>
        <w:tabs>
          <w:tab w:leader="none" w:pos="984" w:val="left"/>
        </w:tabs>
        <w:numPr>
          <w:ilvl w:val="1"/>
          <w:numId w:val="57"/>
        </w:numPr>
        <w:rPr>
          <w:rFonts w:ascii="Arial" w:cs="Arial" w:eastAsia="Arial" w:hAnsi="Arial"/>
          <w:sz w:val="16"/>
          <w:szCs w:val="16"/>
          <w:color w:val="auto"/>
        </w:rPr>
      </w:pPr>
      <w:r>
        <w:rPr>
          <w:rFonts w:ascii="Arial" w:cs="Arial" w:eastAsia="Arial" w:hAnsi="Arial"/>
          <w:sz w:val="16"/>
          <w:szCs w:val="16"/>
          <w:color w:val="auto"/>
        </w:rPr>
        <w:t>Neither the Company nor any Affiliate is, by the Plan or this Award, obligated to continue the Participant as an Employee, director, or Consultant of the Company or an Affiliate. Unless otherwise specified in a written employment or other written compensatory agreement between the Participant and the Company or an Affiliate, the Company or any Affiliate, as applicable, reserves the right to terminate the Participant’s employment or other service relationship with the Company or an Affiliate at any time and for any reason.</w:t>
      </w:r>
    </w:p>
    <w:p>
      <w:pPr>
        <w:spacing w:after="0" w:line="62" w:lineRule="exact"/>
        <w:rPr>
          <w:rFonts w:ascii="Arial" w:cs="Arial" w:eastAsia="Arial" w:hAnsi="Arial"/>
          <w:sz w:val="16"/>
          <w:szCs w:val="16"/>
          <w:color w:val="auto"/>
        </w:rPr>
      </w:pPr>
    </w:p>
    <w:p>
      <w:pPr>
        <w:ind w:left="984" w:hanging="544"/>
        <w:spacing w:after="0"/>
        <w:tabs>
          <w:tab w:leader="none" w:pos="9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Plan is discretionary in nature and may be suspended or terminated by the Company at any time.</w:t>
      </w:r>
    </w:p>
    <w:p>
      <w:pPr>
        <w:spacing w:after="0" w:line="130" w:lineRule="exact"/>
        <w:rPr>
          <w:rFonts w:ascii="Arial" w:cs="Arial" w:eastAsia="Arial" w:hAnsi="Arial"/>
          <w:sz w:val="18"/>
          <w:szCs w:val="18"/>
          <w:color w:val="auto"/>
        </w:rPr>
      </w:pPr>
    </w:p>
    <w:p>
      <w:pPr>
        <w:ind w:left="984" w:right="160" w:hanging="544"/>
        <w:spacing w:after="0" w:line="277" w:lineRule="auto"/>
        <w:tabs>
          <w:tab w:leader="none" w:pos="9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75" w:lineRule="exact"/>
        <w:rPr>
          <w:rFonts w:ascii="Arial" w:cs="Arial" w:eastAsia="Arial" w:hAnsi="Arial"/>
          <w:sz w:val="18"/>
          <w:szCs w:val="18"/>
          <w:color w:val="auto"/>
        </w:rPr>
      </w:pPr>
    </w:p>
    <w:p>
      <w:pPr>
        <w:ind w:left="984" w:right="260" w:hanging="544"/>
        <w:spacing w:after="0" w:line="308" w:lineRule="auto"/>
        <w:tabs>
          <w:tab w:leader="none" w:pos="984"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51" w:lineRule="exact"/>
        <w:rPr>
          <w:rFonts w:ascii="Arial" w:cs="Arial" w:eastAsia="Arial" w:hAnsi="Arial"/>
          <w:sz w:val="17"/>
          <w:szCs w:val="17"/>
          <w:color w:val="auto"/>
        </w:rPr>
      </w:pPr>
    </w:p>
    <w:p>
      <w:pPr>
        <w:ind w:left="984" w:right="220" w:hanging="544"/>
        <w:spacing w:after="0" w:line="301" w:lineRule="auto"/>
        <w:tabs>
          <w:tab w:leader="none" w:pos="984"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value of this Award is an extraordinary item of compensation outside of the scope of the Participant’s employment or consulting contract, agreement, or arrangement. As such, the Award is not part of normal or expected compensation for purposes of calculating any severance, resignation, redundancy, end of service payments, bonuses, long-service awards, pension or retirement benefits, or similar payments. The future value of the shares of Common Stock is unknown and cannot be predicted with certainty.</w:t>
      </w:r>
    </w:p>
    <w:p>
      <w:pPr>
        <w:spacing w:after="0" w:line="62" w:lineRule="exact"/>
        <w:rPr>
          <w:rFonts w:ascii="Arial" w:cs="Arial" w:eastAsia="Arial" w:hAnsi="Arial"/>
          <w:sz w:val="16"/>
          <w:szCs w:val="16"/>
          <w:color w:val="auto"/>
        </w:rPr>
      </w:pPr>
    </w:p>
    <w:p>
      <w:pPr>
        <w:ind w:left="984" w:hanging="544"/>
        <w:spacing w:after="0" w:line="279" w:lineRule="auto"/>
        <w:tabs>
          <w:tab w:leader="none" w:pos="984"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76" w:lineRule="exact"/>
        <w:rPr>
          <w:rFonts w:ascii="Arial" w:cs="Arial" w:eastAsia="Arial" w:hAnsi="Arial"/>
          <w:sz w:val="17"/>
          <w:szCs w:val="17"/>
          <w:color w:val="auto"/>
        </w:rPr>
      </w:pPr>
    </w:p>
    <w:p>
      <w:pPr>
        <w:ind w:left="984" w:hanging="544"/>
        <w:spacing w:after="0" w:line="286" w:lineRule="auto"/>
        <w:tabs>
          <w:tab w:leader="none" w:pos="984"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obligation of the Company to deliver Shares pursuant to this Award constitutes an unfunded and unsecured obligation of the Company. Until Shares are delivered, the Participant shall have no rights under this Agreement or the Plan, other than those of a general unsecured creditor of the Company. No assets of the Company shall be set aside for the settlement of the RSUs.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490" w:right="459" w:bottom="1440" w:gutter="0" w:footer="0" w:header="0"/>
        </w:sectPr>
      </w:pPr>
    </w:p>
    <w:bookmarkStart w:id="72" w:name="page73"/>
    <w:bookmarkEnd w:id="72"/>
    <w:p>
      <w:pPr>
        <w:ind w:left="444" w:right="20" w:hanging="444"/>
        <w:spacing w:after="0" w:line="259" w:lineRule="auto"/>
        <w:tabs>
          <w:tab w:leader="none" w:pos="4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Notices</w:t>
      </w:r>
      <w:r>
        <w:rPr>
          <w:rFonts w:ascii="Arial" w:cs="Arial" w:eastAsia="Arial" w:hAnsi="Arial"/>
          <w:sz w:val="18"/>
          <w:szCs w:val="18"/>
          <w:color w:val="auto"/>
        </w:rPr>
        <w:t>. By accepting the Award,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92" w:lineRule="exact"/>
        <w:rPr>
          <w:rFonts w:ascii="Arial" w:cs="Arial" w:eastAsia="Arial" w:hAnsi="Arial"/>
          <w:sz w:val="18"/>
          <w:szCs w:val="18"/>
          <w:color w:val="auto"/>
        </w:rPr>
      </w:pPr>
    </w:p>
    <w:p>
      <w:pPr>
        <w:ind w:left="444" w:hanging="444"/>
        <w:spacing w:after="0"/>
        <w:tabs>
          <w:tab w:leader="none" w:pos="4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Assignment and Successors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984" w:right="220" w:hanging="544"/>
        <w:spacing w:after="0" w:line="263" w:lineRule="auto"/>
        <w:tabs>
          <w:tab w:leader="none" w:pos="98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This Agreement is personal to the Participant and, without the prior written approval of the Administrator, shall not be assignable by the Participant, other than by will or the laws of descent and distribution. This Agreement shall inure to the benefit of and be enforceable by the Participant’s legal representatives and beneficiaries.</w:t>
      </w:r>
    </w:p>
    <w:p>
      <w:pPr>
        <w:spacing w:after="0" w:line="89" w:lineRule="exact"/>
        <w:rPr>
          <w:rFonts w:ascii="Arial" w:cs="Arial" w:eastAsia="Arial" w:hAnsi="Arial"/>
          <w:sz w:val="18"/>
          <w:szCs w:val="18"/>
          <w:color w:val="auto"/>
        </w:rPr>
      </w:pPr>
    </w:p>
    <w:p>
      <w:pPr>
        <w:ind w:left="984" w:hanging="544"/>
        <w:spacing w:after="0"/>
        <w:tabs>
          <w:tab w:leader="none" w:pos="98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130" w:lineRule="exact"/>
        <w:rPr>
          <w:rFonts w:ascii="Arial" w:cs="Arial" w:eastAsia="Arial" w:hAnsi="Arial"/>
          <w:sz w:val="18"/>
          <w:szCs w:val="18"/>
          <w:color w:val="auto"/>
        </w:rPr>
      </w:pPr>
    </w:p>
    <w:p>
      <w:pPr>
        <w:jc w:val="both"/>
        <w:ind w:left="444" w:hanging="444"/>
        <w:spacing w:after="0" w:line="279" w:lineRule="auto"/>
        <w:tabs>
          <w:tab w:leader="none" w:pos="44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the Commonwealth of Pennsylvania and agree that such litigation shall be conducted in the state courts of the Commonwealth of Pennsylvania or the federal courts of the United States for the Eastern District of Pennsylvania.</w:t>
      </w:r>
    </w:p>
    <w:p>
      <w:pPr>
        <w:spacing w:after="0" w:line="76" w:lineRule="exact"/>
        <w:rPr>
          <w:rFonts w:ascii="Arial" w:cs="Arial" w:eastAsia="Arial" w:hAnsi="Arial"/>
          <w:sz w:val="17"/>
          <w:szCs w:val="17"/>
          <w:color w:val="auto"/>
        </w:rPr>
      </w:pPr>
    </w:p>
    <w:p>
      <w:pPr>
        <w:ind w:left="444" w:right="100" w:hanging="444"/>
        <w:spacing w:after="0" w:line="259" w:lineRule="auto"/>
        <w:tabs>
          <w:tab w:leader="none" w:pos="4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92" w:lineRule="exact"/>
        <w:rPr>
          <w:rFonts w:ascii="Arial" w:cs="Arial" w:eastAsia="Arial" w:hAnsi="Arial"/>
          <w:sz w:val="18"/>
          <w:szCs w:val="18"/>
          <w:color w:val="auto"/>
        </w:rPr>
      </w:pPr>
    </w:p>
    <w:p>
      <w:pPr>
        <w:ind w:left="444" w:right="60" w:hanging="444"/>
        <w:spacing w:after="0" w:line="296" w:lineRule="auto"/>
        <w:tabs>
          <w:tab w:leader="none" w:pos="44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Grant Notice and the Plan, constitutes the entire agreement and understanding between the parties hereto with respect to the subject matter hereof and supersedes all prior oral or written agreements and understandings relating to the subject matter hereof, including without limitation any offer letter provision related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490" w:right="459" w:bottom="1440" w:gutter="0" w:footer="0" w:header="0"/>
        </w:sectPr>
      </w:pPr>
    </w:p>
    <w:bookmarkStart w:id="73" w:name="page74"/>
    <w:bookmarkEnd w:id="73"/>
    <w:p>
      <w:pPr>
        <w:ind w:left="444" w:right="100" w:hanging="444"/>
        <w:spacing w:after="0" w:line="255" w:lineRule="auto"/>
        <w:tabs>
          <w:tab w:leader="none" w:pos="44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Modifications and Amendments; Waivers and Consents</w:t>
      </w:r>
      <w:r>
        <w:rPr>
          <w:rFonts w:ascii="Arial" w:cs="Arial" w:eastAsia="Arial" w:hAnsi="Arial"/>
          <w:sz w:val="18"/>
          <w:szCs w:val="18"/>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97" w:lineRule="exact"/>
        <w:rPr>
          <w:rFonts w:ascii="Arial" w:cs="Arial" w:eastAsia="Arial" w:hAnsi="Arial"/>
          <w:sz w:val="18"/>
          <w:szCs w:val="18"/>
          <w:color w:val="auto"/>
        </w:rPr>
      </w:pPr>
    </w:p>
    <w:p>
      <w:pPr>
        <w:ind w:left="444" w:right="60" w:hanging="444"/>
        <w:spacing w:after="0" w:line="293" w:lineRule="auto"/>
        <w:tabs>
          <w:tab w:leader="none" w:pos="44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The Award of RSUs evidenced by this Agreement is intended to be exempt from the nonqualified deferred compensation rules of Code Section 409A as a “short-term deferral” within the meaning of Code Section 409A and, to the maximum extent permitted, shall be construed accordingly. Notwithstanding anything to the contrary in the Plan or this Agreement, none of the Company, its Affiliates, the Board of Directors, the Administrator, or any of their respective agents or delegates will have any obligation to take any action to prevent the assessment of any excise tax or penalty on the Participant under Code Section 409A, and none of the Company, its Affiliates, the Board of Directors, the Administrator, or any of their respective agents or delegates will have any liability to the Participant or any other person for such tax or penalty.</w:t>
      </w:r>
    </w:p>
    <w:p>
      <w:pPr>
        <w:spacing w:after="0" w:line="56" w:lineRule="exact"/>
        <w:rPr>
          <w:rFonts w:ascii="Arial" w:cs="Arial" w:eastAsia="Arial" w:hAnsi="Arial"/>
          <w:sz w:val="16"/>
          <w:szCs w:val="16"/>
          <w:color w:val="auto"/>
        </w:rPr>
      </w:pPr>
    </w:p>
    <w:p>
      <w:pPr>
        <w:ind w:left="444"/>
        <w:spacing w:after="0" w:line="284" w:lineRule="auto"/>
        <w:rPr>
          <w:rFonts w:ascii="Arial" w:cs="Arial" w:eastAsia="Arial" w:hAnsi="Arial"/>
          <w:sz w:val="16"/>
          <w:szCs w:val="16"/>
          <w:color w:val="auto"/>
        </w:rPr>
      </w:pPr>
      <w:r>
        <w:rPr>
          <w:rFonts w:ascii="Arial" w:cs="Arial" w:eastAsia="Arial" w:hAnsi="Arial"/>
          <w:sz w:val="16"/>
          <w:szCs w:val="16"/>
          <w:color w:val="auto"/>
        </w:rPr>
        <w:t>To the extent that the RSUs constitute “deferred compensation” under Code Section 409A, a termination of Service occurs only upon an event that would be a “separation from service” within the meaning of Code Section 409A. If, at the time of the Participant’s “separation from service,” (i) the Participant is a “specified employee” within the meaning of Code Section 409A (and as applied according to procedures of the Company and its Affiliates), and (ii) the Administrator makes a good faith determination that an amount payable under this Agreement on account of the Participant’s separation from service constitutes deferred compensation (within the meaning of Code Section 409A), the payment of which is required to be delayed pursuant to the six (6)-month delay rule set forth in Code Section 409A to avoid taxes or penalties under Code</w:t>
      </w:r>
    </w:p>
    <w:p>
      <w:pPr>
        <w:spacing w:after="0" w:line="4" w:lineRule="exact"/>
        <w:rPr>
          <w:rFonts w:ascii="Arial" w:cs="Arial" w:eastAsia="Arial" w:hAnsi="Arial"/>
          <w:sz w:val="16"/>
          <w:szCs w:val="16"/>
          <w:color w:val="auto"/>
        </w:rPr>
      </w:pPr>
    </w:p>
    <w:p>
      <w:pPr>
        <w:ind w:left="444"/>
        <w:spacing w:after="0" w:line="253" w:lineRule="auto"/>
        <w:rPr>
          <w:rFonts w:ascii="Arial" w:cs="Arial" w:eastAsia="Arial" w:hAnsi="Arial"/>
          <w:sz w:val="16"/>
          <w:szCs w:val="16"/>
          <w:color w:val="auto"/>
        </w:rPr>
      </w:pPr>
      <w:r>
        <w:rPr>
          <w:rFonts w:ascii="Arial" w:cs="Arial" w:eastAsia="Arial" w:hAnsi="Arial"/>
          <w:sz w:val="18"/>
          <w:szCs w:val="18"/>
          <w:color w:val="auto"/>
        </w:rPr>
        <w:t>Section 409A (the “</w:t>
      </w:r>
      <w:r>
        <w:rPr>
          <w:rFonts w:ascii="Arial" w:cs="Arial" w:eastAsia="Arial" w:hAnsi="Arial"/>
          <w:sz w:val="18"/>
          <w:szCs w:val="18"/>
          <w:b w:val="1"/>
          <w:bCs w:val="1"/>
          <w:color w:val="auto"/>
        </w:rPr>
        <w:t>Delay Period</w:t>
      </w:r>
      <w:r>
        <w:rPr>
          <w:rFonts w:ascii="Arial" w:cs="Arial" w:eastAsia="Arial" w:hAnsi="Arial"/>
          <w:sz w:val="18"/>
          <w:szCs w:val="18"/>
          <w:color w:val="auto"/>
        </w:rPr>
        <w:t>”), then the Company will not pay such amount on the otherwise scheduled payment date but will instead pay it in a lump sum on the first business day after the Delay Period (or upon the Participant’s death, if earlier), without interest. Each installment of RSUs that vest under this Agreement (if there is more than one installment) will be considered one of a series of separate payments for purposes of Code Section 409A.</w:t>
      </w:r>
    </w:p>
    <w:p>
      <w:pPr>
        <w:spacing w:after="0" w:line="19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90" w:right="459" w:bottom="1440" w:gutter="0" w:footer="0" w:header="0"/>
        </w:sectPr>
      </w:pPr>
    </w:p>
    <w:bookmarkStart w:id="74" w:name="page75"/>
    <w:bookmarkEnd w:id="74"/>
    <w:p>
      <w:pPr>
        <w:ind w:left="100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131" w:lineRule="exact"/>
        <w:rPr>
          <w:sz w:val="20"/>
          <w:szCs w:val="20"/>
          <w:color w:val="auto"/>
        </w:rPr>
      </w:pPr>
    </w:p>
    <w:p>
      <w:pPr>
        <w:ind w:left="980" w:hanging="54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80" w:right="40" w:hanging="544"/>
        <w:spacing w:after="0" w:line="263"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80" w:right="320" w:hanging="544"/>
        <w:spacing w:after="0" w:line="342"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80" w:right="220" w:hanging="544"/>
        <w:spacing w:after="0" w:line="291"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80" w:hanging="544"/>
        <w:spacing w:after="0" w:line="263"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80" w:right="140" w:hanging="544"/>
        <w:spacing w:after="0" w:line="263"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80" w:right="300" w:hanging="544"/>
        <w:spacing w:after="0" w:line="342"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hanging="544"/>
        <w:spacing w:after="0" w:line="263"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80" w:right="240" w:hanging="544"/>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80" w:right="540" w:hanging="544"/>
        <w:spacing w:after="0" w:line="342"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020"/>
          </w:cols>
          <w:pgMar w:left="440" w:top="121" w:right="439" w:bottom="1440" w:gutter="0" w:footer="0" w:header="0"/>
        </w:sectPr>
      </w:pPr>
    </w:p>
    <w:bookmarkStart w:id="75" w:name="page76"/>
    <w:bookmarkEnd w:id="75"/>
    <w:p>
      <w:pPr>
        <w:ind w:left="100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Alex G. Howarth, certify that:</w:t>
      </w:r>
    </w:p>
    <w:p>
      <w:pPr>
        <w:spacing w:after="0" w:line="131" w:lineRule="exact"/>
        <w:rPr>
          <w:sz w:val="20"/>
          <w:szCs w:val="20"/>
          <w:color w:val="auto"/>
        </w:rPr>
      </w:pPr>
    </w:p>
    <w:p>
      <w:pPr>
        <w:ind w:left="980" w:hanging="54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80" w:right="40" w:hanging="544"/>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80" w:right="320" w:hanging="544"/>
        <w:spacing w:after="0" w:line="342"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80" w:right="220" w:hanging="544"/>
        <w:spacing w:after="0" w:line="291"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80" w:hanging="544"/>
        <w:spacing w:after="0" w:line="263"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80" w:right="140" w:hanging="544"/>
        <w:spacing w:after="0" w:line="263"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80" w:right="300" w:hanging="544"/>
        <w:spacing w:after="0" w:line="342"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hanging="544"/>
        <w:spacing w:after="0" w:line="263"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80" w:right="240" w:hanging="544"/>
        <w:spacing w:after="0" w:line="263"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80" w:right="540" w:hanging="544"/>
        <w:spacing w:after="0" w:line="342"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020"/>
          </w:cols>
          <w:pgMar w:left="440" w:top="121" w:right="4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Quarterly Report on Form 10-Q for the quarterly period ended June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6"/>
          <w:szCs w:val="16"/>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2"/>
    </w:lvl>
  </w:abstractNum>
  <w:abstractNum w:abstractNumId="4">
    <w:nsid w:val="5072367"/>
    <w:multiLevelType w:val="hybridMultilevel"/>
    <w:lvl w:ilvl="0">
      <w:lvlJc w:val="left"/>
      <w:lvlText w:val="%1."/>
      <w:numFmt w:val="decimal"/>
      <w:start w:val="7"/>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1"/>
      <w:numFmt w:val="decimal"/>
      <w:start w:val="104"/>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lowerLetter"/>
      <w:start w:val="1"/>
    </w:lvl>
  </w:abstractNum>
  <w:abstractNum w:abstractNumId="11">
    <w:nsid w:val="51EAD36B"/>
    <w:multiLevelType w:val="hybridMultilevel"/>
    <w:lvl w:ilvl="0">
      <w:lvlJc w:val="left"/>
      <w:lvlText w:val="(%1)"/>
      <w:numFmt w:val="lowerLetter"/>
      <w:start w:val="6"/>
    </w:lvl>
  </w:abstractNum>
  <w:abstractNum w:abstractNumId="12">
    <w:nsid w:val="2D517796"/>
    <w:multiLevelType w:val="hybridMultilevel"/>
    <w:lvl w:ilvl="0">
      <w:lvlJc w:val="left"/>
      <w:lvlText w:val="(%1)"/>
      <w:numFmt w:val="lowerLetter"/>
      <w:start w:val="8"/>
    </w:lvl>
  </w:abstractNum>
  <w:abstractNum w:abstractNumId="13">
    <w:nsid w:val="580BD78F"/>
    <w:multiLevelType w:val="hybridMultilevel"/>
    <w:lvl w:ilvl="0">
      <w:lvlJc w:val="left"/>
      <w:lvlText w:val="(%1)"/>
      <w:numFmt w:val="lowerLetter"/>
      <w:start w:val="1"/>
    </w:lvl>
  </w:abstractNum>
  <w:abstractNum w:abstractNumId="14">
    <w:nsid w:val="153EA43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
    <w:nsid w:val="3855585C"/>
    <w:multiLevelType w:val="hybridMultilevel"/>
    <w:lvl w:ilvl="0">
      <w:lvlJc w:val="left"/>
      <w:lvlText w:val="(%1)"/>
      <w:numFmt w:val="decimal"/>
      <w:start w:val="12"/>
    </w:lvl>
    <w:lvl w:ilvl="1">
      <w:lvlJc w:val="left"/>
      <w:lvlText w:val="(%2)"/>
      <w:numFmt w:val="lowerLetter"/>
      <w:start w:val="4"/>
    </w:lvl>
    <w:lvl w:ilvl="2">
      <w:lvlJc w:val="left"/>
      <w:lvlText w:val="%3"/>
      <w:numFmt w:val="lowerRoman"/>
      <w:start w:val="1"/>
    </w:lvl>
  </w:abstractNum>
  <w:abstractNum w:abstractNumId="16">
    <w:nsid w:val="70A64E2A"/>
    <w:multiLevelType w:val="hybridMultilevel"/>
    <w:lvl w:ilvl="0">
      <w:lvlJc w:val="left"/>
      <w:lvlText w:val="(%1)"/>
      <w:numFmt w:val="lowerLetter"/>
      <w:start w:val="5"/>
    </w:lvl>
  </w:abstractNum>
  <w:abstractNum w:abstractNumId="17">
    <w:nsid w:val="6A2342EC"/>
    <w:multiLevelType w:val="hybridMultilevel"/>
    <w:lvl w:ilvl="0">
      <w:lvlJc w:val="left"/>
      <w:lvlText w:val="(%1)"/>
      <w:numFmt w:val="lowerLetter"/>
      <w:start w:val="6"/>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lowerLetter"/>
      <w:start w:val="5"/>
    </w:lvl>
  </w:abstractNum>
  <w:abstractNum w:abstractNumId="20">
    <w:nsid w:val="725A06FB"/>
    <w:multiLevelType w:val="hybridMultilevel"/>
    <w:lvl w:ilvl="0">
      <w:lvlJc w:val="left"/>
      <w:lvlText w:val="(%1)"/>
      <w:numFmt w:val="lowerLetter"/>
      <w:start w:val="1"/>
    </w:lvl>
  </w:abstractNum>
  <w:abstractNum w:abstractNumId="21">
    <w:nsid w:val="2CD89A32"/>
    <w:multiLevelType w:val="hybridMultilevel"/>
    <w:lvl w:ilvl="0">
      <w:lvlJc w:val="left"/>
      <w:lvlText w:val="(%1)"/>
      <w:numFmt w:val="lowerLetter"/>
      <w:start w:val="5"/>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lowerLetter"/>
      <w:start w:val="3"/>
    </w:lvl>
  </w:abstractNum>
  <w:abstractNum w:abstractNumId="24">
    <w:nsid w:val="4B588F54"/>
    <w:multiLevelType w:val="hybridMultilevel"/>
    <w:lvl w:ilvl="0">
      <w:lvlJc w:val="left"/>
      <w:lvlText w:val="%1"/>
      <w:numFmt w:val="lowerLetter"/>
      <w:start w:val="1"/>
    </w:lvl>
    <w:lvl w:ilvl="1">
      <w:lvlJc w:val="left"/>
      <w:lvlText w:val="(%2)"/>
      <w:numFmt w:val="lowerLetter"/>
      <w:start w:val="1"/>
    </w:lvl>
  </w:abstractNum>
  <w:abstractNum w:abstractNumId="25">
    <w:nsid w:val="542289EC"/>
    <w:multiLevelType w:val="hybridMultilevel"/>
    <w:lvl w:ilvl="0">
      <w:lvlJc w:val="left"/>
      <w:lvlText w:val="(%1)"/>
      <w:numFmt w:val="lowerLetter"/>
      <w:start w:val="35"/>
    </w:lvl>
    <w:lvl w:ilvl="1">
      <w:lvlJc w:val="left"/>
      <w:lvlText w:val="(%2)"/>
      <w:numFmt w:val="lowerLetter"/>
      <w:start w:val="2"/>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lowerLetter"/>
      <w:start w:val="6"/>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1)"/>
      <w:numFmt w:val="lowerLetter"/>
      <w:start w:val="1"/>
    </w:lvl>
  </w:abstractNum>
  <w:abstractNum w:abstractNumId="30">
    <w:nsid w:val="684A481A"/>
    <w:multiLevelType w:val="hybridMultilevel"/>
    <w:lvl w:ilvl="0">
      <w:lvlJc w:val="left"/>
      <w:lvlText w:val="(%1)"/>
      <w:numFmt w:val="lowerLetter"/>
      <w:start w:val="4"/>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lvl w:ilvl="1">
      <w:lvlJc w:val="left"/>
      <w:lvlText w:val="%2."/>
      <w:numFmt w:val="lowerLetter"/>
      <w:start w:val="1"/>
    </w:lvl>
  </w:abstractNum>
  <w:abstractNum w:abstractNumId="33">
    <w:nsid w:val="3DC240FB"/>
    <w:multiLevelType w:val="hybridMultilevel"/>
    <w:lvl w:ilvl="0">
      <w:lvlJc w:val="left"/>
      <w:lvlText w:val="%1"/>
      <w:numFmt w:val="decimal"/>
      <w:start w:val="1"/>
    </w:lvl>
    <w:lvl w:ilvl="1">
      <w:lvlJc w:val="left"/>
      <w:lvlText w:val="%2."/>
      <w:numFmt w:val="lowerLetter"/>
      <w:start w:val="2"/>
    </w:lvl>
  </w:abstractNum>
  <w:abstractNum w:abstractNumId="34">
    <w:nsid w:val="1BA026FA"/>
    <w:multiLevelType w:val="hybridMultilevel"/>
    <w:lvl w:ilvl="0">
      <w:lvlJc w:val="left"/>
      <w:lvlText w:val="%1."/>
      <w:numFmt w:val="decimal"/>
      <w:start w:val="3"/>
    </w:lvl>
    <w:lvl w:ilvl="1">
      <w:lvlJc w:val="left"/>
      <w:lvlText w:val="%2."/>
      <w:numFmt w:val="lowerLetter"/>
      <w:start w:val="1"/>
    </w:lvl>
  </w:abstractNum>
  <w:abstractNum w:abstractNumId="35">
    <w:nsid w:val="79A1DEAA"/>
    <w:multiLevelType w:val="hybridMultilevel"/>
    <w:lvl w:ilvl="0">
      <w:lvlJc w:val="left"/>
      <w:lvlText w:val="%1."/>
      <w:numFmt w:val="decimal"/>
      <w:start w:val="5"/>
    </w:lvl>
  </w:abstractNum>
  <w:abstractNum w:abstractNumId="36">
    <w:nsid w:val="75C6C33A"/>
    <w:multiLevelType w:val="hybridMultilevel"/>
    <w:lvl w:ilvl="0">
      <w:lvlJc w:val="left"/>
      <w:lvlText w:val="%1."/>
      <w:numFmt w:val="decimal"/>
      <w:start w:val="10"/>
    </w:lvl>
  </w:abstractNum>
  <w:abstractNum w:abstractNumId="37">
    <w:nsid w:val="12E685FB"/>
    <w:multiLevelType w:val="hybridMultilevel"/>
    <w:lvl w:ilvl="0">
      <w:lvlJc w:val="left"/>
      <w:lvlText w:val="%1."/>
      <w:numFmt w:val="decimal"/>
      <w:start w:val="11"/>
    </w:lvl>
    <w:lvl w:ilvl="1">
      <w:lvlJc w:val="left"/>
      <w:lvlText w:val="%2."/>
      <w:numFmt w:val="lowerLetter"/>
      <w:start w:val="1"/>
    </w:lvl>
  </w:abstractNum>
  <w:abstractNum w:abstractNumId="38">
    <w:nsid w:val="70C6A529"/>
    <w:multiLevelType w:val="hybridMultilevel"/>
    <w:lvl w:ilvl="0">
      <w:lvlJc w:val="left"/>
      <w:lvlText w:val="%1."/>
      <w:numFmt w:val="decimal"/>
      <w:start w:val="12"/>
    </w:lvl>
    <w:lvl w:ilvl="1">
      <w:lvlJc w:val="left"/>
      <w:lvlText w:val="%2."/>
      <w:numFmt w:val="lowerLetter"/>
      <w:start w:val="1"/>
    </w:lvl>
  </w:abstractNum>
  <w:abstractNum w:abstractNumId="39">
    <w:nsid w:val="520EEDD1"/>
    <w:multiLevelType w:val="hybridMultilevel"/>
    <w:lvl w:ilvl="0">
      <w:lvlJc w:val="left"/>
      <w:lvlText w:val="%1."/>
      <w:numFmt w:val="decimal"/>
      <w:start w:val="17"/>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lvl w:ilvl="1">
      <w:lvlJc w:val="left"/>
      <w:lvlText w:val="%2."/>
      <w:numFmt w:val="lowerLetter"/>
      <w:start w:val="1"/>
    </w:lvl>
  </w:abstractNum>
  <w:abstractNum w:abstractNumId="42">
    <w:nsid w:val="23F9C13C"/>
    <w:multiLevelType w:val="hybridMultilevel"/>
    <w:lvl w:ilvl="0">
      <w:lvlJc w:val="left"/>
      <w:lvlText w:val="%1"/>
      <w:numFmt w:val="decimal"/>
      <w:start w:val="1"/>
    </w:lvl>
    <w:lvl w:ilvl="1">
      <w:lvlJc w:val="left"/>
      <w:lvlText w:val="%2."/>
      <w:numFmt w:val="lowerLetter"/>
      <w:start w:val="2"/>
    </w:lvl>
  </w:abstractNum>
  <w:abstractNum w:abstractNumId="43">
    <w:nsid w:val="649BB77C"/>
    <w:multiLevelType w:val="hybridMultilevel"/>
    <w:lvl w:ilvl="0">
      <w:lvlJc w:val="left"/>
      <w:lvlText w:val="%1."/>
      <w:numFmt w:val="decimal"/>
      <w:start w:val="3"/>
    </w:lvl>
    <w:lvl w:ilvl="1">
      <w:lvlJc w:val="left"/>
      <w:lvlText w:val="%2."/>
      <w:numFmt w:val="lowerLetter"/>
      <w:start w:val="1"/>
    </w:lvl>
  </w:abstractNum>
  <w:abstractNum w:abstractNumId="44">
    <w:nsid w:val="275AC794"/>
    <w:multiLevelType w:val="hybridMultilevel"/>
    <w:lvl w:ilvl="0">
      <w:lvlJc w:val="left"/>
      <w:lvlText w:val="%1."/>
      <w:numFmt w:val="decimal"/>
      <w:start w:val="4"/>
    </w:lvl>
  </w:abstractNum>
  <w:abstractNum w:abstractNumId="45">
    <w:nsid w:val="39386575"/>
    <w:multiLevelType w:val="hybridMultilevel"/>
    <w:lvl w:ilvl="0">
      <w:lvlJc w:val="left"/>
      <w:lvlText w:val="%1."/>
      <w:numFmt w:val="decimal"/>
      <w:start w:val="8"/>
    </w:lvl>
  </w:abstractNum>
  <w:abstractNum w:abstractNumId="46">
    <w:nsid w:val="1CF10FD8"/>
    <w:multiLevelType w:val="hybridMultilevel"/>
    <w:lvl w:ilvl="0">
      <w:lvlJc w:val="left"/>
      <w:lvlText w:val="%1."/>
      <w:numFmt w:val="decimal"/>
      <w:start w:val="11"/>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5"/>
    </w:lvl>
  </w:abstractNum>
  <w:abstractNum w:abstractNumId="48">
    <w:nsid w:val="235BA861"/>
    <w:multiLevelType w:val="hybridMultilevel"/>
    <w:lvl w:ilvl="0">
      <w:lvlJc w:val="left"/>
      <w:lvlText w:val="%1."/>
      <w:numFmt w:val="decimal"/>
      <w:start w:val="12"/>
    </w:lvl>
    <w:lvl w:ilvl="1">
      <w:lvlJc w:val="left"/>
      <w:lvlText w:val="%2."/>
      <w:numFmt w:val="lowerLetter"/>
      <w:start w:val="1"/>
    </w:lvl>
  </w:abstractNum>
  <w:abstractNum w:abstractNumId="49">
    <w:nsid w:val="47398C89"/>
    <w:multiLevelType w:val="hybridMultilevel"/>
    <w:lvl w:ilvl="0">
      <w:lvlJc w:val="left"/>
      <w:lvlText w:val="%1."/>
      <w:numFmt w:val="decimal"/>
      <w:start w:val="14"/>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lvl w:ilvl="1">
      <w:lvlJc w:val="left"/>
      <w:lvlText w:val="%2."/>
      <w:numFmt w:val="lowerLetter"/>
      <w:start w:val="1"/>
    </w:lvl>
  </w:abstractNum>
  <w:abstractNum w:abstractNumId="52">
    <w:nsid w:val="741226BB"/>
    <w:multiLevelType w:val="hybridMultilevel"/>
    <w:lvl w:ilvl="0">
      <w:lvlJc w:val="left"/>
      <w:lvlText w:val="%1"/>
      <w:numFmt w:val="decimal"/>
      <w:start w:val="1"/>
    </w:lvl>
    <w:lvl w:ilvl="1">
      <w:lvlJc w:val="left"/>
      <w:lvlText w:val="%2."/>
      <w:numFmt w:val="lowerLetter"/>
      <w:start w:val="2"/>
    </w:lvl>
  </w:abstractNum>
  <w:abstractNum w:abstractNumId="53">
    <w:nsid w:val="D34B6A8"/>
    <w:multiLevelType w:val="hybridMultilevel"/>
    <w:lvl w:ilvl="0">
      <w:lvlJc w:val="left"/>
      <w:lvlText w:val="%1."/>
      <w:numFmt w:val="decimal"/>
      <w:start w:val="3"/>
    </w:lvl>
    <w:lvl w:ilvl="1">
      <w:lvlJc w:val="left"/>
      <w:lvlText w:val="%2."/>
      <w:numFmt w:val="lowerLetter"/>
      <w:start w:val="1"/>
    </w:lvl>
  </w:abstractNum>
  <w:abstractNum w:abstractNumId="54">
    <w:nsid w:val="10233C99"/>
    <w:multiLevelType w:val="hybridMultilevel"/>
    <w:lvl w:ilvl="0">
      <w:lvlJc w:val="left"/>
      <w:lvlText w:val="%1."/>
      <w:numFmt w:val="decimal"/>
      <w:start w:val="5"/>
    </w:lvl>
  </w:abstractNum>
  <w:abstractNum w:abstractNumId="55">
    <w:nsid w:val="3F6AB60F"/>
    <w:multiLevelType w:val="hybridMultilevel"/>
    <w:lvl w:ilvl="0">
      <w:lvlJc w:val="left"/>
      <w:lvlText w:val="%1."/>
      <w:numFmt w:val="decimal"/>
      <w:start w:val="10"/>
    </w:lvl>
  </w:abstractNum>
  <w:abstractNum w:abstractNumId="56">
    <w:nsid w:val="61574095"/>
    <w:multiLevelType w:val="hybridMultilevel"/>
    <w:lvl w:ilvl="0">
      <w:lvlJc w:val="left"/>
      <w:lvlText w:val="%1."/>
      <w:numFmt w:val="decimal"/>
      <w:start w:val="11"/>
    </w:lvl>
    <w:lvl w:ilvl="1">
      <w:lvlJc w:val="left"/>
      <w:lvlText w:val="%2."/>
      <w:numFmt w:val="lowerLetter"/>
      <w:start w:val="1"/>
    </w:lvl>
  </w:abstractNum>
  <w:abstractNum w:abstractNumId="57">
    <w:nsid w:val="7E0C57B1"/>
    <w:multiLevelType w:val="hybridMultilevel"/>
    <w:lvl w:ilvl="0">
      <w:lvlJc w:val="left"/>
      <w:lvlText w:val="%1."/>
      <w:numFmt w:val="decimal"/>
      <w:start w:val="12"/>
    </w:lvl>
    <w:lvl w:ilvl="1">
      <w:lvlJc w:val="left"/>
      <w:lvlText w:val="%2."/>
      <w:numFmt w:val="lowerLetter"/>
      <w:start w:val="1"/>
    </w:lvl>
  </w:abstractNum>
  <w:abstractNum w:abstractNumId="58">
    <w:nsid w:val="77AE35EB"/>
    <w:multiLevelType w:val="hybridMultilevel"/>
    <w:lvl w:ilvl="0">
      <w:lvlJc w:val="left"/>
      <w:lvlText w:val="%1."/>
      <w:numFmt w:val="decimal"/>
      <w:start w:val="17"/>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lowerLetter"/>
      <w:start w:val="1"/>
    </w:lvl>
  </w:abstractNum>
  <w:abstractNum w:abstractNumId="61">
    <w:nsid w:val="5FF87E05"/>
    <w:multiLevelType w:val="hybridMultilevel"/>
    <w:lvl w:ilvl="0">
      <w:lvlJc w:val="left"/>
      <w:lvlText w:val="%1."/>
      <w:numFmt w:val="decimal"/>
      <w:start w:val="5"/>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decimal"/>
      <w:start w:val="5"/>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jpe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46" Type="http://schemas.openxmlformats.org/officeDocument/2006/relationships/hyperlink" Target="http://www.sec.gov/Archives/edgar/data/1157601/000119312523169187/d521638dex31.htm" TargetMode="External"/><Relationship Id="rId47" Type="http://schemas.openxmlformats.org/officeDocument/2006/relationships/hyperlink" Target="http://www.sec.gov/Archives/edgar/data/1157601/000119312523138953/d416547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2023-08-08T05:59:48Z</dcterms:created>
  <dcterms:modified xsi:type="dcterms:W3CDTF">2023-08-08T05:59:48Z</dcterms:modified>
</cp:coreProperties>
</file>