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2020</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4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60" w:type="dxa"/>
        <w:tblCellMar>
          <w:top w:w="0" w:type="dxa"/>
          <w:left w:w="0" w:type="dxa"/>
          <w:bottom w:w="0" w:type="dxa"/>
          <w:right w:w="0" w:type="dxa"/>
        </w:tblCellMar>
      </w:tblPr>
      <w:tr>
        <w:trPr>
          <w:trHeight w:val="214"/>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04-3508648</w:t>
            </w:r>
          </w:p>
        </w:tc>
      </w:tr>
      <w:tr>
        <w:trPr>
          <w:trHeight w:val="149"/>
        </w:trPr>
        <w:tc>
          <w:tcPr>
            <w:tcW w:w="4500" w:type="dxa"/>
            <w:vAlign w:val="bottom"/>
          </w:tcPr>
          <w:p>
            <w:pPr>
              <w:jc w:val="center"/>
              <w:ind w:right="17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9"/>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200 Barr Harbor Drive, Suite 200</w:t>
            </w:r>
          </w:p>
        </w:tc>
        <w:tc>
          <w:tcPr>
            <w:tcW w:w="2960" w:type="dxa"/>
            <w:vAlign w:val="bottom"/>
          </w:tcPr>
          <w:p>
            <w:pPr>
              <w:spacing w:after="0"/>
              <w:rPr>
                <w:sz w:val="18"/>
                <w:szCs w:val="18"/>
                <w:color w:val="auto"/>
              </w:rPr>
            </w:pPr>
          </w:p>
        </w:tc>
      </w:tr>
      <w:tr>
        <w:trPr>
          <w:trHeight w:val="227"/>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West Conshohocken, Pennsylvania</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19428</w:t>
            </w:r>
          </w:p>
        </w:tc>
      </w:tr>
      <w:tr>
        <w:trPr>
          <w:trHeight w:val="190"/>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(267)824-2827</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250" w:lineRule="exact"/>
        <w:rPr>
          <w:sz w:val="24"/>
          <w:szCs w:val="24"/>
          <w:color w:val="auto"/>
        </w:rPr>
      </w:pPr>
    </w:p>
    <w:tbl>
      <w:tblPr>
        <w:tblLayout w:type="fixed"/>
        <w:tblInd w:w="26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3720" w:type="dxa"/>
            <w:vAlign w:val="bottom"/>
            <w:gridSpan w:val="2"/>
          </w:tcPr>
          <w:p>
            <w:pPr>
              <w:jc w:val="center"/>
              <w:ind w:right="25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gridSpan w:val="3"/>
          </w:tcPr>
          <w:p>
            <w:pPr>
              <w:ind w:left="17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Common Stock,</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$0.0001 Par</w:t>
            </w: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1720" w:type="dxa"/>
            <w:vAlign w:val="bottom"/>
          </w:tcPr>
          <w:p>
            <w:pPr>
              <w:spacing w:after="0"/>
              <w:rPr>
                <w:sz w:val="20"/>
                <w:szCs w:val="20"/>
                <w:color w:val="auto"/>
              </w:rPr>
            </w:pPr>
          </w:p>
        </w:tc>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20" w:type="dxa"/>
            <w:vAlign w:val="bottom"/>
          </w:tcPr>
          <w:p>
            <w:pPr>
              <w:spacing w:after="0"/>
              <w:rPr>
                <w:sz w:val="20"/>
                <w:szCs w:val="20"/>
                <w:color w:val="auto"/>
              </w:rPr>
            </w:pPr>
          </w:p>
        </w:tc>
      </w:tr>
    </w:tbl>
    <w:p>
      <w:pPr>
        <w:spacing w:after="0" w:line="17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560"/>
        <w:spacing w:after="0" w:line="207" w:lineRule="exact"/>
        <w:tabs>
          <w:tab w:leader="none" w:pos="9160" w:val="left"/>
          <w:tab w:leader="none" w:pos="9860" w:val="left"/>
        </w:tabs>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120" w:right="152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right="34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100"/>
          </w:cols>
          <w:pgMar w:left="320" w:top="226" w:right="47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jc w:val="both"/>
        <w:ind w:right="14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ind w:right="2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upon the closing sale price of the registrant’s common stock on June 30, 2020 (the last business day of the registrant’s most recently completed second fiscal quarter), as reported on the Nasdaq Global Market, was $1,129,660,030. For purposes of this calculation, directors and executive officers of the registrant have been deemed affiliates. This determination of affiliate status is not necessarily a conclusive determination for other purposes.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February 19, 2021 the registrant had 16,024,680 shares of common stock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Items 10-14 of this Form 10-K is incorporated by reference to the registrant’s definitive Proxy Statement for the 2021 Annual Meeting of Stockholders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44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220" w:type="dxa"/>
            <w:vAlign w:val="bottom"/>
            <w:vMerge w:val="continue"/>
          </w:tcPr>
          <w:p>
            <w:pPr>
              <w:spacing w:after="0"/>
              <w:rPr>
                <w:sz w:val="15"/>
                <w:szCs w:val="15"/>
                <w:color w:val="auto"/>
              </w:rPr>
            </w:pPr>
          </w:p>
        </w:tc>
        <w:tc>
          <w:tcPr>
            <w:tcW w:w="9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Business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1B.</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Unresolved Staff Comments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Properties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2"/>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Mine Safety Disclosures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Selected Financial Data</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7.</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7A.</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8.</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Financial Statements and Supplementary Data</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9.</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9A.</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2"/>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9B.</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10.</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Directors, Executive Officers and Corporate Governance</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11.</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Executive Compensation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12.</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13.</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2"/>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14.</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Principal Accountant Fees and Services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15.</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Exhibits and Financial Statement Schedules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 16.</w:t>
            </w: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Form 10-K Summary</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9440" w:type="dxa"/>
            <w:vAlign w:val="bottom"/>
          </w:tcPr>
          <w:p>
            <w:pPr>
              <w:ind w:left="240"/>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Signatures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2020,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“allow,” “anticipates,” “be,” “believes,” “continue,” “could,” “demonstrates,” ”design,” “estimates,” “expects,” “forecasts,” “future,” “hopeful,” “goal,” “intends,” “may,” “might,” “plans,” “potential,” “predicts,” ”predictive,” “projects,” “seeks,” “should,” “will,” “will achieve,” “would” or similar expressions and the negatives of those terms. In particular, forward-looking statements contained in or incorporated by reference to this Annual Report relate to, among other things,</w:t>
      </w:r>
    </w:p>
    <w:p>
      <w:pPr>
        <w:spacing w:after="0" w:line="97" w:lineRule="exact"/>
        <w:rPr>
          <w:sz w:val="20"/>
          <w:szCs w:val="20"/>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capital needs and financing plans, market trends, competitive position, industry environment and potential growth opportunities,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research and development activities, and the timing and results associated with the future development of our lead product candidate, MGL-3196 (resmetirom),</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secondary study endpoints for resmetirom, the potential for achieving such endpoints and projections, including those regarding potential future non-alcoholic steatohepatitis (“NASH”) resolution, safety, fibrosis treatment, cardiovascular effects and lipid treatment with resmetirom,</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dosing levels for resmetirom and projections regarding potential NASH or nonalcoholic fatty liver disease (“NAFLD”) patient benefits with resmetirom,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clinical studies, including, but not limited to our ability to achieve enrollment objectives concerning patient number (including an adequate safety database) and/or timing for our studies, any delays or failures in enrollment, the occurrence of adverse safety events, and the risks of successfully conducting trials that are substantially larger than our past trials,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accomplish our business development objectives and realize the anticipated benefit of any such transactions,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foregoing list may not include all of the forward-looking statements made in this Annual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development of resmetirom; enrollment uncertainties, generally and in relation to COVID-19 quarantine, shelter-in-place and social distancing measures and individual precautionary measures that may be implemented or continued for an uncertain period of time; outcomes or trends from competitive studies; future topline data timing or results; the risks of achieving potential benefits in studies that includes substantially more patients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filings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entitled “Risk Factors” in Part I, Item 1A of this Annual Report, as well as in our other filings with the SEC. You should read this Annual Report, and the other documents that we file or have filed with the SEC, with the understanding that our actual future results may be materially different from the results expressed or implied by these forward-looking statements.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58"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in the section entitled “Risk Factors” in Part I, Item 1A of this Annual Report and the other information contained in this Annual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35" w:lineRule="exact"/>
        <w:rPr>
          <w:sz w:val="20"/>
          <w:szCs w:val="20"/>
          <w:color w:val="auto"/>
        </w:rPr>
      </w:pPr>
    </w:p>
    <w:p>
      <w:pPr>
        <w:ind w:left="1080" w:right="640" w:hanging="424"/>
        <w:spacing w:after="0" w:line="312"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45" w:lineRule="exact"/>
        <w:rPr>
          <w:rFonts w:ascii="Times New Roman" w:cs="Times New Roman" w:eastAsia="Times New Roman" w:hAnsi="Times New Roman"/>
          <w:sz w:val="17"/>
          <w:szCs w:val="17"/>
          <w:color w:val="auto"/>
        </w:rPr>
      </w:pPr>
    </w:p>
    <w:p>
      <w:pPr>
        <w:ind w:left="1080" w:right="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 of MGL-3196 (resmetirom), which is still in clinical development and has not completed a pivotal trial. If we are unable to obtain regulatory approval for and successfully commercialize resmetirom, or we experience significant delays in doing so, our business will be materially harmed.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The results of preclinical studies and early clinical trials are not always predictive of future results. Any product candidate that we advance into clinical trials may not have favorable results in later clinical trials or receive regulatory approval.</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inadvertently fail to comply with foreign regulatory requirements governing human clinical trials and marketing approval for drugs, we could be prevented from selling our drug candidates in foreign markets.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and our product candidates may become obsolete.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other applicable regulatory authorities approve generic products that compete with any of our or any of our partners’ product candidates, the sales of our product candidates would be adversely affected.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82"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worsening of the COVID-19 pandemic could affect our ability to complete our ongoing clinical trials, disrupt regulatory activities and delay or disrupt commercialization of resmetirom, and may have other adverse effects on our stock price and business operations.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continue to experience delays or difficulties in the enrollment of patients in our MAESTRO-NASH trial, our receipt of necessary regulatory approvals, and the commercialization of resmetirom, could be delayed or prevented.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evolve from a company that is primarily involved in clinical development to a company that is also involved in commercialization, we may encounter difficulties in expanding our operations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associated with pharmaceutical reimbursement and related matters may adversely affect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commercialize other product candidates, we may be unable to grow our business.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35" w:lineRule="exact"/>
        <w:rPr>
          <w:sz w:val="20"/>
          <w:szCs w:val="20"/>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part to the terms and conditions of a license to resmetirom granted to us by Hoffmann-La Roche.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any of our obligations under agreements pursuant to which we license rights or technology, which could result in the loss of rights or technology that are material to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third parties that we infringe their proprietary rights may result in liability for damages or prevent or delay our developmental and commercialization efforts.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our product candidates through acquisitions and in-licenses.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35" w:lineRule="exact"/>
        <w:rPr>
          <w:sz w:val="20"/>
          <w:szCs w:val="20"/>
          <w:color w:val="auto"/>
        </w:rPr>
      </w:pPr>
    </w:p>
    <w:p>
      <w:pPr>
        <w:ind w:left="1080" w:right="10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the capital necessary to fund all of our planned operations, we may be unable to successfully develop and commercialize resmetirom and other future product candidates.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and tax credit carryforwards and certain built-in losses to reduce future tax payments may be limited by provisions of the Internal Revenue Code.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3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continue to be, volatile.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stockholders own a substantial amount of our outstanding common stock and may be deemed to have substantial control over us; therefore, your ability to influence corporate matters may be limited.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82" w:right="4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12"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our common stock or rights to purchase common stock could result in additional dilution of the percentage ownership of our stockholders and could cause our share price to fall.</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482"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Focus. </w:t>
      </w:r>
      <w:r>
        <w:rPr>
          <w:rFonts w:ascii="Times New Roman" w:cs="Times New Roman" w:eastAsia="Times New Roman" w:hAnsi="Times New Roman"/>
          <w:sz w:val="18"/>
          <w:szCs w:val="18"/>
          <w:color w:val="auto"/>
        </w:rPr>
        <w:t>We are a clinical-stage biopharmaceutical company focused on the development and commercialization of innovative therapeutic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2016, in the United States alone, NAFLD was estimated to affect approximately 26% of the population, or an estimated 85M people, and approximately 20% of this population was projected to progress from NAFLD to NASH. Current estimates place NASH prevalence at approximately 17M people in the United States, or five percent of the population. Slightly lower prevalence is seen in EU and Asia with approximately 2.5-4.5% of the population having NASH.</w:t>
      </w:r>
    </w:p>
    <w:p>
      <w:pPr>
        <w:spacing w:after="0" w:line="18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endpoint for 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once daily, oral thyroid hormone receptor beta selective agonist, resmetirom. This double-blind, placebo-controlled study is being conducted at more than 200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 endpoints.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double-blind, placebo controlled Phase 3 clinical study originally targeting enrollment of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Enrollment objectives for this study have been exceeded, with approximately 1,200 patients enrolled overall. In October 2020 we completed enrollment of the double-blind, placebo controlled arms of the study. The MAESTRO-NAFLD-1 study will help support the adequacy of the safety database at the time of NDA submission for subpart H approval for treatment of NASH in patients with F2 or F3 fibrosis (MAESTRO-NASH, NASH resolution surrogate endpoint).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status of our product candidate development programs for resmetirom and MGL-3745, a preclinical compound which has similar thyroid receptor selectivity to resmetirom and is thus a potential backup compound for resmetirom: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131445</wp:posOffset>
            </wp:positionV>
            <wp:extent cx="5829300" cy="3291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Ongoing MAESTRO-NASH Phase 3 clinical trial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2019 we initiated a Phase 3 trial in NASH, described in detail above under “—Our Ongoing and Planned Studies.”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Ongoing MAESTRO-NAFLD-1 Phase 3 clinical trial</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December 2019 we initiated a Phase 3 trial in presumed NASH, described in detail above under “—Our Ongoing and Planned Studies.” In October 2020 we completed enrollment of the double-blind, placebo controlled arms of the study.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grants Fast Track designation for resmetirom in NASH</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October 2019, FDA granted Fast Track designation to resmetirom for NASH.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 Effects on Madrigal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April 2020 we announced that in response to guidance from regulatory agencies, measures for COVID-19 at impacted sites have been put in place for our Phase 3 MAESTRO-NASH and MAESTRO-NAFLD-1 studies, allowing both studies to continue without changes to the protocol. At a recently conducted Data Monitoring Committee (DMC) meeting it was recommended that Phase 3 studies proceed without significant modification. The COVID-19 pandemic had no material adverse impact on our operating results, MAESTRO-NAFLD-1 study or liquidity for the period ended December 31, 2020, but it did introduce clinical trial and operational risks and uncertainties that are both general in nature and relate specifically to our MAESTRO-NASH study. These risks and uncertainties, which are beyond our control, are summarized in the section entitled “Risk Factors” in Part I, Item 1A of this Annual Report.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MGL-3196 (resmetirom) Phase 2 Clinical Trial in NASH</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successfully completed a Phase 2 clinical trial in NASH in 2018. In this clinical trial, resmetirom demonstrated statistical significance in the primary endpoint (p&lt;0.0001), the relative reduction of liver fat compared with baseline on magnetic resonance imaging-estimated proton density fat fraction, or MRI-PDFF, at 12-weeks which was reported in December 2017, and statistically significant results in multiple 36-week endpoints, including key secondary endpoints, reduction and resolution of NASH on liver biopsy as set forth in the table below, which was reported in May 2018. This clinical trial was published in the Lancet in November, 2019.</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MGL-3196</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MGL-3196</w:t>
            </w:r>
          </w:p>
        </w:tc>
        <w:tc>
          <w:tcPr>
            <w:tcW w:w="5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MRI-PDFF</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380" w:type="dxa"/>
            <w:vAlign w:val="bottom"/>
            <w:gridSpan w:val="2"/>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Responders(1)</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patients with baseline and end-of-study liver biopsies(2)</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&gt;2 Point Decrease in NAS</w:t>
            </w:r>
          </w:p>
        </w:tc>
        <w:tc>
          <w:tcPr>
            <w:tcW w:w="1220" w:type="dxa"/>
            <w:vAlign w:val="bottom"/>
            <w:gridSpan w:val="2"/>
          </w:tcPr>
          <w:p>
            <w:pPr>
              <w:jc w:val="center"/>
              <w:ind w:left="436"/>
              <w:spacing w:after="0"/>
              <w:rPr>
                <w:sz w:val="20"/>
                <w:szCs w:val="20"/>
                <w:color w:val="auto"/>
              </w:rPr>
            </w:pPr>
            <w:r>
              <w:rPr>
                <w:rFonts w:ascii="Times New Roman" w:cs="Times New Roman" w:eastAsia="Times New Roman" w:hAnsi="Times New Roman"/>
                <w:sz w:val="18"/>
                <w:szCs w:val="18"/>
                <w:color w:val="auto"/>
              </w:rPr>
              <w:t>56%</w:t>
            </w:r>
          </w:p>
        </w:tc>
        <w:tc>
          <w:tcPr>
            <w:tcW w:w="138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p=0.02</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p=0.001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NASH Resolution</w:t>
            </w:r>
          </w:p>
        </w:tc>
        <w:tc>
          <w:tcPr>
            <w:tcW w:w="1220" w:type="dxa"/>
            <w:vAlign w:val="bottom"/>
            <w:gridSpan w:val="2"/>
          </w:tcPr>
          <w:p>
            <w:pPr>
              <w:jc w:val="center"/>
              <w:ind w:left="436"/>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color w:val="auto"/>
              </w:rPr>
              <w:t>39%</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p=0.02</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p=0.001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resmetirom MRI-PDFF Responders = resmetirom treated patients with &gt;=30% relative fat reduction on Week 12 MRI-PDFF</w:t>
      </w:r>
    </w:p>
    <w:p>
      <w:pPr>
        <w:spacing w:after="0" w:line="27" w:lineRule="exact"/>
        <w:rPr>
          <w:rFonts w:ascii="Times New Roman" w:cs="Times New Roman" w:eastAsia="Times New Roman" w:hAnsi="Times New Roman"/>
          <w:sz w:val="18"/>
          <w:szCs w:val="18"/>
          <w:i w:val="1"/>
          <w:iCs w:val="1"/>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does not include one end-of-study liver biopsy that was inadequate</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Resmetirom treated patients with greater than or equal to 30% fat reduction on MRI-PDFF at 12-weeks demonstrated a higher percentage of nonalcoholic fatty liver disease activity score, or NAS, reduction and NASH resolution. In patients with NASH resolution, 35% of resmetirom treated patients and no placebo patients had a baseline NAS greater than or equal to five. In resmetirom patients with NASH resolution, fibrosis also resolved in 50% of such patients and was decreased statistically significantly relative to all placebo patients.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36-week results from our Phase 2 clinical trial in NASH showed:</w:t>
      </w:r>
    </w:p>
    <w:p>
      <w:pPr>
        <w:spacing w:after="0" w:line="131" w:lineRule="exact"/>
        <w:rPr>
          <w:sz w:val="20"/>
          <w:szCs w:val="20"/>
          <w:color w:val="auto"/>
        </w:rPr>
      </w:pPr>
    </w:p>
    <w:p>
      <w:pPr>
        <w:ind w:left="1540" w:right="60" w:hanging="331"/>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highly statistically significant (p&lt;0.0001) reduction in liver fat compared with placebo on 36-week MRI-PDFF and mean relative fat reduction of 37% with resmetirom treated patients in contrast with 8.5% with placebo patients;</w:t>
      </w:r>
    </w:p>
    <w:p>
      <w:pPr>
        <w:spacing w:after="0" w:line="67" w:lineRule="exact"/>
        <w:rPr>
          <w:rFonts w:ascii="Times New Roman" w:cs="Times New Roman" w:eastAsia="Times New Roman" w:hAnsi="Times New Roman"/>
          <w:sz w:val="18"/>
          <w:szCs w:val="18"/>
          <w:color w:val="auto"/>
        </w:rPr>
      </w:pPr>
    </w:p>
    <w:p>
      <w:pPr>
        <w:ind w:left="1540" w:right="260" w:hanging="331"/>
        <w:spacing w:after="0" w:line="266"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statistically significant reductions (p&lt;0.0001) in resmetirom compared to placebo treated patients in low-density lipoprotein cholesterol (LDL-C) and apolipoprotein B (ApoB) of more than 20%, triglycerides (TG) of 36% and lipoprotein(a) of 37%;</w:t>
      </w:r>
    </w:p>
    <w:p>
      <w:pPr>
        <w:spacing w:after="0" w:line="81"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reductions in liver enzymes (ALT, AST and GGT) relative to placebo (all p=0.002) and a 40% reduction in ALT in patients with elevated baseline levels (p=0.01);</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Statistically significant reductions in fibrosis biomarkers in MGL-3196 treated patients as compared with placebo patients;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liver biopsy, fibrosis was reduced by at least one point in 23% of placebo patients and 29% of resmetirom treated patients;</w:t>
      </w:r>
    </w:p>
    <w:p>
      <w:pPr>
        <w:spacing w:after="0" w:line="130"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good all subject tolerability: mostly mild and a few moderate adverse events, or AEs, which were balanced between drug treated patients and placebo patients; and</w:t>
      </w:r>
    </w:p>
    <w:p>
      <w:pPr>
        <w:spacing w:after="0" w:line="67"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incidence of a transient mild diarrhea at beginning of study, often a single episode, in resmetirom treated patients compared with placebo patients.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MGL-3196 (resmetirom) Phase 2 Clinical Trial in HeFH</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February 2018, we announced top-line results from our Phase 2 clinical trial in HeFH. In this trial, patients treated with resmetirom (placebo corrected) achieved highly significant (p&lt; 0.0001) LDL-C lowering of 18.8%, and 21% LDL-C lowering in those patients receiving an optimal dose of resmetirom. LDL-C lowering was 28.5% in patients treated with resmetirom as compared to placebo in a prespecified group of patients who did not tolerate high intensity statin doses. Highly significant (p&lt;0.0001) and numerically similar results were observed with ApoB. Highly significant (p&lt;0.0001) TG (25-31%), apolipoprotein CIII (22.7%), and Lp(a) lowering (26-33%) were observed in all patients treated with resmetirom and certain prespecified subgroups, irrespective of statin treatment.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Resmetirom has been well-tolerated with mostly mild AEs and some moderate AEs, the numbers of which are balanced between placebo and drug-treatment groups. Fewer than seven percent of patients did not complete the study, and patients who discontinued for AEs, all mild to moderate, were balanced between drug-treated and placebo patients. There were two serious AEs in the study, both considered unrelated to treatment, one in a placebo and one in a drug-treated patient.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 Product Candidate—MGL-3196 (resmetirom)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resmetirom may be the first THR-agonist product candidate in development for NASH that selectively targets the THR-ß pathway. Active thyroid hormone, known as T3, interacts with two nuclear receptors, THR-α, which is the predominant receptor expressed in most human tissues, including heart and bone, and THR-ß, which has more restricted tissue expression, and is the predominant receptor responsible for metabolic actions in the liver, including both cholesterol- and TG-lowering. Selective activation of the THR-ß receptor in liver tissue is believed to favorably affect cholesterol and lipoprotein levels via multiple mechanisms, which may be complementary to those of other lipid-lowering therapies such as statin drugs. We believe that these characteristics of THR-ß activation by resmetirom will in turn lead to clinically meaningful reductions in LDL-C, and plasma and liver TGs.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resmetirom is the first selective small molecule THR-ß agonist compound. Resmetirom, along with MGL-3745, a potential backup compound to resmetirom, was discovered at Hoffmann-La Roche, or Roche, in Nutley, New Jersey, by utilizing a novel functional assay that, unlike a simple receptor binding assay, assessed the functional activity of compounds which interacted with thyroid hormone receptors. In a published study by Madrigal and Roche in the Journal of Medicinal Chemistry using this functional assay, resmetirom was shown to be highly selective for the THR-ß receptor, with almost no effect on THR-α, unlike other compounds purported in published studies to be ß -selective based on binding affinity, but which were shown to equally activate THR-α and THR-ß in the novel functional assay.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ß-selectivity and liver-targeting properties of resmetirom are critically important for resmetirom’s beneficial metabolic actions in the liver, and enable avoidance of safety issues associated with THR-α activation by thyroid hormone and/or less selective THR agonists in tissues such as heart and bone. In a variety of preclinical animal model studies, resmetirom showed enhanced safety relative to T3 or other thyroid agonists. In animal models, resmetirom demonstrated cholesterol lowering, liver TG lowering, and reduction of markers of NASH-related liver inflammation and fibrosis at drug levels similar to those that lowered LDL-C in human clinical trials, providing data to support the advancement of resmetirom into NASH and FH clinical trials. In chronic animal toxicology studies in dogs and rats, no effects on bone or cartilage histology were seen at any resmetirom dose in either species.</w:t>
      </w:r>
    </w:p>
    <w:p>
      <w:pPr>
        <w:spacing w:after="0" w:line="18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Resmetirom did not increase liver enzymes in Phase 1 studies and there were no bone and cartilage histologic findings in chronic animal toxicology studies.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MGL-3196 (resmetirom) Clinical and Non-Clinical Development Program</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date, we have completed a series of Phase 1 and 2 clinical studies, Phase 2-enabling preclinical good laboratory practice, or GLP, toxicology studies, and drug manufacturing studies to support further clinical development, including active pharmaceutical ingredient, or API, manufacturing and drug product development studies, drug metabolism studies, acute, subchronic and chronic animal toxicology studies, and other safety pharmacology and toxicology studies.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completed Phase 1 studies with resmetirom in a total of 252 subjects to evaluate the safety, tolerability, pharmacokinetics and pharmacodynamic effects of resmetirom. Our Phase 1 studies included randomized, placebo-controlled, double-blind, single and 14-day multiple-dose escalation studies, drug-interaction studies with statins, with the antidiabetic agent pioglitazone, and with the antiplatelet agent clopidogrel. In addition, a study using radiolabeled resmetirom, a study of a tablet versus capsule formulation of resmetirom, and a multiple dose drug interaction and food effect study have also been completed. In Phase 1 studies, resmetirom appeared safe and was well-tolerated up to 200 mg once daily. The results of these studies suggest that resmetirom is suitable for once-daily oral dosing. Currently there is an ongoing Phase 1 hepatic impairment study to characterize the safety and pharmacokinetics of resmetirom in patients with hepatic impairment, a Phase 1 drug-interaction study with warfarin, and a drug interaction study of resmetirom and pravastatin and simvastatin.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 Phase 1 multiple ascending dose study in healthy subjects, the effects of resmetirom on lipid parameters were assessed as initial markers of pharmacodynamic activity (Atherosclerosis 230:373-380, 2013). As illustrated in the figure below, daily doses of resmetirom ranging from 50 to 200 mg showed highly statistically significant reductions relative to placebo of up to 30% for LDL-C (range, p=.05-&lt;0.0001), 28% for non-high-density lipoprotein cholesterol, or non-HDL-C (range, p =0.027-p&lt;0.0001) and 24% for ApoB (range, p =0.008-0.0004), and statistical trends of up to 60% reduction in TG (range, p =0.13-0.016). The near maximal lipid effects were observed at a resmetirom dose of 80 mg once-daily. Resmetirom was well-tolerated at all doses, with no dose-related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adverse events or liver enzyme, electrocardiography, or vital-sign changes. At the highest dose of resmetirom (200 mg), there was a reversible reduction of 20% in the level of a precursor hormone to T3, free T4, which was significantly different from placebo (p &lt; 0.0001) that may be explained by increased liver metabolism of free T4. There was no change in thyrotropin, a pituitary hormone that regulates the level and production of thyroid hormone by the thyroid gland or T3, or other evidence of central thyroid axis dysfunction at any dose of resmetirom.</w:t>
      </w:r>
    </w:p>
    <w:p>
      <w:pPr>
        <w:spacing w:after="0" w:line="1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Change in Lipids After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161925</wp:posOffset>
            </wp:positionV>
            <wp:extent cx="5151755" cy="2665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175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Change from Baseline (CFB) by mean % CFB calculated for each individual subject 24 h after 14th dose; baseline value obtained just prior to first dose; ApoB, apolipoprotein B; Chol, total cholesterol; LDL-C, LDL cholesterol directly measured; Non-HDL-C, non-HDL cholesterol; TG, triglycerides (median %CFB).</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 Phase 2 double-blind, placebo-controlled, multi-center clinical trial, 116 patients with HeFH who were not at their LDL-C goal were randomized in a 2:1 ratio to receive either resmetirom or placebo, in addition to their current cholesterol lowering regimen, which included approximately 75% taking high intensity statins (20/40 mg rosuvastatin or 80 mg atorvastatin), and about two-thirds of patients also taking ezetimibe. Compared to placebo, resmetirom treated patients achieved highly significant (p&lt; 0.0001) LDL-C lowering of 18.8%, and 21% LDL-C lowering in those on an optimal dose of resmetirom. LDL-C lowering was 28.5% in resmetirom treated compared to placebo in a prespecified group of patients who did not tolerate high intensity statin doses. Highly significant (p&lt;0.0001) and numerically similar results were observed with ApoB. Highly significant reductions (p&lt;0.0001) in TG (25-31%), ApoCIII (22.7%) and Lp(a) (26-33%) were observed in all resmetirom treated patients and prespecified subgroups, irrespective of statin treatment.</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NASH Phase 2 double-blind, placebo-controlled, multi-center clinical trial, 125 patients 18 years of age and older with liver biopsy-confirmed NASH were randomized at approximately 25 clinical sites in the United States. Patients were randomized to receive either placebo (N=41) or resmetirom (N=84). The starting dose in resmetirom-treated patients was 80 mg once a day. The study employed an adaptive dosing design whereby, in a blinded fashion, the dose could be adjusted by small amounts (i.e. 20 mg up or down) or remain at 80 mg in each resmetirom-treated patient based on a pharmacokinetic analysis of drug level performed in each patient at 2 weeks. The primary endpoint of the study was the reduction of liver fat at</w:t>
      </w:r>
    </w:p>
    <w:p>
      <w:pPr>
        <w:spacing w:after="0" w:line="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12 weeks compared with baseline (relative change), assessed by MRI-PDFF, with efficacy confirmed at the end of the trial (36 weeks) by repeat MRI-PDFF and conventional liver biopsy to examine histological evidence for the resolution of NASH. Other secondary endpoints included changes in clinically relevant biomarkers at 12 and 36 weeks, improvement in fibrosis by at least one stage with no worsening of steatohepatitis, and safety and tolerability.</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Resmetirom demonstrated statistical significance (p&lt;0.0001) in the primary endpoint, the relative reduction of liver fat on MRI-PDFF at 12 weeks. At 36 weeks, statistically significant results were demonstrated in multiple histology endpoints including key secondary endpoints related to the reduction and resolution of NASH. At 36 weeks, resmetirom treated patients demonstrated sustained, statistically significant (p&lt;0.0001) reductions compared to placebo treated patients in LDL-C and ApoB of more than 20%, TGs of 36% and Lp(a) of 37%. In addition, resmetirom demonstrated statistically significant reductions in liver enzymes (ALT, AST and GGT) relative to placebo (all p=0.002).</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Published data [Lancet] showed that patients with &gt;=30% PDFF reduction at Week 12 had a higher rate of NASH resolution and accompanying fibrosis reduction. A secondary analysis of the Phase 2 NASH clinical trial further supported the potential of PDFF to predict NASH response.</w:t>
      </w:r>
    </w:p>
    <w:p>
      <w:pPr>
        <w:spacing w:after="0" w:line="45" w:lineRule="exact"/>
        <w:rPr>
          <w:sz w:val="20"/>
          <w:szCs w:val="20"/>
          <w:color w:val="auto"/>
        </w:rPr>
      </w:pPr>
    </w:p>
    <w:p>
      <w:pPr>
        <w:ind w:left="1540" w:right="76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of patients with NASH resolution at Week 36 increased with greater PDFF reduction (agreement between two independent pathologist central biopsy readers)</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resmetirom-treated patients with ³ 50% fat reduction at Week 12, 64% had NASH resolution with a component response driven primarily by ballooning and inflammation</w:t>
      </w:r>
    </w:p>
    <w:p>
      <w:pPr>
        <w:spacing w:after="0" w:line="67"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PDFF reduction ³ 30 and ³ 50% at Week 12 was associated with improvement in all NAS components including fibrosis reduction on subsequent liver biopsy and achievement of both endpoints: NASH resolution and ³ 1 point fibrosis reduction PDFF reduction ³ 30 and ³ 50% at Week 12 was also associated with fibrosis reduction on subsequent liver biopsy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findings support the pathogenicity of liver steatosis in NASH and fibrosis progression.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goal is to become a leading biopharmaceutical company developing and commercializing innovative liver-directed, ß-selective thyroid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hormone receptor agonists for the treatment of cardio-metabolic and liver disease, fibrosis and inflammation. A key element is building a multi-therapy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NASH focused company. To achieve our goal, we plan to:</w:t>
      </w:r>
    </w:p>
    <w:p>
      <w:pPr>
        <w:spacing w:after="0" w:line="108" w:lineRule="exact"/>
        <w:rPr>
          <w:sz w:val="20"/>
          <w:szCs w:val="20"/>
          <w:color w:val="auto"/>
        </w:rPr>
      </w:pPr>
    </w:p>
    <w:p>
      <w:pPr>
        <w:ind w:left="1080" w:hanging="424"/>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Complete clinical development and seek regulatory approval of MGL-3196 (resmetirom) in NASH. </w:t>
      </w:r>
      <w:r>
        <w:rPr>
          <w:rFonts w:ascii="Times New Roman" w:cs="Times New Roman" w:eastAsia="Times New Roman" w:hAnsi="Times New Roman"/>
          <w:sz w:val="18"/>
          <w:szCs w:val="18"/>
          <w:color w:val="auto"/>
        </w:rPr>
        <w:t>We successfully completed a Phase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trial in NASH in 2018. NASH is a disease driven by the growing epidemic of obesity, with a significant unmet need for approved therapies that are effective and well tolerated. We believe resmetirom is an excellent candidate for the chronic treatment of NASH due to its safety profile and first-in-class pleiotrophic actions in liver cells and potential to reduce cardiovascular risk in NASH patients.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 commercial capabilities to market MGL-3196 (resmetirom) as a leading treatment for NASH. </w:t>
      </w:r>
      <w:r>
        <w:rPr>
          <w:rFonts w:ascii="Times New Roman" w:cs="Times New Roman" w:eastAsia="Times New Roman" w:hAnsi="Times New Roman"/>
          <w:sz w:val="18"/>
          <w:szCs w:val="18"/>
          <w:color w:val="auto"/>
        </w:rPr>
        <w:t>If approved, we may choose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either to establish a sales and marketing organization with technical expertise and supporting distribution capabilities to commercialize resmetirom, or to collaborate with one or more third parties to accomplish these tasks. Patients with NASH are primarily managed by a concentrated group of liver specialists in the United States and Europe. We believe this will enable us to launch resmetirom in NASH in a cost-effective, targeted manner.</w:t>
      </w:r>
    </w:p>
    <w:p>
      <w:pPr>
        <w:spacing w:after="0" w:line="84"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pipeline through additional indications for MGL-3196 (resmetirom) potentially including orphan indications. </w:t>
      </w:r>
      <w:r>
        <w:rPr>
          <w:rFonts w:ascii="Times New Roman" w:cs="Times New Roman" w:eastAsia="Times New Roman" w:hAnsi="Times New Roman"/>
          <w:sz w:val="18"/>
          <w:szCs w:val="18"/>
          <w:color w:val="auto"/>
        </w:rPr>
        <w:t>We believe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resmetirom has the potential to be an effective treatment for other disease indications that are rare diseases or may be designated rare diseases and we may pursue orphan drug designation where possible.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Target Indications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Nonalcoholic Fatty Liver Disease and Nonalcoholic Steatohepatitis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and Market Opportunity</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NASH is a serious inflammatory form of nonalcoholic fatty liver disease, or NAFLD. NAFLD has become the most common liver disease in the United States and other developed countries and is characterized by an accumulation of fat in the liver with no other apparent causes. The rising worldwide prevalence of obesity-related disorders has contributed to a rapid increase in the global prevalence of NASH and NAFLD. In the United States, NAFLD is estimated to affect approximately 27% to 34% of the population, or an estimated 86 million to 108 million people, and approximately 10% to 20% of those will progress from NAFLD to NASH. Current estimates place NASH prevalence at approximately 9 million to 15 million people in the United States, or three percent to five percent of the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9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In addition to the accumulation of fat in the liver, NASH is characterized by inflammation and cellular damage with or without fibrosis, the first stage of liver scarring, which may ultimately progress to cirrhosis. NASH is a severe condition that can lead to fibrosis and eventually progress to cirrhosis, portal hypertension, esophageal varices, ascites, liver cancer and liver failure. 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liver failure, then liver transplantation is the only treatment alternative.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Centers for Disease Control and Prevention projects the prevalence of obesity to increase from 34% of the United States population to 42% of the United States population by 2030. Driven by this epidemic of obesity, NASH is projected to become the leading cause of liver transplants by 2020. Given the extremely limited availability of organ donors and high transplant costs, NASH patients who require transplantation will place a significant economic burden on the healthcare system. As such, there is a significant unmet medical need for well-tolerated oral treatments for NASH. Because there are currently no therapeutic products approved for the treatment of NASH, the market size is difficult to estimate. However, based on our analysis of multiple market assessments, we estimate that the addressable NASH population is several million patients worldwide, and that NASH could become a multi-billion dollar market able to support multiple approved drug products.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MGL-3196 (resmetirom) in NASH</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developing resmetirom for the treatment of non-cirrhotic NASH with fibrosis. Based on the scientific literature in human and animal studies, we believe that NASH livers in humans frequently have a deficiency in THR-ß activity that leads to features of NASH, including fatty liver, inflammation and fibrosis, and that treatment with resmetirom will replace this hormone deficiency and be an effective NASH treatment. We believe that resmetirom is an excellent candidate for the chronic treatment of NASH because of its safety and tolerability profile observed to date in healthy subjects, its effects in reducing cardiovascular risk factors such as LDL-C and TGs in early-stage clinical trials, and its multiple beneficial effects in animal models of NASH. CVD is the most common cause of death in patients with NASH. We have completed multiple studies in animal models of metabolic diseases, dyslipidemia and NASH in which resmetirom demonstrated a statistically significant reduction in liver TGs, insulin resistance, liver enzymes (which may be elevated in NASH), and markers of inflammation and fibrosis. We believe that resmetirom will treat the underlying lipotoxicity that drives the inflammation and liver cell damage observed in NASH patients, and after the underlying lipotoxicity is treated, NASH-related liver fibrosis will resolve as the liver regenerates.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MGL-3196 (resmetirom) NASH Phase 2 and 3 Clinical Studies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2016, we initiated a Phase 2 proof of concept clinical trial in patients with liver biopsy documented NASH, including those with type-2 diabetes, dyslipidemia and hypertension. In the study we randomized 125 NASH patients 2:1, resmetirom or placebo QD in a double-blind, placebo-controlled, study of once-daily resmetirom versus placebo in patients with NASH, including those with type-2 diabetes. Patients continued treatment through 36 weeks. The study was conducted in the United States. The primary endpoint was to evaluate the efficacy of resmetirom as measured by the reduction of liver fat at 12 weeks, and the secondary endpoint was to evaluate the efficacy of resmetirom as measured by a reduction of NASH, which was assessed by liver biopsy, at 36 weeks. Other secondary and exploratory endpoints included safety and tolerability, and effects on serum biomarkers at 12 and 36 weeks, lipid parameters, and biomarker measures of insulin sensitivity. We reached our top-line analysis of the primary endpoint in December 2017, and we reached our top-line analysis of the secondary endpoint (NASH assessment on liver biopsy) in May 2018. There was an extension study in a subset of the patients that completed the main 36-week study which was completed in 2019.</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September 2013, the American Association for the Study of Liver Disease and the FDA conducted a joint workshop focused on trial designs and endpoints in drug and diagnostic development for liver disease secondary to NAFLD, including NASH. In December 2014, the journal Hepatology accepted for publication a manuscript summarizing the workshop output, including potentially acceptable surrogate endpoints for clinical studies supporting the approval of agents for NASH and liver fibrosis. We believe that our Phase 2 NASH study design incorporated surrogate secondary endpoints consistent with the current FDA requirements for demonstration of efficacy in registrational trials. Following completion of our Phase 2 clinical trial of resmetirom in NASH patients, we held an end of Phase 2 meeting with the FDA, received positive feedback.</w:t>
      </w:r>
    </w:p>
    <w:p>
      <w:pPr>
        <w:spacing w:after="0" w:line="187"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In March 2019 the Company announced that it had initiated a Phase 3 trial in NASH with its once daily, oral thyroid hormone receptor beta selective agonist, MGL-3196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 endpoints.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December 2019 the Company announced it had opened for enrollment MAESTRO-NAFLD-1, a 52-week, double-blind, placebo controlled Phase 3 clinical study in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Enrollment objectives for this study have been exceeded, with approximately 1,200 patients enrolled overall. In October 2020 we completed enrollment of the double-blind, placebo controlled arms of the study. The MAESTRO-NAFLD-1 study will help support the adequacy of the safety database at the time of NDA submission for subpart H approval or treatment of NASH in patients with F2 or F3 fibrosis (MAESTRO-NASH, NASH resolution surrogate endpoint).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Madrigal has agreement on liver biopsy endpoints with the FDA, and long term liver related benefit endpoints for the treatment of NASH. Given that NASH is an evolving field, and FDA evaluates risk versus benefit prior to approval, Phase 3 data will be carefully reviewed by FDA. However, currently there are ongoing Phase 3 clinical trials of compounds to treat NASH by other companies in which it is contemplated that accelerated approval of the compounds under FDA subpart H, which provides for accelerated approval of certain new drug products that have been studied for their safety and effectiveness in treating serious or life-threatening illnesses and that provide meaningful therapeutic benefit to patients over existing treatments, would be based on the surrogate endpoint of histological evidence of NASH resolution without the worsening of fibrosis. It is expected that these trials would continue after approval to confirm the long term clinical benefit of NASH resolution based on a reduction in patients progressing to cirrhosis and other liver related events.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Times New Roman" w:cs="Times New Roman" w:eastAsia="Times New Roman" w:hAnsi="Times New Roman"/>
          <w:sz w:val="17"/>
          <w:szCs w:val="17"/>
          <w:color w:val="auto"/>
        </w:rPr>
        <w:t>VIA Pharmaceuticals, Inc., or VIA, entered into a research, development and commercialization agreement, or the Roche Agreement, with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MGL-3196 (resmetirom) and will hold exclusive worldwide rights for all potential indications.</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Roche Agreement, Roche exclusively licensed certain patent rights and know-how relating to resmetirom in exchange for consideration consisting of an upfront payment, milestone payments, the remainder of which total $8 million and are tied to regulatory approval in the United States and Europe of resmetirom or any derivative product, and single-digit royalty payments based on net sales of resmetirom and any derivative products, subject to certain reductions. In 2011, we commenced Phase 1 clinical trials and subsequently paid Roche a related milestone payment. In October 2016, we commenced a Phase 2 study in NASH and subsequently paid Roche a related milestone payment. In 2019, we commenced a Phase 3 study in NASH and subsequently paid Roche a $2 million related milestone payment. Except as described above, we have not achieved any additional product development or regulatory milestones under the Roche Agreement and have generated no net sales of products developed from resmetirom.</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Roche Agreement, we must use commercially reasonable efforts to conduct clinical and commercial development programs for products containing resmetirom. If we determine that it is not reasonable to continue clinical trials or other development of resmetirom, we may elect to cease further development and Roche may terminate the license. If we determine not to pursue the development or commercialization of resmetirom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resmetirom, or (ii) ten years after the first sale of a product containing resmetirom.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spacing w:after="0" w:line="85" w:lineRule="exact"/>
        <w:rPr>
          <w:sz w:val="20"/>
          <w:szCs w:val="20"/>
          <w:color w:val="auto"/>
        </w:rPr>
      </w:pPr>
    </w:p>
    <w:p>
      <w:pPr>
        <w:ind w:left="1080" w:right="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competitors may have substantially greater financial, technical, and personnel resources than us. In addition, many of these competitors have significantly greater commercial infrastructures. Our ability to compete successfully will depend largely on our ability to leverage our collective experience in drug discovery, development and commercialization to:</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medicines that are differentiated from other products in the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proprietary protection for our products and technologies;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commercial partner;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drugs, if approved;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high-quality research, development and commercial personnel.</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are currently no therapeutic products approved and marketed for the treatment of NASH. There are several commercially available products that are currently used off-label for NASH, such as vitamin E, an antioxidant, insulin sensitizers, such as pioglitazone, anti-hyperlipidemic agents, such as gemfibrozil, pentoxifylline, ursodiol and others. In addition, there are numerous drugs in development for the treatment of NASH. We are aware of several companies that have product candidates in clinical development for the treatment of NASH, including Intercept Pharmaceuticals, Inc., Gilead Sciences, Inc., Galectin Therapeutics, Inc., Galmed Medical Research Ltd., Genfit Corp., Cirius Therapeutics, Novartis AG, Novo Nordisk A/S, Takeda, Inventiva, Boehringer Ingelheim GmbH, Bristol-Myers Squibb, Pfizer, Inc., Merck &amp; Co., Lilly, Genentech, Sanofi S.A., NGM Biopharmaceutical, Viking Therapeutics, Akero Therapeutics, Enanta Pharmaceuticals, 89Bio Inc., and MedImmune LLC, and there are other companies with candidates in earlier stages of development. Given resmetirom’s actions on the underlying biological pathways across the spectrum of early to late stages of NASH, its CV beneficial effects, and its complementary mechanism to other therapies, we believe that resmetirom has the potential to be used alone or in combination with some of these potential NASH products.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Because we are focused on discovery and development of our product candidates, we currently have no sales, marketing or distribution capabilities in order to commercialize any approved product candidates. If our product candidates are approved, we intend either to establish a sales and marketing organization with technical expertise and supporting distribution capabilities to commercialize our products, or to outsource this function to a third party.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rely, on third-party contract manufacturers, or CMOs, for the manufacture of any product candidates that we may develop for larger-scale preclinical and clinical testing, as well as for commercial quantities of any drug candidates that are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600" w:firstLine="440"/>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preclinical and clinical development of our product candidates. Our research and development expenses were $184.8 million for the year ended December 31, 2020,</w:t>
      </w:r>
    </w:p>
    <w:p>
      <w:pPr>
        <w:spacing w:after="0" w:line="1"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$72.3 million for the year ended December 31, 2019, and $25.4 million for year ended December 31, 2018. The increase in research and development expenses was primarily due to the advancement of clinical programs to Phase 3 studies, further API manufacturing studies and the continuation of preclinical studies. We expect research and development expenses to increase over time as we advance our clinical and preclinical development programs for resmetirom.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180"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Our success will depend in part on our ability to obtain and maintain patent and other proprietary protection for our current and future product candidates, technology and know-how, to operate without infringing on the proprietary rights of others, and to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important to the development of our business.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own or co-own: four United States and 23 foreign issued patents and allowed patent applications; and six United States and 43 foreign pending patent applications, each of which relates to composition-of-matter of resmetirom, including certain dosage forms, methods of making resmetirom, and its use in the treatment of key disease indications. Our current patent portfolio covers the United States and certain other jurisdictions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w:t>
      </w:r>
    </w:p>
    <w:p>
      <w:pPr>
        <w:sectPr>
          <w:pgSz w:w="11900" w:h="16838" w:orient="portrait"/>
          <w:cols w:equalWidth="0" w:num="1">
            <w:col w:w="11140"/>
          </w:cols>
          <w:pgMar w:left="320" w:top="482"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Issued patents directed to resmetirom, including certain dosage forms, have statutory expiration dates between 2026 and 2033, excluding any patent term extensions or equivalents thereof that might be available following the grant of marketing authorizations. We have pending patent applications for resmetirom that, if issued, would be expected to expire in the United States and in countries outside of the United States between 2033 and 2042, excluding any patent term adjustment that might be available following the grant of the patent and any patent term extensions that might be available following the grant of marketing authorizations.</w:t>
      </w:r>
    </w:p>
    <w:p>
      <w:pPr>
        <w:spacing w:after="0" w:line="183"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Our trademarks are protected under the common law and/or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Orphan Drug Designation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Some potential target disease indications for resmetirom are rare diseases or may be designated rare diseases and we plan to pursue orphan drug designation where possible. If granted, each such designation might provide for regulatory exclusivity for seven years in the United States and ten years in the EU from the date of product approval for individual indications.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 and must be approved by foreign regulatory authorities via various procedures before it can be marketed in the applicable country. The animal and other non-clinical data and the results of human clinical trials performed under an Investigational New Drug application, or IND, and under similar foreign applications will become part of the NDA.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or biologic may be marketed in the United States generally involves the following:</w:t>
      </w:r>
    </w:p>
    <w:p>
      <w:pPr>
        <w:spacing w:after="0" w:line="100"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GLP or other applicable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or GCP, to establish the safety and efficacy of the proposed drug for its intended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registration batches and validation of the manufacturing process to show ability to consistently produce quality batches of product;</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Once a pharmaceutical candidate is identified for development, it enters the preclinical testing stage. Preclinical tests include laboratory evaluations of product chemistry, toxicity and formulation, as well as animal studies, to assess the safety and quality of the product. Animal studies must be performed in compliance with FDA’s GLP regulations and the U.S. Department of Agriculture’s Animal Welfare Act. An IND sponsor must submit the results of the preclinical tests, together with manufacturing information and analytical data,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or a partial clinical hold. In such a case, the IND sponsor and the FDA must resolve any outstanding concerns before the clinical trial can begin. Clinical holds also may be imposed by the FDA at any time before or during studies due to safety concerns or non-compliance, or other reasons.</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good clinical practice regulations.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or animal test results that suggest a significant risk to human subjects. An institutional review board, or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29" w:lineRule="exact"/>
        <w:rPr>
          <w:sz w:val="20"/>
          <w:szCs w:val="20"/>
          <w:color w:val="auto"/>
        </w:rPr>
      </w:pPr>
    </w:p>
    <w:p>
      <w:pPr>
        <w:ind w:left="108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candidate is initially introduced into healthy human subjects and tested for safety, dosage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the case of some products for severe or life-threatening diseases, such as cancer, especially when the product may be too inherently toxic to ethically administer to healthy volunteers, the initial human testing is often conducted in patients with the target diseases.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This phase involves studies in a limited patient population to identify possible adverse effects and safety risks, to preliminarily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efficacy of the product for specific targeted diseases and to determine dosage tolerance and optimal dosage.</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This phase involves trials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study sites. These studies are intended to establish the overall risk-benefit ratio of the product candidate and provide, if appropriate, an adequate basis for product approval and product labeling.</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 Further, success in either preclinical studies or early-stage clinical trials does not assure success in later-stage clinical trials. Sponsors of all controlled clinical trials, except for Phase 1 trials, are required to submit certain clinical trial information for inclusion in the public clinical trial registry and results data bank maintained by the National Institutes of Health, which are publicly available at http://clinicaltrials.gov.</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Review and Approval Processes</w:t>
      </w:r>
    </w:p>
    <w:p>
      <w:pPr>
        <w:spacing w:after="0" w:line="1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user fees; a waiver of such fees may be obtained under certain limited circumstances. The FDA conducts a preliminary review of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 The FDA may issue a complete response letter, which generally outlines the deficiencies in the submission and may require additional clinical or other data or impose other conditions that must be met in order to secure final approval of the NDA, or an approval letter following satisfactory completion of all aspects of the review process.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studies to ensure data integrity and compliance with applicable GCP requirements.</w:t>
      </w:r>
    </w:p>
    <w:p>
      <w:pPr>
        <w:spacing w:after="0" w:line="39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NDAs receive either standard or priority review. A drug representing a significant improvement in treatment, prevention or diagnosis of disease may receive priority review. Priority review for an NDA for a new molecular entity will be six months from the date that the NDA is filed. The FDA has ten months in which to complete its initial review of a standard new molecular entity NDA. The FDA does not always meet its goal dates and in certain circumstances the goal date may be extended. In addition, products studied for their safety and effectiveness in treating serious or life-threatening illnesses and which provide meaningful therapeutic benefit over existing treatments, may receive accelerated approval. In that situation, the product may be approved on the basis of adequate and well-controlled clinical trials establishing that the drug product has an effect on a surrogate endpoint that is reasonably likely to predict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 sponsor of a drug receiving accelerated approval perform adequate and well-controlled post-marketing clinical trials. Priority review and accelerated approval do not change the standards for approval, but may expedite the approval process.</w:t>
      </w:r>
    </w:p>
    <w:p>
      <w:pPr>
        <w:spacing w:after="0" w:line="19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dosages or patient populations,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or FDASIA, which was enacted in 2012, made permanent the Pediatric Research Equity Act, or PREA, which requires a sponsor to conduct pediatric studies for most drugs and biologics, for a new active ingredient, new indication, new dosage form, new dosing regimen or new route of administration. Under PREA,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patent term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The FDASIA made permanent the Best Pharmaceuticals for Children Act, or BPCA, which provides for an additional six months of marketing 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9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FDA also administers a clinical research grants program, whereby researchers may compete for funding to conduct clinical trials to support the approval of drugs, biologics, medical devices, and medical foods for rare diseases and conditions. A product does not have to be designated as an orphan drug to be eligible for the grant program. An application for an orphan grant should propose one discrete clinical study to facilitate FDA approval of the product for a rare disease or condition. The study may address an unapproved new product or an unapproved new use for a product already on the market.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 and Accelerated Approval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such a disease or condition. Under the fast track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fast track program, the FDA may designate a drug for fast-track status if it is intended to treat a serious or life-threatening illness and nonclinical or clinical data demonstrate the potential to address an unmet medical need. Similarly, the agency may designate a drug for accelerated approval if it treats a serious condition and generally provides meaningful therapeutic benefit to patients over existing treatments based upon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condition and the availability or lack of alternative treatments.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All promotional materials for drug candidates approved under accelerated regulations are subject to prior review by the FDA.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FDASIA, Congress encouraged the FDA to utilize innovative and flexible approaches to the assessment of products under accelerated approval. The law required the FDA to issue related draft guidance within a year after the law’s enactment and also promulgate confirming regulatory changes. In May 2014, the FDA published a Guidance for Industry entitled, “Expedited Programs for Serious Conditions-Drugs and Biologics” which provides guidance on FDA programs that are intended to facilitate and expedite development and review of new drugs as well as threshold criteria generally applicable to concluding that a drug is a candidate for these expedited development and review programs. In addition to the Fast Track, accelerated approval and priority review programs discussed above, the FDA also provided guidance on a new program for Breakthrough Therapy designation. A request for Breakthrough Therapy designation should be submitted concurrently with, or as an amendment to an IND. The FDA has already granted this designation to over 30 new drugs and has approved several.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the product or even complete withdrawal of the product from the market.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190"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6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its products. Whether or not we obtain FDA approval for a product, we must obtain approval by the comparable regulatory authorities of foreign countries or economic areas, such as the 28-member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Under EU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EMA where it will be evaluated by the Committee for Medicinal Products for Human Use and a favorable opinion typically results in the grant by the European Commission of a single marketing authorization that is valid for all EU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28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in the United States, a sponsor may apply for designation of a product as an orphan drug for the treatment of a specific indication in the EU before the application for marketing authorization is 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examining the medical necessity of, and assessing the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87"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by the Health Care and Education Affordability Reconciliation Act, or collectively,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February 19, 2021, we had forty two full-time employees, including thirty two engaged in research, development, and regulatory activities, and ten in executive, commercial, general and administrative functions, and multiple part-time consultants. We believe that our future success will be shaped by our continued ability to attract and retain highly skilled employees. We provide our employees with competitive salaries and bonuses, opportunities for equity ownership in the Company, and an employment package that is designed to promote well-being across all aspects of their lives, including health care, disability, retirement investment options and paid time off.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September 2011. Our principal executive offices are located at 200 Barr Harbor Drive, Suite 200, West Conshohocken, PA 19428. Our Internet website address is www.madrigalpharma.com. No portion of our website is incorporated by reference into this Annual Report on Form 10-K.</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advise you to read this Annual Report on Form 10-K in conjunction with other reports and documents that we file from time to time with the SEC. In particular, please read our definitive proxy statement, which will be filed with the SEC in connection with our 2021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as we continue our clinical trial and development programs for MGL-3196 (resmetirom) and other future product candidates. As of December 31, 2020, we had an accumulated deficit of approximately $425.5 million. Losses have principally resulted from costs incurred in our preclinical and clinical trials, research and development programs and from our general and administrative expenses. As of December 31, 2020, we had cash, cash equivalents and marketable securities of approximately $284.1 million. In the future, we intend to continue to conduct research and development, clinical testing, regulatory compliance and, if resmetirom or other future product candidates are approved, sales and marketing activities that, together with anticipated general and administrative expenses, will likely result in us incurring further significant losses for the foreseeable future.</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currently generate no revenue from product sales, and we may never be able to commercialize resmetirom or other future product candidates. We do not currently have the required approvals to market resmetirom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28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 of MGL-3196 (resmetirom), which is still in clinical development and has not completed a pivotal trial. If we are unable to obtain regulatory approval for and successfully commercialize resmetirom, or we experience significant delays in doing so, our business will be materially harmed.</w:t>
      </w:r>
    </w:p>
    <w:p>
      <w:pPr>
        <w:spacing w:after="0" w:line="6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To date, the sole focus of our product development has been resmetirom, a liver-directed selective thyroid hormone receptor beta agonist for potential use in non-alcoholic steatohepatitis, or NASH, and familial hypercholesterolemia, or FH. Successful continued development and ultimate regulatory approval of resmetirom for NASH or dyslipidemia is critical to the future success of our business. We have invested, and will continue to invest, a significant portion of our time and financial resources in the clinical development of resmetirom. We will need to raise sufficient funds to successfully complete our clinical development program for resmetirom in NASH and dyslipidemia. The future regulatory and commercial success of resmetirom is subject to a number of risks, including the following:</w:t>
      </w:r>
    </w:p>
    <w:p>
      <w:pPr>
        <w:spacing w:after="0" w:line="93" w:lineRule="exact"/>
        <w:rPr>
          <w:sz w:val="20"/>
          <w:szCs w:val="20"/>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financial and other resources to complete the necessary clinical trials for resmetirom, including, but not limited to, our planned registrational clinical trials to obtain drug approval;</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 of action of resmetirom is complex and we do not know the degree to which it will translate into a therapeutic benefit, if any, in NASH, dyslipidemia or any other indication, and we do not know the degree to which the complex mechanism of action may contribute to long term safety issues or adverse events, if any, when resmetirom is taken for prolonged periods such as in the treatment of NASH, dyslipidemia or any other indication;</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adequate evidence from clinical trials of efficacy and safety for resmetirom in NASH, dyslipidemia or any other indication;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the degree to which resmetirom will be accepted as a therapy by physicians, patients and payors, even if approved;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clinical programs for resmetirom, we may experience variability in patients, adjustments to clinical trial procedures and the need for additional clinical trial sites, which could delay our clinical trial progress;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foreign regulatory bodies for marketing approval;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die or suffer other adverse effects for reasons that may or may not be related to resmetirom, which could delay or prevent further clinical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implemented by clinical or regulatory agencies may change at any time;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what efficacy endpoints foreign clinical or regulatory agencies may require in a Phase 3 clinical trial of NASH or dyslipidemia or for approval of our product candidates; we also cannot be certain if we will be able to gain accelerated approval of any of our product candidates based on surrogate endpoints;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clinical or regulatory agencies will likely require efficacy endpoints for Phase 3 clinical trials for the treatment of NASH or dyslipidemia that differ from the endpoints of our current Phase 2 trials and the results of our Phase 3 clinical trials may not be as favorable as the results we have observed to date in our current trials;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differences in the design of our planned Phase 3 clinical trials of the treatment of NASH, including the use of a new tablet formulation of resmetirom and the inclusion of patients with more advanced NASH, could cause the results of our Phase 3 trials to be less favorable than the results we observed in our Phase 2 trials in NASH;</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obtain accelerated approval of a product candidate based on a surrogate endpoint, we will likely be required to conduct a post-approval clinical outcomes trial to confirm the clinical benefit of the product candidate and if the post-approval trial is not successful we may not be able to continue marketing the product;</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number and type of clinical trials and non-clinical studies that FDA or other regulatory agencies will require in order to approve resmetirom or NASH or dyslipidemia;</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for NASH, resmetirom will likely compete with the off-label use of currently marketed products and other therapies in development that may reach approval for NASH prior to resmetirom;</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for dyslipidemia, resmetirom will likely compete with currently approved and marketed products and other therapies in development that may reach approval for dyslipidemia prior to resmetirom;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maintain or enforce our patents and other intellectual property rights.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resmetirom,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resmetirom. If we or any of our future development partners are unable to develop, or obtain regulatory approval for, or, if approved, successfully commercialize resmetirom, we may not be able to generate sufficient revenue to continue our business.</w:t>
      </w:r>
    </w:p>
    <w:p>
      <w:pPr>
        <w:spacing w:after="0" w:line="29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resmetirom, may not have favorable results in later clinical trials or receive regulatory approval.</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and our Phase 2 primary endpoint results in NASH may not be predictive of any future Phase 2 results or of results in any Phase 3 clinical trial in NASH. Furthermore, our future trials will need to demonstrate sufficient safety and efficacy in significantly larger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Resmetirom has not yet received regulatory approval for the treatment of NASH, dyslipidemia or any other indication, and unexpected problems may arise that could cause us to delay, suspend or terminate our development efforts in any or all indications. Further, resmetirom has not yet demonstrated efficacy in patients with NASH or dyslipidemia, and the long-term safety consequences of a liver-directed thyroid hormone receptor beta agonist are not known. Regulatory approval of new product candidates such as resmetirom can be more expensive and take longer than approval for candidates for the treatment of more well-understood diseases with previously approved products.</w:t>
      </w:r>
    </w:p>
    <w:p>
      <w:pPr>
        <w:spacing w:after="0" w:line="28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6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any of the following, could delay or impede completely the completion of our ongoing and planned clinical trials and negatively affect our ability to obtain regulatory approval for, and to market and sell, a particular product candidate:</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or other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of our product candidates or other materials necessary to conduct and complete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enrollment and retention rate of subjects in our clinical trials;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related to the product candidate being tested.</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62"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do not know whether our clinical trials will begin as planned, will need to be restructured, will enroll an adequate number of patients on time, or will be completed on schedule, if at all.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26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296"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encounter difficulties enrolling patients in our MAESTRO-NASH clinical trial, our clinical development activities could be delayed or otherwise adversely affected.</w:t>
      </w:r>
    </w:p>
    <w:p>
      <w:pPr>
        <w:spacing w:after="0" w:line="5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We may not be able to initiate, continue, or complete clinical trials required by the FDA or foreign regulatory agencies for resmetirom if we are unable to locate, enroll and maintain a sufficient number of eligible patients to participate. Our Phase 3 clinical trials have significantly more patients than were enrolled in our Phase 2 trials. Patient enrollment for MAESTRO-NASH is not complete as of December 31, 2020. A significant factor in the timing to conduct and complete clinical trials, is affected by many factors, including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 patients have had delays in recruiting patients for their trials. In the MAESTRO-NASH Phase 3 trial, patients’ willingness to undergo a liver biopsy involve risk factors. In addition, potential patients for resmetirom may not be adequately diagnosed or identified with the diseases which we are targeting or may not meet the entry criteria for our studies.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resmetirom and statins in 39 normal healthy volunteers, which showed resmetirom to have a favorable safety profile and to be well-tolerated. We have completed a Phase 2 clinical trial in NASH including patients taking low dose statins. We have also completed a Phase 2 clinical trial in HeFH including patients taking high dose statins. In general, drug interactions between resmetirom and statins and any other drug that might result in adverse events could delay development in later clinical trials.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will be required to identify and enroll a sufficient number of patients for our MAESTRO-NASH clinical trial. We also may encounter difficulties in identifying and enrolling NASH patients with a stage of disease appropriate for our future clinical trials. We may not be able to initiate or continue clinical trials if we are unable to locate and maintain a sufficient number of eligible patients to participate in the clinical trials required by the FDA or other foreign regulatory agencies.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28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284"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9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81" w:lineRule="exact"/>
        <w:rPr>
          <w:sz w:val="20"/>
          <w:szCs w:val="20"/>
          <w:color w:val="auto"/>
        </w:rPr>
      </w:pPr>
    </w:p>
    <w:p>
      <w:pPr>
        <w:ind w:left="5540" w:right="4780" w:hanging="4884"/>
        <w:spacing w:after="0" w:line="367" w:lineRule="auto"/>
        <w:tabs>
          <w:tab w:leader="none" w:pos="109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products, manufacturers, or manufacturing processes; 26</w:t>
      </w:r>
    </w:p>
    <w:p>
      <w:pPr>
        <w:sectPr>
          <w:pgSz w:w="11900" w:h="16838" w:orient="portrait"/>
          <w:cols w:equalWidth="0" w:num="1">
            <w:col w:w="11060"/>
          </w:cols>
          <w:pgMar w:left="320" w:top="482" w:right="5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detentions;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to initiate voluntary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and our product candidates may become obsolete.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w:t>
      </w:r>
    </w:p>
    <w:p>
      <w:pPr>
        <w:spacing w:after="0" w:line="298"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resmetirom.</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its treatments for a variety of reasons including:</w:t>
      </w:r>
    </w:p>
    <w:p>
      <w:pPr>
        <w:spacing w:after="0" w:line="8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competitive products;</w:t>
      </w:r>
    </w:p>
    <w:p>
      <w:pPr>
        <w:sectPr>
          <w:pgSz w:w="11900" w:h="16838" w:orient="portrait"/>
          <w:cols w:equalWidth="0" w:num="1">
            <w:col w:w="11060"/>
          </w:cols>
          <w:pgMar w:left="320" w:top="482" w:right="51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82" w:right="5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 compared to other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no coverage by third-party payers;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adverse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label of the drug;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of alternative treatment methods;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marketing and distribution support of its products.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266" w:lineRule="exact"/>
        <w:rPr>
          <w:sz w:val="20"/>
          <w:szCs w:val="20"/>
          <w:color w:val="auto"/>
        </w:rPr>
      </w:pPr>
    </w:p>
    <w:p>
      <w:pPr>
        <w:ind w:left="12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continuation or worsening of the COVID-19 pandemic, could affect our ability to complete our ongoing clinical trials, disrupt regulatory activities and delay or disrupt commercialization of resmetirom, and may have other adverse effects on our stock price and business operations.</w:t>
      </w:r>
    </w:p>
    <w:p>
      <w:pPr>
        <w:spacing w:after="0" w:line="28" w:lineRule="exact"/>
        <w:rPr>
          <w:sz w:val="20"/>
          <w:szCs w:val="20"/>
          <w:color w:val="auto"/>
        </w:rPr>
      </w:pPr>
    </w:p>
    <w:p>
      <w:pPr>
        <w:ind w:left="120" w:right="260" w:firstLine="440"/>
        <w:spacing w:after="0" w:line="274" w:lineRule="auto"/>
        <w:rPr>
          <w:sz w:val="20"/>
          <w:szCs w:val="20"/>
          <w:color w:val="auto"/>
        </w:rPr>
      </w:pPr>
      <w:r>
        <w:rPr>
          <w:rFonts w:ascii="Times New Roman" w:cs="Times New Roman" w:eastAsia="Times New Roman" w:hAnsi="Times New Roman"/>
          <w:sz w:val="17"/>
          <w:szCs w:val="17"/>
          <w:color w:val="auto"/>
        </w:rPr>
        <w:t>The COVID-19 pandemic has caused, and will continue to cause many governments to implement measures to slow the spread of the outbreak through quarantines, travel restrictions, heightened border security, shelter-in place guidelines, social distancing restrictions and other measures. This outbreak and the resulting governmental measures have had a significant impact, both direct and indirect, on businesses and commerce in the life sciences industry generally, as supply chains and manufacturing process have been disrupted; facilities and production have been suspended; unemployment has increased; and demand for certain third-party goods and services, such as medical services and supplies, has spiked. The future progression of the pandemic and its effects on our business and operations are extremely uncertain and subject to the risks described below.</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and our contract research organizations (“CROs”) and contract manufacturing organizations (“CMO”) may face disruptions that have affected and may continue to affect our ability to conduct and timely complete ongoing clinical trials including disruptions in procuring items that are essential for our development activities, such as materials and intermediates used in the manufacturing of resmetirom. We and our CROs and CMOs, as well as clinical trial sites, have faced and may continue to face disruptions related to our ongoing clinical trials arising from staffing disruptions and limitations on our activities and the activities of our CROs and CMOs, and delays in the ability to obtain necessary institutional review board or other necessary site approvals or delays in site initiations or site monitoring visits, as well as other delays at clinical trial sites. We may also face limitations on enrollment and patients withdrawing from our clinical trials or not complying with the protocol procedures, which could delay completion of our clinical trials or adversely affect the data generated by our clinical trials. For instance, patient screening and enrollment has been impacted and study patients may not be able to comply with clinical trial protocols (including biopsy testing), in each case where quarantines or shelter-in-place restrictions impede patient movement or interrupt patient demand for, or a medical facility’s delivery of, protocol-required services and procedures. Additionally, our ability to recruit and retain patients and principal investigators and site staff who may have heightened risks if exposed to COVID-19 may adversely impact the Company’s clinical trial operations. The response to the COVID-19 pandemic also could redirect resources with respect to regulatory and intellectual property matters in a way that could adversely impact our ability to progress regulatory approvals and protect our intellectual property. In addition, we may face impediments to regulatory meetings and approvals due to measures that are intended to limit in-person interactions. The pandemic has significantly impacted economies worldwide, which could result in adverse effects on our business and operations. Moreover, the pandemic has also caused significant disruptions in the financial markets, and may continue to cause such disruptions, which has led to increased trading volatility and significant stock price declines, particularly in the first quarter of 2020, and the pandemic or related consequences may adversely impact the future volatility and value of our stock and future trading in our stock.</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governmental pronouncements, we have instituted policies to facilitate working remotely. The continuation of personnel working from home (not only at Madrigal, but also at CROs, CMOs, clinical sites and governmental and supervisory bodies) has negatively impacted our productivity and our business plans. Past and future disruptions adversely impacted and could impact our business operations and/or delay necessary interactions with regulators, ethics committees, manufacturing sites, research or clinical trial sites and other important agencies and contractors, including our CROs and CMOs. We cannot be certain what the overall impact of the COVID-19 pandemic will be on our business. However, it has the potential to adversely affect our business, financial condition, results of operations, and prospects.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experience delays or difficulties in the enrollment of patients in our MAESTRO-NASH trial, our receipt of necessary regulatory approvals, and the commercialization of resmetirom, could be delayed or prevented.</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ability to complete our MAESTRO-NASH clinical trial for resmetirom as planned could be disrupted if we are unable to locate and enroll on a timely basis a sufficient number of eligible patients to participate in this trial, as required by the FDA or similar regulatory authorities outside of the United States. The global coronavirus pandemic has presented significant challenges in the conduct of MAESTRO-NASH enrollment in 2020 and the first quarter of 2021. Screening for MAESTRO-NASH was negatively impacted due to the outbreak of the COVID-19 pandemic, and the resulting governmental quarantine restrictions and shelter-in-place guidelines that influenced the closing or suspension of many European and U.S. trial sites and a decline in U.S. patients seeking screening biopsies. In addition, because MAESTRO-NASH is focused on specific patient populations with protocol-specified biopsy requirements, our ability to enroll eligible patients has been limited and enrollment was slower than we anticipated before the pandemic.</w:t>
      </w:r>
    </w:p>
    <w:p>
      <w:pPr>
        <w:spacing w:after="0" w:line="192"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the face of these challenges, we have taken steps to mitigate the delay in MAESTRO-NASH enrollment by arranging biopsy and MRI services at non-hospital facilities near many of our site locations, increasing the number of clinical sites and enrolling patients with existing biopsies, including patients from NASH trials which were discontinued and/or in which the drug was inactive in NASH. We believe these mitigation efforts have positioned us to accelerate enrollment growth going forward, but the pace of new enrollment ultimately will be dependent on our target study patients becoming comfortable initiating the protocol-prescribed biopsies during the COVID-19 pandemic. External factors that would help accelerate MAESTRO-NASH enrollment include new or emerging developments such as: declines in the number of new reported COVID-19 cases; actual (or perceived) reduced risks associated with potential surges in cases or COVID-19 variant developments in the U.S. and Europe; the easing of COVID-19 governmental restrictions; the increased ability of widely-recognized effective therapeutics, therapeutic combinations or vaccines to combat COVID-19; and a sustained return to pre-COVID-19 daily routines, including routine on-site work and school schedules and medical procedure scheduling in the U.S. and Europe.</w:t>
      </w:r>
    </w:p>
    <w:p>
      <w:pPr>
        <w:spacing w:after="0" w:line="1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the COVID-19 pandemic continues or worsens, patient recruitment and enrollment in our MAESTRO-NASH trial may be adversely affected, delayed or interrupted. In addition, patients may choose to withdraw from our studies or we may choose to or be further required to pause enrollment and or patient dosing in our trial in order to preserve health resources and protect trial participants. It is unknown whether or how long pauses, delays or disruptions could occur or continue. Our ability to successfully complete MAESTRO-NASH enrollment and study objectives in the midst of the COVID-19 pandemic is subject to circumstances beyond our control and is subject to the enhanced risks and uncertainties that are described in our Risk Factors.</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5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uncertainty associated with pharmaceutical reimbursement and related matters may adversely affect our business.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or ACA, became law in the United States. The goal of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We also cannot predict the impact of ACA on us as many of the ACA reforms require the promulgation of detailed regulations implementing the statutory provisions, which have not yet been fully implemented.</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w:t>
      </w:r>
    </w:p>
    <w:p>
      <w:pPr>
        <w:spacing w:after="0" w:line="121"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Although the development and commercialization of resmetirom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82" w:right="5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highly dependent on principal members of our management team, including our Chief Executive Officer, Paul A. Friedman, M.D., and our President, Research and Development, and Chief Medical Officer,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266"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sales or distribution infrastructure with respect to our product candidates. If we are unable to develop our sales, marketing and distribution capabilities on our own or through collaborations with marketing partners, we will not be successful in commercializing our product candidates.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and have limited sales or marketing experience within our organization. If our product candidate, resmetirom, is approved, we intend either to establish a sales and marketing organization with technical expertise and supporting distribution capabilities to commercialize resmetirom, or to outsource this function to a third party. Either of these options would be expensive and time-consuming. Some or all of these costs may be incurred in advance of any approval of resmetirom.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resmetirom and other future product candidates.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resmetirom or any other future product candidate, we may never obtain approval or commercialize our products outside of the United States, which would limit our ability to realize their full market potential.</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foreign legislation by extending the term of patents covering each of our product candidates, our business may be materially harmed.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our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 or where the manufacturer is unable to assure sufficient product quantity.</w:t>
      </w:r>
    </w:p>
    <w:p>
      <w:pPr>
        <w:spacing w:after="0" w:line="18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288"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Federal false claims, false statements and civil monetary penalties laws prohibit, among others,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we and/or our partners may be subject to patient data privacy and security regulation, including the Health Insurance Portability and Accountability Act of 1996, as amended by the Health Information Technology for Economic and Clinical Health Act, and their respective implementing regulations, which impose specified requirements relating to the privacy, security and transmission of individually identifiable health information.</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8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6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FDA requires us and our third-party service providers to comply with regulations and standards, commonly referred to as good clinical practices, or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relied on, and expect to continue to rely on, third-party manufacturers to produce our product candidates.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our product candidates.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26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67"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In addition, our liability insurance may not be sufficient in type or amount to cover us against claims related to security breaches, cyberattacks and other related breaches.</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a license to resmetirom granted to us by Roche.</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entered into a Research, Development and Commercialization Agreement, or the Roche Agreement, with Hoffmann-La Roche, or Roche, on December 18, 2008. 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 on net sales of products containing resmetirom or another licensed product, subject to certain reductions. We must use commercially reasonable efforts to conduct clinical and commercial development programs for products containing resmetirom. If we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determine that it is not reasonable to continue clinical trials or other development of resmetirom, we may elect to cease further development and Roche may terminate the license. If we determine not to pursue the development or commercialization of resmetirom in certain jurisdictions, including the United States, Roche may terminate the license for such territories. The Roche Agreement will expire, unless earlier terminated pursuant to other provisions thereof, on the last to occur of (i) the expiration of the last valid claim of a licensed patent covering the manufacture, use or sale of products containing resmetirom, or (ii) ten years after the first sale of a product containing resmetirom.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Roche Agreement, Roche controls prosecution of the licensed patent rights, although we have a right to comment.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5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45"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licensors and collaborators;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 protection without regard to any method of use or any method of manufacturing. While we have licensed rights to issued composition-of-matter patents in the United States and other jurisdictions for resmetirom, we cannot be certain that the claims in issued composition-of-matter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will not be enforced against those making and marketing a product that has the same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licensed composition-of-matter patent licensed from Roche for resmetirom is expected to expire in the United States in 2026. Our co-owned patents and pending patent applications that cover our particular solid form, dosage, method of manufacturing, and uses of resmetirom to treat various indications are expected to expire in 2033. Our exclusively-owned pending patent applications that cover companion diagnostics, various solid forms of resmetirom, and method of manufacturing, if issued, are expected to expire between 2037 and 2042.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97" w:lineRule="exact"/>
        <w:rPr>
          <w:sz w:val="20"/>
          <w:szCs w:val="20"/>
          <w:color w:val="auto"/>
        </w:rPr>
      </w:pPr>
    </w:p>
    <w:p>
      <w:pPr>
        <w:ind w:left="1080" w:right="6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have been the first to make the inventions covered by pending patent applications or issued patents;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have been the first to file patent applications for our product candidates or the compositions developed, or for their uses;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identical, similar or alternative products or compositions and uses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disclosures in patent applications may not be sufficient to meet the statutory requirements for patentability;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design around our owned and licensed patent claims to produce competitive products which fall outside of the scope of the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identify prior art or other bases which could invalidate our or licensor(s)’ patents;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ectPr>
          <w:pgSz w:w="11900" w:h="16838" w:orient="portrait"/>
          <w:cols w:equalWidth="0" w:num="1">
            <w:col w:w="11120"/>
          </w:cols>
          <w:pgMar w:left="320" w:top="482"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93"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9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resmetirom for NASH or dyslipidemia or our other product candidates until the asserted patent expires or is held finally invalid or not infringed in a court of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Moreover, we may be subject to a third party preissuance submission of prior art to the USPTO or in addition to interference proceedings,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94"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26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Because we rely on third parties to research and develop and to manufacture our product candidates, we must, at times, share trade secrets with them. We seek to protect our proprietary technology in part by entering into confidentiality agreements and,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6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we have licensed from Roche issued composition-of-matter patents directed at resmetirom in the United States and other countries, filing, prosecuting and 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w:t>
      </w:r>
    </w:p>
    <w:p>
      <w:pPr>
        <w:spacing w:after="0" w:line="188"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capital necessary to fund all of our planned operations, we may be unable to successfully develop and commercialize resmetirom and other future product candidates.</w:t>
      </w:r>
    </w:p>
    <w:p>
      <w:pPr>
        <w:spacing w:after="0" w:line="5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Although we believe that our existing cash and cash equivalents will be sufficient to fund our current operations through at least the next</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12 months, we may require additional working capital in order to complete the remaining clinical development for resmetirom and our other product candidates through potential regulatory approval and through potential commercialization of these product candidates. We expect our spending levels to increase in connection with our clinical trials of resmetirom as well as other corporate activities. The amount and timing of any expenditure needed to implement our development and commercialization programs will depend on numerous factors, including:</w:t>
      </w:r>
    </w:p>
    <w:p>
      <w:pPr>
        <w:spacing w:after="0" w:line="94" w:lineRule="exact"/>
        <w:rPr>
          <w:sz w:val="20"/>
          <w:szCs w:val="20"/>
          <w:color w:val="auto"/>
        </w:rPr>
      </w:pPr>
    </w:p>
    <w:p>
      <w:pPr>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 costs, results of and timing of our future clinical trials or the need for additional clinical trials of resmetirom for NASH and dyslipidemia or any of our other product candidates which we are pursuing or may choose to pursue in the future;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 for resmetirom for NASH and dyslipidemia and any of our other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or maintaining manufacturing for resmetirom for NASH and dyslipidemia and any of our other product candidates, including commercial manufacturing if any product candidate is approved;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reimbursement capabilities and enhanced internal controls over financial reporting;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 agreements and other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new product candidates that we may develop, in-license or acquire;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Some of these factors are outside of our control. Our existing capital resources may not be sufficient to enable us to fund the completion of all planned clinical trials and commercialization objectives for our product candidates. As a result, we may need to raise substantial additional funds in the future.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In addition, the issuance of additional shares by us, or the possibility of such issuance, may cause the market price of our shares to decline.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obtain additional funding on a timely basis, we may be unable to complete planned clinical trials for resmetirom for NASH and dyslipidemia and any of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The closing price of our common stock has ranged from $60.13 to $133.70 per share during the period from January 1, 2020 to December 31, 2020. The market price of our common stock could be impacted due to a variety of factors, including: global market or financial developments (whether due to the COVID pandemic or otherwise); US market events (including the potential for unusual market trading activity following external short interest developments or social media activity, such as those that have impacted certain stocks such as AMC Entertainment Holdings, Inc. and GameStop Corp. in the first quarter of 2021, and which in any case generally would be beyond our control); industry-wide events; and the following events or developments:</w:t>
      </w:r>
    </w:p>
    <w:p>
      <w:pPr>
        <w:spacing w:after="0" w:line="9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losses we may incur, including increased losses resulting from costs associated with increases in our clinical trial activity;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owned or licensed by us, our collaborative partners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and efficacy of products developed by us or others or public safety generally (whether due to the COVID pandemic or otherwise);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28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small number of our stockholders own a substantial amount of our outstanding common stock and may be deemed to have substantial control over us; therefore, your ability to influence corporate matters may be limited.</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Certain stockholders affiliated and associated with our officers and directors collectively own approximately 26.4% of our outstanding common stock as of December 31, 2020 and acting together, may have the ability to substantially affect matters submitted to our stockholders for approval. This concentration of ownership may have the effect of delaying, deferring or preventing a strategic transaction, even if such a transaction would benefit other stockholders.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We may sell common stock, convertible securities or other equity securities in one or more transactions at prices and in a manner we determine from time to time. In November 2020 we established a new “at-the-market” (“ATM”) program in the amount of $200 million under which we may, from time to time, issue and sell shares of our common stock to or through a sales agent up to established limits. To the extent we raise additional capital by issuing equity securities, through the ATM program or otherwise, our stockholders may experience substantial dilution.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 Please see Note 6 within the Consolidated Financial Statements of this Annual Report on Form 10-K for sales of our common stock under the ATM program.</w:t>
      </w:r>
    </w:p>
    <w:p>
      <w:pPr>
        <w:spacing w:after="0" w:line="19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w:t>
      </w:r>
    </w:p>
    <w:p>
      <w:pPr>
        <w:sectPr>
          <w:pgSz w:w="11900" w:h="16838" w:orient="portrait"/>
          <w:cols w:equalWidth="0" w:num="1">
            <w:col w:w="11120"/>
          </w:cols>
          <w:pgMar w:left="320" w:top="482"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51"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As of December 31, 2020, there were a number of investors or investor groups that held a significant beneficial ownership interest in our common stock, including: 2,733,100 shares of our common stock (the “Bay City Affiliate Holdings”) beneficially owned by Dr. Fred Craves, our Lead Director, which includes 2,310,521 shares beneficially owned by Bay City Capital LLC (“Bay City”); 1,969,797 shares of outstanding Series A Convertible Preferred stock, a common stock equivalent with no voting rights, that is convertible into shares of Common Stock on a 1-for-1 basis only to the extent that after giving effect to such conversion the holders thereof and their affiliates and any persons who are members of a Section 13(d) group with the holders or their affiliates would beneficially own (in the aggregate, for purposes of Rule 13d-3 under the Exchange Act) no more than 4.99% of the outstanding Common Stock (the “Beneficial Ownership Limitation”); and 1,837,540 shares of our common stock issuable upon the exercise of outstanding stock options under our 2015 Stock Plan, as amended (the “Common Shares Underlying Our Stock Options”). The Bay City Affiliate Holdings represent approximately 17.6% of our outstanding common stock as of December 31, 2020, and are capable of being sold directly (including by Bay City or its affiliated funds) or indirectly (following any future distribution to Bay City from affiliated funds or by Bay City to its partners), and any material sale of such shares could significantly reduce the market price of our common stock and impair our ability to raise adequate capital. As of December 31, 2020, the 1,969,797 Common Shares Underlying Our Preferred Stock (disregarding the Beneficial Ownership Limitation and assuming the full conversion of all currently outstanding preferred shares) owned by entities affiliated with Baker Bros. Advisors LP and 1,499,213 additional shares of common stock directly owned by entities affiliated with Baker Bros. Advisors LP collectively represented 19.9% of our common stock on an as converted, fully-converted basis (the “Baker Bros. Fully Converted Interest”). In addition, we have six institutional investors who have filed Schedule 13Gs (or amendments) reflecting collective beneficial ownership, as of December 31, 2020, of approximately 43% of our outstanding common stock (“Our Other Shares Beneficially Owned by Institutional Investors”). Sales of a substantial number of shares of our common stock by one or more of the investors of groups listed above (such as the Common Shares Underlying Our Stock Options, the Bay City Affiliate Holdings, the Baker Bros. Fully Converted Interest or Our Other Shares Beneficially Owned by Institutional Investors) or other equity-related securities in the public markets, could depress the market price of our common stock.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 See “Risk Factors; Risks Relating to Ownership of Our Common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of our common stock has been, and may continue to be, volatile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Such sales or short sales also may impair our ability to raise capital through the sale of additional shares in the future at a time and price that our management deems acceptable, if at all.</w:t>
      </w:r>
    </w:p>
    <w:p>
      <w:pPr>
        <w:spacing w:after="0" w:line="30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lease our approximately 10,500 square-foot corporate headquarters facility located in West Conshohocken, Pennsylvania. We believe our facility is adequate for our current needs. Our lease expires in May 2023. We plan to acquire additional space as our business continues to grow. We continue to evaluate our facility requirements and believe that appropriate space will be available to accommodate our future needs.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are not a party to any material legal proceedings.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20"/>
          </w:cols>
          <w:pgMar w:left="320" w:top="48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120" w:right="1220"/>
        <w:spacing w:after="0" w:line="3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 Market Information</w:t>
      </w:r>
    </w:p>
    <w:p>
      <w:pPr>
        <w:spacing w:after="0" w:line="1"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term “Private Madrigal” refers to Madrigal Pharmaceuticals, Inc. prior to the consummation of its merger with Synta Pharmaceuticals Corp. in July 2016.</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has traded on the Nasdaq stock market under the symbol “MDGL” since July 25, 2016, the trading date following the consummation of our merger with Private Madrigal. Prior to July 25, 2016, our common stock was traded on the Nasdaq stock market under the symbol “SNTA.”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of February 19, 2021, there were approximately 31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January 1, 2016 and December 31, 2020, with the cumulative total return of (a) the Nasdaq Biotechnology Index and (b) the Nasdaq Composite Index, over the same period. This graph assumes the investment of $100 on January 1, 2016 in our common stock, the Nasdaq Biotechnology Index and the Nasdaq Composite Index and assumes the reinvestment of dividends, if any. The vertical line on July 21, 2016 notes the date of the Merger.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82"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208280</wp:posOffset>
            </wp:positionV>
            <wp:extent cx="5863590" cy="382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40"/>
          </w:cols>
          <w:pgMar w:left="320" w:top="482" w:right="5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of operations data for the years ended December 31, 2020, 2019 and 2018 and the balance sheet data as of December 31, 2020 and 2019 have been derived from our audited financial statements included elsewhere in this Annual Report on Form 10-K. The statements of operations data for the year ended December 31, 2017 and 2016 and the balance sheet data as of December 31, 2018, 2017 and 2016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20" w:type="dxa"/>
            <w:vAlign w:val="bottom"/>
            <w:gridSpan w:val="9"/>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184,809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72,324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25,389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15,933</w:t>
            </w:r>
          </w:p>
        </w:tc>
        <w:tc>
          <w:tcPr>
            <w:tcW w:w="0" w:type="dxa"/>
            <w:vAlign w:val="bottom"/>
          </w:tcPr>
          <w:p>
            <w:pPr>
              <w:spacing w:after="0"/>
              <w:rPr>
                <w:sz w:val="1"/>
                <w:szCs w:val="1"/>
                <w:color w:val="auto"/>
              </w:rPr>
            </w:pPr>
          </w:p>
        </w:tc>
      </w:tr>
      <w:tr>
        <w:trPr>
          <w:trHeight w:val="216"/>
        </w:trPr>
        <w:tc>
          <w:tcPr>
            <w:tcW w:w="5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94,972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40,682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25,223</w:t>
            </w:r>
          </w:p>
        </w:tc>
        <w:tc>
          <w:tcPr>
            <w:tcW w:w="0" w:type="dxa"/>
            <w:vAlign w:val="bottom"/>
          </w:tcPr>
          <w:p>
            <w:pPr>
              <w:spacing w:after="0"/>
              <w:rPr>
                <w:sz w:val="1"/>
                <w:szCs w:val="1"/>
                <w:color w:val="auto"/>
              </w:rPr>
            </w:pPr>
          </w:p>
        </w:tc>
      </w:tr>
      <w:tr>
        <w:trPr>
          <w:trHeight w:val="223"/>
        </w:trPr>
        <w:tc>
          <w:tcPr>
            <w:tcW w:w="5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(206,673)</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5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(202,244)</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(83,948)</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(26,388)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(5.45)</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common shares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w w:val="98"/>
              </w:rPr>
              <w:t>15,446,638</w:t>
            </w:r>
          </w:p>
        </w:tc>
        <w:tc>
          <w:tcPr>
            <w:tcW w:w="11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15,394,659</w:t>
            </w:r>
          </w:p>
        </w:tc>
        <w:tc>
          <w:tcPr>
            <w:tcW w:w="13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14,796,712</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12,244,939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5,204,644</w:t>
            </w:r>
          </w:p>
        </w:tc>
        <w:tc>
          <w:tcPr>
            <w:tcW w:w="0" w:type="dxa"/>
            <w:vAlign w:val="bottom"/>
          </w:tcPr>
          <w:p>
            <w:pPr>
              <w:spacing w:after="0"/>
              <w:rPr>
                <w:sz w:val="1"/>
                <w:szCs w:val="1"/>
                <w:color w:val="auto"/>
              </w:rPr>
            </w:pPr>
          </w:p>
        </w:tc>
      </w:tr>
      <w:tr>
        <w:trPr>
          <w:trHeight w:val="405"/>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$ 284,149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439,045</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483,718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191,527</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286,995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442,056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485,428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41,210</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47,025</w:t>
            </w:r>
          </w:p>
        </w:tc>
        <w:tc>
          <w:tcPr>
            <w:tcW w:w="24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25,491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(425,464)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(223,220)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(139,272)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(75,307)</w:t>
            </w:r>
          </w:p>
        </w:tc>
        <w:tc>
          <w:tcPr>
            <w:tcW w:w="0" w:type="dxa"/>
            <w:vAlign w:val="bottom"/>
          </w:tcPr>
          <w:p>
            <w:pPr>
              <w:spacing w:after="0"/>
              <w:rPr>
                <w:sz w:val="1"/>
                <w:szCs w:val="1"/>
                <w:color w:val="auto"/>
              </w:rPr>
            </w:pPr>
          </w:p>
        </w:tc>
      </w:tr>
      <w:tr>
        <w:trPr>
          <w:trHeight w:val="234"/>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$ 239,970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416,565</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476,984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16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36,410</w:t>
            </w:r>
          </w:p>
        </w:tc>
        <w:tc>
          <w:tcPr>
            <w:tcW w:w="0" w:type="dxa"/>
            <w:vAlign w:val="bottom"/>
          </w:tcPr>
          <w:p>
            <w:pPr>
              <w:spacing w:after="0"/>
              <w:rPr>
                <w:sz w:val="1"/>
                <w:szCs w:val="1"/>
                <w:color w:val="auto"/>
              </w:rPr>
            </w:pPr>
          </w:p>
        </w:tc>
      </w:tr>
      <w:tr>
        <w:trPr>
          <w:trHeight w:val="346"/>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The Risk Factors in Part I, Item 1A and disclosures under “Cautionary Note Regarding Forward-Looking Statements” within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of 1933, as amended, or the Securities Act, and Section 21E of the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and in the “Risk Factors” sections contained in Part I, Item 1A in this Annual Report on Form 10-K. Our operating results are not necessarily indicative of results that may occur for the full fiscal year or any other future period.</w:t>
      </w:r>
    </w:p>
    <w:p>
      <w:pPr>
        <w:spacing w:after="0" w:line="28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term “Synta” refers to Synta Pharmaceuticals Corp. prior to the consummation of the Merger described herein. Unless otherwise indicated, references to the terms “Madrigal,” the “Company,” “we,” “our” and “us” refer to Private Madrigal prior to the consummation of the Merger described herein and Madrigal Pharmaceuticals, Inc. (formerly known as Synta Pharmaceuticals Corp.) upon the consummation of the Merger described herein.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Focus. </w:t>
      </w:r>
      <w:r>
        <w:rPr>
          <w:rFonts w:ascii="Times New Roman" w:cs="Times New Roman" w:eastAsia="Times New Roman" w:hAnsi="Times New Roman"/>
          <w:sz w:val="18"/>
          <w:szCs w:val="18"/>
          <w:color w:val="auto"/>
        </w:rPr>
        <w:t>We are a clinical-stage biopharmaceutical company focused on the development and commercialization of innovative therapeutic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alone, NAFLD is estimated to affect approximately 27% to 34% of the population, or an estimated 86 million to 108 million people, and approximately 10% to 20% of this population is projected to progress from NAFLD to NASH. Current estimates place NASH prevalence at approximately 9 million to 15 million people in the United States, or three percent to five percent of the population, with similar prevalence in Europe and Asia.</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endpoint for 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once daily, oral thyroid hormone receptor beta selective agonist, resmetirom. This double-blind, placebo-controlled study is being conducted at more than 200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 endpoints.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double-blind, placebo controlled Phase 3 clinical study originally targeting enrollment of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Enrollment objectives for this study have been exceeded, with approximately 1,200 patients enrolled overall. In October 2020 we completed enrollment of the double-blind, placebo controlled arms of the study. The MAESTRO-NAFLD-1 study will help support the adequacy of the safety database at the time of NDA submission for subpart H approval for treatment of NASH in patients with F2 or F3 fibrosis (MAESTRO-NASH, NASH resolution surrogate endpoint).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Ongoing MAESTRO-NASH Phase 3 clinical trial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March of 2019 we initiated a Phase 3 trial in NASH, described in detail above under “About Madrigal; Our Ongoing and Planned Studies.”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Ongoing MAESTRO-NAFLD-1 Phase 3 clinical trial and completion of enrollment of the double-blind, placebo controlled arm</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December 2019 we initiated a Phase 3 trial in presumed NASH, described in detail above under “About Madrigal; Our Ongoing and Planned Studies.” In October 2020 we completed enrollment of the double-blind, placebo controlled arms of the study.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grants Fast Track designation for resmetirom in NASH</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October 2019, FDA granted Fast Track designation to resmetirom for NASH.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COVID-19 Pandemic Effects on Madrigal</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April 2020 we announced that in response to guidance from regulatory agencies, measures for COVID-19 at impacted sites have been put in place for its Phase 3 MAESTRO-NASH and MAESTRO-NAFLD-1 studies, allowing both studies to continue without changes to the protocol. At a recently conducted Data Monitoring Committee (DMC) meeting it was recommended that Phase 3 studies proceed without modification. The COVID-19 pandemic had no material adverse impact on our operating results, MAESTRO-NAFLD-1 study or liquidity for the period ended December 31, 2020, but it did introduce clinical trial and operational risks and uncertainties that are both general in nature and relate specifically to our MAESTRO-NASH study. These risks and uncertainties, which are beyond our control, are summarized in the section entitled “Risk Factors” in Part I, Item 1A of this Annual Report.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Key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Reverse Merger</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 July 22, 2016, Synta completed its business combination with Private Madrigal in accordance with the terms of an Agreement and Plan of Merger and Reorganization, dated as of April 13, 2016, or the Merger Agreement. Pursuant to the Merger Agreement, Synta formed a wholly-owned subsidiary that merged with and into Private Madrigal, with Private Madrigal surviving the merger and becoming a wholly-owned subsidiary of Synta, or the Merger. In connection with, and prior to the consummation of, the Merger, Synta effected a 1-for-35 reverse stock split of its common stock, or the Reverse Stock Split, and, following the Merger, changed its name to “Madrigal Pharmaceuticals, Inc.” All shares and per share amounts have been retrospectively adjusted to give effect to the Reverse Stock Split, except as otherwise disclosed. Following the consummation of the Merger, our business became the business conducted by Private Madrigal prior to the consummation of the Merger.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82"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2018, 2019, and 2020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generate any revenue during the years ended December 31, 2020 and 2019, respectively.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comparative results of our operating expenses for the years ended December 31, 2020 and 2019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96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980" w:type="dxa"/>
            <w:vAlign w:val="bottom"/>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$ 72,324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156%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21,864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22,648</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(4,329)</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(6,695)</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$202,244</w:t>
            </w: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$ 83,948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118,296</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141%</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were $184.8 million for the year ended December 31, 2020 compared to $72.3 million for the year ended December 31, 2019. Research and development expenses increased by $112.5 million in the 2020 period due primarily to the additional activities related to the Phase 3 clinical trials initiated in 2019, an increase in manufacturing costs to support ongoing clinical trials and to prepare for commercialization, and an increase in head count and related expenses. We expect our research and development expenses to increase over the next couple years as we advance our clinical and preclinical development programs for resmetirom and as we increase our research and development efforts in connection therewith.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were $21.9 million for the year ended December 31, 2020 compared to $22.6 million for the year ended December 31, 2019. General and administrative expenses decreased by $0.7 million in the 2020 period due primarily to a decrease in non-cash stock compensation from stock option awards, partially offset by increases in other general and administrative expenses. We expect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interest income was $4.3 million for the year ended December 31, 2020 compared to $11.0 million for the year ended December 31, 2019.</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decrease in interest income was due primarily to a lower average principal balance in our investment account in 2020 and decreased interest rates.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2019 and 2018</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did not generate any revenue during the years ended December 31, 2019 and 2018,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comparative results of our operating expenses for the years ended December 31, 2019 and 2018 (in thousands):</w:t>
      </w:r>
    </w:p>
    <w:p>
      <w:pPr>
        <w:spacing w:after="0" w:line="25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96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155"/>
        </w:trPr>
        <w:tc>
          <w:tcPr>
            <w:tcW w:w="384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3"/>
                <w:szCs w:val="13"/>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15,293</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7,355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(7,671)</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32,811</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51,137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r>
      <w:tr>
        <w:trPr>
          <w:trHeight w:val="364"/>
        </w:trPr>
        <w:tc>
          <w:tcPr>
            <w:tcW w:w="3840" w:type="dxa"/>
            <w:vAlign w:val="bottom"/>
          </w:tcPr>
          <w:p>
            <w:pPr>
              <w:spacing w:after="0"/>
              <w:rPr>
                <w:sz w:val="24"/>
                <w:szCs w:val="24"/>
                <w:color w:val="auto"/>
              </w:rPr>
            </w:pPr>
          </w:p>
        </w:tc>
        <w:tc>
          <w:tcPr>
            <w:tcW w:w="26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were $72.3 million for the year ended December 31, 2019 compared to $25.4 million for the year ended December 31, 2018. Research and development expenses increased by $46.9 million in the 2019 period due primarily to the additional activities related to the initiation of the Phase 3 clinical trial in NASH, including a payment due related to a milestone achieved under our agreement with Roche, an increase in head count, and an increase in non-cash stock compensation from stock option awards. We expect our research and development expenses to increase over the next several years as we advance our clinical and preclinical development programs for resmetirom and as we increase our research and development efforts in connection therewith.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were $22.7 million for the year ended December 31, 2019 compared to $15.3 million for the year ended December 31, 2018. General and administrative expenses increased by $7.4 million in the 2019 period due primarily to an increase in non-cash stock compensation from stock option awards. We expect our general and administrative expenses to increase over the next several years as we advance our clinical and preclinical development programs for resmetirom and continue operating as a public company, both of which will likely result in an increase in our headcount, consulting services, and certain overhead needed to support those efforts.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interest income was $11.0 million for the year ended December 31, 2019 compared to $7.7 million for the year ended December 31, 2018.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interest income was due primarily to a higher average principal balance in our investment account in 2019.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0" w:lineRule="exact"/>
        <w:rPr>
          <w:sz w:val="20"/>
          <w:szCs w:val="20"/>
          <w:color w:val="auto"/>
        </w:rPr>
      </w:pPr>
    </w:p>
    <w:p>
      <w:pPr>
        <w:jc w:val="both"/>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totaling $284.1 million compared to $439.0 million as of December 31, 2019, with the decrease attributable to the funding of operations.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3"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December 31, 2020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II, Item 1A, “Risk Factors” of this Annual Report. Our future long-term liquidity requirements will be substantial and will depend on many factors. To meet future long-term liquidity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This includes, but is not limited to, the use of a</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$200 million at-the-market sales agreement entered into in November of 2020, with Cowen and Company, LLC (the “2020 Sales Agreement”), pursuant to which we may, from time to time, issue and sell shares of our common stock up to established limits.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net cash flow activity (in thousands):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820" w:type="dxa"/>
            <w:vAlign w:val="bottom"/>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(157,561)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$(41,624)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159,780</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(380,076)</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314,335</w:t>
            </w:r>
          </w:p>
        </w:tc>
        <w:tc>
          <w:tcPr>
            <w:tcW w:w="120" w:type="dxa"/>
            <w:vAlign w:val="bottom"/>
            <w:shd w:val="clear" w:color="auto" w:fill="CCEEFF"/>
          </w:tcPr>
          <w:p>
            <w:pPr>
              <w:spacing w:after="0"/>
              <w:rPr>
                <w:sz w:val="18"/>
                <w:szCs w:val="18"/>
                <w:color w:val="auto"/>
              </w:rPr>
            </w:pPr>
          </w:p>
        </w:tc>
      </w:tr>
      <w:tr>
        <w:trPr>
          <w:trHeight w:val="22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$(10,682)</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120" w:type="dxa"/>
            <w:vAlign w:val="bottom"/>
          </w:tcPr>
          <w:p>
            <w:pPr>
              <w:spacing w:after="0"/>
              <w:rPr>
                <w:sz w:val="19"/>
                <w:szCs w:val="19"/>
                <w:color w:val="auto"/>
              </w:rPr>
            </w:pP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$157.6 million, $41.6 million, and $25.5 million for the years ended December 31, 2020, 2019 and 2018, respectively. The use of cash in these periods resulted primarily from our losses from operations, as adjusted for non-cash charges for stock-based compensation, and changes in our working capital accounts. Net cash used in the year ended December 31, 2020 increased from prior years predominately due to escalated clinical trial related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Net cash provided by investing activities was $159.8 million for the year ended December 31, 2020 and consisted primarily of $489.5 million from sales and maturities of marketable securities, partially offset by $329.3 million of purchases of marketable securities for our investment portfolio.</w:t>
      </w:r>
    </w:p>
    <w:p>
      <w:pPr>
        <w:spacing w:after="0" w:line="14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$30.7 million for the year ended December 31, 2019 and consisted primarily of $650.2 million from sales and maturities of marketable securities, partially offset by $619.3 million of purchases of marketable securities for our investment portfolio.</w:t>
      </w:r>
    </w:p>
    <w:p>
      <w:pPr>
        <w:spacing w:after="0" w:line="162"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was $380.1 million for the year ended December 31, 2018 and consisted primarily of $614.4 million of purchases of marketable securities for our investment portfolio, partially offset by $234.3 million from sales and maturities of marketable securities.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$5.1 million for the year ended December 31, 2020 and consisted primarily of sales of our common stock under the 2020 Sales Agreement with Cowen and Company, LLC and the exercise of stock options.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$0.2 million for the year ended December 31, 2019 and consisted primarily of proceeds from the exercise of stock options.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$314.3 million for the year ended December 31, 2018 and consisted primarily of sales of our common stock in the June 2018 Registered Offering and the exercise of stock options.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2020, we had contractual obligations and commercial commitments as follows (in thousands):</w:t>
      </w:r>
    </w:p>
    <w:p>
      <w:pPr>
        <w:spacing w:after="0" w:line="25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7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4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360" w:type="dxa"/>
            <w:vAlign w:val="bottom"/>
          </w:tcPr>
          <w:p>
            <w:pPr>
              <w:spacing w:after="0"/>
              <w:rPr>
                <w:sz w:val="10"/>
                <w:szCs w:val="10"/>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1 - 3 Years</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4 - 5 Years</w:t>
            </w:r>
          </w:p>
        </w:tc>
        <w:tc>
          <w:tcPr>
            <w:tcW w:w="46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leases relates to our corporate headquarters facility located in West Conshohocken, Pennsylvania.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in support of the Phase 3 clinical trials.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have any off balance sheet arrangements as defined in Item 303(a)(4)(ii) of Regulation S-K.</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82"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the consolidated financial statements for a discussion of recent accounting pronouncements.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during the years ended December 31, 2020,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or 2018.</w:t>
      </w:r>
    </w:p>
    <w:p>
      <w:pPr>
        <w:spacing w:after="0" w:line="10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8 is referred to in Item 15, listed in the Index to Financial Statements as a part of this Annual Report on Form 10-K, and is incorporated herein by this reference.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Report. Based on that evaluation, our principal executive officer and principal financial officer have concluded that our disclosure controls and procedures were effective at the reasonable assurance level as of December 31,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assessed the effectiveness of our internal control over financial reporting as of December 31, 2020. In making this assessment, our management used the criteria set forth in the “Internal Control— Integrated Framework” issued by the Committee of Sponsoring Organizations of the Treadway Commission (2013 framework). Based on its assessment under that framework, our management concluded that our internal control over financial reporting was effective as of December 31, 2020.</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effectiveness of our internal control over financial reporting as of December 31, 2020, as stated in its report, which is included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2020 that have materially affected, or are reasonably likely to materially affect our internal control over financial reporting.</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because we intend to file our definitive Proxy Statement for our next Annual Meeting of Stockholders, pursuant to Regulation 14A of the Securities Exchange Act of 1934, as amended, or the 2021 Proxy Statement, no later than April 30, 2020, and certain information to be included in the 2021 Proxy Statement is incorporated herein by reference.</w:t>
      </w:r>
    </w:p>
    <w:p>
      <w:pPr>
        <w:spacing w:after="0" w:line="30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concerning our directors, executive officers, Section 16 compliance and corporate governance matters is incorporated by reference in our 2021 Proxy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by reference in our 2021 Proxy Statement.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is incorporated by reference in our 2021 Proxy Statement. In addition, information about our equity compensation plans is incorporated herein by reference to our 2021 Proxy Statement.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is incorporated by reference in our 2021 Proxy Statement.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accounting fees and services is incorporated by reference in our 2021 Proxy Statement. 56</w:t>
      </w:r>
    </w:p>
    <w:p>
      <w:pPr>
        <w:sectPr>
          <w:pgSz w:w="11900" w:h="16838" w:orient="portrait"/>
          <w:cols w:equalWidth="0" w:num="1">
            <w:col w:w="11000"/>
          </w:cols>
          <w:pgMar w:left="320" w:top="482" w:right="5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Item 15(a)</w:t>
      </w:r>
      <w:r>
        <w:rPr>
          <w:sz w:val="20"/>
          <w:szCs w:val="20"/>
          <w:color w:val="auto"/>
        </w:rPr>
        <w:tab/>
      </w:r>
      <w:r>
        <w:rPr>
          <w:rFonts w:ascii="Times New Roman" w:cs="Times New Roman" w:eastAsia="Times New Roman" w:hAnsi="Times New Roman"/>
          <w:sz w:val="17"/>
          <w:szCs w:val="17"/>
          <w:color w:val="auto"/>
        </w:rPr>
        <w:t>The following documents are filed as part of, or incorporated by reference into, this Annual Report on Form 10-K:</w:t>
      </w:r>
    </w:p>
    <w:p>
      <w:pPr>
        <w:spacing w:after="0" w:line="117"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Item 15(a)(1) and (2)</w:t>
      </w:r>
      <w:r>
        <w:rPr>
          <w:sz w:val="20"/>
          <w:szCs w:val="20"/>
          <w:color w:val="auto"/>
        </w:rPr>
        <w:tab/>
      </w:r>
      <w:r>
        <w:rPr>
          <w:rFonts w:ascii="Times New Roman" w:cs="Times New Roman" w:eastAsia="Times New Roman" w:hAnsi="Times New Roman"/>
          <w:sz w:val="18"/>
          <w:szCs w:val="18"/>
          <w:color w:val="auto"/>
        </w:rPr>
        <w:t>The Consolidated Financial Statements beginning on page F-1 are filed as part of this Annual Report on Form 10-K. Other</w:t>
      </w:r>
    </w:p>
    <w:p>
      <w:pPr>
        <w:spacing w:after="0" w:line="31" w:lineRule="exact"/>
        <w:rPr>
          <w:sz w:val="20"/>
          <w:szCs w:val="20"/>
          <w:color w:val="auto"/>
        </w:rPr>
      </w:pPr>
    </w:p>
    <w:p>
      <w:pPr>
        <w:ind w:left="2220" w:right="40"/>
        <w:spacing w:after="0" w:line="260"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 information required to be presented in them is not applicable or is shown in the financial statements or related notes.</w:t>
      </w:r>
    </w:p>
    <w:p>
      <w:pPr>
        <w:spacing w:after="0" w:line="69" w:lineRule="exact"/>
        <w:rPr>
          <w:sz w:val="20"/>
          <w:szCs w:val="20"/>
          <w:color w:val="auto"/>
        </w:rPr>
      </w:pPr>
    </w:p>
    <w:p>
      <w:pPr>
        <w:ind w:left="12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Item 15(a)(3)</w:t>
      </w:r>
      <w:r>
        <w:rPr>
          <w:sz w:val="20"/>
          <w:szCs w:val="20"/>
          <w:color w:val="auto"/>
        </w:rPr>
        <w:tab/>
      </w:r>
      <w:r>
        <w:rPr>
          <w:rFonts w:ascii="Times New Roman" w:cs="Times New Roman" w:eastAsia="Times New Roman" w:hAnsi="Times New Roman"/>
          <w:sz w:val="17"/>
          <w:szCs w:val="17"/>
          <w:color w:val="auto"/>
        </w:rPr>
        <w:t>We have filed, or incorporated into this Annual Report on Form 10-K by reference, the exhibits listed on the accompanying</w:t>
      </w:r>
    </w:p>
    <w:p>
      <w:pPr>
        <w:spacing w:after="0" w:line="3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Exhibit Index.</w:t>
      </w:r>
    </w:p>
    <w:p>
      <w:pPr>
        <w:sectPr>
          <w:pgSz w:w="11900" w:h="16838" w:orient="portrait"/>
          <w:cols w:equalWidth="0" w:num="1">
            <w:col w:w="11100"/>
          </w:cols>
          <w:pgMar w:left="320" w:top="482" w:right="479" w:bottom="1440" w:gutter="0" w:footer="0" w:header="0"/>
        </w:sectPr>
      </w:pP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15(b)</w:t>
            </w:r>
          </w:p>
        </w:tc>
        <w:tc>
          <w:tcPr>
            <w:tcW w:w="1220" w:type="dxa"/>
            <w:vAlign w:val="bottom"/>
          </w:tcPr>
          <w:p>
            <w:pPr>
              <w:spacing w:after="0"/>
              <w:rPr>
                <w:sz w:val="20"/>
                <w:szCs w:val="20"/>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See Item 15(a)(3) above.</w:t>
            </w: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15(c)</w:t>
            </w:r>
          </w:p>
        </w:tc>
        <w:tc>
          <w:tcPr>
            <w:tcW w:w="1220" w:type="dxa"/>
            <w:vAlign w:val="bottom"/>
          </w:tcPr>
          <w:p>
            <w:pPr>
              <w:spacing w:after="0"/>
              <w:rPr>
                <w:sz w:val="24"/>
                <w:szCs w:val="24"/>
                <w:color w:val="auto"/>
              </w:rPr>
            </w:pPr>
          </w:p>
        </w:tc>
        <w:tc>
          <w:tcPr>
            <w:tcW w:w="2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See Item 15(a)(2) above.</w:t>
            </w:r>
          </w:p>
        </w:tc>
        <w:tc>
          <w:tcPr>
            <w:tcW w:w="0" w:type="dxa"/>
            <w:vAlign w:val="bottom"/>
          </w:tcPr>
          <w:p>
            <w:pPr>
              <w:spacing w:after="0"/>
              <w:rPr>
                <w:sz w:val="1"/>
                <w:szCs w:val="1"/>
                <w:color w:val="auto"/>
              </w:rPr>
            </w:pPr>
          </w:p>
        </w:tc>
      </w:tr>
      <w:tr>
        <w:trPr>
          <w:trHeight w:val="664"/>
        </w:trPr>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24"/>
                <w:szCs w:val="24"/>
                <w:color w:val="auto"/>
              </w:rPr>
            </w:pPr>
          </w:p>
        </w:tc>
        <w:tc>
          <w:tcPr>
            <w:tcW w:w="2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2"/>
                <w:szCs w:val="22"/>
                <w:color w:val="auto"/>
              </w:rPr>
            </w:pPr>
          </w:p>
        </w:tc>
        <w:tc>
          <w:tcPr>
            <w:tcW w:w="3760" w:type="dxa"/>
            <w:vAlign w:val="bottom"/>
            <w:tcBorders>
              <w:top w:val="single" w:sz="8" w:color="auto"/>
            </w:tcBorders>
            <w:gridSpan w:val="5"/>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Agreement and Plan of Merger and Reorganization,</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dated April 13, 2016, by and among Synta</w:t>
              </w:r>
            </w:hyperlink>
          </w:p>
        </w:tc>
        <w:tc>
          <w:tcPr>
            <w:tcW w:w="66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Pharmaceuticals Corp., the Registrant and Saffron</w:t>
              </w:r>
            </w:hyperlink>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Merger Sub, Inc.</w:t>
              </w:r>
            </w:hyperlink>
          </w:p>
        </w:tc>
        <w:tc>
          <w:tcPr>
            <w:tcW w:w="2380" w:type="dxa"/>
            <w:vAlign w:val="bottom"/>
            <w:tcBorders>
              <w:top w:val="single" w:sz="8" w:color="0000EE"/>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33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3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3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14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04"/>
        </w:trPr>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DEFA14A; Form 8-K (Exhibit 2.1)</w:t>
            </w:r>
          </w:p>
        </w:tc>
        <w:tc>
          <w:tcPr>
            <w:tcW w:w="22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4/14/2016</w:t>
            </w:r>
          </w:p>
        </w:tc>
        <w:tc>
          <w:tcPr>
            <w:tcW w:w="26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001-33277</w:t>
            </w:r>
          </w:p>
        </w:tc>
        <w:tc>
          <w:tcPr>
            <w:tcW w:w="0" w:type="dxa"/>
            <w:vAlign w:val="bottom"/>
          </w:tcPr>
          <w:p>
            <w:pPr>
              <w:spacing w:after="0"/>
              <w:rPr>
                <w:sz w:val="1"/>
                <w:szCs w:val="1"/>
                <w:color w:val="auto"/>
              </w:rPr>
            </w:pPr>
          </w:p>
        </w:tc>
      </w:tr>
    </w:tbl>
    <w:p>
      <w:pPr>
        <w:spacing w:after="0" w:line="724" w:lineRule="exact"/>
        <w:rPr>
          <w:sz w:val="20"/>
          <w:szCs w:val="20"/>
          <w:color w:val="auto"/>
        </w:rPr>
      </w:pPr>
    </w:p>
    <w:p>
      <w:pPr>
        <w:sectPr>
          <w:pgSz w:w="11900" w:h="16838" w:orient="portrait"/>
          <w:cols w:equalWidth="0" w:num="2">
            <w:col w:w="4700" w:space="200"/>
            <w:col w:w="6200"/>
          </w:cols>
          <w:pgMar w:left="320" w:top="482"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760" w:type="dxa"/>
            <w:vAlign w:val="bottom"/>
            <w:gridSpan w:val="1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Restated Certificate of Incorporation of the</w:t>
              </w:r>
            </w:hyperlink>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Form 10-K (Exhibit 3.1)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31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Registrant.</w:t>
              </w:r>
            </w:hyperlink>
          </w:p>
        </w:tc>
        <w:tc>
          <w:tcPr>
            <w:tcW w:w="660" w:type="dxa"/>
            <w:vAlign w:val="bottom"/>
            <w:gridSpan w:val="9"/>
          </w:tcPr>
          <w:p>
            <w:pPr>
              <w:spacing w:after="0"/>
              <w:rPr>
                <w:sz w:val="17"/>
                <w:szCs w:val="17"/>
                <w:color w:val="auto"/>
              </w:rPr>
            </w:pPr>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760" w:type="dxa"/>
            <w:vAlign w:val="bottom"/>
            <w:gridSpan w:val="14"/>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Certificate of Designation of Preferences, Rights</w:t>
              </w:r>
            </w:hyperlink>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Form 8-K (Exhibit 3.1)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6/21/2017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760" w:type="dxa"/>
            <w:vAlign w:val="bottom"/>
            <w:gridSpan w:val="14"/>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and Limitations of Series A Convertible Preferred</w:t>
              </w:r>
            </w:hyperlink>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80">
              <w:r>
                <w:rPr>
                  <w:rFonts w:ascii="Times New Roman" w:cs="Times New Roman" w:eastAsia="Times New Roman" w:hAnsi="Times New Roman"/>
                  <w:sz w:val="18"/>
                  <w:szCs w:val="18"/>
                  <w:color w:val="0000EE"/>
                  <w:w w:val="96"/>
                </w:rPr>
                <w:t>Stock.</w:t>
              </w:r>
            </w:hyperlink>
          </w:p>
        </w:tc>
        <w:tc>
          <w:tcPr>
            <w:tcW w:w="312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760" w:type="dxa"/>
            <w:vAlign w:val="bottom"/>
            <w:gridSpan w:val="14"/>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Bylaws of the Registrant, as amended April 13,</w:t>
              </w:r>
            </w:hyperlink>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DEFA14A; Form 8-K (Exhibit 3.1)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4/14/2016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81">
              <w:r>
                <w:rPr>
                  <w:rFonts w:ascii="Times New Roman" w:cs="Times New Roman" w:eastAsia="Times New Roman" w:hAnsi="Times New Roman"/>
                  <w:sz w:val="18"/>
                  <w:szCs w:val="18"/>
                  <w:color w:val="0000EE"/>
                  <w:w w:val="93"/>
                </w:rPr>
                <w:t>2016.</w:t>
              </w:r>
            </w:hyperlink>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760" w:type="dxa"/>
            <w:vAlign w:val="bottom"/>
            <w:gridSpan w:val="14"/>
          </w:tcPr>
          <w:p>
            <w:pPr>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Description of Securities of the Registrant</w:t>
              </w:r>
            </w:hyperlink>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Form 10-K (Exhibit 4.1)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2/26/20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Securities Purchase Agreement, dated June 20,</w:t>
              </w:r>
            </w:hyperlink>
          </w:p>
        </w:tc>
        <w:tc>
          <w:tcPr>
            <w:tcW w:w="380" w:type="dxa"/>
            <w:vAlign w:val="bottom"/>
            <w:gridSpan w:val="6"/>
          </w:tcPr>
          <w:p>
            <w:pPr>
              <w:spacing w:after="0"/>
              <w:rPr>
                <w:sz w:val="24"/>
                <w:szCs w:val="24"/>
                <w:color w:val="auto"/>
              </w:rPr>
            </w:pPr>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Form 8-K (Exhibit 10.1)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6/21/2017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3760" w:type="dxa"/>
            <w:vAlign w:val="bottom"/>
            <w:gridSpan w:val="14"/>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2017, by and among the Registrant and the</w:t>
              </w:r>
            </w:hyperlink>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760" w:type="dxa"/>
            <w:vAlign w:val="bottom"/>
            <w:gridSpan w:val="14"/>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investors party thereto, including the Registration</w:t>
              </w:r>
            </w:hyperlink>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820" w:type="dxa"/>
            <w:vAlign w:val="bottom"/>
          </w:tcPr>
          <w:p>
            <w:pPr>
              <w:spacing w:after="0"/>
              <w:rPr>
                <w:sz w:val="20"/>
                <w:szCs w:val="20"/>
                <w:color w:val="auto"/>
              </w:rPr>
            </w:pPr>
          </w:p>
        </w:tc>
        <w:tc>
          <w:tcPr>
            <w:tcW w:w="3560" w:type="dxa"/>
            <w:vAlign w:val="bottom"/>
            <w:tcBorders>
              <w:top w:val="single" w:sz="8" w:color="0000EE"/>
            </w:tcBorders>
            <w:gridSpan w:val="11"/>
          </w:tcPr>
          <w:p>
            <w:pPr>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Rights Agreement attached as Exhibit B thereto.</w:t>
              </w:r>
            </w:hyperlink>
          </w:p>
        </w:tc>
        <w:tc>
          <w:tcPr>
            <w:tcW w:w="200" w:type="dxa"/>
            <w:vAlign w:val="bottom"/>
            <w:gridSpan w:val="3"/>
          </w:tcPr>
          <w:p>
            <w:pPr>
              <w:spacing w:after="0"/>
              <w:rPr>
                <w:sz w:val="20"/>
                <w:szCs w:val="20"/>
                <w:color w:val="auto"/>
              </w:rPr>
            </w:pPr>
          </w:p>
        </w:tc>
        <w:tc>
          <w:tcPr>
            <w:tcW w:w="4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Agreements</w:t>
            </w:r>
          </w:p>
        </w:tc>
        <w:tc>
          <w:tcPr>
            <w:tcW w:w="4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760" w:type="dxa"/>
            <w:vAlign w:val="bottom"/>
            <w:gridSpan w:val="14"/>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Sales Agreement, dated November 5, 2020, by and</w:t>
              </w:r>
            </w:hyperlink>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Form 8-K (Exhibit 1.1)</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11/5/2020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20"/>
        </w:trPr>
        <w:tc>
          <w:tcPr>
            <w:tcW w:w="820" w:type="dxa"/>
            <w:vAlign w:val="bottom"/>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between Madrigal Pharmaceuticals, Inc. and Cowen</w:t>
              </w:r>
            </w:hyperlink>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760" w:type="dxa"/>
            <w:vAlign w:val="bottom"/>
            <w:gridSpan w:val="1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and Company, LLC (concerning at-the-market</w:t>
              </w:r>
            </w:hyperlink>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7"/>
        </w:trPr>
        <w:tc>
          <w:tcPr>
            <w:tcW w:w="820" w:type="dxa"/>
            <w:vAlign w:val="bottom"/>
          </w:tcPr>
          <w:p>
            <w:pPr>
              <w:spacing w:after="0"/>
              <w:rPr>
                <w:sz w:val="20"/>
                <w:szCs w:val="20"/>
                <w:color w:val="auto"/>
              </w:rPr>
            </w:pPr>
          </w:p>
        </w:tc>
        <w:tc>
          <w:tcPr>
            <w:tcW w:w="3340" w:type="dxa"/>
            <w:vAlign w:val="bottom"/>
            <w:tcBorders>
              <w:top w:val="single" w:sz="8" w:color="0000EE"/>
            </w:tcBorders>
            <w:gridSpan w:val="7"/>
          </w:tcPr>
          <w:p>
            <w:pPr>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offerings of Madrigal common stock).</w:t>
              </w:r>
            </w:hyperlink>
          </w:p>
        </w:tc>
        <w:tc>
          <w:tcPr>
            <w:tcW w:w="420" w:type="dxa"/>
            <w:vAlign w:val="bottom"/>
            <w:gridSpan w:val="7"/>
          </w:tcPr>
          <w:p>
            <w:pPr>
              <w:spacing w:after="0"/>
              <w:rPr>
                <w:sz w:val="20"/>
                <w:szCs w:val="20"/>
                <w:color w:val="auto"/>
              </w:rPr>
            </w:pPr>
          </w:p>
        </w:tc>
        <w:tc>
          <w:tcPr>
            <w:tcW w:w="4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86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Respect to Collaborations, Licenses, Research and Development</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760" w:type="dxa"/>
            <w:vAlign w:val="bottom"/>
            <w:gridSpan w:val="14"/>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Research, Development and Commercialization</w:t>
              </w:r>
            </w:hyperlink>
          </w:p>
        </w:tc>
        <w:tc>
          <w:tcPr>
            <w:tcW w:w="40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Form 10-Q (Exhibit 10.5)</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11/14/2016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Agreement, dated December 18, 2008, by and</w:t>
              </w:r>
            </w:hyperlink>
          </w:p>
        </w:tc>
        <w:tc>
          <w:tcPr>
            <w:tcW w:w="18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4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9"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between Hoffmann-La Roche, Inc., F. Hoffmann-La</w:t>
        </w:r>
      </w:hyperlink>
    </w:p>
    <w:p>
      <w:pPr>
        <w:spacing w:after="0" w:line="27"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Roche Ltd and the Registrant.†</w:t>
        </w:r>
      </w:hyperlink>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82" w:right="47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13"/>
                <w:szCs w:val="13"/>
                <w:color w:val="auto"/>
              </w:rPr>
            </w:pPr>
          </w:p>
        </w:tc>
        <w:tc>
          <w:tcPr>
            <w:tcW w:w="33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20" w:type="dxa"/>
            <w:vAlign w:val="bottom"/>
            <w:gridSpan w:val="17"/>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0" w:type="dxa"/>
            <w:vAlign w:val="bottom"/>
            <w:vMerge w:val="restart"/>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60" w:type="dxa"/>
            <w:vAlign w:val="bottom"/>
            <w:vMerge w:val="restart"/>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17"/>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20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412"/>
        </w:trPr>
        <w:tc>
          <w:tcPr>
            <w:tcW w:w="47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Amended 2015 Stock Plan</w:t>
              </w:r>
            </w:hyperlink>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Definitive Proxy Statement (Annex A)</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5/15/2019</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Incentive Stock Option Agreement under</w:t>
              </w:r>
            </w:hyperlink>
          </w:p>
        </w:tc>
        <w:tc>
          <w:tcPr>
            <w:tcW w:w="34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10-K (Exhibit 10.10)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3/31/2017</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Amended 2015 Stock Plan.</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940" w:type="dxa"/>
            <w:vAlign w:val="bottom"/>
            <w:gridSpan w:val="20"/>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Nonqualified Stock Option Agreement</w:t>
              </w:r>
            </w:hyperlink>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10-K (Exhibit 10.11)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3/31/2017</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under Amended 2015 Stock Plan.</w:t>
              </w:r>
            </w:hyperlink>
          </w:p>
        </w:tc>
        <w:tc>
          <w:tcPr>
            <w:tcW w:w="52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6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Nonqualified Stock Option Agreement for</w:t>
              </w:r>
            </w:hyperlink>
          </w:p>
        </w:tc>
        <w:tc>
          <w:tcPr>
            <w:tcW w:w="26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10-K (Exhibit 10.13)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3/31/2017</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Directors under Amended 2015 Stock Plan.</w:t>
              </w:r>
            </w:hyperlink>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Restricted Stock Unit Agreement under</w:t>
              </w:r>
            </w:hyperlink>
          </w:p>
        </w:tc>
        <w:tc>
          <w:tcPr>
            <w:tcW w:w="46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10-Q (Exhibit 10.1)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5/10/2016</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2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Amended 2015 Stock Plan.</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Executive Officers and Directors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Letter Agreement, dated November 24, 2014,</w:t>
              </w:r>
            </w:hyperlink>
          </w:p>
        </w:tc>
        <w:tc>
          <w:tcPr>
            <w:tcW w:w="660" w:type="dxa"/>
            <w:vAlign w:val="bottom"/>
            <w:gridSpan w:val="12"/>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8-K (Exhibit 10.3)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12/4/2014</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2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between Synta Pharmaceuticals Corp. and Marc R.</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Schneebaum</w:t>
              </w:r>
            </w:hyperlink>
          </w:p>
        </w:tc>
        <w:tc>
          <w:tcPr>
            <w:tcW w:w="2740" w:type="dxa"/>
            <w:vAlign w:val="bottom"/>
            <w:tcBorders>
              <w:top w:val="single" w:sz="8" w:color="0000EE"/>
            </w:tcBorders>
            <w:gridSpan w:val="13"/>
          </w:tcPr>
          <w:p>
            <w:pPr>
              <w:spacing w:after="0"/>
              <w:rPr>
                <w:sz w:val="17"/>
                <w:szCs w:val="17"/>
                <w:color w:val="auto"/>
              </w:rPr>
            </w:pPr>
          </w:p>
        </w:tc>
        <w:tc>
          <w:tcPr>
            <w:tcW w:w="2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Form of Indemnification Agreement between the</w:t>
              </w:r>
            </w:hyperlink>
          </w:p>
        </w:tc>
        <w:tc>
          <w:tcPr>
            <w:tcW w:w="40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8-K (Exhibit 10.2)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07/22/2016</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Registrant and certain directors and executive</w:t>
              </w:r>
            </w:hyperlink>
          </w:p>
        </w:tc>
        <w:tc>
          <w:tcPr>
            <w:tcW w:w="64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officers.</w:t>
              </w:r>
            </w:hyperlink>
          </w:p>
        </w:tc>
        <w:tc>
          <w:tcPr>
            <w:tcW w:w="334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Non-Qualified Stock Option Agreement (outside of</w:t>
              </w:r>
            </w:hyperlink>
          </w:p>
        </w:tc>
        <w:tc>
          <w:tcPr>
            <w:tcW w:w="22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10-K (Exhibit 10.46)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3/12/2015</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the Amended and Restated 2006 Stock Plan), dated</w:t>
              </w:r>
            </w:hyperlink>
          </w:p>
        </w:tc>
        <w:tc>
          <w:tcPr>
            <w:tcW w:w="2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2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December 8, 2014, between the Registrant and</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3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Marc Schneebaum.</w:t>
              </w:r>
            </w:hyperlink>
          </w:p>
        </w:tc>
        <w:tc>
          <w:tcPr>
            <w:tcW w:w="58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940" w:type="dxa"/>
            <w:vAlign w:val="bottom"/>
            <w:gridSpan w:val="20"/>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Letter Agreement, dated April 13, 2016, by and</w:t>
              </w:r>
            </w:hyperlink>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8-K (Exhibit 10.3)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7/22/2016</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between the Company and Paul A. Friedman, M.D.</w:t>
              </w:r>
            </w:hyperlink>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940" w:type="dxa"/>
            <w:vAlign w:val="bottom"/>
            <w:gridSpan w:val="20"/>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Letter Agreement, dated April 13, 2016, by and</w:t>
              </w:r>
            </w:hyperlink>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8-K (Exhibit 10.4)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7/22/2016</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between the Company and Rebecca Taub, M.D.</w:t>
              </w:r>
            </w:hyperlink>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List of Subsidiaries.</w:t>
              </w:r>
            </w:hyperlink>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940" w:type="dxa"/>
            <w:vAlign w:val="bottom"/>
            <w:gridSpan w:val="20"/>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Consent of PricewaterhouseCoopers LLP,</w:t>
              </w:r>
            </w:hyperlink>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Independent Registered Public Accounting Firm.</w:t>
              </w:r>
            </w:hyperlink>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940" w:type="dxa"/>
            <w:vAlign w:val="bottom"/>
            <w:gridSpan w:val="20"/>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Certification of Principal Executive Officer</w:t>
              </w:r>
            </w:hyperlink>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120" w:type="dxa"/>
            <w:vAlign w:val="bottom"/>
            <w:gridSpan w:val="7"/>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20"/>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required by Rule 13a-14(a) or Rule 15d-14(a) of</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940" w:type="dxa"/>
            <w:vAlign w:val="bottom"/>
            <w:gridSpan w:val="20"/>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the Securities Exchange Act of 1934, as adopted</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80" w:type="dxa"/>
            <w:vAlign w:val="bottom"/>
            <w:gridSpan w:val="12"/>
            <w:shd w:val="clear" w:color="auto" w:fill="0000EE"/>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20" w:type="dxa"/>
            <w:vAlign w:val="bottom"/>
          </w:tcPr>
          <w:p>
            <w:pPr>
              <w:spacing w:after="0"/>
              <w:rPr>
                <w:sz w:val="18"/>
                <w:szCs w:val="18"/>
                <w:color w:val="auto"/>
              </w:rPr>
            </w:pP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pursuant to Section 302 of the Sarbanes-Oxley Act</w:t>
              </w:r>
            </w:hyperlink>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940" w:type="dxa"/>
            <w:vAlign w:val="bottom"/>
            <w:gridSpan w:val="20"/>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of 2002.</w:t>
              </w:r>
            </w:hyperlink>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58</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59" w:name="page60"/>
    <w:bookmarkEnd w:id="5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60" w:type="dxa"/>
            <w:vAlign w:val="bottom"/>
            <w:gridSpan w:val="8"/>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20" w:type="dxa"/>
            <w:vAlign w:val="bottom"/>
            <w:vMerge w:val="restart"/>
          </w:tcPr>
          <w:p>
            <w:pPr>
              <w:spacing w:after="0"/>
              <w:rPr>
                <w:sz w:val="13"/>
                <w:szCs w:val="13"/>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6"/>
        </w:trPr>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5"/>
                <w:szCs w:val="15"/>
                <w:color w:val="auto"/>
              </w:rPr>
            </w:pPr>
          </w:p>
        </w:tc>
        <w:tc>
          <w:tcPr>
            <w:tcW w:w="3160" w:type="dxa"/>
            <w:vAlign w:val="bottom"/>
            <w:tcBorders>
              <w:bottom w:val="single" w:sz="8" w:color="auto"/>
            </w:tcBorders>
            <w:gridSpan w:val="8"/>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spacing w:after="0"/>
              <w:rPr>
                <w:sz w:val="22"/>
                <w:szCs w:val="22"/>
                <w:color w:val="auto"/>
              </w:rPr>
            </w:pPr>
          </w:p>
        </w:tc>
        <w:tc>
          <w:tcPr>
            <w:tcW w:w="30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Certification of Principal Financial Officer</w:t>
              </w:r>
            </w:hyperlink>
          </w:p>
        </w:tc>
        <w:tc>
          <w:tcPr>
            <w:tcW w:w="500" w:type="dxa"/>
            <w:vAlign w:val="bottom"/>
            <w:gridSpan w:val="2"/>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gridSpan w:val="9"/>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pursuant to Rule 13a-14(a) or</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Rule 15d-14(a) of the Securities Exchange</w:t>
              </w:r>
            </w:hyperlink>
          </w:p>
        </w:tc>
        <w:tc>
          <w:tcPr>
            <w:tcW w:w="5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gridSpan w:val="9"/>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Act of 1934, as adopted pursuant to</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gridSpan w:val="9"/>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Section 302 of the Sarbanes-Oxley Act of</w:t>
              </w:r>
            </w:hyperlink>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2002.</w:t>
              </w:r>
            </w:hyperlink>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24"/>
                <w:szCs w:val="24"/>
                <w:color w:val="auto"/>
              </w:rPr>
            </w:pPr>
          </w:p>
        </w:tc>
        <w:tc>
          <w:tcPr>
            <w:tcW w:w="26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Certifications of Principal Executive</w:t>
              </w:r>
            </w:hyperlink>
          </w:p>
        </w:tc>
        <w:tc>
          <w:tcPr>
            <w:tcW w:w="94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Officer and Principal Financial Officer</w:t>
              </w:r>
            </w:hyperlink>
          </w:p>
        </w:tc>
        <w:tc>
          <w:tcPr>
            <w:tcW w:w="78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gridSpan w:val="9"/>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pursuant to 18 U.S.C. Section 1350, as</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w w:val="99"/>
              </w:rPr>
            </w:pPr>
            <w:hyperlink w:anchor="page84">
              <w:r>
                <w:rPr>
                  <w:rFonts w:ascii="Times New Roman" w:cs="Times New Roman" w:eastAsia="Times New Roman" w:hAnsi="Times New Roman"/>
                  <w:sz w:val="18"/>
                  <w:szCs w:val="18"/>
                  <w:u w:val="single" w:color="auto"/>
                  <w:color w:val="0000EE"/>
                  <w:w w:val="99"/>
                </w:rPr>
                <w:t>adopted pursuant to Section 906 of the</w:t>
              </w:r>
            </w:hyperlink>
          </w:p>
        </w:tc>
        <w:tc>
          <w:tcPr>
            <w:tcW w:w="80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Sarbanes-Oxley Act of 2002.</w:t>
              </w:r>
            </w:hyperlink>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for the cover page of this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Annual Report on Form 10-K, included in</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Exhibit 101 Inline XBRL Document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3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480" w:type="dxa"/>
            <w:vAlign w:val="bottom"/>
            <w:vMerge w:val="restart"/>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44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bl>
    <w:p>
      <w:pPr>
        <w:spacing w:after="0" w:line="6745" w:lineRule="exact"/>
        <w:rPr>
          <w:sz w:val="20"/>
          <w:szCs w:val="20"/>
          <w:color w:val="auto"/>
        </w:rPr>
      </w:pPr>
    </w:p>
    <w:p>
      <w:pPr>
        <w:sectPr>
          <w:pgSz w:w="11900" w:h="16838" w:orient="portrait"/>
          <w:cols w:equalWidth="0" w:num="2">
            <w:col w:w="5440" w:space="500"/>
            <w:col w:w="5180"/>
          </w:cols>
          <w:pgMar w:left="320" w:top="482" w:right="459" w:bottom="1440" w:gutter="0" w:footer="0" w:header="0"/>
          <w:type w:val="continuous"/>
        </w:sect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compensatory plan or arrangement.</w:t>
      </w:r>
    </w:p>
    <w:p>
      <w:pPr>
        <w:spacing w:after="0" w:line="27" w:lineRule="exact"/>
        <w:rPr>
          <w:sz w:val="20"/>
          <w:szCs w:val="20"/>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w:t>
      </w:r>
    </w:p>
    <w:p>
      <w:pPr>
        <w:spacing w:after="0" w:line="1" w:lineRule="exact"/>
        <w:rPr>
          <w:sz w:val="20"/>
          <w:szCs w:val="20"/>
          <w:color w:val="auto"/>
        </w:rPr>
      </w:pPr>
    </w:p>
    <w:p>
      <w:pPr>
        <w:ind w:left="540" w:right="100"/>
        <w:spacing w:after="0" w:line="250" w:lineRule="auto"/>
        <w:rPr>
          <w:sz w:val="20"/>
          <w:szCs w:val="20"/>
          <w:color w:val="auto"/>
        </w:rPr>
      </w:pPr>
      <w:r>
        <w:rPr>
          <w:rFonts w:ascii="Times New Roman" w:cs="Times New Roman" w:eastAsia="Times New Roman" w:hAnsi="Times New Roman"/>
          <w:sz w:val="18"/>
          <w:szCs w:val="18"/>
          <w:color w:val="auto"/>
        </w:rPr>
        <w:t>amended, whether made before or after the date of this Annual Report on Form 10-K, regardless of any general incorporation language contained in any filing.</w:t>
      </w:r>
    </w:p>
    <w:p>
      <w:pPr>
        <w:spacing w:after="0" w:line="1" w:lineRule="exact"/>
        <w:rPr>
          <w:sz w:val="20"/>
          <w:szCs w:val="20"/>
          <w:color w:val="auto"/>
        </w:rPr>
      </w:pPr>
    </w:p>
    <w:p>
      <w:pPr>
        <w:ind w:left="540" w:right="500" w:hanging="424"/>
        <w:spacing w:after="0" w:line="26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portions of these documents have been filed separately with the Securities and Exchange Commission pursuant to a request for confidential treatment.</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 PAUL A. FRIEDMAN, M.D.</w:t>
            </w:r>
          </w:p>
        </w:tc>
      </w:tr>
    </w:tbl>
    <w:p>
      <w:pPr>
        <w:jc w:val="center"/>
        <w:ind w:left="604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3"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Paul A. Friedman, M.D., Marc R. Schneebaum and Brian J. Lynch,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as amended,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80" w:type="dxa"/>
            <w:vAlign w:val="bottom"/>
          </w:tcPr>
          <w:p>
            <w:pPr>
              <w:spacing w:after="0"/>
              <w:rPr>
                <w:sz w:val="15"/>
                <w:szCs w:val="15"/>
                <w:color w:val="auto"/>
              </w:rPr>
            </w:pPr>
          </w:p>
        </w:tc>
        <w:tc>
          <w:tcPr>
            <w:tcW w:w="46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23"/>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 M.D.</w:t>
            </w:r>
          </w:p>
        </w:tc>
        <w:tc>
          <w:tcPr>
            <w:tcW w:w="1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1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A. Friedman, M.D.</w:t>
            </w:r>
          </w:p>
        </w:tc>
        <w:tc>
          <w:tcPr>
            <w:tcW w:w="1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R. SCHNEEBAUM</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R. Schneebaum</w:t>
            </w:r>
          </w:p>
        </w:tc>
        <w:tc>
          <w:tcPr>
            <w:tcW w:w="18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Accounting and Financial Officer)</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REBECCA TAUB, M.D.</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Rebecca Taub, M.D.</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FRED B. CRAVES, PH.D.</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Fred B. Craves, Ph.D.</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KENNETH M. BATE</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M. Bate</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R. GOLLUST</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Keith R. Gollust</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MILLIGAN, PH.D.</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Milligan, Ph.D.</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S. LEVY, M.D.</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S. Levy, M.D.</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27"/>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M. DALY</w:t>
            </w:r>
          </w:p>
        </w:tc>
        <w:tc>
          <w:tcPr>
            <w:tcW w:w="18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25, 2021</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M. Daly</w:t>
            </w:r>
          </w:p>
        </w:tc>
        <w:tc>
          <w:tcPr>
            <w:tcW w:w="1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60"/>
        </w:trPr>
        <w:tc>
          <w:tcPr>
            <w:tcW w:w="4240" w:type="dxa"/>
            <w:vAlign w:val="bottom"/>
          </w:tcPr>
          <w:p>
            <w:pPr>
              <w:spacing w:after="0"/>
              <w:rPr>
                <w:sz w:val="24"/>
                <w:szCs w:val="24"/>
                <w:color w:val="auto"/>
              </w:rPr>
            </w:pPr>
          </w:p>
        </w:tc>
        <w:tc>
          <w:tcPr>
            <w:tcW w:w="4860" w:type="dxa"/>
            <w:vAlign w:val="bottom"/>
            <w:gridSpan w:val="2"/>
          </w:tcPr>
          <w:p>
            <w:pPr>
              <w:jc w:val="right"/>
              <w:ind w:right="34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Report of Independent Registered Public Accounting Firm</w:t>
              </w:r>
            </w:hyperlink>
          </w:p>
        </w:tc>
        <w:tc>
          <w:tcPr>
            <w:tcW w:w="584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5840" w:type="dxa"/>
            <w:vAlign w:val="bottom"/>
          </w:tcPr>
          <w:p>
            <w:pPr>
              <w:spacing w:after="0"/>
              <w:rPr>
                <w:sz w:val="16"/>
                <w:szCs w:val="16"/>
                <w:color w:val="auto"/>
              </w:rPr>
            </w:pPr>
          </w:p>
        </w:tc>
        <w:tc>
          <w:tcPr>
            <w:tcW w:w="3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Consolidated Balance Sheets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Consolidated Statements of Operations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Consolidated Statements of Comprehensive Loss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Consolidated Statements of Stockholders’ Equity</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Consolidated Statements of Cash Flows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34"/>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Notes to Consolidated Financial Statements</w:t>
              </w:r>
            </w:hyperlink>
          </w:p>
        </w:tc>
        <w:tc>
          <w:tcPr>
            <w:tcW w:w="584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Madrigal Pharmaceuticals,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Madrigal Pharmaceuticals, Inc. and its subsidiaries (the “Company”) as of December 31, 2020 and 2019, and the related consolidated statements of operations, of comprehensive loss,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Internal Control - Integrated Framework (2013) issued by the Committee of Sponsoring Organizations of the Treadway Commission (COSO).</w:t>
      </w:r>
    </w:p>
    <w:p>
      <w:pPr>
        <w:spacing w:after="0" w:line="168"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Internal Control - Integrated Framework (2013) issued by the COSO.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Total research and development costs incurred during the year ended December 31, 2020 were $184.8 million and research and development costs accrued were $31.6 million as of December 31, 2020.</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research and development costs is a critical audit matter are the significant judgment by management when estimating the costs incurred for services performed by vendors that have not yet been invoiced in estimating the research and development costs to accrue in the reporting period. This in turn led to a high degree of auditor judgment, subjectivity and effort in performing procedures to evaluate the audit evidence obtained relating to estimates of costs accrued.</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management’s process relating to accruing research and development costs, including controls overestimating the costs incurred for services performed by vendors that have not yet been invoiced. These procedures also included, among others, testing management’s process for estimating the research and development costs to accrue in the reporting period, evaluating the completeness and accuracy of underlying data used in management’s estimate by testing for consistency with a sample of contracts and invoices, testing the number of patients screened for and enrolled in the trial, testing the mathematical accuracy of the calculation of the accrual for research and development costs incurred, and evaluating the reasonableness of assumptions used in the estimate. Evaluating the reasonableness of assumptions used in the estimate involved assessing management’s ability to reasonably estimate costs incurred that have not been invoiced by (i) performing a comparison of the estimated accrual to average procedure rates per contracts applied to the number of patients screened for and enrolled in the trial, and by (ii) performing a comparison of the estimated accrual to actual costs incurred on similar completed preclinical studies and clinical trials.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82"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54,004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46,697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392,348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286,995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442,056</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23,637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25,130</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25,491</w:t>
            </w:r>
          </w:p>
        </w:tc>
        <w:tc>
          <w:tcPr>
            <w:tcW w:w="0" w:type="dxa"/>
            <w:vAlign w:val="bottom"/>
          </w:tcPr>
          <w:p>
            <w:pPr>
              <w:spacing w:after="0"/>
              <w:rPr>
                <w:sz w:val="1"/>
                <w:szCs w:val="1"/>
                <w:color w:val="auto"/>
              </w:rPr>
            </w:pPr>
          </w:p>
        </w:tc>
      </w:tr>
      <w:tr>
        <w:trPr>
          <w:trHeight w:val="223"/>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5,000,000 shares at December 31, 2020 and December 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2019; 1,969,797 shares issued and outstanding at December 31, 2020 and December 31, 2019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200,000,000 at December 31, 2020 and 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 15,508,146 and 15,429,154 shares issued and outstanding at December 31, 2020 and December 31, 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665,385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639,567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(425,464)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(223,220)</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286,995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442,056</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482"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184,809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72,324</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25,389</w:t>
            </w: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15,293</w:t>
            </w: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206,673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100" w:type="dxa"/>
            <w:vAlign w:val="bottom"/>
          </w:tcPr>
          <w:p>
            <w:pPr>
              <w:spacing w:after="0"/>
              <w:rPr>
                <w:sz w:val="20"/>
                <w:szCs w:val="20"/>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(94,972)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7,671</w:t>
            </w: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(83,948</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 outstanding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15,446,638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8"/>
              </w:rPr>
              <w:t>15,394,659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14,796,712</w:t>
            </w:r>
          </w:p>
        </w:tc>
      </w:tr>
    </w:tbl>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82"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2600" w:type="dxa"/>
            <w:vAlign w:val="bottom"/>
            <w:gridSpan w:val="8"/>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55"/>
        </w:trPr>
        <w:tc>
          <w:tcPr>
            <w:tcW w:w="8400" w:type="dxa"/>
            <w:vAlign w:val="bottom"/>
          </w:tcPr>
          <w:p>
            <w:pPr>
              <w:spacing w:after="0"/>
              <w:rPr>
                <w:sz w:val="13"/>
                <w:szCs w:val="13"/>
                <w:color w:val="auto"/>
              </w:rPr>
            </w:pPr>
          </w:p>
        </w:tc>
        <w:tc>
          <w:tcPr>
            <w:tcW w:w="740" w:type="dxa"/>
            <w:vAlign w:val="bottom"/>
            <w:tcBorders>
              <w:top w:val="single" w:sz="8" w:color="auto"/>
            </w:tcBorders>
          </w:tcPr>
          <w:p>
            <w:pPr>
              <w:jc w:val="right"/>
              <w:ind w:right="1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1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$(202,244)</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$(83,948)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(32,811)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9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(202,413</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(83,413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82"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line="20" w:lineRule="exact"/>
              <w:rPr>
                <w:sz w:val="1"/>
                <w:szCs w:val="1"/>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14,227,634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(106,461)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 parties,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of transaction costs</w:t>
            </w: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1,079,580</w:t>
            </w:r>
          </w:p>
        </w:tc>
        <w:tc>
          <w:tcPr>
            <w:tcW w:w="2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311,824</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311,825</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parties and exercise of common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net of transaction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101,809</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2,510</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 for services</w:t>
            </w: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13,489</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13,489</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(32,811)</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15,409,023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$616,573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(139,272)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476,984</w:t>
            </w:r>
          </w:p>
        </w:tc>
        <w:tc>
          <w:tcPr>
            <w:tcW w:w="0" w:type="dxa"/>
            <w:vAlign w:val="bottom"/>
          </w:tcPr>
          <w:p>
            <w:pPr>
              <w:spacing w:after="0"/>
              <w:rPr>
                <w:sz w:val="1"/>
                <w:szCs w:val="1"/>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 and exercise of common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net of transaction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20,131</w:t>
            </w: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for services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22,759</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22,759</w:t>
            </w:r>
          </w:p>
        </w:tc>
        <w:tc>
          <w:tcPr>
            <w:tcW w:w="0" w:type="dxa"/>
            <w:vAlign w:val="bottom"/>
          </w:tcPr>
          <w:p>
            <w:pPr>
              <w:spacing w:after="0"/>
              <w:rPr>
                <w:sz w:val="1"/>
                <w:szCs w:val="1"/>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(83,948)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(83,948)</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15,429,154</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$639,567</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216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(223,220)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 parties,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of transaction costs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39,607</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 and exercise of common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net of transaction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39,385</w:t>
            </w: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4,421</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options for services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20,730</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20,730</w:t>
            </w:r>
          </w:p>
        </w:tc>
        <w:tc>
          <w:tcPr>
            <w:tcW w:w="0" w:type="dxa"/>
            <w:vAlign w:val="bottom"/>
          </w:tcPr>
          <w:p>
            <w:pPr>
              <w:spacing w:after="0"/>
              <w:rPr>
                <w:sz w:val="1"/>
                <w:szCs w:val="1"/>
                <w:color w:val="auto"/>
              </w:rPr>
            </w:pPr>
          </w:p>
        </w:tc>
      </w:tr>
      <w:tr>
        <w:trPr>
          <w:trHeight w:val="198"/>
        </w:trPr>
        <w:tc>
          <w:tcPr>
            <w:tcW w:w="33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(202,244)</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15,508,146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665,385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(425,464</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9"/>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80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(202,244)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(32,811)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22,759</w:t>
            </w: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13,489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8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6"/>
        </w:trPr>
        <w:tc>
          <w:tcPr>
            <w:tcW w:w="8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16"/>
        </w:trPr>
        <w:tc>
          <w:tcPr>
            <w:tcW w:w="8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(157,561)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(329,342)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(619,303)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(614,358)</w:t>
            </w:r>
          </w:p>
        </w:tc>
        <w:tc>
          <w:tcPr>
            <w:tcW w:w="0" w:type="dxa"/>
            <w:vAlign w:val="bottom"/>
          </w:tcPr>
          <w:p>
            <w:pPr>
              <w:spacing w:after="0"/>
              <w:rPr>
                <w:sz w:val="1"/>
                <w:szCs w:val="1"/>
                <w:color w:val="auto"/>
              </w:rPr>
            </w:pPr>
          </w:p>
        </w:tc>
      </w:tr>
      <w:tr>
        <w:trPr>
          <w:trHeight w:val="216"/>
        </w:trPr>
        <w:tc>
          <w:tcPr>
            <w:tcW w:w="8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650,182</w:t>
            </w: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234,304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(380,076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311,825</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Proceeds from the sale of related party stock and exercise of common stock options, net of</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transaction costs</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30"/>
        </w:trPr>
        <w:tc>
          <w:tcPr>
            <w:tcW w:w="80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57,379</w:t>
            </w: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148,627</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57,379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at period end</w:t>
            </w: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82"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right="7020" w:hanging="4"/>
        <w:spacing w:after="0" w:line="377" w:lineRule="auto"/>
        <w:tabs>
          <w:tab w:leader="none" w:pos="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spacing w:after="0" w:line="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previously completed Phase 2 studies of resmetirom in NASH in May of 2018 and Heterozygous Familial Hypercholesterolemia (“HeFH”) in February of 2018.</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Madrigal was originally incorporated as a private company (“Private Madrigal”) on August 19, 2011 and operations commenced in September</w:t>
      </w:r>
    </w:p>
    <w:p>
      <w:pPr>
        <w:spacing w:after="0" w:line="27" w:lineRule="exact"/>
        <w:rPr>
          <w:sz w:val="20"/>
          <w:szCs w:val="20"/>
          <w:color w:val="auto"/>
        </w:rPr>
      </w:pPr>
    </w:p>
    <w:p>
      <w:pPr>
        <w:ind w:left="120" w:right="880"/>
        <w:spacing w:after="0" w:line="290" w:lineRule="auto"/>
        <w:rPr>
          <w:sz w:val="20"/>
          <w:szCs w:val="20"/>
          <w:color w:val="auto"/>
        </w:rPr>
      </w:pPr>
      <w:r>
        <w:rPr>
          <w:rFonts w:ascii="Times New Roman" w:cs="Times New Roman" w:eastAsia="Times New Roman" w:hAnsi="Times New Roman"/>
          <w:sz w:val="17"/>
          <w:szCs w:val="17"/>
          <w:color w:val="auto"/>
        </w:rPr>
        <w:t>2011. On July 22, 2016, Private Madrigal completed a reverse merger (the “Merger”) into Synta Pharmaceuticals Corp. (“Synta”). Upon the consummation of the Merger, the historical financial statements of Private Madrigal became the Company’s historical financial statements.</w:t>
      </w:r>
    </w:p>
    <w:p>
      <w:pPr>
        <w:spacing w:after="0" w:line="261" w:lineRule="exact"/>
        <w:rPr>
          <w:sz w:val="20"/>
          <w:szCs w:val="20"/>
          <w:color w:val="auto"/>
        </w:rPr>
      </w:pPr>
    </w:p>
    <w:p>
      <w:pPr>
        <w:ind w:left="120" w:right="7400" w:hanging="4"/>
        <w:spacing w:after="0" w:line="377" w:lineRule="auto"/>
        <w:tabs>
          <w:tab w:leader="none" w:pos="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spacing w:after="0" w:line="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To determine whether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2020, 2019 and 2018, the Company determined it did not have any securities that were other-than-temporarily impaired.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82"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2020, 2019 and 2018, the Company did not have any realized gains or losses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2020 and 2019, the Company’s financial assets valued based on Level 1 inputs consisted of cash and cash equivalents in a money market fund and its financial assets valued based on Level 2 inputs consisted of high-grade corporate bonds and commercial paper. During the years ended December 31, 2020, 2019 and 2018, the Company did not have any transfers of financials assets between Levels 1 and 2. As of December 31, 2020 and 2019, the Company did not have any financial liabilities that were recorded at fair value on a recurring basis on the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 in the Company’s statements of operations. Patent expenses were approximately $353 thousand, $408 thousand and $226 thousand for the years ended December 31, 2020, 2019 and 2018,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years ended December 31, 2020, 2019 and 2018, diluted net loss per share is the same as basic net loss per share as the inclusion of weighted average shares of unvested restricted common stock and common stock issuable upon the exercise of stock options would be anti-dilutive.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securities not included in the computation of diluted net loss per common share as their inclusion would be anti-dilutive:</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6360" w:type="dxa"/>
            <w:vAlign w:val="bottom"/>
          </w:tcPr>
          <w:p>
            <w:pPr>
              <w:spacing w:after="0"/>
              <w:rPr>
                <w:sz w:val="13"/>
                <w:szCs w:val="13"/>
                <w:color w:val="auto"/>
              </w:rPr>
            </w:pPr>
          </w:p>
        </w:tc>
        <w:tc>
          <w:tcPr>
            <w:tcW w:w="780" w:type="dxa"/>
            <w:vAlign w:val="bottom"/>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gridSpan w:val="2"/>
          </w:tcPr>
          <w:p>
            <w:pPr>
              <w:jc w:val="right"/>
              <w:ind w:right="17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78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3"/>
                <w:szCs w:val="13"/>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1,461,987</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1,132,618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52,063</w:t>
            </w:r>
          </w:p>
        </w:tc>
        <w:tc>
          <w:tcPr>
            <w:tcW w:w="4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40" w:type="dxa"/>
            <w:vAlign w:val="bottom"/>
            <w:shd w:val="clear" w:color="auto" w:fill="CCEEFF"/>
          </w:tcPr>
          <w:p>
            <w:pPr>
              <w:spacing w:after="0"/>
              <w:rPr>
                <w:sz w:val="18"/>
                <w:szCs w:val="18"/>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82"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$202.2 million for the year ended December 31, 2020, resulting in an accumulated deficit of approximately $425.5 million and $223.2 million as of December 31, 2020 and 2019, respectively. Management expects to incur losses for the foreseeable future. To date, the Company has funded its operations primarily through the issuance of convertible debt, the proceeds from the Merger on July 22, 2016, and proceeds from sales of the Company’s common and Series A Convertible Preferred Stock (see Note 6).</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at December 31, 2020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in which those concerns are relieved.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December 31, 2020 and 2019 is as follows (in thousands):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53,288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53,288</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227,172</w:t>
            </w:r>
          </w:p>
        </w:tc>
        <w:tc>
          <w:tcPr>
            <w:tcW w:w="12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227,216</w:t>
            </w: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284,102</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77"/>
              </w:rPr>
              <w:t>84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284,149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44,925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44,925</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46,697</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309,365</w:t>
            </w:r>
          </w:p>
        </w:tc>
        <w:tc>
          <w:tcPr>
            <w:tcW w:w="1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309,545</w:t>
            </w: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82,767</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82,803</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438,829</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259</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439,045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F-12</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as of December 31, 2020 and 2019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4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3,285</w:t>
            </w: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4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9180" w:hanging="4"/>
        <w:spacing w:after="0" w:line="378" w:lineRule="auto"/>
        <w:tabs>
          <w:tab w:leader="none" w:pos="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November 2020, the Company entered into an at-the-market sales agreement (the “2020 Sales Agreement”), with Cowen and Company, LLC (“Cowen”), pursuant to which the Company may, from time to time, issue and sell shares of its common stock. The Company is not obligated to make any sales of its common stock under the 2020 Sales Agreement. Any shares sold will be sold pursuant to the effective shelf registration statement on Form S-3, (the “Registration Statement”), and the prospectus supplement to the Registration Statement. The Sales Agreement authorizes an aggregate offering of up to $200 million in shares of our common stock,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2020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2020 Sales Agreement may be terminated by the Company at any time upon 10 days’ notice.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82"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2020, 39,607 shares have been sold under the 2020 Sales Agreement for an aggregate of approximately $4.8 million in gross proceeds. Net proceeds to the Company were approximately $4.4 million after deducting commissions and other transaction costs. Approximately $195.2 million remained reserved under the Company’s shelf registration statement and the applicable prospectus supplement for possible future issuance under the 2020 Sales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June 2018 Registered Offering of Common Stock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gross proceeds to the Company of approximately $329.3 million, and net proceeds to the Company of approximately $311.8 million, after deducting the June 2018 Underwriters’ discount and other offering costs. The June 2018 Offering closed on June 11, 2018.</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2020, the Company had options outstanding to purchase 1,837,540 shares of its common stock, which includes options outstanding under its 2006 Stock Plan. As of December 31, 2020, 936,407 shares were available for future issuance.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twelve months ended December 31, 2020:</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1,461,987</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449,625</w:t>
            </w:r>
          </w:p>
        </w:tc>
        <w:tc>
          <w:tcPr>
            <w:tcW w:w="1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92.51</w:t>
            </w:r>
          </w:p>
        </w:tc>
        <w:tc>
          <w:tcPr>
            <w:tcW w:w="1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(39,385)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16.94</w:t>
            </w:r>
          </w:p>
        </w:tc>
        <w:tc>
          <w:tcPr>
            <w:tcW w:w="1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(34,687)</w:t>
            </w:r>
          </w:p>
        </w:tc>
        <w:tc>
          <w:tcPr>
            <w:tcW w:w="16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102.35</w:t>
            </w:r>
          </w:p>
        </w:tc>
        <w:tc>
          <w:tcPr>
            <w:tcW w:w="1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91,776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1,185,889</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52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6.09</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82,075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$0.7 million, $0.2 million and $2.5 million for the years ended December 31, 2020, 2019, and 2018. The total intrinsic value of options exercised was $4.1 million in the year ended December 31, 2020. The weighted-average grant date fair values, based on the Black-Scholes option model, of options granted during the year ended December 31, 2020, 2019 and 2018 was $68.07, $91.19 and $137.49,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no outstanding restricted shares or activity in 2020.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82"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expense during the years ended December 31, 2020, 2019 and 2018 was as follows (in thousands):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20,730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22,487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20,730</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22,759</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11,897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14,482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20,730</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22,759</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on stock options as of December 31, 2020 was $38.8 million with a weighted average remaining period of 2.6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2019, the Company entered into an operating lease for office space, which was renewed and extended in 2020. We adopted ASU 2016-02, “Leases,” on January 1, 2019 requiring, among other changes, operating and finance leases with terms exceeding twelve months to be recognized as a right-of-use asset (or “ROU”)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Future minimum payments under the Company’s operating leases related to the ROU asset and lease liability as of December 31, 2020 was as follows (in thousand):</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370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34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896</w:t>
            </w: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88"/>
              </w:rPr>
              <w:t>110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34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786</w:t>
            </w:r>
          </w:p>
        </w:tc>
      </w:tr>
    </w:tbl>
    <w:p>
      <w:pPr>
        <w:spacing w:after="0" w:line="19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2020, the weighted average remaining operating lease term was 2.4 years and the weighted average discount rate used to determine the operating lease liabilities was 3.25%. Cash paid related to the lease liability was $303 and $297 thousand for years ended December 31, 2020 and 2019 respectively. Operating lease costs during the year ended December 31, 2020 was $347 and $386 thousand for years ended December 31, 2020 and 2019 respectively. Rent expense during the year ended December 31, 2020 and 2019 was $0 thousand and $239 thousand, respectively. Short term and variable leases costs were immaterial during the years ended December 31, 2020, 2019 and 2018.</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agreement requires future milestone payments to Roche. In 2019, the Company commenced a Phase 3 study in Non-Alcoholic Steatohepatitis (NASH), which triggered a $2 million milestone payment under the agreement. Remaining milestones 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years ended December 31, 2020, 2019 and 2018.</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the Phase 3 clinical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trials.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At December 31, 2020, the Company had federal net operating loss (“NOL”) carryforwards of approximately $99.9 million available to reduce future taxable income, of which $40.4 million will expire between 2031 and 2037. The Company also has state operating loss carryforwards of approximately $88.6 million, available to reduce future taxable income, which expire between 2031 and 2040. The Company has unused federal research and development carryforwards of approximately $13.4 million which will begin to expire in 2031.</w:t>
      </w:r>
    </w:p>
    <w:p>
      <w:pPr>
        <w:spacing w:after="0" w:line="180"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 determined that an ownership change likely occurred for Madrigal during the year ended December 31, 2017. The net operating losses are expected to be subject to an annual limitation; however, none of these NOLs is expected to expire before becoming available to reduce future taxable income.</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$66.6 million for the year ended December 31, 2020. Changes in the deferred tax asset will be recorded as an income tax benefit or expense on the accompanying consolidated statements of operations.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income tax provisions taken on their income tax returns. The Company has analyzed its tax positions and has concluded that as of December 31, 2020 there were no uncertain positions. The 2016 through 2020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2020.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Temporary differences that give rise to deferred tax assets and liabilities are as follows (in thousands):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10"/>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56"/>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investment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R&amp;D</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 credit</w:t>
            </w:r>
          </w:p>
        </w:tc>
        <w:tc>
          <w:tcPr>
            <w:tcW w:w="1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(132,384)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(65,791)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(38,948)</w:t>
            </w:r>
          </w:p>
        </w:tc>
      </w:tr>
      <w:tr>
        <w:trPr>
          <w:trHeight w:val="230"/>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Differences between the effective income tax rate and the US statutory rate were as follows (in thousands):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6"/>
        </w:trPr>
        <w:tc>
          <w:tcPr>
            <w:tcW w:w="604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at U.S. federal statutory rate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(42,471)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(6,890)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benefit before valuation allowance, net of federal benefit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(16,580)</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domestic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(7,472)</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F-17</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82" w:right="13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Quarterly Financial Data (unaudited)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a summary of quarterly results of operations for 2020 and 2019 (in thousands, except shares and per share data):</w:t>
      </w:r>
    </w:p>
    <w:p>
      <w:pPr>
        <w:spacing w:after="0" w:line="25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220" w:type="dxa"/>
            <w:vAlign w:val="bottom"/>
          </w:tcPr>
          <w:p>
            <w:pPr>
              <w:spacing w:after="0"/>
              <w:rPr>
                <w:sz w:val="10"/>
                <w:szCs w:val="10"/>
                <w:color w:val="auto"/>
              </w:rPr>
            </w:pPr>
          </w:p>
        </w:tc>
        <w:tc>
          <w:tcPr>
            <w:tcW w:w="142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2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44,688</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53,292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53,429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4,605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5,494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6,126</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58,786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(50,327)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(58,786)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(49,023</w:t>
            </w:r>
          </w:p>
        </w:tc>
        <w:tc>
          <w:tcPr>
            <w:tcW w:w="5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(57,963</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common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15,429,154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8"/>
              </w:rPr>
              <w:t>15,433,348</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96"/>
              </w:rPr>
              <w:t>15,448,425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15,475,291</w:t>
            </w:r>
          </w:p>
        </w:tc>
        <w:tc>
          <w:tcPr>
            <w:tcW w:w="0" w:type="dxa"/>
            <w:vAlign w:val="bottom"/>
          </w:tcPr>
          <w:p>
            <w:pPr>
              <w:spacing w:after="0"/>
              <w:rPr>
                <w:sz w:val="1"/>
                <w:szCs w:val="1"/>
                <w:color w:val="auto"/>
              </w:rPr>
            </w:pPr>
          </w:p>
        </w:tc>
      </w:tr>
      <w:tr>
        <w:trPr>
          <w:trHeight w:val="405"/>
        </w:trPr>
        <w:tc>
          <w:tcPr>
            <w:tcW w:w="4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0"/>
                <w:szCs w:val="10"/>
                <w:color w:val="auto"/>
              </w:rPr>
            </w:pPr>
          </w:p>
        </w:tc>
        <w:tc>
          <w:tcPr>
            <w:tcW w:w="1420" w:type="dxa"/>
            <w:vAlign w:val="bottom"/>
            <w:gridSpan w:val="3"/>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19,447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24,910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4,748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22,704</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(22,704)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2,214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(19,699</w:t>
            </w:r>
          </w:p>
        </w:tc>
        <w:tc>
          <w:tcPr>
            <w:tcW w:w="5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common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15,364,465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98"/>
              </w:rPr>
              <w:t>15,368,986</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96"/>
              </w:rPr>
              <w:t>15,415,096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15,429,154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February 24, 2021 the company has sold 549,617 shares under the 2020 Sales Agreement (described in Note 6) for an aggregate of approximately $67.8 million in gross proceeds in 2021 to date. Net proceeds to the Company were approximately $66.5 million after deducting commissions and other transaction costs. Approximately $127.3 million remained reserved under the Company’s shelf registration statement and the applicable prospectus supplement for possible future issuance under the 2020 Sales Agreement.</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820"/>
          </w:cols>
          <w:pgMar w:left="320" w:top="482" w:right="7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SUBSIDIARIES OF MADRIGAL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EU Limited, an Ireland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Synta Securities Corp., a Massachusetts securities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Synta Limited Incorporated, a United Kingdom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Canticle Pharmaceuticals, Inc., a Delaware corporation</w:t>
      </w:r>
    </w:p>
    <w:p>
      <w:pPr>
        <w:sectPr>
          <w:pgSz w:w="11900" w:h="16838" w:orient="portrait"/>
          <w:cols w:equalWidth="0" w:num="1">
            <w:col w:w="11020"/>
          </w:cols>
          <w:pgMar w:left="440" w:top="117" w:right="4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333-225434, 333-219304) and Form S-8 (Nos. 333-141903, 333-152824, 333-173862, 333-181117, 333-187243, 333-194477, 333-202680, 333-206128, 333-212615, 333-224503 and 333-249866) of Madrigal Pharmaceuticals, Inc. of our report dated February 25, 2021 relating to the financial statements and the effectiveness of internal control over financial reporting, which appears in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ectPr>
          <w:pgSz w:w="11900" w:h="16838" w:orient="portrait"/>
          <w:cols w:equalWidth="0" w:num="1">
            <w:col w:w="11020"/>
          </w:cols>
          <w:pgMar w:left="440" w:top="117" w:right="4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SECURITIES EXCHANGE ACT RULES 13A-14(a) AND 15D-14(a)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Paul A. Friedman, M.D., certify that:</w:t>
      </w:r>
    </w:p>
    <w:p>
      <w:pPr>
        <w:spacing w:after="0" w:line="117" w:lineRule="exact"/>
        <w:rPr>
          <w:sz w:val="20"/>
          <w:szCs w:val="20"/>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 have reviewed this Annual Report on Form 10-K of Madrigal Pharmaceuticals, Inc.;</w:t>
      </w:r>
    </w:p>
    <w:p>
      <w:pPr>
        <w:spacing w:after="0" w:line="225" w:lineRule="exact"/>
        <w:rPr>
          <w:rFonts w:ascii="Times New Roman" w:cs="Times New Roman" w:eastAsia="Times New Roman" w:hAnsi="Times New Roman"/>
          <w:sz w:val="18"/>
          <w:szCs w:val="18"/>
          <w:i w:val="1"/>
          <w:iCs w:val="1"/>
          <w:color w:val="auto"/>
        </w:rPr>
      </w:pPr>
    </w:p>
    <w:p>
      <w:pPr>
        <w:ind w:left="4" w:right="60" w:hanging="4"/>
        <w:spacing w:after="0" w:line="312" w:lineRule="auto"/>
        <w:tabs>
          <w:tab w:leader="none" w:pos="184" w:val="left"/>
        </w:tabs>
        <w:numPr>
          <w:ilvl w:val="0"/>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i w:val="1"/>
          <w:iCs w:val="1"/>
          <w:color w:val="auto"/>
        </w:rPr>
      </w:pPr>
    </w:p>
    <w:p>
      <w:pPr>
        <w:ind w:left="4" w:right="340" w:hanging="4"/>
        <w:spacing w:after="0" w:line="282" w:lineRule="auto"/>
        <w:tabs>
          <w:tab w:leader="none" w:pos="18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i w:val="1"/>
          <w:iCs w:val="1"/>
          <w:color w:val="auto"/>
        </w:rPr>
      </w:pPr>
    </w:p>
    <w:p>
      <w:pPr>
        <w:ind w:left="4" w:right="140" w:hanging="4"/>
        <w:spacing w:after="0" w:line="266" w:lineRule="auto"/>
        <w:tabs>
          <w:tab w:leader="none" w:pos="18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i w:val="1"/>
          <w:iCs w:val="1"/>
          <w:color w:val="auto"/>
        </w:rPr>
      </w:pPr>
    </w:p>
    <w:p>
      <w:pPr>
        <w:ind w:left="444" w:right="120" w:hanging="4"/>
        <w:spacing w:after="0" w:line="266" w:lineRule="auto"/>
        <w:tabs>
          <w:tab w:leader="none" w:pos="699" w:val="left"/>
        </w:tabs>
        <w:numPr>
          <w:ilvl w:val="1"/>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i w:val="1"/>
          <w:iCs w:val="1"/>
          <w:color w:val="auto"/>
        </w:rPr>
      </w:pPr>
    </w:p>
    <w:p>
      <w:pPr>
        <w:ind w:left="444" w:right="60" w:hanging="4"/>
        <w:spacing w:after="0" w:line="266" w:lineRule="auto"/>
        <w:tabs>
          <w:tab w:leader="none" w:pos="699" w:val="left"/>
        </w:tabs>
        <w:numPr>
          <w:ilvl w:val="1"/>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i w:val="1"/>
          <w:iCs w:val="1"/>
          <w:color w:val="auto"/>
        </w:rPr>
      </w:pPr>
    </w:p>
    <w:p>
      <w:pPr>
        <w:ind w:left="444" w:right="640" w:hanging="4"/>
        <w:spacing w:after="0" w:line="312" w:lineRule="auto"/>
        <w:tabs>
          <w:tab w:leader="none" w:pos="689" w:val="left"/>
        </w:tabs>
        <w:numPr>
          <w:ilvl w:val="1"/>
          <w:numId w:val="3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i w:val="1"/>
          <w:iCs w:val="1"/>
          <w:color w:val="auto"/>
        </w:rPr>
      </w:pPr>
    </w:p>
    <w:p>
      <w:pPr>
        <w:jc w:val="both"/>
        <w:ind w:left="444" w:right="80" w:hanging="4"/>
        <w:spacing w:after="0" w:line="266" w:lineRule="auto"/>
        <w:tabs>
          <w:tab w:leader="none" w:pos="699" w:val="left"/>
        </w:tabs>
        <w:numPr>
          <w:ilvl w:val="1"/>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left="4" w:right="80" w:hanging="4"/>
        <w:spacing w:after="0" w:line="282" w:lineRule="auto"/>
        <w:tabs>
          <w:tab w:leader="none" w:pos="18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i w:val="1"/>
          <w:iCs w:val="1"/>
          <w:color w:val="auto"/>
        </w:rPr>
      </w:pPr>
    </w:p>
    <w:p>
      <w:pPr>
        <w:ind w:left="444" w:right="20" w:hanging="4"/>
        <w:spacing w:after="0" w:line="282" w:lineRule="auto"/>
        <w:tabs>
          <w:tab w:leader="none" w:pos="699" w:val="left"/>
        </w:tabs>
        <w:numPr>
          <w:ilvl w:val="1"/>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i w:val="1"/>
          <w:iCs w:val="1"/>
          <w:color w:val="auto"/>
        </w:rPr>
      </w:pPr>
    </w:p>
    <w:p>
      <w:pPr>
        <w:ind w:left="444" w:right="540" w:hanging="4"/>
        <w:spacing w:after="0" w:line="282" w:lineRule="auto"/>
        <w:tabs>
          <w:tab w:leader="none" w:pos="699" w:val="left"/>
        </w:tabs>
        <w:numPr>
          <w:ilvl w:val="1"/>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February 25, 2021</w:t>
      </w:r>
    </w:p>
    <w:p>
      <w:pPr>
        <w:sectPr>
          <w:pgSz w:w="11900" w:h="16838" w:orient="portrait"/>
          <w:cols w:equalWidth="0" w:num="1">
            <w:col w:w="11024"/>
          </w:cols>
          <w:pgMar w:left="436" w:top="117" w:right="4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Marc R. Schneebaum, certify that:</w:t>
      </w:r>
    </w:p>
    <w:p>
      <w:pPr>
        <w:spacing w:after="0" w:line="117" w:lineRule="exact"/>
        <w:rPr>
          <w:sz w:val="20"/>
          <w:szCs w:val="20"/>
          <w:color w:val="auto"/>
        </w:rPr>
      </w:pPr>
    </w:p>
    <w:p>
      <w:pPr>
        <w:ind w:left="184" w:hanging="184"/>
        <w:spacing w:after="0"/>
        <w:tabs>
          <w:tab w:leader="none" w:pos="18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 have reviewed this Annual Report on Form 10-K of Madrigal Pharmaceuticals, Inc.;</w:t>
      </w:r>
    </w:p>
    <w:p>
      <w:pPr>
        <w:spacing w:after="0" w:line="225" w:lineRule="exact"/>
        <w:rPr>
          <w:rFonts w:ascii="Times New Roman" w:cs="Times New Roman" w:eastAsia="Times New Roman" w:hAnsi="Times New Roman"/>
          <w:sz w:val="18"/>
          <w:szCs w:val="18"/>
          <w:i w:val="1"/>
          <w:iCs w:val="1"/>
          <w:color w:val="auto"/>
        </w:rPr>
      </w:pPr>
    </w:p>
    <w:p>
      <w:pPr>
        <w:ind w:left="4" w:right="60" w:hanging="4"/>
        <w:spacing w:after="0" w:line="312" w:lineRule="auto"/>
        <w:tabs>
          <w:tab w:leader="none" w:pos="184" w:val="left"/>
        </w:tabs>
        <w:numPr>
          <w:ilvl w:val="0"/>
          <w:numId w:val="3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i w:val="1"/>
          <w:iCs w:val="1"/>
          <w:color w:val="auto"/>
        </w:rPr>
      </w:pPr>
    </w:p>
    <w:p>
      <w:pPr>
        <w:ind w:left="4" w:right="340" w:hanging="4"/>
        <w:spacing w:after="0" w:line="282" w:lineRule="auto"/>
        <w:tabs>
          <w:tab w:leader="none" w:pos="18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i w:val="1"/>
          <w:iCs w:val="1"/>
          <w:color w:val="auto"/>
        </w:rPr>
      </w:pPr>
    </w:p>
    <w:p>
      <w:pPr>
        <w:ind w:left="4" w:right="140" w:hanging="4"/>
        <w:spacing w:after="0" w:line="266" w:lineRule="auto"/>
        <w:tabs>
          <w:tab w:leader="none" w:pos="18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i w:val="1"/>
          <w:iCs w:val="1"/>
          <w:color w:val="auto"/>
        </w:rPr>
      </w:pPr>
    </w:p>
    <w:p>
      <w:pPr>
        <w:ind w:left="444" w:right="120" w:hanging="4"/>
        <w:spacing w:after="0" w:line="266" w:lineRule="auto"/>
        <w:tabs>
          <w:tab w:leader="none" w:pos="699" w:val="left"/>
        </w:tabs>
        <w:numPr>
          <w:ilvl w:val="1"/>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i w:val="1"/>
          <w:iCs w:val="1"/>
          <w:color w:val="auto"/>
        </w:rPr>
      </w:pPr>
    </w:p>
    <w:p>
      <w:pPr>
        <w:ind w:left="444" w:right="60" w:hanging="4"/>
        <w:spacing w:after="0" w:line="266" w:lineRule="auto"/>
        <w:tabs>
          <w:tab w:leader="none" w:pos="699" w:val="left"/>
        </w:tabs>
        <w:numPr>
          <w:ilvl w:val="1"/>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i w:val="1"/>
          <w:iCs w:val="1"/>
          <w:color w:val="auto"/>
        </w:rPr>
      </w:pPr>
    </w:p>
    <w:p>
      <w:pPr>
        <w:ind w:left="444" w:right="640" w:hanging="4"/>
        <w:spacing w:after="0" w:line="312" w:lineRule="auto"/>
        <w:tabs>
          <w:tab w:leader="none" w:pos="689" w:val="left"/>
        </w:tabs>
        <w:numPr>
          <w:ilvl w:val="1"/>
          <w:numId w:val="3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i w:val="1"/>
          <w:iCs w:val="1"/>
          <w:color w:val="auto"/>
        </w:rPr>
      </w:pPr>
    </w:p>
    <w:p>
      <w:pPr>
        <w:jc w:val="both"/>
        <w:ind w:left="444" w:right="80" w:hanging="4"/>
        <w:spacing w:after="0" w:line="266" w:lineRule="auto"/>
        <w:tabs>
          <w:tab w:leader="none" w:pos="699" w:val="left"/>
        </w:tabs>
        <w:numPr>
          <w:ilvl w:val="1"/>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left="4" w:right="80" w:hanging="4"/>
        <w:spacing w:after="0" w:line="282" w:lineRule="auto"/>
        <w:tabs>
          <w:tab w:leader="none" w:pos="18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i w:val="1"/>
          <w:iCs w:val="1"/>
          <w:color w:val="auto"/>
        </w:rPr>
      </w:pPr>
    </w:p>
    <w:p>
      <w:pPr>
        <w:ind w:left="444" w:right="20" w:hanging="4"/>
        <w:spacing w:after="0" w:line="282" w:lineRule="auto"/>
        <w:tabs>
          <w:tab w:leader="none" w:pos="699" w:val="left"/>
        </w:tabs>
        <w:numPr>
          <w:ilvl w:val="1"/>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i w:val="1"/>
          <w:iCs w:val="1"/>
          <w:color w:val="auto"/>
        </w:rPr>
      </w:pPr>
    </w:p>
    <w:p>
      <w:pPr>
        <w:ind w:left="444" w:right="540" w:hanging="4"/>
        <w:spacing w:after="0" w:line="282" w:lineRule="auto"/>
        <w:tabs>
          <w:tab w:leader="none" w:pos="699" w:val="left"/>
        </w:tabs>
        <w:numPr>
          <w:ilvl w:val="1"/>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 R. Schneebaum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February 25, 2021</w:t>
      </w:r>
    </w:p>
    <w:p>
      <w:pPr>
        <w:sectPr>
          <w:pgSz w:w="11900" w:h="16838" w:orient="portrait"/>
          <w:cols w:equalWidth="0" w:num="1">
            <w:col w:w="11024"/>
          </w:cols>
          <w:pgMar w:left="436" w:top="117" w:right="4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9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fiscal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3" w:lineRule="exact"/>
        <w:rPr>
          <w:sz w:val="20"/>
          <w:szCs w:val="20"/>
          <w:color w:val="auto"/>
        </w:rPr>
      </w:pPr>
    </w:p>
    <w:p>
      <w:pPr>
        <w:ind w:left="440"/>
        <w:spacing w:after="0"/>
        <w:tabs>
          <w:tab w:leader="none" w:pos="5120" w:val="left"/>
        </w:tabs>
        <w:rPr>
          <w:sz w:val="20"/>
          <w:szCs w:val="20"/>
          <w:color w:val="auto"/>
        </w:rPr>
      </w:pPr>
      <w:r>
        <w:rPr>
          <w:rFonts w:ascii="Times New Roman" w:cs="Times New Roman" w:eastAsia="Times New Roman" w:hAnsi="Times New Roman"/>
          <w:sz w:val="18"/>
          <w:szCs w:val="18"/>
          <w:color w:val="auto"/>
        </w:rPr>
        <w:t>Dated February 25, 2021</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728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(Principal Executive Officer)</w:t>
      </w:r>
    </w:p>
    <w:p>
      <w:pPr>
        <w:spacing w:after="0" w:line="207" w:lineRule="exact"/>
        <w:rPr>
          <w:sz w:val="20"/>
          <w:szCs w:val="20"/>
          <w:color w:val="auto"/>
        </w:rPr>
      </w:pPr>
    </w:p>
    <w:p>
      <w:pPr>
        <w:ind w:left="440"/>
        <w:spacing w:after="0"/>
        <w:tabs>
          <w:tab w:leader="none" w:pos="5120" w:val="left"/>
        </w:tabs>
        <w:rPr>
          <w:sz w:val="20"/>
          <w:szCs w:val="20"/>
          <w:color w:val="auto"/>
        </w:rPr>
      </w:pPr>
      <w:r>
        <w:rPr>
          <w:rFonts w:ascii="Times New Roman" w:cs="Times New Roman" w:eastAsia="Times New Roman" w:hAnsi="Times New Roman"/>
          <w:sz w:val="18"/>
          <w:szCs w:val="18"/>
          <w:color w:val="auto"/>
        </w:rPr>
        <w:t>Dated: February 25, 2021</w:t>
      </w:r>
      <w:r>
        <w:rPr>
          <w:sz w:val="20"/>
          <w:szCs w:val="20"/>
          <w:color w:val="auto"/>
        </w:rPr>
        <w:tab/>
      </w:r>
      <w:r>
        <w:rPr>
          <w:rFonts w:ascii="Times New Roman" w:cs="Times New Roman" w:eastAsia="Times New Roman" w:hAnsi="Times New Roman"/>
          <w:sz w:val="17"/>
          <w:szCs w:val="17"/>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17145</wp:posOffset>
            </wp:positionV>
            <wp:extent cx="37287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Marc R. Schneebaum</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 (Principal Financial Officer)</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2"/>
    </w:lvl>
  </w:abstractNum>
  <w:abstractNum w:abstractNumId="36">
    <w:nsid w:val="5C482A97"/>
    <w:multiLevelType w:val="hybridMultilevel"/>
    <w:lvl w:ilvl="0">
      <w:lvlJc w:val="left"/>
      <w:lvlText w:val="%1."/>
      <w:numFmt w:val="decimal"/>
      <w:start w:val="6"/>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78" Type="http://schemas.openxmlformats.org/officeDocument/2006/relationships/hyperlink" Target="http://www.sec.gov/Archives/edgar/data/1157601/000110465916111348/a16-8380_1ex2d1.htm" TargetMode="External"/><Relationship Id="rId79" Type="http://schemas.openxmlformats.org/officeDocument/2006/relationships/hyperlink" Target="http://www.sec.gov/Archives/edgar/data/1157601/000104746917002260/a2231593zex-3_1.htm" TargetMode="External"/><Relationship Id="rId80" Type="http://schemas.openxmlformats.org/officeDocument/2006/relationships/hyperlink" Target="http://www.sec.gov/Archives/edgar/data/1157601/000110465917040552/a17-15516_1ex3d1.htm" TargetMode="External"/><Relationship Id="rId81" Type="http://schemas.openxmlformats.org/officeDocument/2006/relationships/hyperlink" Target="http://www.sec.gov/Archives/edgar/data/1157601/000110465916111348/a16-8380_1ex3d1.htm" TargetMode="External"/><Relationship Id="rId82" Type="http://schemas.openxmlformats.org/officeDocument/2006/relationships/hyperlink" Target="http://www.sec.gov/Archives/edgar/data/1157601/000119312520049021/d796399dex41.htm" TargetMode="External"/><Relationship Id="rId83" Type="http://schemas.openxmlformats.org/officeDocument/2006/relationships/hyperlink" Target="http://www.sec.gov/Archives/edgar/data/1157601/000110465917040552/a17-15516_1ex10d1.htm" TargetMode="External"/><Relationship Id="rId84" Type="http://schemas.openxmlformats.org/officeDocument/2006/relationships/hyperlink" Target="http://www.sec.gov/Archives/edgar/data/1157601/000119312520286378/d16187dex11.htm" TargetMode="External"/><Relationship Id="rId85" Type="http://schemas.openxmlformats.org/officeDocument/2006/relationships/hyperlink" Target="http://www.sec.gov/Archives/edgar/data/1157601/000110465916156989/a16-17137_1ex10d5.htm" TargetMode="External"/><Relationship Id="rId87" Type="http://schemas.openxmlformats.org/officeDocument/2006/relationships/hyperlink" Target="http://www.sec.gov/Archives/edgar/data/1157601/000119312519147788/d681903ddef14a.htm#toc681903_40" TargetMode="External"/><Relationship Id="rId88" Type="http://schemas.openxmlformats.org/officeDocument/2006/relationships/hyperlink" Target="http://www.sec.gov/Archives/edgar/data/1157601/000104746917002260/a2231593zex-10_10.htm" TargetMode="External"/><Relationship Id="rId89" Type="http://schemas.openxmlformats.org/officeDocument/2006/relationships/hyperlink" Target="http://www.sec.gov/Archives/edgar/data/1157601/000104746917002260/a2231593zex-10_11.htm" TargetMode="External"/><Relationship Id="rId90" Type="http://schemas.openxmlformats.org/officeDocument/2006/relationships/hyperlink" Target="http://www.sec.gov/Archives/edgar/data/1157601/000104746917002260/a2231593zex-10_13.htm" TargetMode="External"/><Relationship Id="rId91" Type="http://schemas.openxmlformats.org/officeDocument/2006/relationships/hyperlink" Target="http://www.sec.gov/Archives/edgar/data/1157601/000110465916119512/a16-6596_1ex10d1.htm" TargetMode="External"/><Relationship Id="rId92" Type="http://schemas.openxmlformats.org/officeDocument/2006/relationships/hyperlink" Target="http://www.sec.gov/Archives/edgar/data/1157601/000110465914084924/a14-25615_1ex10d3.htm" TargetMode="External"/><Relationship Id="rId93" Type="http://schemas.openxmlformats.org/officeDocument/2006/relationships/hyperlink" Target="http://www.sec.gov/Archives/edgar/data/1157601/000110465916133914/a16-15258_1ex10d2.htm" TargetMode="External"/><Relationship Id="rId94" Type="http://schemas.openxmlformats.org/officeDocument/2006/relationships/hyperlink" Target="http://www.sec.gov/Archives/edgar/data/1157601/000104746915002022/a2223524zex-10_46.htm" TargetMode="External"/><Relationship Id="rId95" Type="http://schemas.openxmlformats.org/officeDocument/2006/relationships/hyperlink" Target="http://www.sec.gov/Archives/edgar/data/1157601/000110465916133914/a16-15258_1ex10d3.htm" TargetMode="External"/><Relationship Id="rId96" Type="http://schemas.openxmlformats.org/officeDocument/2006/relationships/hyperlink" Target="http://www.sec.gov/Archives/edgar/data/1157601/000110465916133914/a16-15258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2021-02-25T10:08:09Z</dcterms:created>
  <dcterms:modified xsi:type="dcterms:W3CDTF">2021-02-25T10:08:09Z</dcterms:modified>
</cp:coreProperties>
</file>