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632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5328285</wp:posOffset>
            </wp:positionH>
            <wp:positionV relativeFrom="paragraph">
              <wp:posOffset>-609600</wp:posOffset>
            </wp:positionV>
            <wp:extent cx="8255" cy="6102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4017645</wp:posOffset>
            </wp:positionH>
            <wp:positionV relativeFrom="paragraph">
              <wp:posOffset>-617855</wp:posOffset>
            </wp:positionV>
            <wp:extent cx="8255" cy="6184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4042410</wp:posOffset>
            </wp:positionH>
            <wp:positionV relativeFrom="paragraph">
              <wp:posOffset>-593090</wp:posOffset>
            </wp:positionV>
            <wp:extent cx="1270000" cy="5689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-1597025</wp:posOffset>
            </wp:positionH>
            <wp:positionV relativeFrom="paragraph">
              <wp:posOffset>29210</wp:posOffset>
            </wp:positionV>
            <wp:extent cx="6967220" cy="18884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188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22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Daly James M</w:t>
        </w:r>
      </w:hyperlink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 w:line="3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C/O MADRIGAL PHARMACEUTICALS, INC. 200 BARR HARBOR DRIVE, SUITE 400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 w:line="261" w:lineRule="auto"/>
        <w:rPr>
          <w:rFonts w:ascii="Arial" w:cs="Arial" w:eastAsia="Arial" w:hAnsi="Arial"/>
          <w:sz w:val="20"/>
          <w:szCs w:val="20"/>
          <w:color w:val="0000EE"/>
        </w:rPr>
      </w:pPr>
      <w:hyperlink r:id="rId14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MADRIGAL PHARMACEUTICALS,</w:t>
        </w:r>
      </w:hyperlink>
      <w:r>
        <w:rPr>
          <w:rFonts w:ascii="Arial" w:cs="Arial" w:eastAsia="Arial" w:hAnsi="Arial"/>
          <w:sz w:val="20"/>
          <w:szCs w:val="20"/>
          <w:u w:val="single" w:color="auto"/>
          <w:color w:val="0000EE"/>
        </w:rPr>
        <w:t xml:space="preserve"> </w:t>
      </w:r>
      <w:hyperlink r:id="rId14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INC.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  <w:r>
          <w:rPr>
            <w:rFonts w:ascii="Arial" w:cs="Arial" w:eastAsia="Arial" w:hAnsi="Arial"/>
            <w:sz w:val="20"/>
            <w:szCs w:val="20"/>
            <w:color w:val="000000"/>
          </w:rPr>
          <w:t>[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  <w:r>
          <w:rPr>
            <w:rFonts w:ascii="Arial" w:cs="Arial" w:eastAsia="Arial" w:hAnsi="Arial"/>
            <w:sz w:val="15"/>
            <w:szCs w:val="15"/>
            <w:color w:val="0000FF"/>
          </w:rPr>
          <w:t>MDGL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  <w:r>
          <w:rPr>
            <w:rFonts w:ascii="Arial" w:cs="Arial" w:eastAsia="Arial" w:hAnsi="Arial"/>
            <w:sz w:val="20"/>
            <w:szCs w:val="20"/>
            <w:color w:val="000000"/>
          </w:rPr>
          <w:t>]</w:t>
        </w:r>
      </w:hyperlink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06/17/2020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-3" w:right="600" w:firstLine="3"/>
        <w:spacing w:after="0" w:line="239" w:lineRule="auto"/>
        <w:tabs>
          <w:tab w:leader="none" w:pos="142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197"/>
        <w:spacing w:after="0"/>
        <w:tabs>
          <w:tab w:leader="none" w:pos="497" w:val="left"/>
          <w:tab w:leader="none" w:pos="207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jc w:val="right"/>
        <w:ind w:right="440"/>
        <w:spacing w:after="0"/>
        <w:tabs>
          <w:tab w:leader="none" w:pos="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17"/>
        <w:spacing w:after="0"/>
        <w:tabs>
          <w:tab w:leader="none" w:pos="2077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687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3460" w:space="460"/>
            <w:col w:w="3240" w:space="583"/>
            <w:col w:w="3337"/>
          </w:cols>
          <w:pgMar w:left="460" w:top="222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60" w:type="dxa"/>
            <w:vAlign w:val="bottom"/>
            <w:gridSpan w:val="8"/>
          </w:tcPr>
          <w:p>
            <w:pPr>
              <w:jc w:val="center"/>
              <w:ind w:right="1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4. If Amendment, Date of Original Filed (Month/Day/Year)</w:t>
            </w:r>
          </w:p>
        </w:tc>
        <w:tc>
          <w:tcPr>
            <w:tcW w:w="3660" w:type="dxa"/>
            <w:vAlign w:val="bottom"/>
            <w:gridSpan w:val="11"/>
          </w:tcPr>
          <w:p>
            <w:pPr>
              <w:ind w:left="32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WEST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60" w:type="dxa"/>
            <w:vAlign w:val="bottom"/>
            <w:gridSpan w:val="11"/>
          </w:tcPr>
          <w:p>
            <w:pPr>
              <w:ind w:left="5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40" w:type="dxa"/>
            <w:vAlign w:val="bottom"/>
            <w:gridSpan w:val="3"/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 xml:space="preserve">CONSHOHOCKEN </w:t>
            </w:r>
            <w:r>
              <w:rPr>
                <w:rFonts w:ascii="Arial" w:cs="Arial" w:eastAsia="Arial" w:hAnsi="Arial"/>
                <w:sz w:val="30"/>
                <w:szCs w:val="30"/>
                <w:color w:val="0000FF"/>
                <w:vertAlign w:val="superscript"/>
              </w:rPr>
              <w:t>PA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19428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2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20" w:type="dxa"/>
            <w:vAlign w:val="bottom"/>
            <w:gridSpan w:val="4"/>
          </w:tcPr>
          <w:p>
            <w:pPr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Disposed Of (D) (Instr. 3, 4 and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left="8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40" w:type="dxa"/>
            <w:vAlign w:val="bottom"/>
            <w:gridSpan w:val="12"/>
          </w:tcPr>
          <w:p>
            <w:pPr>
              <w:jc w:val="center"/>
              <w:ind w:left="4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6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2"/>
              </w:rPr>
              <w:t>Code (Instr.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4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111.06</w:t>
            </w:r>
          </w:p>
        </w:tc>
        <w:tc>
          <w:tcPr>
            <w:tcW w:w="10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06/17/2020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6,000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06/17/2025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6,000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6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6,000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-2935605</wp:posOffset>
            </wp:positionV>
            <wp:extent cx="7033260" cy="30753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307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8000"/>
        </w:rPr>
        <w:t>1. The option vests as to 100% of underlying shares on the first anniversary of the grant date, provided that the Reporting Person continues to serve as a director of the Issuer until such anniversary date.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600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/s/ Brian Lynch, as attorney-in- </w:t>
      </w:r>
      <w:r>
        <w:rPr>
          <w:rFonts w:ascii="Arial" w:cs="Arial" w:eastAsia="Arial" w:hAnsi="Arial"/>
          <w:sz w:val="33"/>
          <w:szCs w:val="33"/>
          <w:color w:val="0000FF"/>
          <w:vertAlign w:val="subscript"/>
        </w:rPr>
        <w:t>06/17/2020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-27305</wp:posOffset>
            </wp:positionV>
            <wp:extent cx="133667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fact for James M. Daly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4191000</wp:posOffset>
            </wp:positionH>
            <wp:positionV relativeFrom="paragraph">
              <wp:posOffset>-19685</wp:posOffset>
            </wp:positionV>
            <wp:extent cx="98488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5584825</wp:posOffset>
            </wp:positionH>
            <wp:positionV relativeFrom="paragraph">
              <wp:posOffset>-85725</wp:posOffset>
            </wp:positionV>
            <wp:extent cx="488315" cy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jc w:val="both"/>
        <w:ind w:left="40" w:right="3540" w:firstLine="3"/>
        <w:spacing w:after="0" w:line="337" w:lineRule="auto"/>
        <w:tabs>
          <w:tab w:leader="none" w:pos="177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2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3" Type="http://schemas.openxmlformats.org/officeDocument/2006/relationships/hyperlink" Target="http://www.sec.gov/cgi-bin/browse-edgar?action=getcompany&amp;CIK=0001560782" TargetMode="External"/><Relationship Id="rId14" Type="http://schemas.openxmlformats.org/officeDocument/2006/relationships/hyperlink" Target="http://www.sec.gov/cgi-bin/browse-edgar?action=getcompany&amp;CIK=0001157601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2020-06-18T06:54:44Z</dcterms:created>
  <dcterms:modified xsi:type="dcterms:W3CDTF">2020-06-18T06:54:44Z</dcterms:modified>
</cp:coreProperties>
</file>