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76" w:before="24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001-33277</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76" w:before="240" w:after="283"/>
        <w:jc w:val="center"/>
        <w:rPr>
          <w:rFonts w:ascii="Times New Roman;serif" w:hAnsi="Times New Roman;serif"/>
          <w:b/>
          <w:color w:val="000000"/>
          <w:sz w:val="48"/>
        </w:rPr>
      </w:pPr>
      <w:r>
        <w:rPr>
          <w:rFonts w:ascii="Times New Roman;serif" w:hAnsi="Times New Roman;serif"/>
          <w:b/>
          <w:color w:val="000000"/>
          <w:sz w:val="48"/>
        </w:rPr>
        <w:t>MADRIGAL PHARMACEUTICALS,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tbl>
      <w:tblPr>
        <w:tblW w:w="4856" w:type="dxa"/>
        <w:jc w:val="center"/>
        <w:tblInd w:w="0" w:type="dxa"/>
        <w:tblLayout w:type="fixed"/>
        <w:tblCellMar>
          <w:top w:w="28" w:type="dxa"/>
          <w:left w:w="28" w:type="dxa"/>
          <w:bottom w:w="28" w:type="dxa"/>
          <w:right w:w="28" w:type="dxa"/>
        </w:tblCellMar>
      </w:tblPr>
      <w:tblGrid>
        <w:gridCol w:w="1101"/>
        <w:gridCol w:w="965"/>
        <w:gridCol w:w="979"/>
        <w:gridCol w:w="109"/>
        <w:gridCol w:w="109"/>
        <w:gridCol w:w="109"/>
        <w:gridCol w:w="433"/>
        <w:gridCol w:w="433"/>
        <w:gridCol w:w="618"/>
      </w:tblGrid>
      <w:tr>
        <w:trPr/>
        <w:tc>
          <w:tcPr>
            <w:tcW w:w="110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04-3508648</w:t>
            </w:r>
          </w:p>
        </w:tc>
      </w:tr>
      <w:tr>
        <w:trPr/>
        <w:tc>
          <w:tcPr>
            <w:tcW w:w="30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045"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1001 Conshohocken State Road,</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 xml:space="preserve">Suite 2-350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West Conshohocken,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19428</w:t>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(267) 824-2827</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______________</w:t>
      </w:r>
    </w:p>
    <w:tbl>
      <w:tblPr>
        <w:tblW w:w="7122" w:type="dxa"/>
        <w:jc w:val="center"/>
        <w:tblInd w:w="0" w:type="dxa"/>
        <w:tblLayout w:type="fixed"/>
        <w:tblCellMar>
          <w:top w:w="28" w:type="dxa"/>
          <w:left w:w="28" w:type="dxa"/>
          <w:bottom w:w="28" w:type="dxa"/>
          <w:right w:w="28" w:type="dxa"/>
        </w:tblCellMar>
      </w:tblPr>
      <w:tblGrid>
        <w:gridCol w:w="2219"/>
        <w:gridCol w:w="1945"/>
        <w:gridCol w:w="1955"/>
        <w:gridCol w:w="109"/>
        <w:gridCol w:w="109"/>
        <w:gridCol w:w="109"/>
        <w:gridCol w:w="198"/>
        <w:gridCol w:w="198"/>
        <w:gridCol w:w="280"/>
      </w:tblGrid>
      <w:tr>
        <w:trPr/>
        <w:tc>
          <w:tcPr>
            <w:tcW w:w="221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Four Tower Bridge</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200 Barr Harbor Drive, Suite 200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West Conshohocken,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19428</w:t>
            </w:r>
          </w:p>
        </w:tc>
      </w:tr>
      <w:tr>
        <w:trPr/>
        <w:tc>
          <w:tcPr>
            <w:tcW w:w="61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___________</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392" w:type="dxa"/>
        <w:jc w:val="center"/>
        <w:tblInd w:w="0" w:type="dxa"/>
        <w:tblLayout w:type="fixed"/>
        <w:tblCellMar>
          <w:top w:w="28" w:type="dxa"/>
          <w:left w:w="28" w:type="dxa"/>
          <w:bottom w:w="28" w:type="dxa"/>
          <w:right w:w="28" w:type="dxa"/>
        </w:tblCellMar>
      </w:tblPr>
      <w:tblGrid>
        <w:gridCol w:w="1432"/>
        <w:gridCol w:w="1255"/>
        <w:gridCol w:w="1272"/>
        <w:gridCol w:w="109"/>
        <w:gridCol w:w="109"/>
        <w:gridCol w:w="109"/>
        <w:gridCol w:w="274"/>
        <w:gridCol w:w="274"/>
        <w:gridCol w:w="276"/>
        <w:gridCol w:w="109"/>
        <w:gridCol w:w="109"/>
        <w:gridCol w:w="109"/>
        <w:gridCol w:w="865"/>
        <w:gridCol w:w="865"/>
        <w:gridCol w:w="1225"/>
      </w:tblGrid>
      <w:tr>
        <w:trPr/>
        <w:tc>
          <w:tcPr>
            <w:tcW w:w="1432"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MDGL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240" w:after="283"/>
        <w:jc w:val="center"/>
        <w:rPr/>
      </w:pPr>
      <w:r>
        <w:rPr/>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76" w:before="24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p>
    <w:p>
      <w:pPr>
        <w:pStyle w:val="TextBody"/>
        <w:bidi w:val="0"/>
        <w:spacing w:lineRule="auto" w:line="276" w:before="24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09"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2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76"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0"/>
        </w:rPr>
        <w:t>o</w:t>
      </w:r>
    </w:p>
    <w:p>
      <w:pPr>
        <w:pStyle w:val="TextBody"/>
        <w:bidi w:val="0"/>
        <w:spacing w:lineRule="auto" w:line="276" w:before="24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68" w:before="0" w:after="0"/>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July 27, 2026, the registrant had </w:t>
      </w:r>
      <w:r>
        <w:rPr>
          <w:rFonts w:ascii="Times New Roman;serif" w:hAnsi="Times New Roman;serif"/>
          <w:b w:val="false"/>
          <w:color w:val="000000"/>
          <w:sz w:val="20"/>
        </w:rPr>
        <w:t>23,104,126</w:t>
      </w:r>
      <w:r>
        <w:rPr>
          <w:color w:val="000000"/>
          <w:shd w:fill="FFFFFF" w:val="clear"/>
        </w:rPr>
        <w:t xml:space="preserve"> </w:t>
      </w:r>
      <w:r>
        <w:rPr>
          <w:rFonts w:ascii="Times New Roman;serif" w:hAnsi="Times New Roman;serif"/>
          <w:b w:val="false"/>
          <w:color w:val="000000"/>
          <w:sz w:val="20"/>
          <w:shd w:fill="FFFFFF" w:val="clear"/>
        </w:rPr>
        <w:t>sh</w:t>
      </w:r>
      <w:r>
        <w:rPr>
          <w:rFonts w:ascii="Times New Roman;serif" w:hAnsi="Times New Roman;serif"/>
          <w:b w:val="false"/>
          <w:color w:val="000000"/>
          <w:sz w:val="20"/>
        </w:rPr>
        <w:t xml:space="preserve">ares of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10205" w:type="dxa"/>
        <w:jc w:val="center"/>
        <w:tblInd w:w="0" w:type="dxa"/>
        <w:tblLayout w:type="fixed"/>
        <w:tblCellMar>
          <w:top w:w="28" w:type="dxa"/>
          <w:left w:w="28" w:type="dxa"/>
          <w:bottom w:w="28" w:type="dxa"/>
          <w:right w:w="28" w:type="dxa"/>
        </w:tblCellMar>
      </w:tblPr>
      <w:tblGrid>
        <w:gridCol w:w="271"/>
        <w:gridCol w:w="237"/>
        <w:gridCol w:w="245"/>
        <w:gridCol w:w="109"/>
        <w:gridCol w:w="109"/>
        <w:gridCol w:w="109"/>
        <w:gridCol w:w="2894"/>
        <w:gridCol w:w="2842"/>
        <w:gridCol w:w="2874"/>
        <w:gridCol w:w="149"/>
        <w:gridCol w:w="149"/>
        <w:gridCol w:w="217"/>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42"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3">
              <w:r>
                <w:rPr>
                  <w:rStyle w:val="InternetLink"/>
                  <w:rFonts w:ascii="Times New Roman;serif" w:hAnsi="Times New Roman;serif"/>
                  <w:b w:val="false"/>
                  <w:color w:val="0000FF"/>
                  <w:sz w:val="20"/>
                  <w:u w:val="single"/>
                </w:rPr>
                <w:t>Part I. Financial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3">
              <w:r>
                <w:rPr>
                  <w:rStyle w:val="InternetLink"/>
                  <w:rFonts w:ascii="Times New Roman;serif" w:hAnsi="Times New Roman;serif"/>
                  <w:b w:val="false"/>
                  <w:strike w:val="false"/>
                  <w:dstrike w:val="false"/>
                  <w:color w:val="000000"/>
                  <w:sz w:val="20"/>
                  <w:u w:val="none"/>
                  <w:effect w:val="none"/>
                </w:rPr>
                <w:t>5</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6">
              <w:r>
                <w:rPr>
                  <w:rStyle w:val="InternetLink"/>
                  <w:rFonts w:ascii="Times New Roman;serif" w:hAnsi="Times New Roman;serif"/>
                  <w:b w:val="false"/>
                  <w:strike w:val="false"/>
                  <w:dstrike w:val="false"/>
                  <w:color w:val="000000"/>
                  <w:sz w:val="20"/>
                  <w:u w:val="none"/>
                  <w:effect w:val="non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6">
              <w:r>
                <w:rPr>
                  <w:rStyle w:val="InternetLink"/>
                  <w:rFonts w:ascii="Times New Roman;serif" w:hAnsi="Times New Roman;serif"/>
                  <w:b w:val="false"/>
                  <w:color w:val="0000FF"/>
                  <w:sz w:val="20"/>
                  <w:u w:val="single"/>
                </w:rPr>
                <w:t>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6">
              <w:r>
                <w:rPr>
                  <w:rStyle w:val="InternetLink"/>
                  <w:rFonts w:ascii="Times New Roman;serif" w:hAnsi="Times New Roman;serif"/>
                  <w:b w:val="false"/>
                  <w:strike w:val="false"/>
                  <w:dstrike w:val="false"/>
                  <w:color w:val="000000"/>
                  <w:sz w:val="20"/>
                  <w:u w:val="none"/>
                  <w:effect w:val="none"/>
                </w:rPr>
                <w:t>5</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9">
              <w:r>
                <w:rPr>
                  <w:rStyle w:val="InternetLink"/>
                  <w:rFonts w:ascii="Times New Roman;serif" w:hAnsi="Times New Roman;serif"/>
                  <w:b w:val="false"/>
                  <w:color w:val="0000FF"/>
                  <w:sz w:val="20"/>
                  <w:u w:val="single"/>
                </w:rPr>
                <w:t>Condensed Consolidated Balance Sheets at June 30, 2026 and December 31,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9">
              <w:r>
                <w:rPr>
                  <w:rStyle w:val="InternetLink"/>
                  <w:rFonts w:ascii="Times New Roman;serif" w:hAnsi="Times New Roman;serif"/>
                  <w:b w:val="false"/>
                  <w:strike w:val="false"/>
                  <w:dstrike w:val="false"/>
                  <w:color w:val="000000"/>
                  <w:sz w:val="20"/>
                  <w:u w:val="none"/>
                  <w:effect w:val="none"/>
                </w:rPr>
                <w:t>5</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22">
              <w:r>
                <w:rPr>
                  <w:rStyle w:val="InternetLink"/>
                  <w:rFonts w:ascii="Times New Roman;serif" w:hAnsi="Times New Roman;serif"/>
                  <w:b w:val="false"/>
                  <w:color w:val="0000FF"/>
                  <w:sz w:val="20"/>
                  <w:u w:val="single"/>
                </w:rPr>
                <w:t>Condensed Consolidated Statements of Operations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22">
              <w:r>
                <w:rPr>
                  <w:rStyle w:val="InternetLink"/>
                  <w:rFonts w:ascii="Times New Roman;serif" w:hAnsi="Times New Roman;serif"/>
                  <w:b w:val="false"/>
                  <w:strike w:val="false"/>
                  <w:dstrike w:val="false"/>
                  <w:color w:val="000000"/>
                  <w:sz w:val="20"/>
                  <w:u w:val="none"/>
                  <w:effect w:val="none"/>
                </w:rPr>
                <w:t>6</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25">
              <w:r>
                <w:rPr>
                  <w:rStyle w:val="InternetLink"/>
                  <w:rFonts w:ascii="Times New Roman;serif" w:hAnsi="Times New Roman;serif"/>
                  <w:b w:val="false"/>
                  <w:color w:val="0000FF"/>
                  <w:sz w:val="20"/>
                  <w:u w:val="single"/>
                </w:rPr>
                <w:t>Condensed Consolidated Statements of Comprehensive Loss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25">
              <w:r>
                <w:rPr>
                  <w:rStyle w:val="InternetLink"/>
                  <w:rFonts w:ascii="Times New Roman;serif" w:hAnsi="Times New Roman;serif"/>
                  <w:b w:val="false"/>
                  <w:strike w:val="false"/>
                  <w:dstrike w:val="false"/>
                  <w:color w:val="000000"/>
                  <w:sz w:val="20"/>
                  <w:u w:val="none"/>
                  <w:effect w:val="none"/>
                </w:rPr>
                <w:t>7</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28">
              <w:r>
                <w:rPr>
                  <w:rStyle w:val="InternetLink"/>
                  <w:rFonts w:ascii="Times New Roman;serif" w:hAnsi="Times New Roman;serif"/>
                  <w:b w:val="false"/>
                  <w:color w:val="0000FF"/>
                  <w:sz w:val="20"/>
                  <w:u w:val="single"/>
                </w:rPr>
                <w:t>Condensed Consolidated Statements of Stockholders’ Equity for the Three and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28">
              <w:r>
                <w:rPr>
                  <w:rStyle w:val="InternetLink"/>
                  <w:rFonts w:ascii="Times New Roman;serif" w:hAnsi="Times New Roman;serif"/>
                  <w:b w:val="false"/>
                  <w:strike w:val="false"/>
                  <w:dstrike w:val="false"/>
                  <w:color w:val="000000"/>
                  <w:sz w:val="20"/>
                  <w:u w:val="none"/>
                  <w:effect w:val="none"/>
                </w:rPr>
                <w:t>8</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28">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34">
              <w:r>
                <w:rPr>
                  <w:rStyle w:val="InternetLink"/>
                  <w:rFonts w:ascii="Times New Roman;serif" w:hAnsi="Times New Roman;serif"/>
                  <w:b w:val="false"/>
                  <w:color w:val="0000FF"/>
                  <w:sz w:val="20"/>
                  <w:u w:val="single"/>
                </w:rPr>
                <w:t>Notes to Condensed Consolidated 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34">
              <w:r>
                <w:rPr>
                  <w:rStyle w:val="InternetLink"/>
                  <w:rFonts w:ascii="Times New Roman;serif" w:hAnsi="Times New Roman;serif"/>
                  <w:b w:val="false"/>
                  <w:strike w:val="false"/>
                  <w:dstrike w:val="false"/>
                  <w:color w:val="000000"/>
                  <w:sz w:val="20"/>
                  <w:u w:val="none"/>
                  <w:effect w:val="none"/>
                </w:rPr>
                <w:t>10</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76">
              <w:r>
                <w:rPr>
                  <w:rStyle w:val="InternetLink"/>
                  <w:rFonts w:ascii="Times New Roman;serif" w:hAnsi="Times New Roman;serif"/>
                  <w:b w:val="false"/>
                  <w:strike w:val="false"/>
                  <w:dstrike w:val="false"/>
                  <w:color w:val="000000"/>
                  <w:sz w:val="20"/>
                  <w:u w:val="none"/>
                  <w:effect w:val="non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76">
              <w:r>
                <w:rPr>
                  <w:rStyle w:val="InternetLink"/>
                  <w:rFonts w:ascii="Times New Roman;serif" w:hAnsi="Times New Roman;serif"/>
                  <w:b w:val="false"/>
                  <w:strike w:val="false"/>
                  <w:dstrike w:val="false"/>
                  <w:color w:val="000000"/>
                  <w:sz w:val="20"/>
                  <w:u w:val="none"/>
                  <w:effect w:val="none"/>
                </w:rPr>
                <w:t>29</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12">
              <w:r>
                <w:rPr>
                  <w:rStyle w:val="InternetLink"/>
                  <w:rFonts w:ascii="Times New Roman;serif" w:hAnsi="Times New Roman;serif"/>
                  <w:b w:val="false"/>
                  <w:strike w:val="false"/>
                  <w:dstrike w:val="false"/>
                  <w:color w:val="000000"/>
                  <w:sz w:val="20"/>
                  <w:u w:val="none"/>
                  <w:effect w:val="non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94">
              <w:r>
                <w:rPr>
                  <w:rStyle w:val="InternetLink"/>
                  <w:rFonts w:ascii="Times New Roman;serif" w:hAnsi="Times New Roman;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94">
              <w:r>
                <w:rPr>
                  <w:rStyle w:val="InternetLink"/>
                  <w:rFonts w:ascii="Times New Roman;serif" w:hAnsi="Times New Roman;serif"/>
                  <w:b w:val="false"/>
                  <w:strike w:val="false"/>
                  <w:dstrike w:val="false"/>
                  <w:color w:val="000000"/>
                  <w:sz w:val="20"/>
                  <w:u w:val="none"/>
                  <w:effect w:val="none"/>
                </w:rPr>
                <w:t>41</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97">
              <w:r>
                <w:rPr>
                  <w:rStyle w:val="InternetLink"/>
                  <w:rFonts w:ascii="Times New Roman;serif" w:hAnsi="Times New Roman;serif"/>
                  <w:b w:val="false"/>
                  <w:strike w:val="false"/>
                  <w:dstrike w:val="false"/>
                  <w:color w:val="000000"/>
                  <w:sz w:val="20"/>
                  <w:u w:val="none"/>
                  <w:effect w:val="non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97">
              <w:r>
                <w:rPr>
                  <w:rStyle w:val="InternetLink"/>
                  <w:rFonts w:ascii="Times New Roman;serif" w:hAnsi="Times New Roman;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97">
              <w:r>
                <w:rPr>
                  <w:rStyle w:val="InternetLink"/>
                  <w:rFonts w:ascii="Times New Roman;serif" w:hAnsi="Times New Roman;serif"/>
                  <w:b w:val="false"/>
                  <w:strike w:val="false"/>
                  <w:dstrike w:val="false"/>
                  <w:color w:val="000000"/>
                  <w:sz w:val="20"/>
                  <w:u w:val="none"/>
                  <w:effect w:val="none"/>
                </w:rPr>
                <w:t>41</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00">
              <w:r>
                <w:rPr>
                  <w:rStyle w:val="InternetLink"/>
                  <w:rFonts w:ascii="Times New Roman;serif" w:hAnsi="Times New Roman;serif"/>
                  <w:b w:val="false"/>
                  <w:color w:val="0000FF"/>
                  <w:sz w:val="20"/>
                  <w:u w:val="single"/>
                </w:rPr>
                <w:t>Part II. 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00">
              <w:r>
                <w:rPr>
                  <w:rStyle w:val="InternetLink"/>
                  <w:rFonts w:ascii="Times New Roman;serif" w:hAnsi="Times New Roman;serif"/>
                  <w:b w:val="false"/>
                  <w:strike w:val="false"/>
                  <w:dstrike w:val="false"/>
                  <w:color w:val="000000"/>
                  <w:sz w:val="20"/>
                  <w:u w:val="none"/>
                  <w:effect w:val="none"/>
                </w:rPr>
                <w:t>43</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03">
              <w:r>
                <w:rPr>
                  <w:rStyle w:val="InternetLink"/>
                  <w:rFonts w:ascii="Times New Roman;serif" w:hAnsi="Times New Roman;serif"/>
                  <w:b w:val="false"/>
                  <w:strike w:val="false"/>
                  <w:dstrike w:val="false"/>
                  <w:color w:val="000000"/>
                  <w:sz w:val="20"/>
                  <w:u w:val="none"/>
                  <w:effect w:val="non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03">
              <w:r>
                <w:rPr>
                  <w:rStyle w:val="InternetLink"/>
                  <w:rFonts w:ascii="Times New Roman;serif" w:hAnsi="Times New Roman;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03">
              <w:r>
                <w:rPr>
                  <w:rStyle w:val="InternetLink"/>
                  <w:rFonts w:ascii="Times New Roman;serif" w:hAnsi="Times New Roman;serif"/>
                  <w:b w:val="false"/>
                  <w:strike w:val="false"/>
                  <w:dstrike w:val="false"/>
                  <w:color w:val="000000"/>
                  <w:sz w:val="20"/>
                  <w:u w:val="none"/>
                  <w:effect w:val="none"/>
                </w:rPr>
                <w:t>43</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06">
              <w:r>
                <w:rPr>
                  <w:rStyle w:val="InternetLink"/>
                  <w:rFonts w:ascii="Times New Roman;serif" w:hAnsi="Times New Roman;serif"/>
                  <w:b w:val="false"/>
                  <w:strike w:val="false"/>
                  <w:dstrike w:val="false"/>
                  <w:color w:val="000000"/>
                  <w:sz w:val="20"/>
                  <w:u w:val="none"/>
                  <w:effect w:val="non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06">
              <w:r>
                <w:rPr>
                  <w:rStyle w:val="InternetLink"/>
                  <w:rFonts w:ascii="Times New Roman;serif" w:hAnsi="Times New Roman;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06">
              <w:r>
                <w:rPr>
                  <w:rStyle w:val="InternetLink"/>
                  <w:rFonts w:ascii="Times New Roman;serif" w:hAnsi="Times New Roman;serif"/>
                  <w:b w:val="false"/>
                  <w:strike w:val="false"/>
                  <w:dstrike w:val="false"/>
                  <w:color w:val="000000"/>
                  <w:sz w:val="20"/>
                  <w:u w:val="none"/>
                  <w:effect w:val="none"/>
                </w:rPr>
                <w:t>43</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09">
              <w:r>
                <w:rPr>
                  <w:rStyle w:val="InternetLink"/>
                  <w:rFonts w:ascii="Times New Roman;serif" w:hAnsi="Times New Roman;serif"/>
                  <w:b w:val="false"/>
                  <w:strike w:val="false"/>
                  <w:dstrike w:val="false"/>
                  <w:color w:val="000000"/>
                  <w:sz w:val="20"/>
                  <w:u w:val="none"/>
                  <w:effect w:val="non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09">
              <w:r>
                <w:rPr>
                  <w:rStyle w:val="InternetLink"/>
                  <w:rFonts w:ascii="Times New Roman;serif" w:hAnsi="Times New Roman;serif"/>
                  <w:b w:val="false"/>
                  <w:color w:val="0000FF"/>
                  <w:sz w:val="20"/>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09">
              <w:r>
                <w:rPr>
                  <w:rStyle w:val="InternetLink"/>
                  <w:rFonts w:ascii="Times New Roman;serif" w:hAnsi="Times New Roman;serif"/>
                  <w:b w:val="false"/>
                  <w:strike w:val="false"/>
                  <w:dstrike w:val="false"/>
                  <w:color w:val="000000"/>
                  <w:sz w:val="20"/>
                  <w:u w:val="none"/>
                  <w:effect w:val="none"/>
                </w:rPr>
                <w:t>43</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12">
              <w:r>
                <w:rPr>
                  <w:rStyle w:val="InternetLink"/>
                  <w:rFonts w:ascii="Times New Roman;serif" w:hAnsi="Times New Roman;serif"/>
                  <w:b w:val="false"/>
                  <w:strike w:val="false"/>
                  <w:dstrike w:val="false"/>
                  <w:color w:val="000000"/>
                  <w:sz w:val="20"/>
                  <w:u w:val="none"/>
                  <w:effect w:val="non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12">
              <w:r>
                <w:rPr>
                  <w:rStyle w:val="InternetLink"/>
                  <w:rFonts w:ascii="Times New Roman;serif" w:hAnsi="Times New Roman;serif"/>
                  <w:b w:val="false"/>
                  <w:color w:val="0000FF"/>
                  <w:sz w:val="20"/>
                  <w:u w:val="single"/>
                </w:rPr>
                <w:t>Defaults Upon Senior Securities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12">
              <w:r>
                <w:rPr>
                  <w:rStyle w:val="InternetLink"/>
                  <w:rFonts w:ascii="Times New Roman;serif" w:hAnsi="Times New Roman;serif"/>
                  <w:b w:val="false"/>
                  <w:strike w:val="false"/>
                  <w:dstrike w:val="false"/>
                  <w:color w:val="000000"/>
                  <w:sz w:val="20"/>
                  <w:u w:val="none"/>
                  <w:effect w:val="none"/>
                </w:rPr>
                <w:t>43</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15">
              <w:r>
                <w:rPr>
                  <w:rStyle w:val="InternetLink"/>
                  <w:rFonts w:ascii="Times New Roman;serif" w:hAnsi="Times New Roman;serif"/>
                  <w:b w:val="false"/>
                  <w:strike w:val="false"/>
                  <w:dstrike w:val="false"/>
                  <w:color w:val="000000"/>
                  <w:sz w:val="20"/>
                  <w:u w:val="none"/>
                  <w:effect w:val="non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15">
              <w:r>
                <w:rPr>
                  <w:rStyle w:val="InternetLink"/>
                  <w:rFonts w:ascii="Times New Roman;serif" w:hAnsi="Times New Roman;serif"/>
                  <w:b w:val="false"/>
                  <w:color w:val="0000FF"/>
                  <w:sz w:val="20"/>
                  <w:u w:val="single"/>
                </w:rPr>
                <w:t>Mine Safety Disclosures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15">
              <w:r>
                <w:rPr>
                  <w:rStyle w:val="InternetLink"/>
                  <w:rFonts w:ascii="Times New Roman;serif" w:hAnsi="Times New Roman;serif"/>
                  <w:b w:val="false"/>
                  <w:strike w:val="false"/>
                  <w:dstrike w:val="false"/>
                  <w:color w:val="000000"/>
                  <w:sz w:val="20"/>
                  <w:u w:val="none"/>
                  <w:effect w:val="none"/>
                </w:rPr>
                <w:t>43</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18">
              <w:r>
                <w:rPr>
                  <w:rStyle w:val="InternetLink"/>
                  <w:rFonts w:ascii="Times New Roman;serif" w:hAnsi="Times New Roman;serif"/>
                  <w:b w:val="false"/>
                  <w:strike w:val="false"/>
                  <w:dstrike w:val="false"/>
                  <w:color w:val="000000"/>
                  <w:sz w:val="20"/>
                  <w:u w:val="none"/>
                  <w:effect w:val="non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18">
              <w:r>
                <w:rPr>
                  <w:rStyle w:val="InternetLink"/>
                  <w:rFonts w:ascii="Times New Roman;serif" w:hAnsi="Times New Roman;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18">
              <w:r>
                <w:rPr>
                  <w:rStyle w:val="InternetLink"/>
                  <w:rFonts w:ascii="Times New Roman;serif" w:hAnsi="Times New Roman;serif"/>
                  <w:b w:val="false"/>
                  <w:strike w:val="false"/>
                  <w:dstrike w:val="false"/>
                  <w:color w:val="000000"/>
                  <w:sz w:val="20"/>
                  <w:u w:val="none"/>
                  <w:effect w:val="none"/>
                </w:rPr>
                <w:t>43</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24">
              <w:r>
                <w:rPr>
                  <w:rStyle w:val="InternetLink"/>
                  <w:rFonts w:ascii="Times New Roman;serif" w:hAnsi="Times New Roman;serif"/>
                  <w:b w:val="false"/>
                  <w:strike w:val="false"/>
                  <w:dstrike w:val="false"/>
                  <w:color w:val="000000"/>
                  <w:sz w:val="20"/>
                  <w:u w:val="none"/>
                  <w:effect w:val="non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24">
              <w:r>
                <w:rPr>
                  <w:rStyle w:val="InternetLink"/>
                  <w:rFonts w:ascii="Times New Roman;serif" w:hAnsi="Times New Roman;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24">
              <w:r>
                <w:rPr>
                  <w:rStyle w:val="InternetLink"/>
                  <w:rFonts w:ascii="Times New Roman;serif" w:hAnsi="Times New Roman;serif"/>
                  <w:b w:val="false"/>
                  <w:strike w:val="false"/>
                  <w:dstrike w:val="false"/>
                  <w:color w:val="000000"/>
                  <w:sz w:val="20"/>
                  <w:u w:val="none"/>
                  <w:effect w:val="none"/>
                </w:rPr>
                <w:t>43</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8353feb0e3a47078e74de9cc37e0b84_127">
              <w:r>
                <w:rPr>
                  <w:rStyle w:val="InternetLink"/>
                  <w:rFonts w:ascii="Times New Roman;serif" w:hAnsi="Times New Roman;serif"/>
                  <w:b w:val="false"/>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8353feb0e3a47078e74de9cc37e0b84_127">
              <w:r>
                <w:rPr>
                  <w:rStyle w:val="InternetLink"/>
                  <w:rFonts w:ascii="Times New Roman;serif" w:hAnsi="Times New Roman;serif"/>
                  <w:b w:val="false"/>
                  <w:strike w:val="false"/>
                  <w:dstrike w:val="false"/>
                  <w:color w:val="000000"/>
                  <w:sz w:val="20"/>
                  <w:u w:val="none"/>
                  <w:effect w:val="none"/>
                </w:rPr>
                <w:t>46</w:t>
              </w:r>
            </w:hyperlink>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(this “Quarterly Report”)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“may,” “will,” “should,” “could,” “would,” “expects,” “plans,” “anticipates,” “goal,” “believes,” “estimates,” “positions,” “predictive,” “projects,” “predicts,” “intends,” “potential,” “continue,” “seeks” and similar expressions and the negatives of those terms. In particular, forward-looking statements contained in this Quarterly Report relate to, among other things: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successfully commercialize Rezdiffra, our only approved product, for the treatment of metabolic dysfunction-associated steatohepatitis (“MASH”) with moderate to advanced liver fibrosis (consistent with stages F2 to F3 fibrosis);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obtain and maintain full approval for Rezdiffra from the U.S. Food and Drug Administration (the “FDA”) and the European Medicines Agency;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successfully, or in a timely manner, report positive results from our outcomes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obtain and maintain regulatory approval to expand Rezdiffra’s indication to a broader MASH patient population;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expectations regarding the degree of market acceptance of Rezdiffra by physicians, patients, third-party payors and others in the healthcare community, our ability to obtain and maintain adequate reimbursement from government and third-party payors for Rezdiffra or acceptable prices for Rezdiffra and Rezdiffra’s leadership position;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possible or assumed future business strategies and plans (including potential ex-U.S. commercial or partnering opportunities) and potential growth opportunities and our ability to acquire or in-license new product candidates and technologies;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expectations and plans related to clinical trials, including anticipated timing of initiating clinical trials and the receipt of data from our clinical trials, our ability to successfully conduct our current or any future clinical trials necessary for regulatory approval and our ability to delay certain research activities and related clinical expenses as necessary;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and maintain an effective commercial organization, including sales and marketing representatives, and the ability of third parties on which we rely to manufacture Rezdiffra or any other future product candidate for our commercial or clinical needs;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anticipated or estimated future results, including our future operating performance and financial position, estimates of our expenses and liquidity and our ability to raise additional capital as needed, our ability to achieve or maintain profitability and our ability to comply with the covenants included in our loan facility;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adequately protect our intellectual property rights or prevent disclosure of our trade secrets and other proprietary information and costs associated with litigation or other proceedings related to such matters;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successfully complete business development transactions and receive the expected benefits of such transactions, and our ability to comply with our obligations under any of our current or future license agreements, including the license agreement with F. Hoffmann-La Roche AG in respect of resmetirom;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regulation of the healthcare industry, including potential pricing reform, and general economic conditions in the United States, Europe and globally, including the impact of tariffs and inflation, that may affect us, our suppliers, third-party service providers and potential partners.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reflect management’s current views with respect to future events and with respect to our business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in our Annual Report on Form 10-K for the fiscal year ended December 31, 2025 and Part II, Item 1A, “Risk Factors” in this Quarterly Report and elsewhere in this Quarterly Report. Other sections of this Quarterly Report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 You are advised, however, to consult any further disclosure we make in our reports filed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PART I—FINANCIAL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MADRIGAL PHARMACEUTICALS,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except share and per share amounts) </w:t>
      </w:r>
    </w:p>
    <w:tbl>
      <w:tblPr>
        <w:tblW w:w="10205" w:type="dxa"/>
        <w:jc w:val="left"/>
        <w:tblInd w:w="0" w:type="dxa"/>
        <w:tblLayout w:type="fixed"/>
        <w:tblCellMar>
          <w:top w:w="28" w:type="dxa"/>
          <w:left w:w="28" w:type="dxa"/>
          <w:bottom w:w="28" w:type="dxa"/>
          <w:right w:w="28" w:type="dxa"/>
        </w:tblCellMar>
      </w:tblPr>
      <w:tblGrid>
        <w:gridCol w:w="2786"/>
        <w:gridCol w:w="2255"/>
        <w:gridCol w:w="2198"/>
        <w:gridCol w:w="211"/>
        <w:gridCol w:w="976"/>
        <w:gridCol w:w="109"/>
        <w:gridCol w:w="109"/>
        <w:gridCol w:w="109"/>
        <w:gridCol w:w="109"/>
        <w:gridCol w:w="211"/>
        <w:gridCol w:w="976"/>
        <w:gridCol w:w="156"/>
      </w:tblGrid>
      <w:tr>
        <w:trPr/>
        <w:tc>
          <w:tcPr>
            <w:tcW w:w="278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198,693 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784,866 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 xml:space="preserve">Trade receivables,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74,841 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47,804 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1,199,180 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1,245,770 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1,244,645 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1,259,589 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48,878 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260,392 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310,288 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 payable, net of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339,881 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 term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346,717 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346,612 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656,900 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$0.0001 per share authorized: 5,000,000 shares at June 30, 2026 and December 31, 2025; 2,369,797 shares issued and outstanding at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 authorized: 200,000,000 shares at June 30, 2026 and December 31, 2025; 23,093,974 and 22,842,073 shares issued and outstanding at June 30,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2,765,710 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2,692,280 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(2,090,466)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523,724 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602,689 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1,244,645 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1,259,589 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MADRIGAL PHARMACEUTICALS,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except share and per share amounts) </w:t>
      </w:r>
    </w:p>
    <w:tbl>
      <w:tblPr>
        <w:tblW w:w="10205" w:type="dxa"/>
        <w:jc w:val="center"/>
        <w:tblInd w:w="0" w:type="dxa"/>
        <w:tblLayout w:type="fixed"/>
        <w:tblCellMar>
          <w:top w:w="28" w:type="dxa"/>
          <w:left w:w="28" w:type="dxa"/>
          <w:bottom w:w="28" w:type="dxa"/>
          <w:right w:w="28" w:type="dxa"/>
        </w:tblCellMar>
      </w:tblPr>
      <w:tblGrid>
        <w:gridCol w:w="1736"/>
        <w:gridCol w:w="1376"/>
        <w:gridCol w:w="1386"/>
        <w:gridCol w:w="211"/>
        <w:gridCol w:w="826"/>
        <w:gridCol w:w="109"/>
        <w:gridCol w:w="109"/>
        <w:gridCol w:w="109"/>
        <w:gridCol w:w="109"/>
        <w:gridCol w:w="211"/>
        <w:gridCol w:w="826"/>
        <w:gridCol w:w="109"/>
        <w:gridCol w:w="109"/>
        <w:gridCol w:w="109"/>
        <w:gridCol w:w="109"/>
        <w:gridCol w:w="211"/>
        <w:gridCol w:w="874"/>
        <w:gridCol w:w="109"/>
        <w:gridCol w:w="109"/>
        <w:gridCol w:w="109"/>
        <w:gridCol w:w="109"/>
        <w:gridCol w:w="211"/>
        <w:gridCol w:w="874"/>
        <w:gridCol w:w="155"/>
      </w:tblGrid>
      <w:tr>
        <w:trPr/>
        <w:tc>
          <w:tcPr>
            <w:tcW w:w="1736"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350,052 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98,253 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364,734 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824,620 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476,565 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(149,031)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(126,513)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(115,519)</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Series A preferred and Series B preferred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Series A preferred, and Series B preferred share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bookmarkStart w:id="0" w:name="i9d2252d351484fde9c9f49072babde5f_16-5-2"/>
            <w:bookmarkEnd w:id="0"/>
            <w:r>
              <w:rPr>
                <w:rFonts w:ascii="Times New Roman;serif" w:hAnsi="Times New Roman;serif"/>
                <w:b w:val="false"/>
                <w:color w:val="000000"/>
                <w:sz w:val="20"/>
              </w:rPr>
              <w:t>(5.24)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number of shares outstanding (Note 13)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29,145,271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28,232,604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29,089,148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28,159,333</w:t>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MADRIGAL PHARMACEUTICALS,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LOSS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w:t>
      </w:r>
    </w:p>
    <w:tbl>
      <w:tblPr>
        <w:tblW w:w="9885" w:type="dxa"/>
        <w:jc w:val="center"/>
        <w:tblInd w:w="0" w:type="dxa"/>
        <w:tblLayout w:type="fixed"/>
        <w:tblCellMar>
          <w:top w:w="28" w:type="dxa"/>
          <w:left w:w="28" w:type="dxa"/>
          <w:bottom w:w="28" w:type="dxa"/>
          <w:right w:w="28" w:type="dxa"/>
        </w:tblCellMar>
      </w:tblPr>
      <w:tblGrid>
        <w:gridCol w:w="1516"/>
        <w:gridCol w:w="1331"/>
        <w:gridCol w:w="1338"/>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901"/>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(115,519)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(58,213)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(152,395)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(114,876)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MADRIGAL PHARMACEUTICALS,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amounts)</w:t>
      </w:r>
    </w:p>
    <w:tbl>
      <w:tblPr>
        <w:tblW w:w="12113" w:type="dxa"/>
        <w:jc w:val="center"/>
        <w:tblInd w:w="0" w:type="dxa"/>
        <w:tblLayout w:type="fixed"/>
        <w:tblCellMar>
          <w:top w:w="28" w:type="dxa"/>
          <w:left w:w="28" w:type="dxa"/>
          <w:bottom w:w="28" w:type="dxa"/>
          <w:right w:w="28" w:type="dxa"/>
        </w:tblCellMar>
      </w:tblPr>
      <w:tblGrid>
        <w:gridCol w:w="877"/>
        <w:gridCol w:w="296"/>
        <w:gridCol w:w="298"/>
        <w:gridCol w:w="309"/>
        <w:gridCol w:w="309"/>
        <w:gridCol w:w="313"/>
        <w:gridCol w:w="109"/>
        <w:gridCol w:w="109"/>
        <w:gridCol w:w="109"/>
        <w:gridCol w:w="211"/>
        <w:gridCol w:w="406"/>
        <w:gridCol w:w="109"/>
        <w:gridCol w:w="109"/>
        <w:gridCol w:w="109"/>
        <w:gridCol w:w="109"/>
        <w:gridCol w:w="344"/>
        <w:gridCol w:w="344"/>
        <w:gridCol w:w="348"/>
        <w:gridCol w:w="109"/>
        <w:gridCol w:w="109"/>
        <w:gridCol w:w="109"/>
        <w:gridCol w:w="253"/>
        <w:gridCol w:w="307"/>
        <w:gridCol w:w="131"/>
        <w:gridCol w:w="109"/>
        <w:gridCol w:w="109"/>
        <w:gridCol w:w="109"/>
        <w:gridCol w:w="211"/>
        <w:gridCol w:w="976"/>
        <w:gridCol w:w="109"/>
        <w:gridCol w:w="109"/>
        <w:gridCol w:w="109"/>
        <w:gridCol w:w="109"/>
        <w:gridCol w:w="263"/>
        <w:gridCol w:w="770"/>
        <w:gridCol w:w="138"/>
        <w:gridCol w:w="109"/>
        <w:gridCol w:w="109"/>
        <w:gridCol w:w="109"/>
        <w:gridCol w:w="211"/>
        <w:gridCol w:w="991"/>
        <w:gridCol w:w="109"/>
        <w:gridCol w:w="109"/>
        <w:gridCol w:w="109"/>
        <w:gridCol w:w="109"/>
        <w:gridCol w:w="211"/>
        <w:gridCol w:w="826"/>
        <w:gridCol w:w="154"/>
      </w:tblGrid>
      <w:tr>
        <w:trPr/>
        <w:tc>
          <w:tcPr>
            <w:tcW w:w="8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other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Accumulated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stockholders’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equity </w:t>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22,842,073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2,692,280 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(2,090,466)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602,689 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plans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equity-classified awards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23,041,918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2,727,227 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(2,184,857)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543,454 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plans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equity-classified awards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23,093,974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2,765,710 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(2,242,796)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523,724 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22,004,679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(1,802,182)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754,383 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plans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equity-classified awards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(73,238)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9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2,369,797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22,187,716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2,585,666 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(1,875,420)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710,637 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equity plans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equity-classified awards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2,369,797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22,221,116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(1,917,701)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695,978 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MADRIGAL PHARMACEUTICALS,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in thousands) </w:t>
      </w:r>
    </w:p>
    <w:tbl>
      <w:tblPr>
        <w:tblW w:w="10205" w:type="dxa"/>
        <w:jc w:val="center"/>
        <w:tblInd w:w="0" w:type="dxa"/>
        <w:tblLayout w:type="fixed"/>
        <w:tblCellMar>
          <w:top w:w="28" w:type="dxa"/>
          <w:left w:w="28" w:type="dxa"/>
          <w:bottom w:w="28" w:type="dxa"/>
          <w:right w:w="28" w:type="dxa"/>
        </w:tblCellMar>
      </w:tblPr>
      <w:tblGrid>
        <w:gridCol w:w="2674"/>
        <w:gridCol w:w="2354"/>
        <w:gridCol w:w="2361"/>
        <w:gridCol w:w="211"/>
        <w:gridCol w:w="900"/>
        <w:gridCol w:w="109"/>
        <w:gridCol w:w="109"/>
        <w:gridCol w:w="109"/>
        <w:gridCol w:w="109"/>
        <w:gridCol w:w="211"/>
        <w:gridCol w:w="900"/>
        <w:gridCol w:w="158"/>
      </w:tblGrid>
      <w:tr>
        <w:trPr/>
        <w:tc>
          <w:tcPr>
            <w:tcW w:w="2674"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81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3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(115,519)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write-down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non-cash items,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(25,409)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(29,429)</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(5,624)</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32,784 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net of interest received on maturity of investments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(135,943)</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(356,346)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568,082 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211,736 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2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common stock options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86,174 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292,881 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191,193 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Obtaining an operating lease right-of-use asset in exchange for an operating 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MADRIGAL PHARMACEUTICALS, INC.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1. Organization, Business, and Basis of Presentation </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 xml:space="preserve">Organization and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Madrigal Pharmaceuticals, Inc. (the “Company” or “Madrigal”) is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the second leading cause of all liver transplantation in the United States, and the fastest-growing indication for liver transplantation in Europe. The Company’s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Following receipt of conditional marketing authorization from the European Commission (“EC”), the Company launched Rezdiffra in Germany in September 2025. Rezdiffra was the first medication approved by both the FDA and EC for the treatment of adults with noncirrhotic MASH with moderate to advanced liver fibrosis (F2 to F3 fibrosis). The Company is also evaluating Rezdiffra in patients with compensated MASH cirrhosis (consistent with F4c fibrosis) in its MAESTRO-NASH OUTCOMES trial, that, if successful, could expand the eligible patient population for Rezdiffra. In addition, the Company expects to evaluate its pipeline candidates with the goal of delivering best-in-disease therapies for the treatment of MASH.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2026 or any subsequent period. These unaudited condensed consolidated financial statements should be read in conjunction with the audited consolidated financial statements and the notes to those financial statements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 xml:space="preserve">Principle of Consolidation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have been prepared in conformity with GAAP and include accounts of the Company and its wholly-owned subsidiaries. All significant intercompany balances and transactions have been eliminated in consolidation.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Use of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in accordance with Financial Accounting Standards Board (“FASB”) Accounting Standards Codification (“ASC”) Topic 606 - Revenue from Contracts with Customers (“ASC 606”). Revenue is recognized at a point in time when the customer obtains control of promised goods or services in an amount that reflects the consideration to which the entity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(iii) determine the transaction price; (iv) allocate the transaction price to the performance obligation(s) in the contract; and (v) recognize revenue when (or as) the Company satisfies its performance obligation(s). </w:t>
      </w:r>
    </w:p>
    <w:p>
      <w:pPr>
        <w:pStyle w:val="TextBody"/>
        <w:bidi w:val="0"/>
        <w:spacing w:lineRule="auto" w:line="268" w:before="360" w:after="283"/>
        <w:jc w:val="left"/>
        <w:rPr>
          <w:rFonts w:ascii="Times New Roman;serif" w:hAnsi="Times New Roman;serif"/>
          <w:b/>
          <w:color w:val="000000"/>
          <w:sz w:val="20"/>
        </w:rPr>
      </w:pPr>
      <w:r>
        <w:rPr>
          <w:rFonts w:ascii="Times New Roman;serif" w:hAnsi="Times New Roman;serif"/>
          <w:b/>
          <w:color w:val="000000"/>
          <w:sz w:val="20"/>
        </w:rPr>
        <w:t>Product Revenue, Net</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14, 2024, the Company announced that the FDA granted accelerated approval of Rezdiffra (resmetirom) in conjunction with diet and exercise for the treatment of adults with noncirrhotic MASH with moderate to advanced liver fibrosis (consistent with stages F2 to F3 fibrosis). In addition, the Company commercially launched Rezdiffra in Germany in September 2025 following receipt of conditional marketing authorization from the EC. The Company enters into agreements with specialty pharmacies and specialty distributors (each a “Customer” and collectively the “Customers”) to sell Rezdiffra in the U.S. Revenues from product sales are recognized when the Customer obtains control of the Company’s product, which occurs at a point in time, typically upon delivery to the Customer.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is recorded net of variable consideration, which includes prompt pay discounts, returns, chargebacks, rebates and co-payment assistance. The variable consideration is estimated based on contractual terms as well as management assumptions and historical data.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Accruals are established for gross to net deductions and actual amounts incurred are offset against applicable accruals. The Company reflects these accruals as either a reduction in the related account receivable from the customer or as a current liability, depending on the means by which the deduction is settled. Sales deductions are based on management’s estimates that involve a substantial degree of judgment.</w:t>
      </w:r>
    </w:p>
    <w:p>
      <w:pPr>
        <w:pStyle w:val="TextBody"/>
        <w:bidi w:val="0"/>
        <w:spacing w:lineRule="auto" w:line="268" w:before="240" w:after="283"/>
        <w:ind w:left="0" w:right="0" w:firstLine="720"/>
        <w:jc w:val="left"/>
        <w:rPr/>
      </w:pPr>
      <w:r>
        <w:rPr>
          <w:rFonts w:ascii="Times New Roman;serif" w:hAnsi="Times New Roman;serif"/>
          <w:b w:val="false"/>
          <w:i/>
          <w:color w:val="000000"/>
          <w:sz w:val="20"/>
        </w:rPr>
        <w:t>Prompt Pay</w:t>
      </w:r>
      <w:r>
        <w:rPr>
          <w:rFonts w:ascii="Times New Roman;serif" w:hAnsi="Times New Roman;serif"/>
          <w:b w:val="false"/>
          <w:color w:val="000000"/>
          <w:sz w:val="20"/>
        </w:rPr>
        <w:t>: Customers receive a prompt pay discount for payments made within a contractually agreed number of days before the due date. The discounts are accounted for as a reduction of the transaction price and recorded as a contra receivable.</w:t>
      </w:r>
    </w:p>
    <w:p>
      <w:pPr>
        <w:pStyle w:val="TextBody"/>
        <w:bidi w:val="0"/>
        <w:spacing w:lineRule="auto" w:line="268" w:before="240" w:after="283"/>
        <w:ind w:left="0" w:right="0" w:firstLine="720"/>
        <w:jc w:val="left"/>
        <w:rPr/>
      </w:pPr>
      <w:r>
        <w:rPr>
          <w:rFonts w:ascii="Times New Roman;serif" w:hAnsi="Times New Roman;serif"/>
          <w:b w:val="false"/>
          <w:i/>
          <w:color w:val="000000"/>
          <w:sz w:val="20"/>
        </w:rPr>
        <w:t>Returns</w:t>
      </w:r>
      <w:r>
        <w:rPr>
          <w:rFonts w:ascii="Times New Roman;serif" w:hAnsi="Times New Roman;serif"/>
          <w:b w:val="false"/>
          <w:color w:val="000000"/>
          <w:sz w:val="20"/>
        </w:rPr>
        <w:t>: The Company records allowances for product returns as a reduction of revenue at the time product sales are recorded. Product returns are estimated based on forecasted sales and historical and industry data. Returns are permitted in accordance with the return goods policy defined within each customer agreement. The returns reserve is recorded as an accrued liability.</w:t>
      </w:r>
    </w:p>
    <w:p>
      <w:pPr>
        <w:pStyle w:val="TextBody"/>
        <w:bidi w:val="0"/>
        <w:spacing w:lineRule="auto" w:line="268" w:before="240" w:after="283"/>
        <w:ind w:left="0" w:right="0" w:firstLine="720"/>
        <w:jc w:val="left"/>
        <w:rPr/>
      </w:pPr>
      <w:r>
        <w:rPr>
          <w:rFonts w:ascii="Times New Roman;serif" w:hAnsi="Times New Roman;serif"/>
          <w:b w:val="false"/>
          <w:i/>
          <w:color w:val="000000"/>
          <w:sz w:val="20"/>
        </w:rPr>
        <w:t>Chargebacks</w:t>
      </w:r>
      <w:r>
        <w:rPr>
          <w:rFonts w:ascii="Times New Roman;serif" w:hAnsi="Times New Roman;serif"/>
          <w:b w:val="false"/>
          <w:color w:val="000000"/>
          <w:sz w:val="20"/>
        </w:rPr>
        <w:t>: The Company estimates obligations resulting from contractual commitments with the government and other entities to sell products to qualified healthcare providers at prices lower than the list price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pStyle w:val="TextBody"/>
        <w:bidi w:val="0"/>
        <w:spacing w:lineRule="auto" w:line="268" w:before="240" w:after="283"/>
        <w:ind w:left="0" w:right="0" w:firstLine="720"/>
        <w:jc w:val="left"/>
        <w:rPr/>
      </w:pPr>
      <w:r>
        <w:rPr>
          <w:rFonts w:ascii="Times New Roman;serif" w:hAnsi="Times New Roman;serif"/>
          <w:b w:val="false"/>
          <w:i/>
          <w:color w:val="000000"/>
          <w:sz w:val="20"/>
        </w:rPr>
        <w:t>Co-Payment Assistance</w:t>
      </w:r>
      <w:r>
        <w:rPr>
          <w:rFonts w:ascii="Times New Roman;serif" w:hAnsi="Times New Roman;serif"/>
          <w:b w:val="false"/>
          <w:color w:val="000000"/>
          <w:sz w:val="20"/>
        </w:rPr>
        <w:t>: Co-payment assistance programs are offered to eligible end-users as price concessions and are recorded as accrued liabilities and a reduction of the transaction price. The Company uses a third-party to administer the co-payment program for pharmacy benefit claims.</w:t>
      </w:r>
    </w:p>
    <w:p>
      <w:pPr>
        <w:pStyle w:val="TextBody"/>
        <w:bidi w:val="0"/>
        <w:spacing w:lineRule="auto" w:line="268" w:before="240" w:after="283"/>
        <w:ind w:left="0" w:right="0" w:firstLine="720"/>
        <w:jc w:val="left"/>
        <w:rPr/>
      </w:pPr>
      <w:r>
        <w:rPr>
          <w:rFonts w:ascii="Times New Roman;serif" w:hAnsi="Times New Roman;serif"/>
          <w:b w:val="false"/>
          <w:i/>
          <w:color w:val="000000"/>
          <w:sz w:val="20"/>
        </w:rPr>
        <w:t>Rebates</w:t>
      </w:r>
      <w:r>
        <w:rPr>
          <w:rFonts w:ascii="Times New Roman;serif" w:hAnsi="Times New Roman;serif"/>
          <w:b w:val="false"/>
          <w:color w:val="000000"/>
          <w:sz w:val="20"/>
        </w:rPr>
        <w:t>: The Company’s rebates include amounts paid to Medicaid, Medicare, certain other payors and other rebate programs. Reserves for rebates are recorded in the same period the related product revenue is recognized, resulting in a reduction of product revenues and an accrued liability. The Company’s estimate for rebates is based on statutory or contractual discount rates, expected utilization or an estimated number of patients on treatment, as applicable.</w:t>
      </w:r>
    </w:p>
    <w:p>
      <w:pPr>
        <w:pStyle w:val="TextBody"/>
        <w:bidi w:val="0"/>
        <w:spacing w:lineRule="auto" w:line="268" w:before="360" w:after="283"/>
        <w:jc w:val="left"/>
        <w:rPr>
          <w:rFonts w:ascii="Times New Roman;serif" w:hAnsi="Times New Roman;serif"/>
          <w:b/>
          <w:color w:val="000000"/>
          <w:sz w:val="20"/>
        </w:rPr>
      </w:pPr>
      <w:r>
        <w:rPr>
          <w:rFonts w:ascii="Times New Roman;serif" w:hAnsi="Times New Roman;serif"/>
          <w:b/>
          <w:color w:val="000000"/>
          <w:sz w:val="20"/>
        </w:rPr>
        <w:t>Trade Receivables, Net</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trade receivables relate to amounts due from Customers related to product sales and are recorded net of chargebacks, prompt pay discounts and other allowances. The Company assesses collectibility of overdue receivables and those determined to be uncollectible are written-off. As of June 30, 2026, there were no receivables written off. No allowance for credit loss was recognized as of June 30, 2026 or December 31, 2025.</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Cash and Cash Equivalents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debt instruments with an original maturity of three months or less to be cash equivalents. The carrying amount reported in the Company’s consolidated balance sheets for cash and cash equivalents approximates its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Marketable Securities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consist of available-for-sale debt securities that are presented as current assets in the Company’s consolidated balance sheets.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six months ended June 30, 2026 and 2025, the Company determined it did not have any securities that were other-than-temporarily impaired.</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six months ended June 30, 2026 and 2025, realized gains and losses on marketable securities were not material to the consolidated financial statements.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Fair Value of Financial Instruments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1—quoted prices in active markets for identical assets and liabilities.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2—observable inputs other than Level 1 inputs. Examples of Level 2 inputs include quoted prices in active markets for similar assets or liabilities and quoted prices for identical assets or liabilities in markets that are not active.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3—unobservable inputs that reflect the Company’s own assumptions about the assumptions market participants would use in pricing the asset or liability.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six months ended June 30, 2026 and 2025, the Company did not have any transfers of financial assets between Levels 1 and 2. As of June 30, 2026 and December 31, 2025, the Company did not have any financial liabilities that were recorded at fair value on a recurring basis on the balance sheet.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which consists of work-in-process and finished goods, is stated at the lower of cost or estimated net realizable value, using either actual or standard cost depending on the stage of inventory, based on a first-in, first-out method. The balance sheet classification of inventory as current or non-current is determined by whether the inventory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of Operations. The Company capitalizes inventory costs when future commercial sale in the ordinary course of business is probable.</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rather were expensed as incurred as research and development expenses. The Company began capitalizing inventory in March 2024 after FDA accelerated approval was granted for Rezdiffra.</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includes the cost of manufacturing and distribution of inventory related to sales of Rezdiffra, including salaries, benefits and stock-based compensation expense for employees dedicated to the production of Rezdiffra. Cost of sales also includes royalties payable to F. Hoffmann-La Roche AG (“Roche”) based on net sales of Rezdiffra. The Company estimates its annual royalty obligation and recognizes its related cost of sales at an estimated blended royalty rate each quarterly period.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Research and Development Costs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are expensed as incurred. Research and development costs are comprised of costs incurred in performing research and development activities, including internal costs (including cash compensation and stock-based compensation paid to research and development employees), costs for consultants, upfront and milestone payments under licensing agreements, and other costs associated with the Company’s preclinical and clinical programs. In particular, the Company has conducted safety studies in animals, optimized and implemented the manufacturing of its product candidates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Selling, 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salaries, benefits and stock-based compensation expenses for employees other than research and development employees and employees dedicated to the production of Rezdiffra, management costs, costs associated with obtaining and maintaining our patent portfolio, commercial and marketing activities, advertising, professional fees for accounting, auditing, consulting and legal services and allocated overhead expenses.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contract inception. All leases are classified as operating leases. Lease assets represent the right to use an underlying asset for the lease term and lease liabilities represent an obligation to make lease payments arising from the leasing arrangement. Operating lease assets and liabilities are recognized at commencement date based on the present value of lease payments over the lease term. When an implicit rate is not readily determinable, an incremental borrowing rate is estimated based on information available at commencement. Lease expense is recognized on a straight-line basis over the lease term. Short-term leases of 12 months or less at commencement date are expensed as incurred.</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Patents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to secure and defend patents are expensed as incurred and are classified as selling, general and administrative expense in the Company’s consolidated statements of operations.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with finite lives consist of regulatory approval milestones, which are amortized to cost of sales over their estimated useful lives using the straight-line method. Intangible assets are tested for recoverability whenever events or changes in circumstances indicate that the carrying amounts may not be recoverable.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For the period ended June 30, 2026, the Company used the expected term based on historical Company exercise data for employee stock options and the simplified method for non-employee stock options. Expected volatility is based upon an industry estimate, the Company’s historical trading activity, or a blended rate of the two.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Income Taxes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income taxes in accordance with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financial statement effects of a tax position when it is more likely than not (a likelihood of greater than 50%) that the position will be sustained upon examination by the relevant taxing authority, based on the technical merits of the position. Uncertain tax positions are recorded based upon certain recognition and measurement criteria. The Company re-evaluates uncertain tax positions at each reporting date and considers all available information, including, but not limited to, changes in tax laws or regulations, developments in case law, changes in the expected timing or outcome of audits, settlements with taxing authorities, and changes in facts or circumstances related to a particular tax position. Adjustments to recognized tax positions are recorded in the period in which new information becomes available. Interest and penalties related to unrecognized tax benefits are recognized as a component of income tax expense in the Company’s consolidated statements of operations.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Comprehensive Income (Loss)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is defined as the change in equity of a business enterprise during a period from transactions and other events and circumstances from non-owner sources. The difference between the Company’s net income (loss) and comprehensive income (loss) includes changes in unrealized gains and losses on marketable securities and foreign currency translation adjustments.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Recent Issued Accounting Pronouncements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new accounting pronouncements are issued by the FASB or other standard setting bodies and adopted by the Company as of the specified effective date. Except as noted below, the Company believes that the impact of recently issued standards that are not yet effective will not have a material impact on its condensed consolidated financial statements and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ind w:left="0" w:right="0" w:firstLine="720"/>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The Company is currently evaluating the impact of ASU 2024-03 on its consolidated financial statements.</w:t>
      </w:r>
    </w:p>
    <w:p>
      <w:pPr>
        <w:pStyle w:val="TextBody"/>
        <w:bidi w:val="0"/>
        <w:spacing w:lineRule="auto" w:line="276" w:before="240" w:after="283"/>
        <w:ind w:left="0" w:right="0" w:firstLine="72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w:t>
      </w:r>
      <w:r>
        <w:rPr>
          <w:rFonts w:ascii="Times New Roman;serif" w:hAnsi="Times New Roman;serif"/>
          <w:b w:val="false"/>
          <w:color w:val="000000"/>
          <w:sz w:val="20"/>
        </w:rPr>
        <w:t xml:space="preserve">, which clarifies and reorganizes interim reporting disclosure requirements and introduces a principle requiring disclosure of material events and transactions occurring since the end of the prior annual reporting period. The standard is effective for annual reporting periods beginning after December 15, 2027, including interim periods within those annual reporting periods. Early adoption is permitted. The Company is currently evaluating the impact the adoption of ASU 2025-11 will have on its interim financial statement disclosures and does not expect the adoption to have a material impact on its consolidated financial statements. </w:t>
      </w:r>
    </w:p>
    <w:p>
      <w:pPr>
        <w:pStyle w:val="TextBody"/>
        <w:bidi w:val="0"/>
        <w:spacing w:lineRule="auto" w:line="276" w:before="240" w:after="283"/>
        <w:ind w:left="0" w:right="0" w:firstLine="720"/>
        <w:jc w:val="left"/>
        <w:rPr/>
      </w:pPr>
      <w:r>
        <w:rPr>
          <w:rFonts w:ascii="Times New Roman;serif" w:hAnsi="Times New Roman;serif"/>
          <w:b w:val="false"/>
          <w:color w:val="000000"/>
          <w:sz w:val="20"/>
        </w:rPr>
        <w:t xml:space="preserve">In December 2025, the FASB issued ASU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provides technical corrections and clarifications across multiple Accounting Standards Codification topics, including guidance related to diluted earnings per share under ASC 260. The standard is effective for annual reporting periods beginning after December 15, 2026, with certain amendments also applying to interim periods within those annual reporting periods. Early adoption is permitted for individual amendments. The Company is currently evaluating the impact the adoption of ASU 2025-12 will have on its consolidated financial statements and does not expect the adoption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3. Liquidity and Uncertainties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applicable regulations.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incurred losses since inception, including approximately $152.3 million for the six months ended June 30, 2026, resulting in an accumulated deficit of approximately $2,242.8 million as of June 30, 2026. The Company has historically funded its operations primarily through proceeds from sales of the Company’s capital stock and debt financings. In July 2025, the Company entered into a senior secured credit facility that provides up to $500.0 million. See Note 8 “Long Term Debt” for additional details. In addition, following FDA and EC approval, the Company receives revenue from sales of Rezdiffra. Management expects to incur losses until the Company is able to generate sufficient revenue from Rezdiffra and any other approved products. The Company believes that its cash, cash equivalents and marketable securities at June 30, 2026 will be sufficient to fund operations past one year from the issuance of these financial statements. The Company’s future long-term liquidity requirements will be substantial and will depend on many factors, including the Company’s ability to effectively commercialize Rezdiffra, the Company’s decisions regarding future geographic expansion, the conduct of any future preclinical studies and clinical trials, the Company entering into any strategic transactions, the Company’s ability to maintain compliance with the liquidity covenant in the Financing Agreement (as defined in Note 8) and potential milestone payments payable pursuant to its license agreements.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commercial activities, geographic expansion activities, and certain research activities and related clinical expenses if necessary due to liquidity concerns until a date when those concerns are relieved.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4. Product Revenue, Net</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balances and activity for gross to net reserves (in thousands):</w:t>
      </w:r>
    </w:p>
    <w:tbl>
      <w:tblPr>
        <w:tblW w:w="10205" w:type="dxa"/>
        <w:jc w:val="center"/>
        <w:tblInd w:w="0" w:type="dxa"/>
        <w:tblLayout w:type="fixed"/>
        <w:tblCellMar>
          <w:top w:w="28" w:type="dxa"/>
          <w:left w:w="28" w:type="dxa"/>
          <w:bottom w:w="28" w:type="dxa"/>
          <w:right w:w="28" w:type="dxa"/>
        </w:tblCellMar>
      </w:tblPr>
      <w:tblGrid>
        <w:gridCol w:w="999"/>
        <w:gridCol w:w="800"/>
        <w:gridCol w:w="805"/>
        <w:gridCol w:w="644"/>
        <w:gridCol w:w="2202"/>
        <w:gridCol w:w="333"/>
        <w:gridCol w:w="109"/>
        <w:gridCol w:w="109"/>
        <w:gridCol w:w="109"/>
        <w:gridCol w:w="473"/>
        <w:gridCol w:w="1854"/>
        <w:gridCol w:w="244"/>
        <w:gridCol w:w="109"/>
        <w:gridCol w:w="109"/>
        <w:gridCol w:w="109"/>
        <w:gridCol w:w="211"/>
        <w:gridCol w:w="826"/>
        <w:gridCol w:w="160"/>
      </w:tblGrid>
      <w:tr>
        <w:trPr/>
        <w:tc>
          <w:tcPr>
            <w:tcW w:w="99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Chargebacks, Discounts for Prompt Pay and Other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Rebates, Co-Pay Assistance, Returns,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6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8,838 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90,504 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99,342 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related to sales in the current year</w:t>
            </w:r>
          </w:p>
        </w:tc>
        <w:tc>
          <w:tcPr>
            <w:tcW w:w="28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77,223 </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264,464 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341,687 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related to prior year sales</w:t>
            </w:r>
          </w:p>
        </w:tc>
        <w:tc>
          <w:tcPr>
            <w:tcW w:w="28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(2,286)</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and customer credits issued</w:t>
            </w:r>
          </w:p>
        </w:tc>
        <w:tc>
          <w:tcPr>
            <w:tcW w:w="28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(60,285)</w:t>
            </w:r>
          </w:p>
        </w:tc>
        <w:tc>
          <w:tcPr>
            <w:tcW w:w="3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(199,517)</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(259,802)</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23,490 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152,272 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175,762 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360" w:after="283"/>
        <w:jc w:val="left"/>
        <w:rPr>
          <w:rFonts w:ascii="Times New Roman;serif" w:hAnsi="Times New Roman;serif"/>
          <w:b/>
          <w:color w:val="000000"/>
          <w:sz w:val="20"/>
        </w:rPr>
      </w:pPr>
      <w:r>
        <w:rPr>
          <w:rFonts w:ascii="Times New Roman;serif" w:hAnsi="Times New Roman;serif"/>
          <w:b/>
          <w:color w:val="000000"/>
          <w:sz w:val="20"/>
        </w:rPr>
        <w:t>Concentrations of Credit Risk and Significant Customers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generates revenue from a small number of large, reputable customers. The following customers accounted for over 10% of total gross product revenue during the three and six months ended June 30, 2026 and 2025.</w:t>
      </w:r>
    </w:p>
    <w:tbl>
      <w:tblPr>
        <w:tblW w:w="4902" w:type="dxa"/>
        <w:jc w:val="center"/>
        <w:tblInd w:w="0" w:type="dxa"/>
        <w:tblLayout w:type="fixed"/>
        <w:tblCellMar>
          <w:top w:w="28" w:type="dxa"/>
          <w:left w:w="28" w:type="dxa"/>
          <w:bottom w:w="28" w:type="dxa"/>
          <w:right w:w="28" w:type="dxa"/>
        </w:tblCellMar>
      </w:tblPr>
      <w:tblGrid>
        <w:gridCol w:w="391"/>
        <w:gridCol w:w="344"/>
        <w:gridCol w:w="345"/>
        <w:gridCol w:w="180"/>
        <w:gridCol w:w="181"/>
        <w:gridCol w:w="333"/>
        <w:gridCol w:w="134"/>
        <w:gridCol w:w="134"/>
        <w:gridCol w:w="134"/>
        <w:gridCol w:w="180"/>
        <w:gridCol w:w="181"/>
        <w:gridCol w:w="333"/>
        <w:gridCol w:w="109"/>
        <w:gridCol w:w="109"/>
        <w:gridCol w:w="109"/>
        <w:gridCol w:w="180"/>
        <w:gridCol w:w="181"/>
        <w:gridCol w:w="292"/>
        <w:gridCol w:w="117"/>
        <w:gridCol w:w="117"/>
        <w:gridCol w:w="117"/>
        <w:gridCol w:w="180"/>
        <w:gridCol w:w="181"/>
        <w:gridCol w:w="340"/>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0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5. Cash, Cash Equivalents, Restricted Cash and Marketable Securities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held restricted cash of $0.2 million and $5.1 million as of June 30, 2026 and December 31, 2025, respectively, predominately as collateral to its corporate credit card program.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cash, cash equivalents, restricted cash and available-for-sale marketable securities held by the Company as of June 30, 2026 and December 31, 2025 is as follows (in thousands): </w:t>
      </w:r>
    </w:p>
    <w:tbl>
      <w:tblPr>
        <w:tblW w:w="10205" w:type="dxa"/>
        <w:jc w:val="center"/>
        <w:tblInd w:w="0" w:type="dxa"/>
        <w:tblLayout w:type="fixed"/>
        <w:tblCellMar>
          <w:top w:w="28" w:type="dxa"/>
          <w:left w:w="28" w:type="dxa"/>
          <w:bottom w:w="28" w:type="dxa"/>
          <w:right w:w="28" w:type="dxa"/>
        </w:tblCellMar>
      </w:tblPr>
      <w:tblGrid>
        <w:gridCol w:w="1838"/>
        <w:gridCol w:w="1604"/>
        <w:gridCol w:w="1614"/>
        <w:gridCol w:w="211"/>
        <w:gridCol w:w="826"/>
        <w:gridCol w:w="109"/>
        <w:gridCol w:w="109"/>
        <w:gridCol w:w="109"/>
        <w:gridCol w:w="109"/>
        <w:gridCol w:w="265"/>
        <w:gridCol w:w="511"/>
        <w:gridCol w:w="137"/>
        <w:gridCol w:w="109"/>
        <w:gridCol w:w="109"/>
        <w:gridCol w:w="109"/>
        <w:gridCol w:w="238"/>
        <w:gridCol w:w="551"/>
        <w:gridCol w:w="123"/>
        <w:gridCol w:w="109"/>
        <w:gridCol w:w="109"/>
        <w:gridCol w:w="109"/>
        <w:gridCol w:w="211"/>
        <w:gridCol w:w="826"/>
        <w:gridCol w:w="160"/>
      </w:tblGrid>
      <w:tr>
        <w:trPr/>
        <w:tc>
          <w:tcPr>
            <w:tcW w:w="183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Unrealized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Unrealized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Fair </w:t>
            </w:r>
          </w:p>
          <w:p>
            <w:pPr>
              <w:pStyle w:val="TableContents"/>
              <w:bidi w:val="0"/>
              <w:spacing w:lineRule="auto" w:line="276" w:before="0" w:after="0"/>
              <w:ind w:left="0" w:right="0" w:hanging="20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(Level 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125,620 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(Level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115,332 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with original maturities of 3 months or less (Level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51,929 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292,881 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with original maturities of 1 year or less (Level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196,526 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GSE securities with original maturities of 1 year or less (Level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260,963 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GSE securities with original maturities of 1 to 2 years (Level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82,041 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with original maturities of 1 to 2 years (Level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restricted cash and marketable securities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839,494 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838,908 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005"/>
        <w:gridCol w:w="1522"/>
        <w:gridCol w:w="1532"/>
        <w:gridCol w:w="211"/>
        <w:gridCol w:w="826"/>
        <w:gridCol w:w="109"/>
        <w:gridCol w:w="109"/>
        <w:gridCol w:w="109"/>
        <w:gridCol w:w="109"/>
        <w:gridCol w:w="244"/>
        <w:gridCol w:w="541"/>
        <w:gridCol w:w="127"/>
        <w:gridCol w:w="109"/>
        <w:gridCol w:w="109"/>
        <w:gridCol w:w="109"/>
        <w:gridCol w:w="265"/>
        <w:gridCol w:w="510"/>
        <w:gridCol w:w="137"/>
        <w:gridCol w:w="109"/>
        <w:gridCol w:w="109"/>
        <w:gridCol w:w="109"/>
        <w:gridCol w:w="211"/>
        <w:gridCol w:w="826"/>
        <w:gridCol w:w="158"/>
      </w:tblGrid>
      <w:tr>
        <w:trPr/>
        <w:tc>
          <w:tcPr>
            <w:tcW w:w="2005"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Unrealized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Unrealized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Fair </w:t>
            </w:r>
          </w:p>
          <w:p>
            <w:pPr>
              <w:pStyle w:val="TableContents"/>
              <w:bidi w:val="0"/>
              <w:spacing w:lineRule="auto" w:line="276" w:before="0" w:after="0"/>
              <w:ind w:left="0" w:right="0" w:hanging="20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(Level 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109,708 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 (Level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U.S. government and government-sponsored entity (GSE) securities (Level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Corporate debt securities with original maturities of 3 months or less (Level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34,735 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203,783 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203,783 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 with original maturities of 1 year or less (Level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U.S. government and GSE securities with original maturities of 1 year or less (Level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298,466 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U.S. government and GSE securities with original maturities of 1 to 2 years (Level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Corporate debt securities with original maturities of 1 to 2 years (Level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21,995 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restricted cash and 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987,790 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988,649 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6. Inventory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inventory balances as of June 30, 2026 and December 31, 2025 (in thousands):</w:t>
      </w:r>
    </w:p>
    <w:tbl>
      <w:tblPr>
        <w:tblW w:w="4561" w:type="dxa"/>
        <w:jc w:val="center"/>
        <w:tblInd w:w="0" w:type="dxa"/>
        <w:tblLayout w:type="fixed"/>
        <w:tblCellMar>
          <w:top w:w="28" w:type="dxa"/>
          <w:left w:w="28" w:type="dxa"/>
          <w:bottom w:w="28" w:type="dxa"/>
          <w:right w:w="28" w:type="dxa"/>
        </w:tblCellMar>
      </w:tblPr>
      <w:tblGrid>
        <w:gridCol w:w="527"/>
        <w:gridCol w:w="462"/>
        <w:gridCol w:w="467"/>
        <w:gridCol w:w="228"/>
        <w:gridCol w:w="779"/>
        <w:gridCol w:w="117"/>
        <w:gridCol w:w="109"/>
        <w:gridCol w:w="109"/>
        <w:gridCol w:w="109"/>
        <w:gridCol w:w="304"/>
        <w:gridCol w:w="1039"/>
        <w:gridCol w:w="157"/>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Finished goods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99,391 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74,841 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the Company recognized a write-down of $10.4 million for certain work-in-process inventory that may not meet quality specifications. There was no provision for excess inventory recorded as of June 30, 2026 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7. Accrued Liabilities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as of June 30, 2026 and December 31, 2025 consisted of the following (in thousands): </w:t>
      </w:r>
    </w:p>
    <w:tbl>
      <w:tblPr>
        <w:tblW w:w="6863" w:type="dxa"/>
        <w:jc w:val="center"/>
        <w:tblInd w:w="0" w:type="dxa"/>
        <w:tblLayout w:type="fixed"/>
        <w:tblCellMar>
          <w:top w:w="28" w:type="dxa"/>
          <w:left w:w="28" w:type="dxa"/>
          <w:bottom w:w="28" w:type="dxa"/>
          <w:right w:w="28" w:type="dxa"/>
        </w:tblCellMar>
      </w:tblPr>
      <w:tblGrid>
        <w:gridCol w:w="1522"/>
        <w:gridCol w:w="1336"/>
        <w:gridCol w:w="1341"/>
        <w:gridCol w:w="211"/>
        <w:gridCol w:w="826"/>
        <w:gridCol w:w="109"/>
        <w:gridCol w:w="109"/>
        <w:gridCol w:w="109"/>
        <w:gridCol w:w="109"/>
        <w:gridCol w:w="211"/>
        <w:gridCol w:w="82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Rebates, returns and other revenue related reserves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Clinical study, manufacturing and drug supply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8. Long Term Debt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Hercules Loan Facility</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2022, the Company entered into a $250.0 million senior secured loan facility (as amended from time to time, the “Hercules Loan Facility”) with the several banks and other financial institutions or entities party thereto (collectively, the “Hercules Lenders”), and Hercules Capital, Inc. (“Hercules”), in its capacity as administrative agent and collateral agent for itself and the Hercules Lenders. Interest on the Hercules Loan Facility was the greater of (i) the prime rate plus 2.45% and (ii) 8.25%. The Hercules Loan Facility included an end-of-term charge of 5.35% of the aggregate principal amount, which was accounted for in the loan discount. In connection with the first tranche drawn at closing, the Company issued Hercules a warrant to purchase 14,899 shares of Company common stock, which had a Black-Scholes value of $0.6 million. In addition, the Company issued to Hercules and its affiliates warrants to purchase an aggregate of 4,555 shares of common stock, which had a Black-Scholes value of $0.9 million, following the closing of the second tranche.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17, 2025, the Company used the proceeds of the Initial Term Loan under the Financing Agreement (each as defined below in this Note 8) to repay all outstanding obligations under the Hercules Loan Facility, totaling $121.7 million, and upon such repayment, terminated the Hercules Loan Facility. The amount repaid by the Company included $115.0 million of outstanding indebtedness plus accrued and unpaid interest as of the repayment date and exit fees. As a result of the termination, all credit commitments under the Hercules Loan Facility were terminated and all security interests and guarantees executed in connection with the Hercules Loan Facility were released. The repayment resulted in a $2.8 million loss on extinguishment of debt, primarily due to the write off of unamortized debt issuance costs.</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Financing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2025 (the “Closing Date”), the Company entered into a Financing Agreement (as amended from time to time, the “Financing Agreement”) with the Guarantors (as defined below in this Note 8), certain funds managed by Blue Owl Capital Corporation, as the lenders (the “Lenders”), and LSI Financing LLC, as the administrative agent for the Lenders (the “Administrative Agent”). Under the Financing Agreement, the Lenders have committed up to $500.0 million in senior secured credit facilities, consisting of (a) an initial term loan in an aggregate principal amount equal to $350.0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million (the “Initial Term Loan”) and (b) delayed draw term loan commitments in an aggregate principal amount not to exceed $150.0 million (the loans thereunder, if any, the “Delayed Draw Term Loans”). In addition, the Financing Agreement includes an uncommitted incremental facility in an aggregate principal amount not to exceed $250.0 million (the loans thereunder, if any, the “Incremental Term Loans”, together with the Initial Term Loan and any Delayed Draw Term Loans, collectively the “Term Loans”), subject to the satisfaction of certain terms and conditions set forth in the Financing Agreement. The Initial Term Loan was funded on the Closing Date. Delayed Draw Term Loans are available at the Company’s election from time to time after the Closing Date until December 31, 2027. Incremental Term Loans are available at the Company’s and the Lenders’ mutual consent from time to time after the Closing Date.</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outstanding principal on the Term Loans will bear interest at a rate per annum on the basis of a 360-day year equal to the sum of (i) the three-month forward-looking term secured overnight financing rate administered by the Federal Reserve Bank of New York (subject to 1.0% per annum floor) plus (ii) 4.75%. Accrued interest is payable quarterly following the funding of the Initial Term Loan on the Closing Date, on any date of prepayment or repayment of the Term Loans and at maturity. The outstanding balance of the Term Loans, if not repaid sooner, shall be due and payable in full on the maturity date thereof. The stated maturity date of the Term Loans is July 17, 2030.</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the Company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Financing Agreement contains affirmative covenants and negative covenants applicable to the Company and its subsidiaries that are customary for financings of this type. The Company and the Guarantors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a change of control of the Company. Upon the occurrence of an event of default, the Lenders may, among other things, accelerate the Company’s obligations under the Financing Agreement. The obligations of the Company under the Financing Agreement are and will be guaranteed by certain of the Company’s existing and future direct and indirect subsidiaries, subject to certain exceptions (such subsidiaries, collectively, the “Guarantors”).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2025, concurrently with the entry into the Financing Agreement, the Company, the Guarantors and the Administrative Agent entered into a Pledge and Security Agreement. As security for the obligations of the Company and the Guarantors, each of the Company and the Guarantors are required to grant to the Administrative Agent, for the benefit of the Lenders and secured parties, a continuing first priority security interest in substantially all of the assets of the Company and the Guarantors (including all equity interests owned or hereafter acquired by the Company and the Guarantors), subject to certain customary exceptions. On September 4, 2025, the parties amended the Financing Agreement to add certain of the Company’s subsidiaries as Guarantors.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principal amount under the Financing Agreement was $350.0 million. The interest rate as of June 30, 2026 was 8.45%. Interest expense was $7.9 million and $15.8 million for the three and six months ended June 30, 2026, respectively. Interest expense was $3.3 million and $6.6 million for the three and six months ended June 30, 2025, respectively. As of June 30, 2026, the Company was in compliance with all loan covenants and provisions.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payments, including interest and principal, under the loans payable outstanding as of June 30, 2026 were as follows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tbl>
      <w:tblPr>
        <w:tblW w:w="4026" w:type="dxa"/>
        <w:jc w:val="center"/>
        <w:tblInd w:w="0" w:type="dxa"/>
        <w:tblLayout w:type="fixed"/>
        <w:tblCellMar>
          <w:top w:w="28" w:type="dxa"/>
          <w:left w:w="28" w:type="dxa"/>
          <w:bottom w:w="28" w:type="dxa"/>
          <w:right w:w="28" w:type="dxa"/>
        </w:tblCellMar>
      </w:tblPr>
      <w:tblGrid>
        <w:gridCol w:w="1024"/>
        <w:gridCol w:w="903"/>
        <w:gridCol w:w="908"/>
        <w:gridCol w:w="211"/>
        <w:gridCol w:w="826"/>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 Ending June 30, 2026:</w:t>
            </w:r>
          </w:p>
        </w:tc>
        <w:tc>
          <w:tcPr>
            <w:tcW w:w="1191" w:type="dxa"/>
            <w:gridSpan w:val="3"/>
            <w:tcBorders/>
            <w:tcMar>
              <w:top w:w="0" w:type="dxa"/>
              <w:left w:w="0" w:type="dxa"/>
              <w:bottom w:w="0" w:type="dxa"/>
              <w:right w:w="0" w:type="dxa"/>
            </w:tcMar>
            <w:vAlign w:val="center"/>
          </w:tcPr>
          <w:p>
            <w:pPr>
              <w:pStyle w:val="TableContents"/>
              <w:bidi w:val="0"/>
              <w:spacing w:lineRule="auto" w:line="276" w:before="0" w:after="0"/>
              <w:ind w:left="0" w:right="0" w:hanging="200"/>
              <w:jc w:val="center"/>
              <w:rPr/>
            </w:pPr>
            <w:r>
              <w:rPr>
                <w:rFonts w:ascii="Times New Roman;serif" w:hAnsi="Times New Roman;serif"/>
                <w:b/>
                <w:color w:val="000000"/>
                <w:sz w:val="16"/>
              </w:rPr>
              <w:t>Amount</w:t>
            </w:r>
            <w:r>
              <w:rPr>
                <w:color w:val="000000"/>
              </w:rPr>
              <w:t xml:space="preserve"> </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471,885 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(121,885)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Loan payable, net of discount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340,794 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9. Stockholders’ Equity </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Preferred Stock </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The Company’s Series A Convertible Preferred Stock and Series B Convertible Preferred Stock (together, the “Series A and B Preferred Stock”) have a par value of $0.0001 per share and are convertible into shares of the Company’s common stock at a one-to-one ratio, subject to adjustment as provided in the Certificates of Designation of Preferences, Rights and Limitations of Series A Convertible Preferred Stock and Series B Convertible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or concurrently with shares of any other class or series of capital stock of the Company (other than dividends in the form of the common stock) equal to the dividend payable on each share of the common stock, on an as-converted basis.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an underwritten public offering in September 2023, the Company issued pre-funded warrants (the “2023 Pre-Funded Warrants”) to purchase 2,048,098 shares of common stock at a public offering price of $151.6899 per 2023 Pre-Funded Warrant, which represents the per share public offering price for common stock less a $0.0001 per share exercise price for each such 2023 Pre-Funded Warrant. In addition, in connection with an underwritten public offering in March 2024, the Company issued pre-funded warrants (the “2024 Pre-Funded Warrants,” and together with the 2023 Pre-Funded Warrants, the “Pre-Funded Warrants”) to purchase 1,557,692 shares of common stock at a public offering price of $259.9999 per 2024 Pre-Funded Warrant, which represents the per share public offering price for the common stock less a $0.0001 per share exercise price for each such 2024 Pre-Funded Warrant.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Pre-Funded Warrants are generally exercisable at any time; however, a holder of Pre-Funded Warrants may not exercise the warrant to the extent that the holder, together with its affiliates, would beneficially own more than 9.99% of the number of shares of common stock outstanding immediately after giving effect to such exercise. A holder of Pre-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Funded Warrants may increase or decrease this percentage, but not in excess of 19.99%, by providing at least 61 days’ prior notice to the Company.</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At-The-Market Issuance Sales Agreement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2024, the Company entered into a Sales Agreement (the “Sales Agreement”) with Cowen and Company, LLC (“Cowen”). Pursuant to the Sales Agreement, the Company is authorized to issue and sell up to $300.0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 The Company sold no shares in the three and six months ended June 30, 2026 or 2025 under the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10. Stock-based Compensation </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 xml:space="preserve">2015 Stock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2015 Stock Plan, as amended (the “2015 Stock Plan”), was the Company’s stockholder-approved incentive plan through which equity based grants were awarded. The 2015 Stock Plan provided for the grant of incentive stock options, non-statutory stock options, stock grants and other stock-based compensation awards to employees, officers, directors and consultants of the Company. The administration of the 2015 Stock Plan was under the general supervision of the Compensation Committee of the Board. The terms of stock options awarded under the 2015 Stock Plan, in general, were determined by the Compensation Committee, provided the exercise price per share generally would not be set at less than the fair market value of a share of the common stock on the date of grant and the term would not be greater than ten years from the date the option was granted. Following stockholder approval of the Madrigal Pharmaceuticals, Inc. 2026 Stock Plan (the “2026 Stock Plan”) in June 2026, no additional awards may be granted under the 2015 Stock Plan. Outstanding awards under the 2015 Stock Plan will continue to be governed by the terms thereof.</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2023 Inducement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the Company adopted the 2023 Inducement Plan (the “2023 Inducement Plan”), pursuant to which the Company from time to time was permitted to make equity grants to new employees as a material inducement to their employment. The 2023 Inducement Plan was adopted without stockholder approval, pursuant to Nasdaq Listing Rule 5635(c)(4), and was administered by the Compensation Committee of the Board. The 2023 Inducement Plan provided for the granting of non-statutory stock options, stock grants and other stock-based compensation awards to new employees, but did not allow for the granting of incentive stock options. The terms of the stock options under the 2023 Inducement Plan, in general, were determined by the Compensation Committee, provided the exercise price per share generally would not be set at less than the fair market value of a share of the common stock on the date of grant and the term would not be greater than ten years from the date the option was granted. A total of 500,000 shares of the Company’s common stock were reserved for issuance under the 2023 Inducement Plan. In June 2025, the Company terminated the 2023 Inducement Plan, and therefore no additional awards may be made from the 2023 Inducement Plan. Any awards outstanding under the 2023 Inducement Plan will continue to be governed by the terms thereof.</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2025 Inducement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the Company adopted the 2025 Inducement Plan (the “2025 Inducement Plan”), pursuant to which the Company may from time to time make equity grants to new employees as a material inducement to their employment. The 2025 Inducement Plan was adopted without stockholder approval, pursuant to Nasdaq Listing Rule 5635(c)(4), and is administered by the Compensation Committee of the Board. The 2025 Inducement Plan provides for the granting of non-statutory stock options, stock grants and other stock-based compensation awards to new employees, but does not allow for the granting of incentive stock options. The terms of the stock options under the 2025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 total of 100,000 shares of the Company’s common stock were initially reserved for issuance under the 2025 Inducement Plan. In September 2025, the 2025 Inducement Plan was amended to increase the aggregate number of shares reserved for issuance by an additional 300,000 shares. A total of 178,162 shares were available for future issuance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2026 Stock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the Company’s stockholders approved the 2026 Stock Plan. The 2026 Stock Plan provides for the grant of incentive stock options, non-statutory stock options, stock grants and other stock-based compensation awards to employees, officers, directors and consultants of the Company. The administration of the 2026 Stock Plan is under the general supervision of the Compensation Committee of the Board of Directors. The terms of stock options awarded under the 2026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Shares underlying any awards under the 2026 Stock Plan and the 2015 Stock Plan that are forfeited, canceled, cash-settled or otherwise terminated (other than by exercise) will be added back to the shares of the 2026 Stock Plan. A total of 973,656 shares were available for issuance as of June 30, 2026 under the 2026 Stock Plan, including 211,145 shares that remained available for future issuance under the 2015 Stock Plan immediately prior to the adoption of the 2026 Stock Plan. </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the Company’s stockholders approved the Madrigal Pharmaceuticals, Inc. 2026 Employee Stock Purchase Plan (the “ESPP”). The ESPP enables eligible employees to purchase shares of the Company’s common stock through payroll deductions at a purchase price determined in accordance with the terms of the ESPP. The Company has reserved 460,840 shares of common stock for issuance under the ESPP, subject to adjustment as provided in the ESPP. As of June 30, 2026, no shares had been issued under the ESPP.</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stock option activity during the six months ended June 30, 2026: </w:t>
      </w:r>
    </w:p>
    <w:tbl>
      <w:tblPr>
        <w:tblW w:w="5592" w:type="dxa"/>
        <w:jc w:val="center"/>
        <w:tblInd w:w="0" w:type="dxa"/>
        <w:tblLayout w:type="fixed"/>
        <w:tblCellMar>
          <w:top w:w="28" w:type="dxa"/>
          <w:left w:w="28" w:type="dxa"/>
          <w:bottom w:w="28" w:type="dxa"/>
          <w:right w:w="28" w:type="dxa"/>
        </w:tblCellMar>
      </w:tblPr>
      <w:tblGrid>
        <w:gridCol w:w="1065"/>
        <w:gridCol w:w="935"/>
        <w:gridCol w:w="940"/>
        <w:gridCol w:w="308"/>
        <w:gridCol w:w="308"/>
        <w:gridCol w:w="315"/>
        <w:gridCol w:w="109"/>
        <w:gridCol w:w="109"/>
        <w:gridCol w:w="109"/>
        <w:gridCol w:w="271"/>
        <w:gridCol w:w="926"/>
        <w:gridCol w:w="19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Weighted </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average exercise </w:t>
            </w:r>
          </w:p>
          <w:p>
            <w:pPr>
              <w:pStyle w:val="TableContents"/>
              <w:bidi w:val="0"/>
              <w:spacing w:lineRule="auto" w:line="276" w:before="0" w:after="0"/>
              <w:ind w:left="0" w:right="0" w:hanging="200"/>
              <w:jc w:val="center"/>
              <w:rPr>
                <w:rFonts w:ascii="Times New Roman;serif" w:hAnsi="Times New Roman;serif"/>
                <w:b/>
                <w:color w:val="000000"/>
                <w:sz w:val="16"/>
              </w:rPr>
            </w:pPr>
            <w:r>
              <w:rPr>
                <w:rFonts w:ascii="Times New Roman;serif" w:hAnsi="Times New Roman;serif"/>
                <w:b/>
                <w:color w:val="000000"/>
                <w:sz w:val="16"/>
              </w:rPr>
              <w:t>price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979,861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155.25 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444.14 </w:t>
            </w:r>
          </w:p>
        </w:tc>
        <w:tc>
          <w:tcPr>
            <w:tcW w:w="19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9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w:t>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284.87 </w:t>
            </w:r>
          </w:p>
        </w:tc>
        <w:tc>
          <w:tcPr>
            <w:tcW w:w="197"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192.63 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93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730,254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131.09 </w:t>
            </w:r>
          </w:p>
        </w:tc>
        <w:tc>
          <w:tcPr>
            <w:tcW w:w="197" w:type="dxa"/>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cash received by the Company as a result of stock option exercises was $5.4 million and $10.4 million for the six months ended June 30, 2026 and 2025, respectively. The total intrinsic value of options exercised was $33.7 million and $29.7 million for the six months ended June 30, 2026 and 2025, respectively.</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awards restricted stock units (“RSUs”) to employees, officers and directors of the Company. RSUs vest annually and are subject to forfeiture if employment or service terminates before vesting.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RSU activity, excluding performance-based RSUs, during the six months ended June 30, 2026: </w:t>
      </w:r>
    </w:p>
    <w:tbl>
      <w:tblPr>
        <w:tblW w:w="7195" w:type="dxa"/>
        <w:jc w:val="center"/>
        <w:tblInd w:w="0" w:type="dxa"/>
        <w:tblLayout w:type="fixed"/>
        <w:tblCellMar>
          <w:top w:w="28" w:type="dxa"/>
          <w:left w:w="28" w:type="dxa"/>
          <w:bottom w:w="28" w:type="dxa"/>
          <w:right w:w="28" w:type="dxa"/>
        </w:tblCellMar>
      </w:tblPr>
      <w:tblGrid>
        <w:gridCol w:w="1065"/>
        <w:gridCol w:w="935"/>
        <w:gridCol w:w="940"/>
        <w:gridCol w:w="297"/>
        <w:gridCol w:w="297"/>
        <w:gridCol w:w="305"/>
        <w:gridCol w:w="109"/>
        <w:gridCol w:w="109"/>
        <w:gridCol w:w="109"/>
        <w:gridCol w:w="588"/>
        <w:gridCol w:w="2012"/>
        <w:gridCol w:w="429"/>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307.85 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448.75 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298.20 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9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362.78 </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the total fair value of RSUs vested was $83.1 million and $29.3 million, respectively.</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Performance-Based Restricted Stock Units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various performance-based restricted stock units (“PSUs”) to certain senior members of leadership. Depending on the terms of the PSUs and the outcome of the pre-established performance criteria, which may include a market or performance condition, a recipient may ultimately earn the target number of PSUs granted or a specified multiple thereof at the end of the vesting period. The Company granted PSUs to the Company’s Chief Executive Officer (“CEO”) in connection with his hiring in September 2023. Such PSUs may be earned based on the achievement of three significant sustained stock price appreciation hurdles over a five-year period. The Company’s CEO achieved the first two hurdles in 2025 and earned 50,000 shares for each hurdle. As of June 30, 2026, the Company’s CEO was eligible to earn an additional 50,000 shares upon the achievement of the final hurdle. Earned PSUs are settled on a delayed basis notwithstanding the date of achievement of the stock price hurdle. Beginning in 2024, the Company issued PSUs to certain executives that may be earned based on the Company’s total shareholder return relative to a defined peer group over a three year period. Accordingly, any PSUs granted in 2024, 2025 and 2026 will vest, to the extent earned, in the first quarter of 2027, 2028 and 2029, respectively.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PSU activity during the six months ended June 30, 2026: </w:t>
      </w:r>
    </w:p>
    <w:tbl>
      <w:tblPr>
        <w:tblW w:w="9739" w:type="dxa"/>
        <w:jc w:val="center"/>
        <w:tblInd w:w="0" w:type="dxa"/>
        <w:tblLayout w:type="fixed"/>
        <w:tblCellMar>
          <w:top w:w="28" w:type="dxa"/>
          <w:left w:w="28" w:type="dxa"/>
          <w:bottom w:w="28" w:type="dxa"/>
          <w:right w:w="28" w:type="dxa"/>
        </w:tblCellMar>
      </w:tblPr>
      <w:tblGrid>
        <w:gridCol w:w="1234"/>
        <w:gridCol w:w="1082"/>
        <w:gridCol w:w="1088"/>
        <w:gridCol w:w="413"/>
        <w:gridCol w:w="413"/>
        <w:gridCol w:w="161"/>
        <w:gridCol w:w="109"/>
        <w:gridCol w:w="109"/>
        <w:gridCol w:w="109"/>
        <w:gridCol w:w="554"/>
        <w:gridCol w:w="554"/>
        <w:gridCol w:w="557"/>
        <w:gridCol w:w="109"/>
        <w:gridCol w:w="109"/>
        <w:gridCol w:w="109"/>
        <w:gridCol w:w="588"/>
        <w:gridCol w:w="2012"/>
        <w:gridCol w:w="429"/>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Eligible to Earn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PSUs at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103,244 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256,488 </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500.55 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81,284 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616.19 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earned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(13,318)</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510.42 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137,227 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324,454 </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534.32 </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Outstanding PSUs excludes 100,000 shares underlying PSU awards that have been earned but are subject to delayed settlement as there is no longer a risk of forfeiture with respect to these awards.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Outstanding Awards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RSUs, PSUs, and options outstanding pursuant to which an aggregate of 2,283,189 shares of its common stock may be issued pursuant to the terms of all awards granted under the 2015 Stock Plan, 2023 Inducement Plan, 2025 Inducement Plan and 2026 Stock Plan. Shares underlying PSU awards that have been earned but are subject to delayed settlement have been excluded from this amount as there is no longer a risk of forfeiture with respect to these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Stock-Based Compensation Expense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during the three and six months ended June 30, 2026 and 2025 was as follows (in thousands): </w:t>
      </w:r>
    </w:p>
    <w:tbl>
      <w:tblPr>
        <w:tblW w:w="10205" w:type="dxa"/>
        <w:jc w:val="center"/>
        <w:tblInd w:w="0" w:type="dxa"/>
        <w:tblLayout w:type="fixed"/>
        <w:tblCellMar>
          <w:top w:w="28" w:type="dxa"/>
          <w:left w:w="28" w:type="dxa"/>
          <w:bottom w:w="28" w:type="dxa"/>
          <w:right w:w="28" w:type="dxa"/>
        </w:tblCellMar>
      </w:tblPr>
      <w:tblGrid>
        <w:gridCol w:w="1821"/>
        <w:gridCol w:w="1593"/>
        <w:gridCol w:w="160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2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by type of award: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26,116 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9,086 </w:t>
            </w:r>
          </w:p>
        </w:tc>
        <w:tc>
          <w:tcPr>
            <w:tcW w:w="155"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stock-based compensation expense by line item:</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35,521 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included in 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46,090 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Unrecognized stock-based compensation expense as of June 30, 2026 was $357.6 million with a weighted average remaining period of 2.97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11. Commitments and Contingencies </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Licenses and Other Commitments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customary contractual arrangements and letters of intent in preparation for and in support of operations in the normal course of business. As of June 30, 2026, the Company had approximately $239.4 million of obligations under these agreements related to active pharmaceutical ingredient, which is expected to be paid through 2029.</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Roche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Research, Development and Commercialization Agreement (as amended, the “Roche Agreement”) with Roche which grants the Company a sole and exclusive license to develop, use, sell, offer for sale and import any Licensed Product (as defined in the Roche Agreement). In January 2026, the Company entered into an amendment to the Roche Agreement to provide the Company the full and exclusive right and discretion to control all patent term adjustments and patent term extensions applicable to Rezdiffra, including patents owned by Roche and jointly owned between the parties. In consideration of the foregoing, the royalty payable to Roche based on net sales of Rezdiffra will not be reduced until the expiration of certain patent term extensions that have been, or could have been, filed.</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Roche Agreement required certain milestone payments to Roche. In March 2024, upon receiving FDA approval of Rezdiffra, a milestone was achieved and $5.0 million was paid to Roche. In August 2025, upon receiving conditional marketing authorization from the EC, a milestone was achieved and $3.0 million was paid to Roche. Furthermore, a tiered single-digit royalty is payable on net sales of resmetirom or a product developed from resmetirom, subject to certain reductions. The Company began incurring royalty expense following its commercial launch of Rezdiffra in April 2024.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CSPC License (MGL-2086)</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an exclusive global license agreement (the “CSPC License Agreement”) with CSPC Pharmaceutical Group Limited (“CSPC”) for MGL-2086 (formerly known as SYH2086), an oral small molecule GLP-1 receptor agonist. Pursuant to the CSPC License Agreement, CSPC has granted the Company an exclusive global license to develop, manufacture, and commercialize MGL-2086. The transaction closed in September 2025. The Company paid CSPC an upfront payment of $120.0 million in October 2025. CSPC is eligible to receive up to $2.0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development, regulatory and commercial milestone payments, as well as royalties on net sales ranging from mid-single digits to low-double digits.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Pfizer License (ervogastat)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Company entered into an exclusive global license agreement with Pfizer Inc. (the “Pfizer License Agreement”) to develop, manufacture and commercialize ervogastat, a Phase 2 oral DGAT-2 inhibitor, and two additional early-stage MASH assets. The Company paid Pfizer an upfront payment of $50.0 million in December 2025. In addition, Pfizer is eligible to receive up to $70.0 million in development and regulatory milestone payments related to ervogastat and low-double digit royalties on net sales of ervogastat. Pfizer is eligible to receive additional development, regulatory and commercial milestone payments and royalty payments on net sales of the two licensed early stage assets.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Ribocure License (siRNA programs)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an exclusive global license agreement (the “Ribocure License Agreement”) with Suzhou Ribo Life Science Co. Ltd. and Ribocure Pharmaceuticals AB (together, “Ribocure”) granting the Company exclusive global rights to develop, manufacture and commercialize six small interfering RNA (“siRNA”) programs. Pursuant to the Ribocure License Agreement, the Company paid Ribocure an upfront payment of $60.0 million. In addition, Ribocure is eligible to receive up to $4.4 billion in development, regulatory and commercial milestone payments across all programs, as well as royalties on net sales ranging from mid-single digits to low-double digits.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$49.3 million of the upfront payment was recognized as research and development expense and $10.7 million was capitalized as a prepaid expense and other asset to be expensed as research and development services are performed by Ribocure.</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Arrowhead License (PNPLA3)</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the Company entered into an exclusive global license agreement (the “Arrowhead License Agreement”) with Arrowhead Pharmaceuticals Inc. (“Arrowhead”) granting the Company an exclusive global license to ARO-PNPLA3 (now referred to as MGL-0795). Pursuant to the Arrowhead License Agreement, the Company paid Arrowhead an upfront payment of $25.0 million in June 2026, which was recognized as research and development expense. In addition, Arrowhead is eligible to receive up to $975.0 million in development, regulatory and commercial milestone payments, as well as royalties on net sales ranging from high-single digits to the mid-teens.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a party to various claims, intellectual property matters, regulatory inquiries and other legal proceedings that arise in the ordinary course of business. While the outcomes of these matters are uncertain,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Leases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2019, the Company entered into an operating lease for office space located in West Conshohocken, Pennsylvania (the “Office Lease”), which was further amended by four amendments entered into from 2019 to May 2023.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 December 31, 2023. In 2024, we entered into the Sixth, Seventh, Eighth, and Ninth Amendments to the Office Lease, leasing additional office space available in the same premises under the Office Lease, which resulted in an incremental $1.3 million right-of-use asset and lease liability recorded.</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the Company entered into an operating lease for additional office space in West Conshohocken, Pennsylvania. The lease commenced in May 2025 and resulted in a $4.0 million right-of-use asset and lease liability. In March 2026, the Company entered into an amendment to this lease, which modified the lease term and payment schedule. As a result, the right-of-use asset and lease liability balances were remeasured to $4.0 million and $4.6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entered into an operating lease for office space in Waltham, Massachusetts. The commencement date had not occurred as of June 30, 2026. Upon lease commencement, the Company expects to make total lease payments of $9.9 million over an 84-month lease term. As of June 30, 2026, the Company has recorded a $1.3 million prepaid lease payment related to approved change orders, which will be included in the measurement of the right-of-use asset upon commencement.</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an operating lease for office space in Baar, Switzerland. The lease commenced on March 1, 2026 and has a term of 24 months. As a result, the Company recognized a right-of-use asset and corresponding lease liability of approximately $1.4 million upon commencement.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one reportable segment focused on delivering novel therapeutics for MASH. The Company's Chief Executive Officer, as the chief operating decision maker (“CODM”), leads the Company in support of four core values—focus on the patient, having an owner mindset, the relentless pursuit of innovation and commitment to collaboration. To best align the Company with these values, the CODM reviews consolidated financials, along with qualitative information, to evaluate performance, manage and allocate resources, make operating decisions, and assess planning and forecasting on a total company basis. Assets, liabilities and equity are reviewed and presented on the same level as the Company's consolidated balance sheet. Starting in the first quarter of 2026, the Company has further disaggregated its significant expense categories within research and development into four categories and selling, general and administrative into four categories. Prior periods have been recast to conform to the current period presentation.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does not segment business operations for internal reporting or decision making purposes. As the Company has a single reporting segment, the segment accounting policies are the same as those at the Company level, as described in Note 2 “Summary of Significant Accounting Policies.”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loss reported at the segment measure of profit and loss:</w:t>
      </w:r>
    </w:p>
    <w:tbl>
      <w:tblPr>
        <w:tblW w:w="9649" w:type="dxa"/>
        <w:jc w:val="center"/>
        <w:tblInd w:w="0" w:type="dxa"/>
        <w:tblLayout w:type="fixed"/>
        <w:tblCellMar>
          <w:top w:w="28" w:type="dxa"/>
          <w:left w:w="28" w:type="dxa"/>
          <w:bottom w:w="28" w:type="dxa"/>
          <w:right w:w="28" w:type="dxa"/>
        </w:tblCellMar>
      </w:tblPr>
      <w:tblGrid>
        <w:gridCol w:w="1369"/>
        <w:gridCol w:w="1203"/>
        <w:gridCol w:w="1208"/>
        <w:gridCol w:w="211"/>
        <w:gridCol w:w="826"/>
        <w:gridCol w:w="109"/>
        <w:gridCol w:w="109"/>
        <w:gridCol w:w="109"/>
        <w:gridCol w:w="109"/>
        <w:gridCol w:w="211"/>
        <w:gridCol w:w="826"/>
        <w:gridCol w:w="109"/>
        <w:gridCol w:w="109"/>
        <w:gridCol w:w="109"/>
        <w:gridCol w:w="109"/>
        <w:gridCol w:w="211"/>
        <w:gridCol w:w="901"/>
        <w:gridCol w:w="109"/>
        <w:gridCol w:w="109"/>
        <w:gridCol w:w="109"/>
        <w:gridCol w:w="109"/>
        <w:gridCol w:w="211"/>
        <w:gridCol w:w="901"/>
        <w:gridCol w:w="109"/>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and benefit-related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fees and other external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Facility related and other internal expenses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and benefit-related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fees and other external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Facility related and other internal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Other segment (expense) income</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(115,519)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Facility and other internal expenses includes occupancy, information technology, and other internal costs.</w:t>
      </w:r>
    </w:p>
    <w:p>
      <w:pPr>
        <w:pStyle w:val="TextBody"/>
        <w:bidi w:val="0"/>
        <w:spacing w:lineRule="auto" w:line="276" w:before="120" w:after="283"/>
        <w:ind w:left="0" w:right="0" w:firstLine="7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Other segment (expense) income includes interest income, interest expense and other expense,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using the weighted average number of shares outstanding during the period. Diluted net loss per share is computed using the weighted average number of shares outstanding and the weighted average dilutive potential shares outstanding using the treasury stock method. However, for the three and six months ended June 30, 2026 and 2025, diluted net loss per share is the same as basic net loss per share because the inclusion of weighted average shares of common stock issuable upon the exercise of stock options and warrants or vesting of restricted stock units would be anti-dilutive.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includes (i) the Pre-Funded Warrants, as the exercise price is negligible, and (ii) PSUs that have been earned but are subject to a delayed settlement feature, as the vesting conditions have been met but the shares will be settled at a later date. Series A and B Preferred Stock are also included in the calculation of net loss per share under the two-class method. The Series A and B Preferred Stock have no preferential treatment compared to shares of common stock and therefore, the Series A and B Preferred Stock are considered additional classes of common stock for purposes of calculating net loss per share. As the Series A and B Preferred Stock are convertible into shares of common stock at a one-to-one ratio, the basic and diluted net loss per share of the Series A and B Preferred Stock is the same as basic and diluted net loss per common share and, accordingly, the Company has not separately presented the basic and diluted net loss per share for each class, and has calculated the basic and diluted net loss per share by including all shares in the denominator.</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common, Series A, and Series B share (net loss in thousands):</w:t>
      </w:r>
    </w:p>
    <w:tbl>
      <w:tblPr>
        <w:tblW w:w="10205" w:type="dxa"/>
        <w:jc w:val="center"/>
        <w:tblInd w:w="0" w:type="dxa"/>
        <w:tblLayout w:type="fixed"/>
        <w:tblCellMar>
          <w:top w:w="28" w:type="dxa"/>
          <w:left w:w="28" w:type="dxa"/>
          <w:bottom w:w="28" w:type="dxa"/>
          <w:right w:w="28" w:type="dxa"/>
        </w:tblCellMar>
      </w:tblPr>
      <w:tblGrid>
        <w:gridCol w:w="1581"/>
        <w:gridCol w:w="1394"/>
        <w:gridCol w:w="1409"/>
        <w:gridCol w:w="240"/>
        <w:gridCol w:w="841"/>
        <w:gridCol w:w="109"/>
        <w:gridCol w:w="109"/>
        <w:gridCol w:w="109"/>
        <w:gridCol w:w="109"/>
        <w:gridCol w:w="240"/>
        <w:gridCol w:w="841"/>
        <w:gridCol w:w="109"/>
        <w:gridCol w:w="109"/>
        <w:gridCol w:w="109"/>
        <w:gridCol w:w="109"/>
        <w:gridCol w:w="211"/>
        <w:gridCol w:w="886"/>
        <w:gridCol w:w="109"/>
        <w:gridCol w:w="109"/>
        <w:gridCol w:w="109"/>
        <w:gridCol w:w="109"/>
        <w:gridCol w:w="211"/>
        <w:gridCol w:w="886"/>
        <w:gridCol w:w="157"/>
      </w:tblGrid>
      <w:tr>
        <w:trPr/>
        <w:tc>
          <w:tcPr>
            <w:tcW w:w="158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Revised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As Revised </w:t>
              <w:br/>
              <w:t>2025</w:t>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22,149,492 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Pre-funded warrants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3,605,790 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earned 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1,969,797 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number of shares outstanding</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29,145,271 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28,232,604 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29,089,148 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28,159,333 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common, Series A preferred, and Series B preferred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outstanding securities not included in the computation of diluted net loss per common share, as their inclusion would be anti-dilutive: </w:t>
      </w:r>
    </w:p>
    <w:tbl>
      <w:tblPr>
        <w:tblW w:w="6708" w:type="dxa"/>
        <w:jc w:val="center"/>
        <w:tblInd w:w="0" w:type="dxa"/>
        <w:tblLayout w:type="fixed"/>
        <w:tblCellMar>
          <w:top w:w="28" w:type="dxa"/>
          <w:left w:w="28" w:type="dxa"/>
          <w:bottom w:w="28" w:type="dxa"/>
          <w:right w:w="28" w:type="dxa"/>
        </w:tblCellMar>
      </w:tblPr>
      <w:tblGrid>
        <w:gridCol w:w="1519"/>
        <w:gridCol w:w="1335"/>
        <w:gridCol w:w="1345"/>
        <w:gridCol w:w="401"/>
        <w:gridCol w:w="307"/>
        <w:gridCol w:w="223"/>
        <w:gridCol w:w="201"/>
        <w:gridCol w:w="201"/>
        <w:gridCol w:w="201"/>
        <w:gridCol w:w="280"/>
        <w:gridCol w:w="280"/>
        <w:gridCol w:w="415"/>
      </w:tblGrid>
      <w:tr>
        <w:trPr/>
        <w:tc>
          <w:tcPr>
            <w:tcW w:w="1519"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Outstanding at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options</w:t>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1,005,295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1,531,682</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953,440</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757,263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Unearned performance-based restricted stock units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324,454</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308,954</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19,454</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19,454</w:t>
            </w:r>
          </w:p>
        </w:tc>
      </w:tr>
    </w:tbl>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Revision to previously issued financial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previously concluded that its Pre-Funded Warrants and Series A and B Preferred Stock should be excluded from the calculation of basic and diluted net loss per share pursuant to the two-class method. In preparation of the financial statements for the three months ended March 31, 2026, the Company determined that the exercise of the Pre-Funded Warrants was not subject to a contingency, as previously concluded, and have a negligible exercise price of $0.0001. The Company also determined that the Series A and B Preferred Stock do not have preferential rights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Company’s common stock and should therefore be considered additional classes of the Company’s common stock for the earnings per share calculations. As a result of the correction, the Pre-Funded Warrants and the Series A and B Preferred Stock should be included in basic and diluted net loss per share calculation.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assessed the materiality of the change in the calculation of net loss per share, considering both quantitative and qualitative factors, and concluded that the effects of the change to the calculation and presentation of net loss per share are not material, individually or in the aggregate, to any previously reported quarterly or annual period and are not expected to be material to the current period annual financial statements. However, the Company has revised its presentation of net loss per share previously included in the Company’s consolidated financial statements to reflect the inclusion of the Pre-Funded Warrants and Series A and B Preferred Stock in basic and diluted weighted average shares outstanding for the three and six months ended June 30, 2025 and these revisions are reflected in this Form 10-Q. All related amounts have been updated to reflect the effects of the revision throughout the financial statements and related footnotes, as applicable. The Company will also revise its presentation of net loss per share consistent with the foregoing in its future filings, as applicable.</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the Series A and B Preferred Stock are convertible into shares of common stock at a one-to-one ratio, the basic and diluted net loss per share of the Series A and Series B Preferred Stock is the same as basic and diluted net loss per common share and accordingly, the Company has not separately presented the basic and diluted net loss per share for each class, and has calculated the basic and diluted net loss per share by including all shares in the denominator.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impact of the revision on both the weighted average shares outstanding and net loss per share calculations for each of the relevant periods:</w:t>
      </w:r>
    </w:p>
    <w:tbl>
      <w:tblPr>
        <w:tblW w:w="9314" w:type="dxa"/>
        <w:jc w:val="center"/>
        <w:tblInd w:w="0" w:type="dxa"/>
        <w:tblLayout w:type="fixed"/>
        <w:tblCellMar>
          <w:top w:w="28" w:type="dxa"/>
          <w:left w:w="28" w:type="dxa"/>
          <w:bottom w:w="28" w:type="dxa"/>
          <w:right w:w="28" w:type="dxa"/>
        </w:tblCellMar>
      </w:tblPr>
      <w:tblGrid>
        <w:gridCol w:w="889"/>
        <w:gridCol w:w="782"/>
        <w:gridCol w:w="789"/>
        <w:gridCol w:w="109"/>
        <w:gridCol w:w="109"/>
        <w:gridCol w:w="109"/>
        <w:gridCol w:w="540"/>
        <w:gridCol w:w="541"/>
        <w:gridCol w:w="335"/>
        <w:gridCol w:w="322"/>
        <w:gridCol w:w="322"/>
        <w:gridCol w:w="322"/>
        <w:gridCol w:w="641"/>
        <w:gridCol w:w="440"/>
        <w:gridCol w:w="343"/>
        <w:gridCol w:w="109"/>
        <w:gridCol w:w="109"/>
        <w:gridCol w:w="109"/>
        <w:gridCol w:w="211"/>
        <w:gridCol w:w="691"/>
        <w:gridCol w:w="109"/>
        <w:gridCol w:w="109"/>
        <w:gridCol w:w="109"/>
        <w:gridCol w:w="109"/>
        <w:gridCol w:w="211"/>
        <w:gridCol w:w="691"/>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Loss per Share</w:t>
            </w:r>
          </w:p>
        </w:tc>
      </w:tr>
      <w:tr>
        <w:trPr/>
        <w:tc>
          <w:tcPr>
            <w:tcW w:w="246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6"/>
              </w:rPr>
            </w:pPr>
            <w:r>
              <w:rPr>
                <w:rFonts w:ascii="Times New Roman;serif" w:hAnsi="Times New Roman;serif"/>
                <w:b/>
                <w:color w:val="000000"/>
                <w:sz w:val="16"/>
              </w:rPr>
              <w:t>Period Impacted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Reported</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As Revised</w:t>
            </w:r>
          </w:p>
        </w:tc>
      </w:tr>
      <w:tr>
        <w:trPr/>
        <w:tc>
          <w:tcPr>
            <w:tcW w:w="2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Year-ended 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22,434,310 </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28,409,706 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Year-ended 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21,272,962 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26,908,070 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Year-ended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18,687,774 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21,562,581 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6/30/25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22,207,017 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28,232,604 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Six months ended 6/30/25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22,149,492 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28,159,333 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9/30/25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22,482,502 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28,508,089 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Nine months ended 9/30/25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22,261,718 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28,276,865 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Management’s Discussion and Analysis of Financial Condition and Results of Operations should be read together with our unaudited consolidated financial statements included elsewhere in this Quarterly Report on Form 10-Q and our audited financial statements and accompanying notes for the year ended December 31, 2025 and the related Management’s Discussion and Analysis of Financial Condition and Results of Operations, both of which are included in our Annual Report on Form 10-K for the fiscal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About Madrigal Pharmaceuticals, Inc.</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the second leading cause of all liver transplantation in the United States and the fastest-growing indication for liver transplantation in Europe. Our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Following receipt of conditional marketing authorization (“CMA”) from the European Commission (“EC”), we launched Rezdiffra in Germany in September 2025. Rezdiffra was the first medication approved by both the FDA and EC for the treatment of adults with noncirrhotic MASH with moderate to advanced liver fibrosis (F2 to F3 fibrosis). We are also evaluating Rezdiffra in patients with compensated MASH cirrhosis (consistent with F4c fibrosis) in our MAESTRO-NASH OUTCOMES trial, that, if successful, could expand the eligible patient population for Rezdiffra.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are advancing a focused pipeline to lead the evolution of MASH treatment for patients for decades to come. Through our business development efforts, we have acquired rights to MGL-2086, an oral glucagon-like peptide-1 (“GLP-1”) receptor agonist, ervogastat, an oral diacylglycerol O-acyltransferase 2 (“DGAT-2”) inhibitor, MGL-0795 (formerly ARO-PNPLA3), an siRNA asset targeting a mutation in the patatin-like phospholipase domain-containing protein 3 (“PNPLA3”) gene, six small interfering RNA (“siRNA”) programs and additional preclinical MASH candidates. We plan to evaluate these candidates with the goal of delivering best-in-disease therapies for the treatment of MASH. As we continue to build our pipeline, we will evaluate mechanisms that fit scientifically, strategically and commercially to enhance our leading position in MASH care.</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Approval of Rezdiffra </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FDA’s accelerated approval and the EC’s conditional marketing authorization, as well as Rezdiffra’s approved prescribing information, were supported by 52-week data from our Phase 3 MAESTRO-NASH trial in which both 100 mg and 80 mg doses of Rezdiffra demonstrated statistically significant improvement compared to placebo on (i) MASH resolution with no worsening of fibrosis and (ii) an improvement in fibrosis by at least one stage with no worsening of the nonalcoholic fatty liver disease (“NAFLD”) activity score. MAESTRO-NASH remains ongoing as an outcomes trial where we are generating confirmatory outcomes data to 54-months that, if positive, is expected to verify a clinical benefit and support the full FDA approval of Rezdiffra to treat noncirrhotic MASH. We expect outcomes data from this trial in 2028. In addition, full FDA approval of Rezdiffra to treat noncirrhotic MASH could also be based on results from our Phase 3 MAESTRO-NASH OUTCOMES trial. In this event-driven trial, we are assessing progression to liver decompensation events in patients with compensated MASH cirrhosis treated with Rezdiffra versus placebo. A positive outcome in this trial is also expected to support the full FDA approval of Rezdiffra for noncirrhotic MASH, and expand the eligible patient population for Rezdiffra with an additional indication in patients with compensated MASH cirrhosis. We expect results from the MAESTRO-NASH OUTCOMES trial in 2027. We have agreed to submit results from these trials to the European Medicines Agency (“EMA”) in support of full approval of Rezdiffra in the European Union.</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Market Opportunity for Rezdiffra in MASH</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MASH is a more advanced form of metabolic dysfunction-associated steatotic liver disease (“MASLD”). MASLD has become the most common liver disease in the United States and other developed countries and is characterized by an accumulation of fat in the liver with no other apparent causes. MASH can progress to cirrhosis or liver failure, can require liver transplantation and can also result in liver cancer. Patients with MASH, especially those with more advanced metabolic risk factors (hypertension, concomitant type 2 diabetes), are at increased risk for adverse cardiovascular events and increased morbidity and mortality. In addition, MASH patients with moderate to advanced fibrosis (consistent with fibrosis stages F2 and F3) have a 10-to-17 times higher risk of liver-related mortality. MASH is also an independent driver of cardiovascular disease, which is the leading cause of mortality for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published epidemiology data and an analysis of medical claims using ICD-10 disease diagnosis codes as of 2023, we estimate that 315,000 patients diagnosed with MASH with moderate to advanced fibrosis (stages F2 to F3) were under the care of specialist prescribers which we are targeting during the launch of Rezdiffra in the U.S. Through 2025, we estimate that the number of patients under specialist care in the U.S. has grown nearly 50% to approximately 460,000 patients with moderate to advanced fibrosis, and as disease awareness improves and disease prevalence increases, we expect the number of identified MASH patients with moderate to advanced fibrosis eligible for treatment to grow significantly going forward. In addition, we estimate that approximately 370,000 patients with MASH with moderate to advanced fibrosis are currently diagnosed and under the care of specialists across Europe.</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a growing body of real-world supportive data, we continue to educate healthcare providers and patients on the risks of MASH and the potential clinical benefits and appropriate use of Rezdiffra. During our first six quarters of launch in the United States, we focused our efforts on hepatologists and gastroenterologists. Beginning in the fourth quarter of 2025, we expanded our field team to further target select endocrinologists that provide care to MASH patients. We are also supporting the creation of care pathways for patients at physician offices, driving breadth and depth of Rezdiffra prescribers and engaging with payers to support patient access to therapy.</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Beyond Germany, we expect to launch Rezdiffra on a country-by-country basis in Europe dependent on multiple factors, including the completion of reimbursement procedures and regulatory approval where required. In addition, we may enter into distribution agreements with third parties to distribute Rezdiffra in smaller European countries and in other jurisdictions globally.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Key Developments </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we announced an exclusive global license agreement (the “Arrowhead License Agreement”) with Arrowhead Pharmaceuticals Inc. (“Arrowhead”) for ARO-PNPLA3 (now referred to as MGL-0795), a clinical-stage siRNA asset targeting a mutation in the PNPLA3 gene, a genetically validated driver of MASH. MGL-0795 is a GalNac-conjugated siRNA designed to reduce expression of PNPLA3. Mutations in the PNPLA3 gene have been shown to disrupt the liver’s ability to properly process fat. This leads to increased fat accumulation in hepatocytes, and is strongly associated with MASH progression and a high risk of developing hepatocellular carcinoma. The results of two Phase 1 trials suggested that a single dose of MGL-0795 reduced liver fat content in homozygous carriers of the PNPLA3 I148M variant, providing proof-of-concept as a precision-medicine approach in this patient population. We will consult with the FDA on design of a Phase 2 combination trial with resmetirom.</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2026, we presented several posters at the European Association for the Study of the Liver (EASL) Congress. Over a mean follow-up period of approximately nine months, real world data demonstrated that nearly 50% of patients treated with Rezdiffra achieved at least a 25% improvement in liver stiffness, a key measure of treatment response. We also presented a secondary analysis from our Phase 3 MAESTRO-NASH and MAESTRO-NAFLD-1 trials demonstrating that Rezdiffra improved key histologic MASH endpoints and significantly reduced multiple atherogenic lipoproteins associated with cardiovascular risk, including LDL and Lp(a), regardless of baseline statin use. In addition, we presented data showing that a MASH-specific risk stratification model (ANTICIPATE-NASH) that estimates clinically significant portal hypertension (CSPH) risk and likelihood of liver-related events was applied to MAESTRO-NAFLD-1 OLE F4c results. The proportion of patients classified as higher risk for CSPH decreased from 75% at baseline to 54.5% at Year 2.</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2026, the United Kingdom’s Medicines and Healthcare Regulatory Agency authorized Rezdiffra to treat adult patients with MASH with moderate to advanced liver fibrosis.</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we initiated a Phase 1 single ascending dose trial of MGL-2086 in healthy volunteers to assess safety and a dose response. In addition, in July 2026, we nominated the first siRNA candidate for clinical development pursuant to the Ribocure License Agreement. </w:t>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2026, the United States Patent and Trademark Office (USPTO) issued us three new patents directed toward resmetirom. U.S. Patent No. 12,667,575 is directed to administering a weight-threshold step-down 60mg or 80mg resmetirom dose for patients with F2/F3 MASH also using a moderate CYP2C8 inhibitor. This patent issued on June 30, 2026, and expires in February 2045. U.S. Patent No. 12,661,359 is directed to the administration of rosuvastatin and resmetirom and limits the daily dose of rosuvastatin to a maximum of 20mg per day to reduce or eliminate dose-related side effects. This patent issued on June 23, 2026, and expires in January 2042. These two patents have been listed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FDA’s Orange Book. In addition, U.S. Patent No. 12,661,361 is directed to a method of administering resmetirom to treat well-compensated cirrhosis (F4c). This patent issued on June 23, 2026, and expires in September 2042.</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FDA approved Rezdiffra for the treatment of noncirrhotic MASH with moderate to advanced liver fibrosis (consistent with stages F2 to F3 fibrosis). We began generating revenue from sales of Rezdiffra in the United States in April 2024. In addition, we launched Rezdiffra in Germany in September 2025. Revenue is recorded net of variable consideration, which includes prompt pay discounts, returns, chargebacks, rebates, and co-payment assistance.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includes the cost of manufacturing and distribution of inventory related to sales of Rezdiffra, including salaries, benefits and stock-based compensation expense for employees dedicated to the production of Rezdiffra. We expect cost of sales to increase in the future, as manufacturing costs incurred prior to regulatory approval were expensed to research and development rather than capitalized as inventory, as approval was considered uncertain. Cost of sales also includes royalties payable to F. Hoffmann-La Roche AG (“Roche”) based on net sales of Rezdiffra. Each quarterly period, we estimate our total royalty obligation for the full year and recognize our cost of sales at an even rate over the year, based on an estimated blended royalty rate.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primarily consist of costs associated with our research activities, including the clinical development of our product candidates. We expense our research and development expenses as incurred. We contract with clinical research organizations to manage our clinical trials under agreed upon budgets for each trial,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consist primarily of: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salaries and related expense, including stock-based compensation, paid to our employees engaged in research and development activities;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external expenses paid to clinical trial sites, contract research organizations, laboratories, database software and consultants that conduct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expenses related to development and the production of non-clinical and clinical trial supplies, including fees paid to contract manufacturers;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expenses related to preclinical activities;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expenses related to compliance with drug development regulatory requirements;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other allocated expenses, which include direct and allocated expenses for depreciation of equipment and other supplies;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certain upfront and milestone payments payable pursuant to our license agreements.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incur substantial expenses related to our development activities for the foreseeable future as we conduct our clinical trial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Completion dates and costs for our clinical development programs as well as our research program can vary significantly for any future product candidate and are difficult to predict. As a result, we cannot estimate with any degree of certainty the costs we will incur in connection with the development of product candidates at this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and ongoing assessments as to each product candidate’s commercial potential.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salaries, benefits and stock-based compensation expenses paid to employees engaged in selling, general and administrative activities, management costs, costs associated with commercial activities, costs associated with obtaining and maintaining our patent portfolio, commercial and marketing activities, professional fees for accounting, auditing, consulting and legal services and allocated overhead expenses.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our selling, general and administrative expenses will increase in the future as we expand our operating activities, continue commercialization efforts, including extending operations into new geographies (if approved), maintain and expand our patent portfolio and incur additional costs associated with being a public company and maintaining compliance with exchange listing and U.S. Securities and Exchange Commission (“SEC”) requirements.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consists primarily of interest and dividend income earned on cash equivalents and marketable securities.</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consists primarily of interest accrued on principal balances outstanding under our Financing Agreement (as amended from time to time, the “Financing Agreement”) with the guarantors thereunder, certain funds managed by Blue Owl Capital Corporation, as the lenders (the “Lenders”), and LSI Financing LLC, as the administrative agent for the Lenders (the “Administrative Agent”).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64"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net consists primarily of realized and unrealized gains and losses on foreign currency transactions.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revenue, and expenses and the disclosure of contingent assets and liabilities at the date of the financial statements. On an ongoing basis, we evaluate our estimates and judgments, including those related to gross to net expenses, inventory valuation,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as compared to those disclosed in “Part II, Item 7—Management’s Discussion and Analysis of Financial Condition and Results of Operations” in our Annual Report on Form 10-K for the fiscal year ended December 31, 2025 filed with the SEC on February 19, 2026. Refer to Note 2 to the unaudited condensed consolidated financial statements in this Quarterly Report on Form 10-Q for details of accounting policies over revenue and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and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comparative unaudited results of operations for the three months ended June 30, 2026 and 2025 (in thousands): </w:t>
      </w:r>
    </w:p>
    <w:tbl>
      <w:tblPr>
        <w:tblW w:w="8488" w:type="dxa"/>
        <w:jc w:val="center"/>
        <w:tblInd w:w="0" w:type="dxa"/>
        <w:tblLayout w:type="fixed"/>
        <w:tblCellMar>
          <w:top w:w="28" w:type="dxa"/>
          <w:left w:w="28" w:type="dxa"/>
          <w:bottom w:w="28" w:type="dxa"/>
          <w:right w:w="28" w:type="dxa"/>
        </w:tblCellMar>
      </w:tblPr>
      <w:tblGrid>
        <w:gridCol w:w="1071"/>
        <w:gridCol w:w="940"/>
        <w:gridCol w:w="94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85"/>
        <w:gridCol w:w="286"/>
        <w:gridCol w:w="54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212,802 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260,004 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160,556 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(56,308)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Revenue, net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$364.3 million of product revenue, net for the three months ended June 30, 2026, compared to $212.8 million in the corresponding period in 2025. The increase was driven by increased demand for Rezdiffra in the United States in 2026. </w:t>
      </w:r>
    </w:p>
    <w:p>
      <w:pPr>
        <w:pStyle w:val="TextBody"/>
        <w:bidi w:val="0"/>
        <w:spacing w:lineRule="auto" w:line="264"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p>
      <w:pPr>
        <w:pStyle w:val="TextBody"/>
        <w:bidi w:val="0"/>
        <w:spacing w:lineRule="auto" w:line="264"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were incurred as a result of sales of Rezdiffra and includes non-cash stock-based compensation expense for employees dedicated to the production of Rezdiffra. For the three months ended June 30, 2026, we recorded $40.0 million of cost of sales compared to $9.1 million in the corresponding period in 2025. The increase in cost of sales was primarily driven by (i) an increase in royalties payable to Roche as a result of an increase in net sales of Rezdiffra in 2026 and (ii) a write-down of $10.4 million for certain work-in-process inventory that may not meet quality specifications.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our research and development expenses for the three months ended June 30, 2026 and 2025 (in thousands): </w:t>
      </w:r>
    </w:p>
    <w:tbl>
      <w:tblPr>
        <w:tblW w:w="8864" w:type="dxa"/>
        <w:jc w:val="center"/>
        <w:tblInd w:w="0" w:type="dxa"/>
        <w:tblLayout w:type="fixed"/>
        <w:tblCellMar>
          <w:top w:w="28" w:type="dxa"/>
          <w:left w:w="28" w:type="dxa"/>
          <w:bottom w:w="28" w:type="dxa"/>
          <w:right w:w="28" w:type="dxa"/>
        </w:tblCellMar>
      </w:tblPr>
      <w:tblGrid>
        <w:gridCol w:w="1368"/>
        <w:gridCol w:w="1205"/>
        <w:gridCol w:w="12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8"/>
        <w:gridCol w:w="218"/>
        <w:gridCol w:w="544"/>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and benefit-related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fees and other external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Facility related and other internal expenses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283"/>
        <w:ind w:left="0" w:right="0" w:firstLine="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Facility and other internal expenses includes occupancy, information technology, and other internal costs.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were $91.2 million for the three months ended June 30, 2026, compared to $54.1 million in the corresponding period in 2025. Research and development expenses include non-cash stock-based compensation expense associated with employees engaged in research and development activities. Research and development expenses increased by $37.1 million in the 2026 period, primarily due to one-time upfront business development expenses of $25.0 million and an $8.0 million increase in compensation and benefit-related expenses and stock-based compensation expense as a result of increased headcount in connection with pipeline expansion activities.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our selling, general and administrative expenses for the three months ended June 30, 2026 and 2025 (in thousands): </w:t>
      </w:r>
    </w:p>
    <w:tbl>
      <w:tblPr>
        <w:tblW w:w="9104" w:type="dxa"/>
        <w:jc w:val="center"/>
        <w:tblInd w:w="0" w:type="dxa"/>
        <w:tblLayout w:type="fixed"/>
        <w:tblCellMar>
          <w:top w:w="28" w:type="dxa"/>
          <w:left w:w="28" w:type="dxa"/>
          <w:bottom w:w="28" w:type="dxa"/>
          <w:right w:w="28" w:type="dxa"/>
        </w:tblCellMar>
      </w:tblPr>
      <w:tblGrid>
        <w:gridCol w:w="1368"/>
        <w:gridCol w:w="1205"/>
        <w:gridCol w:w="12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544"/>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and benefit-related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fees and other external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Facility related and other internal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283"/>
        <w:ind w:left="0" w:right="0" w:firstLine="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Facility and other internal expenses includes occupancy, information technology, and other internal costs.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selling, general and administrative expenses were $289.4 million for the three months ended June 30, 2026, compared to $196.9 million in the corresponding period in 2025. Selling, general and administrative expenses includes non-cash stock-based compensation expense. Selling, general and administrative expenses increased by $92.5 million in the 2026 period, primarily due to a $39.2 million increase in professional fees and other external expenses as a result of continued investment in commercial activities for Rezdiffra, including direct-to-consumer (DTC) marketing efforts and a $36.4 million increase in compensation and benefit-related expenses and stock-based compensation expense primarily due to headcount for the endocrinology field force expansion that began in the fourth quarter of 2025.</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Income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net interest income was $7.1 million for the three months ended June 30, 2026, compared to $8.2 million in the corresponding period in 2025. The decrease in interest income was primarily due to lower interest rates and lower average balances of interest-bearing cash equivalents and marketable securities compared to the corresponding period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64"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expense was $7.9 million for the three months ended June 30, 2026, compared to $3.3 million in the corresponding period in 2025. The increase of $4.7 million was primarily the result of a higher average outstanding principal balance after entering into the Financing Agreement.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64"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net consists primarily of realized and unrealized gains and losses on foreign currency transactions.</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Six Months Ended June 30, 2026 and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comparative unaudited results of operations for the six months ended June 30, 2026 and 2025 (in thousands): </w:t>
      </w:r>
    </w:p>
    <w:tbl>
      <w:tblPr>
        <w:tblW w:w="8683" w:type="dxa"/>
        <w:jc w:val="center"/>
        <w:tblInd w:w="0" w:type="dxa"/>
        <w:tblLayout w:type="fixed"/>
        <w:tblCellMar>
          <w:top w:w="28" w:type="dxa"/>
          <w:left w:w="28" w:type="dxa"/>
          <w:bottom w:w="28" w:type="dxa"/>
          <w:right w:w="28" w:type="dxa"/>
        </w:tblCellMar>
      </w:tblPr>
      <w:tblGrid>
        <w:gridCol w:w="1071"/>
        <w:gridCol w:w="940"/>
        <w:gridCol w:w="943"/>
        <w:gridCol w:w="211"/>
        <w:gridCol w:w="901"/>
        <w:gridCol w:w="109"/>
        <w:gridCol w:w="109"/>
        <w:gridCol w:w="109"/>
        <w:gridCol w:w="109"/>
        <w:gridCol w:w="211"/>
        <w:gridCol w:w="901"/>
        <w:gridCol w:w="109"/>
        <w:gridCol w:w="109"/>
        <w:gridCol w:w="109"/>
        <w:gridCol w:w="109"/>
        <w:gridCol w:w="211"/>
        <w:gridCol w:w="826"/>
        <w:gridCol w:w="109"/>
        <w:gridCol w:w="109"/>
        <w:gridCol w:w="109"/>
        <w:gridCol w:w="109"/>
        <w:gridCol w:w="308"/>
        <w:gridCol w:w="308"/>
        <w:gridCol w:w="54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675,589 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325,537 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364,734 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348,055 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(149,031)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(126,513)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(152,330)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(115,519)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Product Revenue, net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recorded $675.6 million of product revenue, net for the six months ended June 30, 2026, compared to $350.1 million in the corresponding period in 2025. The increase was driven by increased demand for Rezdiffra in the United States in 2026. </w:t>
      </w:r>
    </w:p>
    <w:p>
      <w:pPr>
        <w:pStyle w:val="TextBody"/>
        <w:bidi w:val="0"/>
        <w:spacing w:lineRule="auto" w:line="264"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p>
      <w:pPr>
        <w:pStyle w:val="TextBody"/>
        <w:bidi w:val="0"/>
        <w:spacing w:lineRule="auto" w:line="264"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sales were incurred as a result of sales of Rezdiffra and includes non-cash stock-based compensation expense for employees dedicated to the production of Rezdiffra. For the six months ended June 30, 2026, we recorded $66.9 million of cost of sales compared to $13.6 million in the corresponding period in 2025. The increase in cost of sales was primarily driven by (i) an increase in royalties payable to Roche as a result of an increase in net sales of Rezdiffra in 2026 and (ii) a write-down of $10.4 million for certain work-in-process inventory that may not meet quality specifications.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our research and development expenses for the six months ended June 30, 2026 and 2025 (in thousands): </w:t>
      </w:r>
    </w:p>
    <w:tbl>
      <w:tblPr>
        <w:tblW w:w="9104" w:type="dxa"/>
        <w:jc w:val="center"/>
        <w:tblInd w:w="0" w:type="dxa"/>
        <w:tblLayout w:type="fixed"/>
        <w:tblCellMar>
          <w:top w:w="28" w:type="dxa"/>
          <w:left w:w="28" w:type="dxa"/>
          <w:bottom w:w="28" w:type="dxa"/>
          <w:right w:w="28" w:type="dxa"/>
        </w:tblCellMar>
      </w:tblPr>
      <w:tblGrid>
        <w:gridCol w:w="1368"/>
        <w:gridCol w:w="1205"/>
        <w:gridCol w:w="1207"/>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33"/>
        <w:gridCol w:w="233"/>
        <w:gridCol w:w="544"/>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and benefit-related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fees and other external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Facility related and other internal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283"/>
        <w:ind w:left="0" w:right="0" w:firstLine="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Facility and other internal expenses includes occupancy, information technology, and other internal costs.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were $199.9 million for the six months ended June 30, 2026, compared to $98.3 million in the corresponding period in 2025. Research and development expenses include non-cash stock-based compensation expense associated with employees engaged in research and development activities. Research and development expenses increased by $101.6 million in the 2026 period, primarily due to one-time upfront business development expenses of $79.3 million related to business development transactions during the six months ended June 30, 2026 and a $16.7 million increase in compensation and benefit-related expenses and stock-based compensation expense as a result of increased headcount in connection with pipeline expansion activities.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our selling, general and administrative expenses for the six months ended June 30, 2026 and 2025 (in thousands): </w:t>
      </w:r>
    </w:p>
    <w:tbl>
      <w:tblPr>
        <w:tblW w:w="9115" w:type="dxa"/>
        <w:jc w:val="center"/>
        <w:tblInd w:w="0" w:type="dxa"/>
        <w:tblLayout w:type="fixed"/>
        <w:tblCellMar>
          <w:top w:w="28" w:type="dxa"/>
          <w:left w:w="28" w:type="dxa"/>
          <w:bottom w:w="28" w:type="dxa"/>
          <w:right w:w="28" w:type="dxa"/>
        </w:tblCellMar>
      </w:tblPr>
      <w:tblGrid>
        <w:gridCol w:w="1368"/>
        <w:gridCol w:w="1205"/>
        <w:gridCol w:w="120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6"/>
        <w:gridCol w:w="186"/>
        <w:gridCol w:w="544"/>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and benefit-related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fees and other external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Facility related and other internal expenses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557,896 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283"/>
        <w:ind w:left="0" w:right="0" w:firstLine="72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Facility and other internal expenses includes occupancy, information technology, and other internal costs.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selling, general and administrative expenses were $557.9 million for the six months ended June 30, 2026, compared to $364.7 million in the corresponding period in 2025. Selling, general and administrative expenses includes non-cash stock-based compensation expense. Selling, general and administrative expenses increased by $193.2 million in the 2026 period, primarily due to a $82.4 million increase in professional fees and other external expenses as a result of continued investment in commercial activities for Rezdiffra, including direct-to-consumer (DTC) marketing efforts and a $82.0 million increase in compensation and benefit-related expenses and stock-based compensation expense primarily due to headcount for the endocrinology field force expansion that began in the fourth quarter of 2025. </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Income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net interest income was $15.3 million for the six months ended June 30, 2026, compared to $17.6 million in the corresponding period in 2025. The decrease in interest income was primarily due to lower interest rates and lower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balances of interest-bearing cash equivalents and marketable securities compared to the corresponding period in 2025.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64"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interest expense was $15.8 million for the six months ended June 30, 2026, compared to $6.6 million in the corresponding period in 2025. The increase in interest expense was primarily the result of a higher average outstanding principal balance after entering into the Financing Agreement.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64"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expense, net consists primarily of realized and unrealized gains and losses on foreign currency transactions.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Macroeconomic Events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and uncertainties related to, global trade or other economic policies, including tariffs, pricing policies or other restrictions imposed by the United States government or governments of other nations, may have an adverse effect on us, our partners and the pharmaceutical industry as a whole. Based on our current manufacturing locations, supply chain operations and inventory, we believe that the current tariff policies will not have a material impact on our business, results of operations or financial condition. Our U.S. commercial and clinical supply of resmetirom is currently manufactured in the United States. In addition, we have engaged a European manufacturer to produce our commercial supply of drug product for European commercialization. Additional changes to the policies of the United States or other nations that affect the geopolitical landscape or global trade, economy or market conditions, and other direct or indirect impacts of such policies, are uncertain and unpredictable, and could, in the future, have an adverse effect on our business,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restricted cash, and marketable securities totaling $838.9 million compared to $988.6 million as of December 31, 2025. We have historically funded our operations primarily through proceeds from sales of our capital stock and debt financings. In July 2025, we entered into a senior secured credit facility that provides up to $500.0 million. See Note 8 “Long Term Debt” for additional details. We began receiving revenue from sales of Rezdiffra following the receipt of accelerated FDA approval in March 2024 and CMA from the EC in August 2025.</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Until we are able to generate sufficient revenue from Rezdiffra and any other future approved products, we anticipate that we will continue to incur losses. While our rate of cash usage will likely increase in the future, in particular to support our product development and clinical trial efforts, our commercialization efforts and geographic expansion activities and our business development goals,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our decisions regarding future geographic expansion, the conduct of any future preclinical studies and clinical trials, our entry into any strategic transactions, our ability to maintain compliance with the liquidity covenant in the Financing Agreement and potential milestone payments payable pursuant to our license agreements. To meet future long-term liquidity requirements,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 are unfavorable, this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At-the-Market Sales Agreement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 Sales Agreement (the “Sales Agreement”) with Cowen and Company, LLC, an affiliate of TD Securities (USA) LLC (“Cowen”), replacing and superseding our prior sales agreement. We are authorized to issue and sell up to $300.0 million of shares of our common stock under the Sales Agreement. Sales of our common stock, if any, under the Sales Agreement will be made by any method that is deemed to be an “at the market” offering as defined in Rule 415(a)(4) of the Securities Act of 1933, as amended. We have no obligation to sell any common stock and may at any time suspend offers under the Sales Agreement or terminate the Sales Agreement pursuant to its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make any sales under the Sales Agreement during the three and six months ended June 30, 2026 or 2025. As of June 30, 2026, $300.0 million remained available for sale under the Sales Agreement and our related prospectus supplement. </w:t>
      </w:r>
    </w:p>
    <w:p>
      <w:pPr>
        <w:pStyle w:val="TextBody"/>
        <w:bidi w:val="0"/>
        <w:spacing w:lineRule="auto" w:line="276"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pStyle w:val="TextBody"/>
        <w:bidi w:val="0"/>
        <w:spacing w:lineRule="auto" w:line="268" w:before="120" w:after="283"/>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 xml:space="preserve">Hercules Loan Facility </w:t>
      </w:r>
    </w:p>
    <w:p>
      <w:pPr>
        <w:pStyle w:val="TextBody"/>
        <w:bidi w:val="0"/>
        <w:spacing w:lineRule="auto" w:line="276"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2022 we entered into a $250.0 million senior secured loan facility with Hercules Capital, Inc. (the “Hercules Loan Facility”). Interest on the Hercules Loan Facility was the greater of (i) the prime rate plus 2.45% and (ii) 8.25%. The Hercules Loan Facility included an end-of-term charge of 5.35% of the aggregate principal amount, which was accounted for in the loan discount.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17, 2025, we used the proceeds received from the Financing Agreement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As a result of the termination, all credit commitments under the Hercules Loan Facility were terminated and all security interests and guarantees in connection with the Hercules Loan Facility were released. The repayment resulted in a $2.8 million loss on extinguishment of debt, primarily due to the write off of unamortized debt issuance costs.</w:t>
      </w:r>
    </w:p>
    <w:p>
      <w:pPr>
        <w:pStyle w:val="TextBody"/>
        <w:bidi w:val="0"/>
        <w:spacing w:lineRule="auto" w:line="276" w:before="240" w:after="283"/>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Financing Agreement</w:t>
      </w:r>
    </w:p>
    <w:p>
      <w:pPr>
        <w:pStyle w:val="TextBody"/>
        <w:bidi w:val="0"/>
        <w:spacing w:lineRule="auto" w:line="276"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2025 (the “Closing Date”), we entered into the Financing Agreement with the Lenders and the Administrative Agent. Under the Financing Agreement, the Lenders have committed up to $500.0 million in senior secured credit facilities, consisting of (a) the initial term loan in an aggregate principal amount equal to $350.0 million (the “Initial Term Loan”) and (b) delayed draw term loans in an aggregate principal amount not to exceed $150.0 million (the “Delayed Draw Term Loans”). In addition, the Financing Agreement includes uncommitted Incremental Term Loans in an aggregate principal amount not to exceed $250.0 million (the “Incremental Term Loans”), subject to the satisfaction of certain terms and conditions set forth in the Financing Agreement. The Initial Term Loan was funded on the Closing Date. Delayed Draw Term Loans are available at our election from time to time until December 31, 2027. Incremental Term Loans are available at our and the Lenders’ mutual consent from time to time. The proceeds from the Financing Agreement are expected to primarily support our business development activities.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Accrued interest is payable (i) quarterly following the funding of the Initial Term Loan on the Closing Date, (ii) on any date of prepayment or repayment of the Term Loans and (iii) at maturity. The outstanding balance of the Term Loans, if not repaid sooner, shall be due and payable in full on July 17, 2030.</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date, we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Financing Agreement contains affirmative covenants and negative covenants applicable to us and our subsidiaries that are customary for financings of this type. We and the Guarantors (as defined below)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us experiencing a change of control. Upon the occurrence of an event of default, the Lenders may, among other things, accelerate our obligations under the Financing Agreement. Our obligations under the Financing Agreement are and will be guaranteed by certain of our existing and future direct and indirect subsidiaries, subject to certain exceptions (such subsidiaries, collectively, the “Guarantors”).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17, 2025, concurrently with the entry into the Financing Agreement, we, the Guarantors and the Administrative Agent entered into a Pledge and Security Agreement. As security for our obligations under the Financing Agreement, we and the Guarantors granted to the Administrative Agent, for the benefit of the Lenders and secured parties, a continuing first priority security interest in substantially all of our and the Guarantors’ assets (including all equity interests owned or hereafter acquired by us and the Guarantors), subject to certain customary exceptions. On September 4, 2025, the parties amended the Financing Agreement to add certain of our subsidiaries as Guarantors.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principal amount under the Financing Agreement was $350.0 million. The interest rate as of June 30, 2026 was 8.45%. Interest expense was $7.9 million and $15.8 million for the three and six months ended June 30, 2026, respectively. Interest expense was $3.3 million and $6.6 million for the three and six months ended June 30, 2025, respectively. As of June 30, 2026, we were in compliance with all loan covenants and provisions.</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our net cash flow activity (in thousands): </w:t>
      </w:r>
    </w:p>
    <w:tbl>
      <w:tblPr>
        <w:tblW w:w="6388" w:type="dxa"/>
        <w:jc w:val="center"/>
        <w:tblInd w:w="0" w:type="dxa"/>
        <w:tblLayout w:type="fixed"/>
        <w:tblCellMar>
          <w:top w:w="28" w:type="dxa"/>
          <w:left w:w="28" w:type="dxa"/>
          <w:bottom w:w="28" w:type="dxa"/>
          <w:right w:w="28" w:type="dxa"/>
        </w:tblCellMar>
      </w:tblPr>
      <w:tblGrid>
        <w:gridCol w:w="1254"/>
        <w:gridCol w:w="1104"/>
        <w:gridCol w:w="1107"/>
        <w:gridCol w:w="211"/>
        <w:gridCol w:w="901"/>
        <w:gridCol w:w="109"/>
        <w:gridCol w:w="109"/>
        <w:gridCol w:w="109"/>
        <w:gridCol w:w="109"/>
        <w:gridCol w:w="211"/>
        <w:gridCol w:w="901"/>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(144,106)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211,736 </w:t>
            </w:r>
          </w:p>
        </w:tc>
        <w:tc>
          <w:tcPr>
            <w:tcW w:w="109"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64"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$144.1 million for the six months ended June 30, 2026, compared to $135.9 million for the corresponding period in 2025. The use of cash in these periods resulted primarily from our losses from operations, driven by commercialization efforts, including purchases of API, one-time upfront payments related to business development transactions and higher annual incentive bonus payouts, partially offset by cash receipts from sales of Rezdiffra, as adjusted for non-cash charges, and changes in our working capital accounts. </w:t>
      </w:r>
    </w:p>
    <w:p>
      <w:pPr>
        <w:pStyle w:val="TextBody"/>
        <w:bidi w:val="0"/>
        <w:spacing w:lineRule="auto" w:line="264"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$226.4 million for the six months ended June 30, 2026, compared to net cash provided by investing activities of $211.7 million for the corresponding period in 2025. Net cash provided by investing activities for the six months ended June 30, 2026 primarily consisted of $541.2 million from sales and maturities of marketable securities, partially offset by $306.7 million of purchases of marketable securities for our investment portfolio and $8.1 million of purchases of property and equipment. Net cash provided by investing activities for the corresponding period in 2025 primarily consisted of $568.1 million from sales and maturities of marketable securities, partially offset by $356.3 million of purchases of marketable securities in our investment portfolio.</w:t>
      </w:r>
    </w:p>
    <w:p>
      <w:pPr>
        <w:pStyle w:val="TextBody"/>
        <w:bidi w:val="0"/>
        <w:spacing w:lineRule="auto" w:line="264"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Net cash provided by financing activities was $5.4 million for the six months ended June 30, 2026, compared to $10.4 million for the corresponding period in 2025. Net cash provided by financing activities for the six months ended June 30, 2026 consisted of $5.4 million from the exercise of stock options. Net cash provided by financing activities for the corresponding period in 2025 consisted of </w:t>
      </w:r>
      <w:r>
        <w:rPr>
          <w:rFonts w:ascii="Times New Roman;serif" w:hAnsi="Times New Roman;serif"/>
          <w:b w:val="false"/>
          <w:color w:val="000000"/>
          <w:sz w:val="20"/>
          <w:shd w:fill="FFFFFF" w:val="clear"/>
        </w:rPr>
        <w:t>$10.4 million</w:t>
      </w:r>
      <w:r>
        <w:rPr>
          <w:color w:val="000000"/>
        </w:rPr>
        <w:t xml:space="preserve"> </w:t>
      </w:r>
      <w:r>
        <w:rPr>
          <w:rFonts w:ascii="Times New Roman;serif" w:hAnsi="Times New Roman;serif"/>
          <w:b w:val="false"/>
          <w:color w:val="000000"/>
          <w:sz w:val="20"/>
        </w:rPr>
        <w:t>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 xml:space="preserve">Contractual Obligations and Commercial Commitments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2019, we entered into an operating lease for office space in certain premises located in West Conshohocken, Pennsylvania (the “Office Lease”), which was further amended by four amendments entered into from 2019 to May 2023. In August 2023, we entered into the Fifth Amendment to the Office Lease (the “Fifth Lease Amendment”) pursuant to which the term of the Office Lease was extended through November 2026. As a result of the Fifth Lease Amendment, an incremental $1.6 million right-of-use asset and lease liability were recorded during the year ended December 31, 2023. In 2024, we entered into the Sixth, Seventh, Eighth, and Ninth Amendments to the Office Lease, leasing additional office space available in the same premises under the Office Lease, which resulted in an incremental $1.3 million right-of-use asset and lease liability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2025, we entered into an operating lease for additional office space in West Conshohocken, Pennsylvania. The lease commenced in May 2025 and resulted in a $4.0 million right-of-use asset and lease liability. In March 2026, we entered into an amendment to this lease, which modified the lease term and payment schedule. As a result, the right-of-use asset and lease liability balances were remeasured to $4.0 million and $4.6 million, respectively.</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we entered into an operating lease for office space in Waltham, Massachusetts. The commencement date had not occurred as of June 30, 2026. Upon lease commencement, we expect to make total lease payments of $9.9 million over an 84-month lease term. As of June 30, 2026, we recorded a $1.3 million prepaid lease payment related to approved change orders, which will be included in the measurement of the right-of-use asset upon commencement.</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an operating lease for office space in Baar, Switzerland. The lease commenced on March 1, 2026 and has a term of 24 months. As a result, we recognized a right-of-use asset and corresponding lease liability of approximately $1.4 million upon commencement.</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2022, we entered into the $250.0 million Hercules Loan Facility. On July 17, 2025, we entered into the Financing Agreement and used the proceeds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The Initial Term Loan of $350.0 million under the Financing Agreement was funded on July 17, 2025. Accrued interest under the Financing Agreement is payable quarterly, on any date of prepayment or repayment of the term loans outstanding thereunder and at maturity. We are not required to repay any principal amounts outstanding under the Financing Agreement until maturity in July 2030, subject to certain prepayment events set forth in the Financing Agreement. See Note 8 “Long Term Debt” to the unaudited condensed consolidated financial statements included in this Quarterly Report on Form 10-Q for additional information regarding the Financing Agreement.</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Research, Development and Commercialization Agreement with Roche (as amended, the “Roche Agreement”), Roche granted us a sole and exclusive license to develop, use, sell, offer for sale and import any Licensed Product (as defined in the Roche Agreement). We received FDA approval for Rezdiffra in March 2024 and EC approval for Rezdiffra in August 2025. A tiered single-digit royalty is payable to Roche on net sales of Rezdiffra, subject to certain reductions.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we entered into the CSPC License Agreement with CSPC for MGL-2086 (formerly known as SYH2086), a preclinical oral small molecule GLP-1 receptor agonist. Pursuant to the CSPC License Agreement, CSPC has granted us an exclusive global license to develop, manufacture, and commercialize MGL-2086. The transaction closed in September 2025. We paid CSPC an upfront payment of $120.0 million in October 2025. CSPC is eligible to receive up to $2.0 billion in development, regulatory and commercial milestone payments, as well as royalties on net sales ranging from mid-single digits to low-double digits.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entered into the Pfizer License Agreement with Pfizer Inc. (“Pfizer”) to develop, manufacture and commercialize ervogastat, a Phase 2 oral DGAT-2 inhibitor, and two additional early-stage MASH assets. We paid Pfizer an upfront payment of $50.0 million in December 2025. In addition, Pfizer is eligible to receive up to $70.0 million in development and regulatory milestone payments related to ervogastat and low-double digit royalties on net sales of ervogastat. Pfizer is eligible to receive additional development, regulatory and commercial milestone payments and royalty payments on net sales of the two licensed early stage assets. </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2026, we entered into the Ribocure License Agreement granting us exclusive global rights to develop, manufacture and commercialize six siRNA programs. Pursuant to the Ribocure License Agreement, we paid Ribocure an upfront payment of $60.0 million. In addition, Ribocure is eligible to receive up to $4.4 billion in development, regulatory and commercial milestone payments across all programs, as well as royalties on net sales ranging from mid-single digits to low-double digits.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we entered into the Arrowhead License Agreement with Arrowhead granting us an exclusive global license to ARO-PNPLA3 (now referred to as MGL-0795). Pursuant to the Arrowhead License Agreement, we made an upfront payment of $25.0 million, which was recognized as research and development expense in June 2026.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Arrowhead is eligible to receive up to $975.0 million in development, regulatory and commercial milestone payments, as well as royalties on net sales ranging from high-single digits to the mid-teens.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customary contractual agreements in support of the Phase 3 clinical trials and in connection with manufacturing Rezdiffra. As of June 30, 2026, we had approximately $239.4 million of obligations under these agreements related to active pharmaceutical ingredient, which is expected to be paid through December 2029.</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noted above, no significant changes to contractual obligations and commitments occurred during the six months ended June 30, 2026, as compared to those disclosed in our Annual Report on Form 10-K for the fiscal year ended December 31, 2025 filed with the SEC on February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Financing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primary exposure to interest rate risk was associated with our variable rate borrowings under the Financing Agreement. 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See Note 8 “Long Term Debt” to the unaudited condensed consolidated financial statements included in this Quarterly Report on Form 10-Q. Interest rates are sensitive to a variety of factors, including changes in fiscal and monetary policies, geopolitical events, changes in global economic conditions and other factors beyond our control. As of June 30, 2026, the interest rate associated with the $350.0 million of borrowings outstanding under the Financing Agreement was 8.45%. For the three months ended June 30, 2026, the effect of a hypothetical 100 basis point increase or decrease in the interest rate would have changed our interest expense under the Financing Agreement by approximately $0.9 million.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Investment Portfolio</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with respect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12 months and no security with an effective duration in excess of 24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Foreign Exchange Exposure</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expand our operations into Europe, we are exposed to risks related to changes in foreign currency exchange rates, primarily between the U.S. dollar, euro and Swiss franc. The majority of our expenses are generally denominated in the currencies in which they are incurred, which is primarily the U.S. dollar. As we endeavor to expand our presence in international markets, to the extent we are required to enter into agreements denominated in a currency other than the U.S. dollar, results of operations and cash flows may increasingly be subject to fluctuations due to changes in foreign currency exchange rates and may be adversely affected in the future due to changes in foreign currency exchange rates. To date, we have not entered into any hedging arrangements with respect to foreign currency risk. As our international operations grow, we will continue to reassess our approach to manage our risk relating to fluctuations in currency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 xml:space="preserve">Disclosure Controls and Procedures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of our principal executive officer and principal financial officer, we evaluated the effectiveness of our disclosure controls and procedures as of the end of the period covered by this Quarterly Report on Form 10-Q. Based on that evaluation, our principal executive officer and principal financial officer have concluded that our disclosure controls and procedures were effective to provide such reasonable assurance described above as of June 30, 2026.</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Limitations on the Effectiveness of Controls and Procedures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bidi w:val="0"/>
        <w:spacing w:lineRule="auto" w:line="276" w:before="360" w:after="283"/>
        <w:jc w:val="left"/>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defined in Rule 13a-15(f) under the Exchange Act)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 xml:space="preserve">PART II –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included under the heading “Legal Proceedings” in Note 11, Commitments and Contingencies, to our condensed consolidated financial statements included in Part I, Item 1 “Financial Statements” of this report is incorporated into this item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included in detail in the “Risk Factors” sections appearing in Part I, Item 1A of our Annual Report on Form 10-K for the year ended December 31, 2025, filed with the SEC on 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Director and Executive Officer 10b5-1 Plans</w:t>
      </w:r>
    </w:p>
    <w:p>
      <w:pPr>
        <w:pStyle w:val="TextBody"/>
        <w:bidi w:val="0"/>
        <w:spacing w:lineRule="auto" w:line="26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policy governing transactions in our securities by our directors, officers and employees permits our directors, officers and employees to enter into trading plans complying with Rule 10b5-1 under the Exchange Act. The following table describes the written plans for the sale of our securities that were adopted by our executive officers and directors during the quarter ended June 30, 2026. Each plan was entered into during an open trading window and is intended to satisfy the affirmative defense conditions of Rule 10b5-1(c) (each a “Trading Plan”).</w:t>
      </w:r>
    </w:p>
    <w:p>
      <w:pPr>
        <w:pStyle w:val="TextBody"/>
        <w:bidi w:val="0"/>
        <w:spacing w:before="0" w:after="0"/>
        <w:jc w:val="left"/>
        <w:rPr/>
      </w:pPr>
      <w:r>
        <w:rPr/>
      </w:r>
    </w:p>
    <w:p>
      <w:pPr>
        <w:pStyle w:val="TextBody"/>
        <w:bidi w:val="0"/>
        <w:spacing w:before="0" w:after="0"/>
        <w:ind w:left="0" w:right="0" w:firstLine="490"/>
        <w:jc w:val="left"/>
        <w:rPr/>
      </w:pPr>
      <w:r>
        <w:rPr/>
      </w:r>
    </w:p>
    <w:tbl>
      <w:tblPr>
        <w:tblW w:w="10205" w:type="dxa"/>
        <w:jc w:val="center"/>
        <w:tblInd w:w="0" w:type="dxa"/>
        <w:tblLayout w:type="fixed"/>
        <w:tblCellMar>
          <w:top w:w="28" w:type="dxa"/>
          <w:left w:w="28" w:type="dxa"/>
          <w:bottom w:w="28" w:type="dxa"/>
          <w:right w:w="28" w:type="dxa"/>
        </w:tblCellMar>
      </w:tblPr>
      <w:tblGrid>
        <w:gridCol w:w="844"/>
        <w:gridCol w:w="588"/>
        <w:gridCol w:w="566"/>
        <w:gridCol w:w="109"/>
        <w:gridCol w:w="109"/>
        <w:gridCol w:w="109"/>
        <w:gridCol w:w="520"/>
        <w:gridCol w:w="363"/>
        <w:gridCol w:w="365"/>
        <w:gridCol w:w="109"/>
        <w:gridCol w:w="109"/>
        <w:gridCol w:w="109"/>
        <w:gridCol w:w="551"/>
        <w:gridCol w:w="551"/>
        <w:gridCol w:w="552"/>
        <w:gridCol w:w="109"/>
        <w:gridCol w:w="109"/>
        <w:gridCol w:w="109"/>
        <w:gridCol w:w="620"/>
        <w:gridCol w:w="620"/>
        <w:gridCol w:w="621"/>
        <w:gridCol w:w="109"/>
        <w:gridCol w:w="109"/>
        <w:gridCol w:w="109"/>
        <w:gridCol w:w="623"/>
        <w:gridCol w:w="623"/>
        <w:gridCol w:w="890"/>
      </w:tblGrid>
      <w:tr>
        <w:trPr/>
        <w:tc>
          <w:tcPr>
            <w:tcW w:w="84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99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Action Taken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Scheduled Start Date of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Scheduled Expiration Date of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Maximum Number of Shares Subject to Trading Plan</w:t>
            </w:r>
          </w:p>
        </w:tc>
      </w:tr>
      <w:tr>
        <w:trPr/>
        <w:tc>
          <w:tcPr>
            <w:tcW w:w="19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William Sibold, 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Adoption (June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6,706</w:t>
            </w:r>
          </w:p>
        </w:tc>
      </w:tr>
    </w:tbl>
    <w:p>
      <w:pPr>
        <w:pStyle w:val="TextBody"/>
        <w:bidi w:val="0"/>
        <w:spacing w:before="240" w:after="283"/>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exhibits filed or furnished as part of this Quarterly Report on Form 10-Q are set forth on the Exhibit Index, which Exhibit Index is incorporated herein by reference.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0"/>
        <w:gridCol w:w="229"/>
        <w:gridCol w:w="230"/>
        <w:gridCol w:w="109"/>
        <w:gridCol w:w="109"/>
        <w:gridCol w:w="109"/>
        <w:gridCol w:w="1477"/>
        <w:gridCol w:w="1314"/>
        <w:gridCol w:w="1296"/>
        <w:gridCol w:w="109"/>
        <w:gridCol w:w="109"/>
        <w:gridCol w:w="109"/>
        <w:gridCol w:w="109"/>
        <w:gridCol w:w="109"/>
        <w:gridCol w:w="109"/>
        <w:gridCol w:w="109"/>
        <w:gridCol w:w="109"/>
        <w:gridCol w:w="109"/>
        <w:gridCol w:w="330"/>
        <w:gridCol w:w="330"/>
        <w:gridCol w:w="331"/>
        <w:gridCol w:w="109"/>
        <w:gridCol w:w="109"/>
        <w:gridCol w:w="109"/>
        <w:gridCol w:w="198"/>
        <w:gridCol w:w="198"/>
        <w:gridCol w:w="199"/>
        <w:gridCol w:w="109"/>
        <w:gridCol w:w="109"/>
        <w:gridCol w:w="109"/>
        <w:gridCol w:w="230"/>
        <w:gridCol w:w="230"/>
        <w:gridCol w:w="231"/>
        <w:gridCol w:w="109"/>
        <w:gridCol w:w="109"/>
        <w:gridCol w:w="109"/>
        <w:gridCol w:w="242"/>
        <w:gridCol w:w="242"/>
        <w:gridCol w:w="349"/>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M</w:t>
              </w:r>
            </w:hyperlink>
            <w:hyperlink r:id="rId3">
              <w:r>
                <w:rPr>
                  <w:rStyle w:val="InternetLink"/>
                  <w:rFonts w:ascii="Times New Roman;serif" w:hAnsi="Times New Roman;serif"/>
                  <w:b w:val="false"/>
                  <w:color w:val="000080"/>
                  <w:sz w:val="20"/>
                  <w:u w:val="single"/>
                </w:rPr>
                <w:t>adrigal Pharmaceuticals</w:t>
              </w:r>
            </w:hyperlink>
            <w:hyperlink r:id="rId4">
              <w:r>
                <w:rPr>
                  <w:rStyle w:val="InternetLink"/>
                  <w:rFonts w:ascii="Times New Roman;serif" w:hAnsi="Times New Roman;serif"/>
                  <w:b w:val="false"/>
                  <w:color w:val="000080"/>
                  <w:sz w:val="20"/>
                  <w:u w:val="single"/>
                </w:rPr>
                <w:t>, Inc. 2026 Stock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 8-K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F</w:t>
              </w:r>
            </w:hyperlink>
            <w:hyperlink r:id="rId6">
              <w:r>
                <w:rPr>
                  <w:rStyle w:val="InternetLink"/>
                  <w:rFonts w:ascii="Times New Roman;serif" w:hAnsi="Times New Roman;serif"/>
                  <w:b w:val="false"/>
                  <w:color w:val="000080"/>
                  <w:sz w:val="20"/>
                  <w:u w:val="single"/>
                </w:rPr>
                <w:t>orm of Non-Qualified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 (99.2)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Form of Non-Qualified Stock Option Agreement</w:t>
              </w:r>
            </w:hyperlink>
            <w:hyperlink r:id="rId8">
              <w:r>
                <w:rPr>
                  <w:rStyle w:val="InternetLink"/>
                  <w:rFonts w:ascii="Times New Roman;serif" w:hAnsi="Times New Roman;serif"/>
                  <w:b w:val="false"/>
                  <w:color w:val="000080"/>
                  <w:sz w:val="20"/>
                  <w:u w:val="single"/>
                </w:rPr>
                <w:t xml:space="preserve"> (Non-Employee Director)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 (99.3)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20"/>
                  <w:u w:val="single"/>
                </w:rPr>
                <w:t>F</w:t>
              </w:r>
            </w:hyperlink>
            <w:hyperlink r:id="rId10">
              <w:r>
                <w:rPr>
                  <w:rStyle w:val="InternetLink"/>
                  <w:rFonts w:ascii="Times New Roman;serif" w:hAnsi="Times New Roman;serif"/>
                  <w:b w:val="false"/>
                  <w:color w:val="000080"/>
                  <w:sz w:val="20"/>
                  <w:u w:val="single"/>
                </w:rPr>
                <w:t>orm of Rest</w:t>
              </w:r>
            </w:hyperlink>
            <w:hyperlink r:id="rId11">
              <w:r>
                <w:rPr>
                  <w:rStyle w:val="InternetLink"/>
                  <w:rFonts w:ascii="Times New Roman;serif" w:hAnsi="Times New Roman;serif"/>
                  <w:b w:val="false"/>
                  <w:color w:val="000080"/>
                  <w:sz w:val="20"/>
                  <w:u w:val="single"/>
                </w:rPr>
                <w:t>ricted Stock Unit A</w:t>
              </w:r>
            </w:hyperlink>
            <w:hyperlink r:id="rId12">
              <w:r>
                <w:rPr>
                  <w:rStyle w:val="InternetLink"/>
                  <w:rFonts w:ascii="Times New Roman;serif" w:hAnsi="Times New Roman;serif"/>
                  <w:b w:val="false"/>
                  <w:color w:val="000080"/>
                  <w:sz w:val="20"/>
                  <w:u w:val="single"/>
                </w:rPr>
                <w:t>ward Agreement (</w:t>
              </w:r>
            </w:hyperlink>
            <w:hyperlink r:id="rId13">
              <w:r>
                <w:rPr>
                  <w:rStyle w:val="InternetLink"/>
                  <w:rFonts w:ascii="Times New Roman;serif" w:hAnsi="Times New Roman;serif"/>
                  <w:b w:val="false"/>
                  <w:color w:val="000080"/>
                  <w:sz w:val="20"/>
                  <w:u w:val="single"/>
                </w:rPr>
                <w:t>N</w:t>
              </w:r>
            </w:hyperlink>
            <w:hyperlink r:id="rId14">
              <w:r>
                <w:rPr>
                  <w:rStyle w:val="InternetLink"/>
                  <w:rFonts w:ascii="Times New Roman;serif" w:hAnsi="Times New Roman;serif"/>
                  <w:b w:val="false"/>
                  <w:color w:val="000080"/>
                  <w:sz w:val="20"/>
                  <w:u w:val="single"/>
                </w:rPr>
                <w:t>on-Section 16 Officer</w:t>
              </w:r>
            </w:hyperlink>
            <w:hyperlink r:id="rId15">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 (99.4)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80"/>
                  <w:sz w:val="20"/>
                  <w:u w:val="single"/>
                </w:rPr>
                <w:t>Form of Restricted Stock Unit Award Agreement (</w:t>
              </w:r>
            </w:hyperlink>
            <w:hyperlink r:id="rId17">
              <w:r>
                <w:rPr>
                  <w:rStyle w:val="InternetLink"/>
                  <w:rFonts w:ascii="Times New Roman;serif" w:hAnsi="Times New Roman;serif"/>
                  <w:b w:val="false"/>
                  <w:color w:val="000080"/>
                  <w:sz w:val="20"/>
                  <w:u w:val="single"/>
                </w:rPr>
                <w:t>Section 16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 (99.5)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80"/>
                  <w:sz w:val="20"/>
                  <w:u w:val="single"/>
                </w:rPr>
                <w:t>Form of Restricted Stock Unit Award Agreement (Non-</w:t>
              </w:r>
            </w:hyperlink>
            <w:hyperlink r:id="rId19">
              <w:r>
                <w:rPr>
                  <w:rStyle w:val="InternetLink"/>
                  <w:rFonts w:ascii="Times New Roman;serif" w:hAnsi="Times New Roman;serif"/>
                  <w:b w:val="false"/>
                  <w:color w:val="000080"/>
                  <w:sz w:val="20"/>
                  <w:u w:val="single"/>
                </w:rPr>
                <w:t>Employee Director</w:t>
              </w:r>
            </w:hyperlink>
            <w:hyperlink r:id="rId20">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 (99.6)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80"/>
                  <w:sz w:val="20"/>
                  <w:u w:val="single"/>
                </w:rPr>
                <w:t>F</w:t>
              </w:r>
            </w:hyperlink>
            <w:hyperlink r:id="rId22">
              <w:r>
                <w:rPr>
                  <w:rStyle w:val="InternetLink"/>
                  <w:rFonts w:ascii="Times New Roman;serif" w:hAnsi="Times New Roman;serif"/>
                  <w:b w:val="false"/>
                  <w:color w:val="000080"/>
                  <w:sz w:val="20"/>
                  <w:u w:val="single"/>
                </w:rPr>
                <w:t>orm of Per</w:t>
              </w:r>
            </w:hyperlink>
            <w:hyperlink r:id="rId23">
              <w:r>
                <w:rPr>
                  <w:rStyle w:val="InternetLink"/>
                  <w:rFonts w:ascii="Times New Roman;serif" w:hAnsi="Times New Roman;serif"/>
                  <w:b w:val="false"/>
                  <w:color w:val="000080"/>
                  <w:sz w:val="20"/>
                  <w:u w:val="single"/>
                </w:rPr>
                <w:t>formance-Based Restricted Stock Unit Award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 (99.7)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80"/>
                  <w:sz w:val="20"/>
                  <w:u w:val="single"/>
                </w:rPr>
                <w:t>F</w:t>
              </w:r>
            </w:hyperlink>
            <w:hyperlink r:id="rId25">
              <w:r>
                <w:rPr>
                  <w:rStyle w:val="InternetLink"/>
                  <w:rFonts w:ascii="Times New Roman;serif" w:hAnsi="Times New Roman;serif"/>
                  <w:b w:val="false"/>
                  <w:color w:val="000080"/>
                  <w:sz w:val="20"/>
                  <w:u w:val="single"/>
                </w:rPr>
                <w:t>orm of Incentive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S-8 (99.8)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80"/>
                  <w:sz w:val="20"/>
                  <w:u w:val="single"/>
                </w:rPr>
                <w:t>Madrigal Pharmaceuticals</w:t>
              </w:r>
            </w:hyperlink>
            <w:hyperlink r:id="rId27">
              <w:r>
                <w:rPr>
                  <w:rStyle w:val="InternetLink"/>
                  <w:rFonts w:ascii="Times New Roman;serif" w:hAnsi="Times New Roman;serif"/>
                  <w:b w:val="false"/>
                  <w:color w:val="000080"/>
                  <w:sz w:val="20"/>
                  <w:u w:val="single"/>
                </w:rPr>
                <w:t>, Inc. 2026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 (Exhibit 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80"/>
                  <w:sz w:val="20"/>
                  <w:u w:val="single"/>
                </w:rPr>
                <w:t>M</w:t>
              </w:r>
            </w:hyperlink>
            <w:hyperlink r:id="rId29">
              <w:r>
                <w:rPr>
                  <w:rStyle w:val="InternetLink"/>
                  <w:rFonts w:ascii="Times New Roman;serif" w:hAnsi="Times New Roman;serif"/>
                  <w:b w:val="false"/>
                  <w:color w:val="000080"/>
                  <w:sz w:val="20"/>
                  <w:u w:val="single"/>
                </w:rPr>
                <w:t>adrigal Pharmaceuticals, Inc. Nonqualified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8-K (Exhibit 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1consultingagreement.htm">
              <w:r>
                <w:rPr>
                  <w:rStyle w:val="InternetLink"/>
                  <w:rFonts w:ascii="Times New Roman;serif" w:hAnsi="Times New Roman;serif"/>
                  <w:b w:val="false"/>
                  <w:color w:val="000080"/>
                  <w:sz w:val="20"/>
                  <w:u w:val="single"/>
                </w:rPr>
                <w:t>C</w:t>
              </w:r>
            </w:hyperlink>
            <w:hyperlink w:anchor="a1011consultingagreement.htm">
              <w:r>
                <w:rPr>
                  <w:rStyle w:val="InternetLink"/>
                  <w:rFonts w:ascii="Times New Roman;serif" w:hAnsi="Times New Roman;serif"/>
                  <w:b w:val="false"/>
                  <w:color w:val="000080"/>
                  <w:sz w:val="20"/>
                  <w:u w:val="single"/>
                </w:rPr>
                <w:t>onsulting Agreement, dated as</w:t>
              </w:r>
            </w:hyperlink>
            <w:hyperlink w:anchor="a1011consultingagreement.htm">
              <w:r>
                <w:rPr>
                  <w:rStyle w:val="InternetLink"/>
                  <w:rFonts w:ascii="Times New Roman;serif" w:hAnsi="Times New Roman;serif"/>
                  <w:b w:val="false"/>
                  <w:color w:val="000080"/>
                  <w:sz w:val="20"/>
                  <w:u w:val="single"/>
                </w:rPr>
                <w:t xml:space="preserve"> of </w:t>
              </w:r>
            </w:hyperlink>
            <w:hyperlink w:anchor="a1011consultingagreement.htm">
              <w:r>
                <w:rPr>
                  <w:rStyle w:val="InternetLink"/>
                  <w:rFonts w:ascii="Times New Roman;serif" w:hAnsi="Times New Roman;serif"/>
                  <w:b w:val="false"/>
                  <w:color w:val="000080"/>
                  <w:sz w:val="20"/>
                  <w:u w:val="single"/>
                </w:rPr>
                <w:t>June 17, 2026, by and between the Registrant and Rebecca Taub, M</w:t>
              </w:r>
            </w:hyperlink>
            <w:hyperlink w:anchor="a1011consultingagreement.htm">
              <w:r>
                <w:rPr>
                  <w:rStyle w:val="InternetLink"/>
                  <w:rFonts w:ascii="Times New Roman;serif" w:hAnsi="Times New Roman;serif"/>
                  <w:b w:val="false"/>
                  <w:color w:val="000080"/>
                  <w:sz w:val="20"/>
                  <w:u w:val="single"/>
                </w:rPr>
                <w:t xml:space="preserve">.D.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2-thirdamendme.htm">
              <w:r>
                <w:rPr>
                  <w:rStyle w:val="InternetLink"/>
                  <w:rFonts w:ascii="Times New Roman;serif" w:hAnsi="Times New Roman;serif"/>
                  <w:b w:val="false"/>
                  <w:color w:val="000080"/>
                  <w:sz w:val="20"/>
                  <w:u w:val="single"/>
                </w:rPr>
                <w:t>Th</w:t>
              </w:r>
            </w:hyperlink>
            <w:hyperlink w:anchor="exhibit1012-thirdamendme.htm">
              <w:r>
                <w:rPr>
                  <w:rStyle w:val="InternetLink"/>
                  <w:rFonts w:ascii="Times New Roman;serif" w:hAnsi="Times New Roman;serif"/>
                  <w:b w:val="false"/>
                  <w:color w:val="000080"/>
                  <w:sz w:val="20"/>
                  <w:u w:val="single"/>
                </w:rPr>
                <w:t>ird</w:t>
              </w:r>
            </w:hyperlink>
            <w:hyperlink w:anchor="exhibit1012-thirdamendme.htm">
              <w:r>
                <w:rPr>
                  <w:rStyle w:val="InternetLink"/>
                  <w:rFonts w:ascii="Times New Roman;serif" w:hAnsi="Times New Roman;serif"/>
                  <w:b w:val="false"/>
                  <w:color w:val="000080"/>
                  <w:sz w:val="20"/>
                  <w:u w:val="single"/>
                </w:rPr>
                <w:t xml:space="preserve"> Amendment Agreement, dated as of </w:t>
              </w:r>
            </w:hyperlink>
            <w:hyperlink w:anchor="exhibit1012-thirdamendme.htm">
              <w:r>
                <w:rPr>
                  <w:rStyle w:val="InternetLink"/>
                  <w:rFonts w:ascii="Times New Roman;serif" w:hAnsi="Times New Roman;serif"/>
                  <w:b w:val="false"/>
                  <w:color w:val="000080"/>
                  <w:sz w:val="20"/>
                  <w:u w:val="single"/>
                </w:rPr>
                <w:t>May 4, 2026</w:t>
              </w:r>
            </w:hyperlink>
            <w:hyperlink w:anchor="exhibit1012-thirdamendme.htm">
              <w:r>
                <w:rPr>
                  <w:rStyle w:val="InternetLink"/>
                  <w:rFonts w:ascii="Times New Roman;serif" w:hAnsi="Times New Roman;serif"/>
                  <w:b w:val="false"/>
                  <w:color w:val="000080"/>
                  <w:sz w:val="20"/>
                  <w:u w:val="single"/>
                </w:rPr>
                <w:t>, among the Registrant, certain subsidiaries of the Registrant, certain funds managed by Blue Owl Capital Corporation and LSI Financing LLC</w:t>
              </w:r>
            </w:hyperlink>
            <w:hyperlink w:anchor="exhibit1012-thirdamendme.htm">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gl-20260630xex311.htm">
              <w:r>
                <w:rPr>
                  <w:rStyle w:val="InternetLink"/>
                  <w:rFonts w:ascii="Times New Roman;serif" w:hAnsi="Times New Roman;serif"/>
                  <w:b w:val="false"/>
                  <w:color w:val="0000FF"/>
                  <w:sz w:val="20"/>
                  <w:u w:val="single"/>
                </w:rPr>
                <w:t>Certification of Principal Executive Officer pursuant to Rule 13a-14(a) or Rule 15d-14(a) of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gl-20260630xex312.htm">
              <w:r>
                <w:rPr>
                  <w:rStyle w:val="InternetLink"/>
                  <w:rFonts w:ascii="Times New Roman;serif" w:hAnsi="Times New Roman;serif"/>
                  <w:b w:val="false"/>
                  <w:color w:val="0000FF"/>
                  <w:sz w:val="20"/>
                  <w:u w:val="single"/>
                </w:rPr>
                <w:t xml:space="preserve">Certification of Principal Financial Officer pursuant to Rule 13a-14(a) or Rule 15d-14(a) of the Securities Exchange Act of 1934, as adopted pursuant to Section 302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gl-20260630xex321.htm">
              <w:r>
                <w:rPr>
                  <w:rStyle w:val="InternetLink"/>
                  <w:rFonts w:ascii="Times New Roman;serif" w:hAnsi="Times New Roman;serif"/>
                  <w:b w:val="false"/>
                  <w:color w:val="0000FF"/>
                  <w:sz w:val="20"/>
                  <w:u w:val="single"/>
                </w:rPr>
                <w:t xml:space="preserve">Certifications of Principal Executive Officer and Principal Financial Officer, pursuant to 18 U.S.C. Section 1350, as adopted pursuant to Section 906 of the Sarbanes-Oxley Act of 2002.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55"/>
        <w:gridCol w:w="218"/>
        <w:gridCol w:w="220"/>
        <w:gridCol w:w="109"/>
        <w:gridCol w:w="109"/>
        <w:gridCol w:w="109"/>
        <w:gridCol w:w="1993"/>
        <w:gridCol w:w="1934"/>
        <w:gridCol w:w="194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for the cover page of this Quarterly Report on Form 10-Q, included in the Exhibit 101 Inline XBRL Document 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compensatory plan or arrangement.</w:t>
      </w:r>
    </w:p>
    <w:p>
      <w:pPr>
        <w:pStyle w:val="TextBody"/>
        <w:bidi w:val="0"/>
        <w:spacing w:lineRule="auto" w:line="276"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Exhibits and schedules omitted pursuant to Item 601(a)(5) of Regulation S-K.</w:t>
      </w:r>
    </w:p>
    <w:p>
      <w:pPr>
        <w:pStyle w:val="TextBody"/>
        <w:bidi w:val="0"/>
        <w:spacing w:lineRule="auto" w:line="276" w:before="240" w:after="283"/>
        <w:ind w:left="0" w:right="0" w:hanging="360"/>
        <w:jc w:val="left"/>
        <w:rPr>
          <w:color w:val="000000"/>
        </w:rPr>
      </w:pPr>
      <w:r>
        <w:rPr>
          <w:color w:val="000000"/>
        </w:rPr>
        <w:t>†    </w:t>
      </w:r>
      <w:r>
        <w:rPr>
          <w:rFonts w:ascii="Times New Roman;serif" w:hAnsi="Times New Roman;serif"/>
          <w:b w:val="false"/>
          <w:color w:val="000000"/>
          <w:sz w:val="20"/>
        </w:rPr>
        <w:t>Certain portions of this exhibit have been omitted pursuant to Item 601(b)(10)(iv) of Regulation S-K.</w:t>
      </w:r>
    </w:p>
    <w:p>
      <w:pPr>
        <w:pStyle w:val="TextBody"/>
        <w:bidi w:val="0"/>
        <w:spacing w:lineRule="auto" w:line="276"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 </w: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e8353feb0e3a47078e74de9cc37e0b84_7">
        <w:r>
          <w:rPr>
            <w:rStyle w:val="InternetLink"/>
          </w:rPr>
          <w:t xml:space="preserve">Table of </w:t>
        </w:r>
      </w:hyperlink>
      <w:hyperlink w:anchor="ie8353feb0e3a47078e74de9cc37e0b84_7">
        <w:r>
          <w:rPr>
            <w:rStyle w:val="InternetLink"/>
          </w:rPr>
          <w:t>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7718" w:type="dxa"/>
        <w:jc w:val="left"/>
        <w:tblInd w:w="0" w:type="dxa"/>
        <w:tblLayout w:type="fixed"/>
        <w:tblCellMar>
          <w:top w:w="28" w:type="dxa"/>
          <w:left w:w="28" w:type="dxa"/>
          <w:bottom w:w="28" w:type="dxa"/>
          <w:right w:w="28" w:type="dxa"/>
        </w:tblCellMar>
      </w:tblPr>
      <w:tblGrid>
        <w:gridCol w:w="618"/>
        <w:gridCol w:w="544"/>
        <w:gridCol w:w="547"/>
        <w:gridCol w:w="558"/>
        <w:gridCol w:w="558"/>
        <w:gridCol w:w="558"/>
        <w:gridCol w:w="1268"/>
        <w:gridCol w:w="1268"/>
        <w:gridCol w:w="1799"/>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MADRIGAL PHARMACEUTICALS,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Sibold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Sibold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3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Rita Thakkar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Rita Thakkar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0"/>
        <w:jc w:val="center"/>
        <w:rPr/>
      </w:pPr>
      <w:bookmarkStart w:id="1" w:name="a1011consultingagreement.htm"/>
      <w:bookmarkStart w:id="2" w:name="ksa1011consultingagreement"/>
      <w:bookmarkEnd w:id="1"/>
      <w:bookmarkEnd w:id="2"/>
      <w:r>
        <w:rPr/>
        <w:drawing>
          <wp:inline distT="0" distB="0" distL="0" distR="0">
            <wp:extent cx="10048875" cy="52006500"/>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30"/>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jc w:val="center"/>
        <w:rPr>
          <w:color w:val="FFFFFF"/>
          <w:sz w:val="2"/>
        </w:rPr>
      </w:pPr>
      <w:r>
        <w:rPr>
          <w:color w:val="FFFFFF"/>
          <w:sz w:val="2"/>
        </w:rPr>
        <w:t xml:space="preserve">Page 1 of 6 Exhibit 10.11 CONSULTING AGREEMENT This Consulting Agreement (this “Agreement”) is effective as of July 1, 2026 (the “Effective Date”), by and between Madrigal Pharmaceuticals, Inc. (“Madrigal”) and Dr. Rebecca Taub (“Consultant”). RECITALS WHEREAS, Madrigal desires to retain the Consultant to perform the Services (as further described herein); and WHEREAS, Consultant desires to provide the Services to Madrigal in accordance with the terms of this Agreement. THEREFORE, IN CONSIDERATION of the following mutual covenants and obligations, the parties agree that: 1. Consulting. Madrigal hereby retains Consultant, and Consultant hereby accepts such retention, commencing as of the Effective Date and continuing until the end of the Term (as defined below) or until termination as provided in Section 3 of this Agreement. 2. Services. 2.1 Consultant’s Services. Consultant agrees to perform for Madrigal the services described in Exhibit A attached hereto (the “Services”). 2.2 Standards. Consultant agrees to conduct the Services in conformity with the highest standards in the biopharmaceutical industry. Without limiting the generality of the foregoing, Consultant also agrees to comply with (i) all policies and protocols of Madrigal provided to Consultant and (ii) all applicable laws, including without limitation, the federal Food, Drug and Cosmetic Act and the Healthcare Insurance Portability and Accountability Act, and the regulations thereunder. 2.3 No Debarment. Consultant represents and warrants that Consultant has never been and is not currently (a) under investigation for debarment or debarred pursuant to the Generic Drug Enforcement Act of 1992, 21 U.S.C. § 335(a), as amended, or any similar state law or regulation; (b) excluded by the Office of Inspector General pursuant to 42 U.S.C. § 1320a-7, et seq. or any state agency from participation in any federal or state health care program; or (c) otherwise disqualified or restricted by the U.S. Food and Drug Administration pursuant to 21 C.F.R. 312.70. Consultant agrees to notify Madrigal immediately in the event any investigation or proceeding for debarment, exclusion or disqualification is initiated against Consultant. Page 2 of 6 2.4 Conflicts. Consultant asserts and represents that Consultant can enter into this Agreement without imposition or claim of any ownership right to any inventive concept, trade secret, substance, or other Confidential Information arising out of or relating to this Agreement, or research and development efforts under this Agreement, by any institution, company or person. Consultant will take all steps necessary to prevent any potential claim or imposition of such ownership rights. 2.5 Separation. Consultant agrees that all of the Services will be kept completely separate from any other consulting or research activities Consultant may become engaged in or associated with. Consultant agrees to avoid any preemptions or overlap of other rights or obligations of Consultant in relation to the Services. Given the sensitivity of the Services, Consultant agrees not to accept any additional employment offers or consulting engagements without the prior written authorization of Madrigal. 2.6 Consideration. Madrigal agrees to pay Consultant the compensation described in Exhibit A hereto for Consultant’s performance of the Services defined herein. Such compensation shall be in addition to and shall in no way affect any other compensation to which Consultant may be entitled to in connection with any continuing services provided as a member of Madrigal’s Board of Directors or pursuant to any other contractual agreement. 2.7 Fair Value. The parties acknowledge and agree that the compensation set forth herein represents the fair market value of the Services provided by Consultant to Madrigal negotiated in an arms-length transaction and has not been determined in a manner which takes into account the volume or value of any referrals or business otherwise generated between Madrigal and Consultant. No part of any consideration paid hereunder is a prohibited payment for the recommending or arranging for the referral of business or the ordering of items or services; nor are the payments intended to induce illegal referrals of business. 2.8 Expenses. All necessary and reasonable documented out-of-pocket expenditures incurred by Consultant associated with the Services (e.g., travel, etc.) will be reimbursed by Madrigal within thirty (30) days of receipt of invoice with supporting documentation in accordance with the Madrigal Travel &amp; Expense Policy in effect at the time of the applicable submission, provided that any substantial or unusual expenditures outside the scope of the Travel &amp; Expense Policy must be authorized by Madrigal’s representative before incurring such expense, and be supported by applicable documentation. Consultant will be able to use Concur (or other applicable system that may be in place) for submission of such expenses. 2.9 Independent Status. In providing the Services under the terms of this Agreement, Consultant is acting in the capacity of an independent contractor and not as an employee of Madrigal. In such capacity, Consultant is not eligible to participate in Madrigal’s employee benefit programs, including but not limited to, group insurance, retirement, vacation, and such other pay benefits. However, this provision shall not prevent and in no way impede any continued right to benefits participation as a former Madrigal employee. As an independent contractor, Consultant acknowledges and assumes full responsibility for making any individual federal, state, and local income, Page 3 of 6 or other individual tax payments associated with compensation received for Services pursuant to this Agreement. 2.10 Health and Safety. If the Services under this Agreement contemplate that such Services will be provided at Madrigal’s facility, Consultant agrees to take all reasonable precautions to avoid injury or damage to any party or property. Consultant understands that some of Madrigal’s premises to which Consultant may be granted access contains Madrigal’s research, development, or manufacturing operations. Consultant assumes the risk of: injury to Consultant or employees, representatives, or agents of Consultant; and damage to the property of any of them or Madrigal, in each case in connection with the performance of the Services under this Agreement. Consultant shall follow the directions and requirements of Madrigal personnel and all of Madrigal’s policies with respect to health, safety, and security requirements. 2.11 Reports. Consultant shall keep adequate records of Services performed under this Agreement and shall turn such records over to Madrigal upon termination of this Agreement or upon request, together with any documents, records, drawings, or other papers developed or acquired by Consultant in connection with this Agreement. 3. Term and Termination. 3.1 Term. Unless terminated earlier as provided in this Agreement, the term of this Agreement shall continue until July 1, 2027 (the “Term”) and may be extended by mutual written agreement. 3.2 Termination. This Agreement may be terminated by either party sixty (60) days after written notice of intent to terminate. Sections 4, 5, 6 and 9 of this Agreement shall survive termination of this Agreement. 4. Confidential Information. 4.1 Company Information. Consultant agrees at all times during the Term and thereafter to hold in strictest confidence, and not to use, except for the benefit of Madrigal, or to disclose to any person without written authorization of Madrigal, any non-public, proprietary or confidential information of Madrigal (in oral, visual, written, electronic, or other tangible or intangible form, whether or not marked or designated as “confidential”) including but not limited to: (1) trade secrets, confidential knowledge, data or other proprietary information relating to products, processes, know how, developmental or experimental work; (2) inventions, discoveries, ideas, formulae, designs, drawings, compounds, know how, manufacturing methods, analytical procedures, stability protocols, photographs; (3) plans, reports, studies, or research, and development initiatives, including other original works of authorship; (4) customer lists, business plans, financial information; (5) other subject matter pertaining to any business of Madrigal or any of its clinical trials, commercialization initiatives, vendors or customers; and (6) all of Consultant’s notes, memoranda and analyses generated, including as a result of this Agreement and derived from or incorporated with any of the items described in clauses (1) – (5) above, in each case including any such information developed hereunder (with (1) - (6) collectively hereinafter referred to as “Confidential Information”). For purposes of clarity, Madrigal agrees that Page 4 of 6 Consultant may use Confidential Information regarding Madrigal and its business and operations obtained during the Term, provided that such information is used solely in connection with the Services and for no other purpose. 4.2 Other Employer Information. Consultant agrees that Consultant will not, during the term of Consultant’s engagement by Madrigal, improperly use or disclose any proprietary information or trade secrets of former or concurrent employers or companies, except that Consultant may continue to use Confidential Information regarding Madrigal and its business and operations obtained during her prior employment, provided that such information is used solely in connection with the Services and for no other purpose. 4.3 Third Party Information. Consultant recognizes that Madrigal has received and, in the future, will receive from third parties their confidential or proprietary information subject to a duty on Madrigal’s part to maintain the confidentiality of such information and to use it only for certain limited purposes. Consultant agrees that Consultant owes Madrigal and such third parties, during the term of engagement and thereafter, a duty to hold all such confidential or proprietary information in the strictest confidence and not to disclose it to any person (except as necessary in carrying out work for Madrigal consistent with Madrigal’s agreement with such third party) or to use it for the benefit of anyone other than for Madrigal or such third party (consistent with Madrigal’s agreement with such third party) without the prior express written authorization of Madrigal. 5. Ownership of Inventions. 5.1 Inventions and Original Works Assigned to Madrigal. Consultant agrees that Consultant will promptly make full written disclosure to Madrigal, will hold in trust for the sole right and benefit of Madrigal, and will assign, and does hereby assign, to Madrigal all Consultant’s right, title, and interest in and to any and all inventions, original works of authorship, developments, improvements or trade secrets which Consultant may solely or jointly conceive or develop or reduce to practice, or cause to be conceived or developed or reduced to practice, and which arise out of the Services. All works of authorship created by Consultant hereunder shall be “works for hire” and owned by Madrigal. 5.2 Maintenance of Records. Consultant agrees to keep and maintain adequate and current written records of all developments, inventions, trade secrets and original works of authorship that are directly related to the Services. The records will be available to and remain the sole property of Madrigal at all times. 5.3 Obtaining Patents and Copyright Registrations. Consultant agrees that Consultant’s obligation to assist Madrigal to obtain United States or foreign patents and copyright registrations covering inventions and original works of authorship assigned to Madrigal shall continue beyond the termination of this engagement. If Madrigal is unable because of Consultant’s legal incapacity, mental or physical incapacity or for any other reason to secure the relevant signatures to apply for or to pursue any application for any United States or foreign patents or copyright registrations covering inventions or original works of authorship in any such applications then Consultant 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26003250"/>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31"/>
                    <a:stretch>
                      <a:fillRect/>
                    </a:stretch>
                  </pic:blipFill>
                  <pic:spPr bwMode="auto">
                    <a:xfrm>
                      <a:off x="0" y="0"/>
                      <a:ext cx="10048875" cy="260032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of 6 authorizes Madrigal to sign such documents on their behalf, and to do all other lawfully permitted acts to further the prosecution and issuance of patents or copyright registrations thereon with the same legal force and effect as if executed by Consultant. Madrigal shall keep Consultant informed, at all times, of the status of prosecution of patents assigned hereunder. 6. Liabilities. In the conduct of performing Services under this Agreement, Consultant is acting in the capacity of an independent contractor, and neither party shall by reason of this Agreement be obligated to defend, assume the cost of defense, hold harmless, or indemnify the other from any liability to third parties for loss of or damage to property, death or bodily injury arising out of or resulting from the Services under this Agreement. Each party shall indemnify and hold the other party harmless from any costs, including reasonable attorneys’ fees, incurred by the other party from any alleged liability to third parties for infringement of any patents or trade secrets relating to the first party’s Confidential Information. 7. Compliance. Both parties shall comply with all laws, rules and guidelines applicable to the Services under this Agreement. 8. Insurance. 8.1 Insurance. Madrigal shall procure and maintain at its sole cost and expense, throughout the term of this Agreement general liability insurance with broad form contractual liability coverage for its operations in an amount of not less than $1,000,000 per occurrence. 9. Miscellaneous. 9.1 Entire Agreement. This Agreement constitutes the entire Agreement between Madrigal and Consultant with respect to the subject matter of this Agreement. Except as provided under Section 9.5 hereof, this Agreement may be amended only in writing executed by both parties. 9.2 Governing Law, Venue. This Agreement shall be governed by Pennsylvania law and the parties consent to the exclusive jurisdiction by the state and federal courts sitting in Montgomery County, Pennsylvania. 9.3 Assignment. Consultant may not assign Consultant’s rights, obligations or duties under this Agreement. This Agreement shall inure to the benefit of and be binding upon any successors of Madrigal by way of merger, consolidation or transfer of all or substantially all of the assets of Madrigal, and any parent, subsidiary or affiliate of Madrigal to which Madrigal may transfer its rights under and pursuant to this Agreement. 9.4 Severability Clause. If any provision of this Agreement is held to be unenforceable for any reason, such provision shall be adjusted rather than voided, if possible, in order to achieve the intent of the parties to the fullest extent possible. In any event, all other provisions of this Agreement shall be deemed valid and enforceable to the fullest extent possible. Page 6 of 6 9.5 Notice. Any notice required or permitted to be given hereunder shall be considered properly sent, if mailed by (1) first class letter, postage pre-paid, (2) any recognized overnight delivery service or (3) by email to: For Madrigal: Madrigal Pharmaceuticals, Inc. 1001 Conshohocken State Road Suite 2-350 West Conshohocken, PA 19428 Attention: General Counsel Email: Legal@madrigalpharma.com For Consultant: Dr. Rebecca Taub Email: [*personally identifiable information*] Any notice shall be deemed to have been given (1) in the case of first class letter delivery, on the fifth (5th) day after it is postmarked, (2) in the case of recognized overnight delivery service, as of the date such delivery service confirms delivery, or (3) in the case of email delivery, on the business day next following the date of transmission and delivery (as evidenced by the sender’s email system). Either party may change the address for notification purposes, without amending this Agreement, upon written notice to the other party. 9.6 Specific Performance. In light of, among other things the Confidential Information provided or made available by Madrigal hereunder, Consultant acknowledges and agrees that any breach of this Agreement by Consultant will cause irreparable harm and injury to Madrigal for which money damages would be an inadequate remedy and that, in addition to remedies at law, Madrigal is entitled to equitable relief as a remedy for any such breach or threatened breach, including but not limited to specific performance and temporary, preliminary and injunctive relief from any violation of the provisions of this Agreement from any court of competent jurisdiction without the necessity of proving the actual amount of damages resulting from such breach. IN WITNESS WHEREOF, the parties have caused this Agreement to be executed. Madrigal Pharmaceuticals, Inc. Consultant By: /s/ Bill Sibold By: /s/ Dr. Rebecca Taub Signature Signature Bill Sibold Dr. Rebecca Taub Printed Name Printed Name Chief Executive Officer Consultant Title Title (if applicable) 6/13/26 6/13/26 Date Date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ibit1012-thirdamendme.htm"/>
      <w:bookmarkStart w:id="4" w:name="ksexhibit1012thirdamendme"/>
      <w:bookmarkEnd w:id="3"/>
      <w:bookmarkEnd w:id="4"/>
      <w:r>
        <w:rPr/>
        <w:drawing>
          <wp:inline distT="0" distB="0" distL="0" distR="0">
            <wp:extent cx="10048875" cy="52006500"/>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32"/>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ACTIVE/206697005.5 CERTAIN CONFIDENTIAL INFORMATION IN THIS EXHIBIT HAS BEEN OMITTED AND REPLACED WITH “[***]” BECAUSE IT IS NOT MATERIAL AND WOULD BE COMPETITIVELY HARMFUL IF PUBLICLY DISCLOSED. Exhibit 10.12 THIRD AMENDMENT AGREEMENT This THIRD AMENDMENT AGREEMENT (this “Agreement”), dated as of May 4, 2026, is entered into by and among MADRIGAL PHARMACEUTICALS, INC., a Delaware corporation (the “Borrower”), certain Subsidiaries of Borrower, as Guarantors (the “Guarantors”), the Lenders party hereto, and LSI FINANCING LLC, as administrative agent for the Lenders (in such capacity, the “Administrative Agent”). WHEREAS, the Borrower, certain Subsidiaries of Borrower, as Guarantors, the Lenders from time to time party thereto and the Administrative Agent have entered into that certain Financing Agreement, dated as of July 17, 2025 (as amended by that certain First Omnibus Amendment and Loan Party Joinder Agreement, dated as of September 4, 2025, as amended by that certain Second Amendment Agreement, dated as of December 30, 2025, and as further amended, restated, amended and restated, supplemented or otherwise modified from to time to time, the “Financing Agreement”); WHEREAS, the parties hereto wish to make certain amendments to the Financing Agreement, in each case as set forth herein; and WHEREAS, the Administrative Agent and each of the Lenders party hereto (collectively constituting the Required Lenders under the Financing Agreement as of the date hereof) are willing, on the terms and subject to the conditions set forth below, to consent to the amendments to the Financing Agreement set forth herein. NOW, THEREFORE, in consideration of the promises and the mutual agreements contained herein and in the Financing Agreement, the parties hereto agree as follows: Section 1. Definitions. All capitalized terms used but not otherwise defined herein (including, without limitation, in the preamble and recitals hereto) are used as defined in the Financing Agreement. Section 2. Amendments to the Financing Agreement. As of the Third Amendment Effective Date (as defined below), the reference to [***] in clause (g) of the definition of Permitted Acquisition is hereby replaced with [***]. Section 3. Conditions Precedent. The effectiveness of this Agreement shall be subject to the prior or concurrent satisfaction or waiver of each of the following conditions precedent (the date on which such conditions are satisfied or waived, the “Third Amendment Effective Date”): (a) the Loan Parties and the Lenders constituting the Required Lenders shall have duly executed and delivered counterparts of this Agreement to the Administrative Agent; (b) that certain License Agreement, between Arrowhead Pharmaceuticals, Inc. and the Borrower, dated on or about the Third Amendment Effective Date (the “Arrowhead License Agreement”), shall be in full force and effect; and ACTIVE/206697005.5 2 (c) no event shall have occurred and be continuing or would result from the consummation of the transactions contemplated herein or in the Arrowhead License Agreement that would constitute an Event of Default or a Default. Section 4. Conditions Subsequent. The Loan Parties shall, within five (5) Business Days of the Third Amendment Effective Date, have paid all fees, costs and expenses then due and payable by the Loan Parties pursuant to and required by the Financing Agreement and the other Loan Documents, including, without limitation, Section 10.2 of the Financing Agreement. Section 5. Representations and Warranties. Each Loan Party hereby represents and warrants to the Administrative Agent and the Lenders as follows: (a) this Agreement constitutes a legal valid, and binding obligation of each Loan Party party hereto, enforceable against such Loan Party in accordance with its terms, except as enforceability may be limited by applicable bankruptcy, insolvency, fraudulent transfer, reorganization, moratorium or similar laws relating to or affecting creditors’ rights and to general equity principles; (b) the representations and warranties contained in the Financing Agreement (as amended hereby) and in each other Loan Document, certificate or other writing delivered to Administrative Agent or any Lender pursuant thereto on or prior to the date hereof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are true and correct in all respects subject to such qualification) on and as of the date hereof to the same extent as though made on and as of the date hereof, except to the extent such representations and warranties specifically relate to an earlier date, in which case such representations and warranties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are true and correct in all respects subject to such qualification) on and as of such earlier date; and (c) no event has occurred and is continuing or would result from the transactions contemplated by this Agreement that would constitute an Event of Default or a Default. Section 6. Miscellaneous. (a) Agreement is a “Loan Document”. This Agreement is a Loan Document and all references to a “Loan Document” in the Financing Agreement and the other Loan Documents shall be deemed to include this Agreement. (b) References to the Financing Agreement. Upon the effectiveness of this Agreement, each reference in the Financing Agreement to “this Agreement,” “hereunder,” “hereof,” “herein,” or words of like import shall mean and be a reference to the Financing Agreement as amended hereby, and each reference in the other Loan Documents or in any other document, instrument or agreement executed and/or delivered in connection with the Financing Agreement to “Financing Agreement”, “thereunder”, “thereof” or words of like import referring to the Financing Agreement shall mean and be a reference to the Financing Agreement as amended hereby. (c) Reaffirmation of Obligations. Each of the Loan Parties (i) acknowledges and consents to all of the terms and conditions of this Agreement, (ii) reaffirms all of its obligations under the Loan Documents to which it is a party and acknowledges and agrees that all of its obligations under the Loan Documents to which it is a party remain in full force and effect on a continuous basis, and (iii) agrees that ACTIVE/206697005.5 3 this Agreement and all documents executed in connection herewith do not operate to reduce or discharge any of the Loan Party’s obligations under the Loan Documents to which it is a party and do not constitute a novation of such obligations. (d) Reaffirmation of Security Interests. Each of the Loan Parties (i) affirms that each of the Liens granted, and each of the guaranties made, in or pursuant to the Loan Documents are valid and subsisting, (ii) acknowledges and agrees that the grants of security interests by and the guaranties of the Guarantors contained in the Financing Agreement and the other Loan Documents are, and shall remain, in full force and effect after giving effect to this Agreement, and (iii) acknowledges and agrees that this Agreement shall in no manner impair or otherwise adversely affect any of the Liens or security interests granted, or any of the guaranties made, in or pursuant to the Loan Documents. (e) No Other Changes. Except as specifically amended by this Agreement, the Financing Agreement and the other Loan Documents and all other documents, instruments and agreements executed and/or delivered in connection therewith shall remain in full force and effect and are hereby ratified and confirmed. (f) No Waiver. The execution, delivery and effectiveness of this Agreement shall not operate as a waiver of any right, power or remedy of the Administrative Agent or any Lender under the Financing Agreement or any other document, instrument or agreement executed in connection therewith, nor constitute a waiver of any provision contained therein, except as specifically set forth herein. (g) GOVERNING LAW. THIS AGREEMENT AND THE RIGHTS AND OBLIGATIONS OF THE PARTIES HEREUNDER SHALL BE GOVERNED BY, AND SHALL BE CONSTRUED AND ENFORCED IN ACCORDANCE WITH, THE LAWS OF THE STATE OF NEW YORK APPLICABLE TO CONTRACTS MADE AND TO BE PERFORMED IN THE STATE OF NEW YORK. (h) CONSENT TO JURISDICTION; WAIVER OF JURY TRIAL. SECTIONS 10.16 (CONSENT TO JURISDICTION) AND 10.17 (WAIVER OF JURY TRIAL) OF THE FINANCING AGREEMENT ARE HEREBY INCORPORATED BY REFERENCE, MUTATIS MUTANDIS. (i) Counterparts. This Agreement may be executed in any number of counterparts, each of which when so executed and delivered shall be deemed an original, but all such counterparts together shall constitute but one and the same instrument.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purposes of this Section 5(i), “electronic signature” shall be construed so as to include the electronic signature of each witness, if any, of an electronic signature used to execute this Agreement. [Signature Pages Follow] ACTIVE/206697005.5 [Third Amendment Agreement (MDGL)] IN WITNESS WHEREOF, the parties hereto have caused this Agreement to be duly executed as of the day and year first above written. MADRIGAL PHARMACEUTICALS, INC. as Borrower By: /s/ Mardi Dier Name: Mardi Dier Title: Chief Financial Officer MADRIGAL PHARMACEUTICALS B.V. a private company with limited liability (besloten vennootschap met beperkte aansprakelijkheid) incorporated under the laws of the Netherlands, having its corporate seat in Amsterdam, the Netherlands with registered address at Kingsfordweg 151, 1043GR Amsterdam, the Netherlands and registered with the trade register of the Dutch Chamber of Commerce under number 95010866, as a Guarantor By: /s/ Devun Dusoruth Name: Devun Dusoruth Title: Authorized Signatory MADRIGAL PHARMACEUTICALS DEUTSCHLAND GMBH as a Guarantor By: /s/ Devun Dusoruth Name: Devun Dusoruth Title: Authorized Signatory MADRIGAL PHARMACEUTICALS GMBH as a Guarantor By: /s/ Pauline Noisel Name: Pauline Noisel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ACTIVE/206697005.5 [Third Amendment Agreement (MDGL)] LSI FINANCING LLC as Lender and Administrative Agent By: /s/ Pamela A. Gregorski Name: Pamela A. Gregorski Title: Director HEDGEWIG FUNDING I LLC as Lender By: LSI Financing LLC, its Sole Member By: /s/ Pamela A. Gregorski Name: Pamela A. Gregorski Title: Director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PURSUANT TO EXCHANGE ACT RULES 13a-14(a) AND 15d-14(a) AS ADOPTED PURSUANT TO SECTION 302 OF THE SARBANES-OXLEY ACT OF 2002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William J. Sibold, certify that: </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Madrigal Pharmaceuticals, Inc.;</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52" w:type="dxa"/>
        <w:jc w:val="left"/>
        <w:tblInd w:w="0" w:type="dxa"/>
        <w:tblLayout w:type="fixed"/>
        <w:tblCellMar>
          <w:top w:w="28" w:type="dxa"/>
          <w:left w:w="28" w:type="dxa"/>
          <w:bottom w:w="28" w:type="dxa"/>
          <w:right w:w="28" w:type="dxa"/>
        </w:tblCellMar>
      </w:tblPr>
      <w:tblGrid>
        <w:gridCol w:w="1150"/>
        <w:gridCol w:w="1010"/>
        <w:gridCol w:w="1020"/>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Sibold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Sibold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PURSUANT TO EXCHANGE ACT RULES 13a-14(a) AND 15d-14(a) AS ADOPTED PURSUANT TO SECTION 302 OF THE SARBANES-OXLEY ACT OF 2002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Mardi C. Dier, certify that: </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Madrigal Pharmaceuticals, Inc.;</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82" w:type="dxa"/>
        <w:jc w:val="left"/>
        <w:tblInd w:w="0" w:type="dxa"/>
        <w:tblLayout w:type="fixed"/>
        <w:tblCellMar>
          <w:top w:w="28" w:type="dxa"/>
          <w:left w:w="28" w:type="dxa"/>
          <w:bottom w:w="28" w:type="dxa"/>
          <w:right w:w="28" w:type="dxa"/>
        </w:tblCellMar>
      </w:tblPr>
      <w:tblGrid>
        <w:gridCol w:w="1590"/>
        <w:gridCol w:w="1401"/>
        <w:gridCol w:w="1419"/>
        <w:gridCol w:w="109"/>
        <w:gridCol w:w="109"/>
        <w:gridCol w:w="154"/>
      </w:tblGrid>
      <w:tr>
        <w:trPr/>
        <w:tc>
          <w:tcPr>
            <w:tcW w:w="15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Mardi C. Dier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Mardi C. Dier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CERTIFICATIONS PURSUANT TO 18 U.S.C. SECTION 1350,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SECTION 906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OF THE SARBANES-OXLEY ACT OF 2002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Quarterly Report on Form 10-Q for the quarterly period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 </w:t>
      </w:r>
    </w:p>
    <w:tbl>
      <w:tblPr>
        <w:tblW w:w="6253" w:type="dxa"/>
        <w:jc w:val="left"/>
        <w:tblInd w:w="0" w:type="dxa"/>
        <w:tblLayout w:type="fixed"/>
        <w:tblCellMar>
          <w:top w:w="28" w:type="dxa"/>
          <w:left w:w="28" w:type="dxa"/>
          <w:bottom w:w="28" w:type="dxa"/>
          <w:right w:w="28" w:type="dxa"/>
        </w:tblCellMar>
      </w:tblPr>
      <w:tblGrid>
        <w:gridCol w:w="656"/>
        <w:gridCol w:w="576"/>
        <w:gridCol w:w="582"/>
        <w:gridCol w:w="1297"/>
        <w:gridCol w:w="1297"/>
        <w:gridCol w:w="1845"/>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Sibold</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Sibold</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Mardi C. Dier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Mardi C. Dier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57601/000110465926075130/tm2617490d2_ex10-1.htm" TargetMode="External"/><Relationship Id="rId3" Type="http://schemas.openxmlformats.org/officeDocument/2006/relationships/hyperlink" Target="https://www.sec.gov/Archives/edgar/data/1157601/000110465926075130/tm2617490d2_ex10-1.htm" TargetMode="External"/><Relationship Id="rId4" Type="http://schemas.openxmlformats.org/officeDocument/2006/relationships/hyperlink" Target="https://www.sec.gov/Archives/edgar/data/1157601/000110465926075130/tm2617490d2_ex10-1.htm" TargetMode="External"/><Relationship Id="rId5" Type="http://schemas.openxmlformats.org/officeDocument/2006/relationships/hyperlink" Target="https://www.sec.gov/Archives/edgar/data/1157601/000110465926075183/tm2617490d1_ex99-2.htm" TargetMode="External"/><Relationship Id="rId6" Type="http://schemas.openxmlformats.org/officeDocument/2006/relationships/hyperlink" Target="https://www.sec.gov/Archives/edgar/data/1157601/000110465926075183/tm2617490d1_ex99-2.htm" TargetMode="External"/><Relationship Id="rId7" Type="http://schemas.openxmlformats.org/officeDocument/2006/relationships/hyperlink" Target="https://www.sec.gov/Archives/edgar/data/1157601/000110465926075183/tm2617490d1_ex99-3.htm" TargetMode="External"/><Relationship Id="rId8" Type="http://schemas.openxmlformats.org/officeDocument/2006/relationships/hyperlink" Target="https://www.sec.gov/Archives/edgar/data/1157601/000110465926075183/tm2617490d1_ex99-3.htm" TargetMode="External"/><Relationship Id="rId9" Type="http://schemas.openxmlformats.org/officeDocument/2006/relationships/hyperlink" Target="https://www.sec.gov/Archives/edgar/data/1157601/000110465926075183/tm2617490d1_ex99-4.htm" TargetMode="External"/><Relationship Id="rId10" Type="http://schemas.openxmlformats.org/officeDocument/2006/relationships/hyperlink" Target="https://www.sec.gov/Archives/edgar/data/1157601/000110465926075183/tm2617490d1_ex99-4.htm" TargetMode="External"/><Relationship Id="rId11" Type="http://schemas.openxmlformats.org/officeDocument/2006/relationships/hyperlink" Target="https://www.sec.gov/Archives/edgar/data/1157601/000110465926075183/tm2617490d1_ex99-4.htm" TargetMode="External"/><Relationship Id="rId12" Type="http://schemas.openxmlformats.org/officeDocument/2006/relationships/hyperlink" Target="https://www.sec.gov/Archives/edgar/data/1157601/000110465926075183/tm2617490d1_ex99-4.htm" TargetMode="External"/><Relationship Id="rId13" Type="http://schemas.openxmlformats.org/officeDocument/2006/relationships/hyperlink" Target="https://www.sec.gov/Archives/edgar/data/1157601/000110465926075183/tm2617490d1_ex99-4.htm" TargetMode="External"/><Relationship Id="rId14" Type="http://schemas.openxmlformats.org/officeDocument/2006/relationships/hyperlink" Target="https://www.sec.gov/Archives/edgar/data/1157601/000110465926075183/tm2617490d1_ex99-4.htm" TargetMode="External"/><Relationship Id="rId15" Type="http://schemas.openxmlformats.org/officeDocument/2006/relationships/hyperlink" Target="https://www.sec.gov/Archives/edgar/data/1157601/000110465926075183/tm2617490d1_ex99-4.htm" TargetMode="External"/><Relationship Id="rId16" Type="http://schemas.openxmlformats.org/officeDocument/2006/relationships/hyperlink" Target="https://www.sec.gov/Archives/edgar/data/1157601/000110465926075183/tm2617490d1_ex99-5.htm" TargetMode="External"/><Relationship Id="rId17" Type="http://schemas.openxmlformats.org/officeDocument/2006/relationships/hyperlink" Target="https://www.sec.gov/Archives/edgar/data/1157601/000110465926075183/tm2617490d1_ex99-5.htm" TargetMode="External"/><Relationship Id="rId18" Type="http://schemas.openxmlformats.org/officeDocument/2006/relationships/hyperlink" Target="https://www.sec.gov/Archives/edgar/data/1157601/000110465926075183/tm2617490d1_ex99-6.htm" TargetMode="External"/><Relationship Id="rId19" Type="http://schemas.openxmlformats.org/officeDocument/2006/relationships/hyperlink" Target="https://www.sec.gov/Archives/edgar/data/1157601/000110465926075183/tm2617490d1_ex99-6.htm" TargetMode="External"/><Relationship Id="rId20" Type="http://schemas.openxmlformats.org/officeDocument/2006/relationships/hyperlink" Target="https://www.sec.gov/Archives/edgar/data/1157601/000110465926075183/tm2617490d1_ex99-6.htm" TargetMode="External"/><Relationship Id="rId21" Type="http://schemas.openxmlformats.org/officeDocument/2006/relationships/hyperlink" Target="https://www.sec.gov/Archives/edgar/data/1157601/000110465926075183/tm2617490d1_ex99-7.htm" TargetMode="External"/><Relationship Id="rId22" Type="http://schemas.openxmlformats.org/officeDocument/2006/relationships/hyperlink" Target="https://www.sec.gov/Archives/edgar/data/1157601/000110465926075183/tm2617490d1_ex99-7.htm" TargetMode="External"/><Relationship Id="rId23" Type="http://schemas.openxmlformats.org/officeDocument/2006/relationships/hyperlink" Target="https://www.sec.gov/Archives/edgar/data/1157601/000110465926075183/tm2617490d1_ex99-7.htm" TargetMode="External"/><Relationship Id="rId24" Type="http://schemas.openxmlformats.org/officeDocument/2006/relationships/hyperlink" Target="https://www.sec.gov/Archives/edgar/data/1157601/000110465926075183/tm2617490d1_ex99-8.htm" TargetMode="External"/><Relationship Id="rId25" Type="http://schemas.openxmlformats.org/officeDocument/2006/relationships/hyperlink" Target="https://www.sec.gov/Archives/edgar/data/1157601/000110465926075183/tm2617490d1_ex99-8.htm" TargetMode="External"/><Relationship Id="rId26" Type="http://schemas.openxmlformats.org/officeDocument/2006/relationships/hyperlink" Target="https://www.sec.gov/Archives/edgar/data/1157601/000110465926075130/tm2617490d2_ex10-2.htm" TargetMode="External"/><Relationship Id="rId27" Type="http://schemas.openxmlformats.org/officeDocument/2006/relationships/hyperlink" Target="https://www.sec.gov/Archives/edgar/data/1157601/000110465926075130/tm2617490d2_ex10-2.htm" TargetMode="External"/><Relationship Id="rId28" Type="http://schemas.openxmlformats.org/officeDocument/2006/relationships/hyperlink" Target="https://www.sec.gov/Archives/edgar/data/1157601/000110465926075130/tm2617490d2_ex10-3.htm" TargetMode="External"/><Relationship Id="rId29" Type="http://schemas.openxmlformats.org/officeDocument/2006/relationships/hyperlink" Target="https://www.sec.gov/Archives/edgar/data/1157601/000110465926075130/tm2617490d2_ex10-3.htm" TargetMode="External"/><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28614</Words>
  <Characters>160272</Characters>
  <CharactersWithSpaces>187668</CharactersWithSpaces>
  <Paragraphs>2293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exhibit1012-thirdamendme</dc:title>
</cp:coreProperties>
</file>