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3"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4" w:lineRule="exact"/>
        <w:rPr>
          <w:sz w:val="24"/>
          <w:szCs w:val="24"/>
          <w:color w:val="auto"/>
        </w:rPr>
      </w:pPr>
    </w:p>
    <w:p>
      <w:pPr>
        <w:ind w:left="480" w:right="180" w:hanging="454"/>
        <w:spacing w:after="0" w:line="262" w:lineRule="auto"/>
        <w:tabs>
          <w:tab w:leader="none" w:pos="480" w:val="left"/>
        </w:tabs>
        <w:numPr>
          <w:ilvl w:val="0"/>
          <w:numId w:val="1"/>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460" w:right="200" w:hanging="434"/>
        <w:spacing w:after="0" w:line="275" w:lineRule="auto"/>
        <w:tabs>
          <w:tab w:leader="none" w:pos="46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40"/>
        <w:spacing w:after="0"/>
        <w:tabs>
          <w:tab w:leader="none" w:pos="160" w:val="left"/>
        </w:tabs>
        <w:rPr>
          <w:sz w:val="20"/>
          <w:szCs w:val="20"/>
          <w:color w:val="auto"/>
        </w:rPr>
      </w:pPr>
      <w:r>
        <w:rPr>
          <w:rFonts w:ascii="Times New Roman" w:cs="Times New Roman" w:eastAsia="Times New Roman" w:hAnsi="Times New Roman"/>
          <w:sz w:val="18"/>
          <w:szCs w:val="18"/>
          <w:b w:val="1"/>
          <w:bCs w:val="1"/>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9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117"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18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_________________________</w:t>
      </w:r>
    </w:p>
    <w:p>
      <w:pPr>
        <w:spacing w:after="0" w:line="293" w:lineRule="exact"/>
        <w:rPr>
          <w:sz w:val="24"/>
          <w:szCs w:val="24"/>
          <w:color w:val="auto"/>
        </w:rPr>
      </w:pPr>
    </w:p>
    <w:tbl>
      <w:tblPr>
        <w:tblLayout w:type="fixed"/>
        <w:tblInd w:w="1480" w:type="dxa"/>
        <w:tblCellMar>
          <w:top w:w="0" w:type="dxa"/>
          <w:left w:w="0" w:type="dxa"/>
          <w:bottom w:w="0" w:type="dxa"/>
          <w:right w:w="0" w:type="dxa"/>
        </w:tblCellMar>
      </w:tblPr>
      <w:tr>
        <w:trPr>
          <w:trHeight w:val="238"/>
        </w:trPr>
        <w:tc>
          <w:tcPr>
            <w:tcW w:w="4520" w:type="dxa"/>
            <w:vAlign w:val="bottom"/>
          </w:tcPr>
          <w:p>
            <w:pPr>
              <w:jc w:val="center"/>
              <w:ind w:right="179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04-3508648</w:t>
            </w:r>
          </w:p>
        </w:tc>
      </w:tr>
      <w:tr>
        <w:trPr>
          <w:trHeight w:val="191"/>
        </w:trPr>
        <w:tc>
          <w:tcPr>
            <w:tcW w:w="452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2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41"/>
        </w:trPr>
        <w:tc>
          <w:tcPr>
            <w:tcW w:w="4520" w:type="dxa"/>
            <w:vAlign w:val="bottom"/>
          </w:tcPr>
          <w:p>
            <w:pPr>
              <w:jc w:val="center"/>
              <w:ind w:right="1798"/>
              <w:spacing w:after="0"/>
              <w:rPr>
                <w:sz w:val="20"/>
                <w:szCs w:val="20"/>
                <w:color w:val="auto"/>
              </w:rPr>
            </w:pPr>
            <w:r>
              <w:rPr>
                <w:rFonts w:ascii="Times New Roman" w:cs="Times New Roman" w:eastAsia="Times New Roman" w:hAnsi="Times New Roman"/>
                <w:sz w:val="18"/>
                <w:szCs w:val="18"/>
                <w:b w:val="1"/>
                <w:bCs w:val="1"/>
                <w:color w:val="auto"/>
              </w:rPr>
              <w:t>1001 Conshohocken State Road,</w:t>
            </w:r>
          </w:p>
        </w:tc>
        <w:tc>
          <w:tcPr>
            <w:tcW w:w="3000" w:type="dxa"/>
            <w:vAlign w:val="bottom"/>
          </w:tcPr>
          <w:p>
            <w:pPr>
              <w:spacing w:after="0"/>
              <w:rPr>
                <w:sz w:val="24"/>
                <w:szCs w:val="24"/>
                <w:color w:val="auto"/>
              </w:rPr>
            </w:pPr>
          </w:p>
        </w:tc>
      </w:tr>
      <w:tr>
        <w:trPr>
          <w:trHeight w:val="202"/>
        </w:trPr>
        <w:tc>
          <w:tcPr>
            <w:tcW w:w="4520" w:type="dxa"/>
            <w:vAlign w:val="bottom"/>
          </w:tcPr>
          <w:p>
            <w:pPr>
              <w:jc w:val="center"/>
              <w:ind w:right="1738"/>
              <w:spacing w:after="0" w:line="202" w:lineRule="exact"/>
              <w:rPr>
                <w:sz w:val="20"/>
                <w:szCs w:val="20"/>
                <w:color w:val="auto"/>
              </w:rPr>
            </w:pPr>
            <w:r>
              <w:rPr>
                <w:rFonts w:ascii="Times New Roman" w:cs="Times New Roman" w:eastAsia="Times New Roman" w:hAnsi="Times New Roman"/>
                <w:sz w:val="18"/>
                <w:szCs w:val="18"/>
                <w:b w:val="1"/>
                <w:bCs w:val="1"/>
                <w:color w:val="auto"/>
              </w:rPr>
              <w:t>Suite 2-350</w:t>
            </w:r>
          </w:p>
        </w:tc>
        <w:tc>
          <w:tcPr>
            <w:tcW w:w="3000" w:type="dxa"/>
            <w:vAlign w:val="bottom"/>
          </w:tcPr>
          <w:p>
            <w:pPr>
              <w:spacing w:after="0"/>
              <w:rPr>
                <w:sz w:val="17"/>
                <w:szCs w:val="17"/>
                <w:color w:val="auto"/>
              </w:rPr>
            </w:pPr>
          </w:p>
        </w:tc>
      </w:tr>
      <w:tr>
        <w:trPr>
          <w:trHeight w:val="252"/>
        </w:trPr>
        <w:tc>
          <w:tcPr>
            <w:tcW w:w="4520" w:type="dxa"/>
            <w:vAlign w:val="bottom"/>
          </w:tcPr>
          <w:p>
            <w:pPr>
              <w:jc w:val="center"/>
              <w:ind w:right="1778"/>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3000" w:type="dxa"/>
            <w:vAlign w:val="bottom"/>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19428</w:t>
            </w:r>
          </w:p>
        </w:tc>
      </w:tr>
      <w:tr>
        <w:trPr>
          <w:trHeight w:val="220"/>
        </w:trPr>
        <w:tc>
          <w:tcPr>
            <w:tcW w:w="4520" w:type="dxa"/>
            <w:vAlign w:val="bottom"/>
          </w:tcPr>
          <w:p>
            <w:pPr>
              <w:jc w:val="center"/>
              <w:ind w:right="17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200" w:lineRule="exact"/>
        <w:rPr>
          <w:sz w:val="24"/>
          <w:szCs w:val="24"/>
          <w:color w:val="auto"/>
        </w:rPr>
      </w:pPr>
    </w:p>
    <w:p>
      <w:pPr>
        <w:spacing w:after="0" w:line="37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158"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___________</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50"/>
        </w:trPr>
        <w:tc>
          <w:tcPr>
            <w:tcW w:w="4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26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877"/>
        </w:trPr>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_________________________</w:t>
            </w:r>
          </w:p>
        </w:tc>
        <w:tc>
          <w:tcPr>
            <w:tcW w:w="8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198" w:lineRule="exact"/>
        <w:rPr>
          <w:sz w:val="24"/>
          <w:szCs w:val="24"/>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pacing w:after="0" w:line="177"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w:t>
      </w:r>
    </w:p>
    <w:p>
      <w:pPr>
        <w:sectPr>
          <w:pgSz w:w="11900" w:h="16838" w:orient="portrait"/>
          <w:cols w:equalWidth="0" w:num="1">
            <w:col w:w="11160"/>
          </w:cols>
          <w:pgMar w:left="320" w:top="225" w:right="419" w:bottom="0" w:gutter="0" w:footer="0" w:header="0"/>
        </w:sectPr>
      </w:pPr>
    </w:p>
    <w:bookmarkStart w:id="1" w:name="page2"/>
    <w:bookmarkEnd w:id="1"/>
    <w:p>
      <w:pPr>
        <w:ind w:right="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940"/>
              <w:spacing w:after="0"/>
              <w:rPr>
                <w:sz w:val="20"/>
                <w:szCs w:val="20"/>
                <w:color w:val="auto"/>
              </w:rPr>
            </w:pPr>
            <w:r>
              <w:rPr>
                <w:rFonts w:ascii="Wingdings" w:cs="Wingdings" w:eastAsia="Wingdings" w:hAnsi="Wingdings"/>
                <w:sz w:val="18"/>
                <w:szCs w:val="18"/>
                <w:b w:val="1"/>
                <w:bCs w:val="1"/>
                <w:color w:val="auto"/>
              </w:rPr>
              <w:t>x</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940"/>
              <w:spacing w:after="0"/>
              <w:rPr>
                <w:sz w:val="20"/>
                <w:szCs w:val="20"/>
                <w:color w:val="auto"/>
              </w:rPr>
            </w:pPr>
            <w:r>
              <w:rPr>
                <w:rFonts w:ascii="Wingdings" w:cs="Wingdings" w:eastAsia="Wingdings" w:hAnsi="Wingdings"/>
                <w:sz w:val="18"/>
                <w:szCs w:val="18"/>
                <w:b w:val="1"/>
                <w:bCs w:val="1"/>
                <w:color w:val="auto"/>
              </w:rPr>
              <w:t>o</w:t>
            </w: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r>
        <w:trPr>
          <w:trHeight w:val="432"/>
        </w:trPr>
        <w:tc>
          <w:tcPr>
            <w:tcW w:w="2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5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80" w:type="dxa"/>
            <w:vAlign w:val="bottom"/>
          </w:tcPr>
          <w:p>
            <w:pPr>
              <w:ind w:left="92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o</w:t>
      </w:r>
    </w:p>
    <w:p>
      <w:pPr>
        <w:spacing w:after="0" w:line="162" w:lineRule="exact"/>
        <w:rPr>
          <w:sz w:val="20"/>
          <w:szCs w:val="20"/>
          <w:color w:val="auto"/>
        </w:rPr>
      </w:pPr>
    </w:p>
    <w:p>
      <w:pPr>
        <w:ind w:right="15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29, 2026, the registrant had 23,229,561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9280" w:type="dxa"/>
            <w:vAlign w:val="bottom"/>
            <w:gridSpan w:val="2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7"/>
        </w:trPr>
        <w:tc>
          <w:tcPr>
            <w:tcW w:w="280" w:type="dxa"/>
            <w:vAlign w:val="bottom"/>
            <w:tcBorders>
              <w:top w:val="single" w:sz="8" w:color="auto"/>
            </w:tcBorders>
          </w:tcPr>
          <w:p>
            <w:pPr>
              <w:spacing w:after="0"/>
              <w:rPr>
                <w:sz w:val="20"/>
                <w:szCs w:val="20"/>
                <w:color w:val="auto"/>
              </w:rPr>
            </w:pPr>
          </w:p>
        </w:tc>
        <w:tc>
          <w:tcPr>
            <w:tcW w:w="820" w:type="dxa"/>
            <w:vAlign w:val="bottom"/>
          </w:tcPr>
          <w:p>
            <w:pPr>
              <w:spacing w:after="0"/>
              <w:rPr>
                <w:sz w:val="20"/>
                <w:szCs w:val="20"/>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800" w:type="dxa"/>
            <w:vAlign w:val="bottom"/>
            <w:gridSpan w:val="10"/>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September 30, 2026 and December 31,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September 30,</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2026 and 2025</w:t>
            </w:r>
          </w:p>
        </w:tc>
        <w:tc>
          <w:tcPr>
            <w:tcW w:w="788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September 30, 2026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2025</w:t>
            </w:r>
          </w:p>
        </w:tc>
        <w:tc>
          <w:tcPr>
            <w:tcW w:w="24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5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9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2026 and 2025</w:t>
            </w:r>
          </w:p>
        </w:tc>
        <w:tc>
          <w:tcPr>
            <w:tcW w:w="1340" w:type="dxa"/>
            <w:vAlign w:val="bottom"/>
            <w:gridSpan w:val="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280" w:type="dxa"/>
            <w:vAlign w:val="bottom"/>
            <w:gridSpan w:val="9"/>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19"/>
                <w:szCs w:val="19"/>
                <w:color w:val="auto"/>
              </w:rPr>
            </w:pPr>
          </w:p>
        </w:tc>
        <w:tc>
          <w:tcPr>
            <w:tcW w:w="2820" w:type="dxa"/>
            <w:vAlign w:val="bottom"/>
            <w:gridSpan w:val="5"/>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80" w:type="dxa"/>
            <w:vAlign w:val="bottom"/>
            <w:gridSpan w:val="14"/>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20" w:type="dxa"/>
            <w:vAlign w:val="bottom"/>
            <w:gridSpan w:val="13"/>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420" w:type="dxa"/>
            <w:vAlign w:val="bottom"/>
            <w:tcBorders>
              <w:top w:val="single" w:sz="8" w:color="0000FF"/>
            </w:tcBorders>
            <w:gridSpan w:val="3"/>
          </w:tcPr>
          <w:p>
            <w:pPr>
              <w:spacing w:after="0"/>
              <w:rPr>
                <w:sz w:val="19"/>
                <w:szCs w:val="19"/>
                <w:color w:val="auto"/>
              </w:rPr>
            </w:pPr>
          </w:p>
        </w:tc>
        <w:tc>
          <w:tcPr>
            <w:tcW w:w="7940" w:type="dxa"/>
            <w:vAlign w:val="bottom"/>
            <w:gridSpan w:val="16"/>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20" w:type="dxa"/>
            <w:vAlign w:val="bottom"/>
            <w:gridSpan w:val="8"/>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9"/>
                <w:szCs w:val="19"/>
                <w:color w:val="auto"/>
              </w:rPr>
            </w:pPr>
          </w:p>
        </w:tc>
        <w:tc>
          <w:tcPr>
            <w:tcW w:w="6960" w:type="dxa"/>
            <w:vAlign w:val="bottom"/>
            <w:gridSpan w:val="11"/>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7"/>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520" w:type="dxa"/>
            <w:vAlign w:val="bottom"/>
            <w:gridSpan w:val="2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08"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This Quarterly Report on Form 10-Q (this “Quarterly Report”)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“accelerate,” “achieve,” “may,” “will,” “should,” “could,” “would,” “expects,” “plans,” “anticipates,” “goal,” “believes,” “estimates,” “positions,” “predictive,” “projects,” “predicts,” “intends,” “potential,” “continue,” “seeks” and similar expressions and the negatives of those terms. In particular, forward-looking statements contained in this Quarterly Report relate to, among other things:</w:t>
      </w:r>
    </w:p>
    <w:p>
      <w:pPr>
        <w:spacing w:after="0" w:line="87" w:lineRule="exact"/>
        <w:rPr>
          <w:sz w:val="20"/>
          <w:szCs w:val="20"/>
          <w:color w:val="auto"/>
        </w:rPr>
      </w:pPr>
    </w:p>
    <w:p>
      <w:pPr>
        <w:ind w:left="1300" w:right="30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Rezdiffra, our only approved product, for the treatment of metabolic dysfunction-associated steatohepatitis (“MASH”) with moderate to advanced liver fibrosis (consistent with stages F2 to F3 fibrosis);</w:t>
      </w:r>
    </w:p>
    <w:p>
      <w:pPr>
        <w:spacing w:after="0" w:line="54"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full approval for Rezdiffra from the U.S. Food and Drug Administration (the “FDA”) and the European Medicines Agency;</w:t>
      </w:r>
    </w:p>
    <w:p>
      <w:pPr>
        <w:spacing w:after="0" w:line="4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or in a timely manner, report positive results from our outcomes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to expand Rezdiffra’s indication to a broader MASH patient population;</w:t>
      </w:r>
    </w:p>
    <w:p>
      <w:pPr>
        <w:spacing w:after="0" w:line="117" w:lineRule="exact"/>
        <w:rPr>
          <w:rFonts w:ascii="Times New Roman" w:cs="Times New Roman" w:eastAsia="Times New Roman" w:hAnsi="Times New Roman"/>
          <w:sz w:val="18"/>
          <w:szCs w:val="18"/>
          <w:color w:val="auto"/>
        </w:rPr>
      </w:pPr>
    </w:p>
    <w:p>
      <w:pPr>
        <w:ind w:left="1300" w:right="1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degree of market acceptance of Rezdiffra by physicians, patients, third-party payors and others in the healthcare community, our ability to obtain and maintain adequate reimbursement from government and third-party payors for Rezdiffra or acceptable prices for Rezdiffra and Rezdiffra’s leadership position;</w:t>
      </w:r>
    </w:p>
    <w:p>
      <w:pPr>
        <w:spacing w:after="0" w:line="82" w:lineRule="exact"/>
        <w:rPr>
          <w:rFonts w:ascii="Times New Roman" w:cs="Times New Roman" w:eastAsia="Times New Roman" w:hAnsi="Times New Roman"/>
          <w:sz w:val="18"/>
          <w:szCs w:val="18"/>
          <w:color w:val="auto"/>
        </w:rPr>
      </w:pPr>
    </w:p>
    <w:p>
      <w:pPr>
        <w:ind w:left="1300" w:right="32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business strategies and plans (including potential ex-U.S. commercial or partnering opportunities) and potential growth opportunities and our ability to acquire or in-license new product candidates and technologies;</w:t>
      </w:r>
    </w:p>
    <w:p>
      <w:pPr>
        <w:spacing w:after="0" w:line="54" w:lineRule="exact"/>
        <w:rPr>
          <w:rFonts w:ascii="Times New Roman" w:cs="Times New Roman" w:eastAsia="Times New Roman" w:hAnsi="Times New Roman"/>
          <w:sz w:val="18"/>
          <w:szCs w:val="18"/>
          <w:color w:val="auto"/>
        </w:rPr>
      </w:pPr>
    </w:p>
    <w:p>
      <w:pPr>
        <w:ind w:left="130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plans related to clinical trials, including anticipated timing of initiating clinical trials and the receipt of data from our clinical trials, our ability to successfully conduct our current or any future clinical trials necessary for regulatory approval and our ability to delay certain research activities and related clinical expenses as necessary;</w:t>
      </w:r>
    </w:p>
    <w:p>
      <w:pPr>
        <w:spacing w:after="0" w:line="61"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commercial organization, including sales and marketing representatives, and the ability of third parties on which we rely to manufacture Rezdiffra or any other future product candidate for our commercial or clinical needs;</w:t>
      </w:r>
    </w:p>
    <w:p>
      <w:pPr>
        <w:spacing w:after="0" w:line="40" w:lineRule="exact"/>
        <w:rPr>
          <w:rFonts w:ascii="Times New Roman" w:cs="Times New Roman" w:eastAsia="Times New Roman" w:hAnsi="Times New Roman"/>
          <w:sz w:val="18"/>
          <w:szCs w:val="18"/>
          <w:color w:val="auto"/>
        </w:rPr>
      </w:pPr>
    </w:p>
    <w:p>
      <w:pPr>
        <w:jc w:val="both"/>
        <w:ind w:left="1300" w:right="160" w:hanging="320"/>
        <w:spacing w:after="0" w:line="258"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our future operating performance and financial position, estimates of our expenses and liquidity and our ability to raise additional capital as needed, our ability to achieve or maintain consistent profitability and our ability to comply with the covenants included in our loan facility;</w:t>
      </w:r>
    </w:p>
    <w:p>
      <w:pPr>
        <w:spacing w:after="0" w:line="61" w:lineRule="exact"/>
        <w:rPr>
          <w:rFonts w:ascii="Times New Roman" w:cs="Times New Roman" w:eastAsia="Times New Roman" w:hAnsi="Times New Roman"/>
          <w:sz w:val="18"/>
          <w:szCs w:val="18"/>
          <w:color w:val="auto"/>
        </w:rPr>
      </w:pPr>
    </w:p>
    <w:p>
      <w:pPr>
        <w:ind w:left="1300" w:right="840" w:hanging="320"/>
        <w:spacing w:after="0" w:line="266"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protect our intellectual property rights or prevent disclosure of our trade secrets and other proprietary information and costs associated with litigation or other proceedings related to such matters;</w:t>
      </w:r>
    </w:p>
    <w:p>
      <w:pPr>
        <w:spacing w:after="0" w:line="67"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business development transactions and receive the expected benefits of such transactions, and our ability to comply with our obligations under any of our current or future license agreements, including the license agreement with F. Hoffmann-La Roche AG in respect of resmetirom; and</w:t>
      </w:r>
    </w:p>
    <w:p>
      <w:pPr>
        <w:spacing w:after="0" w:line="82"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regulation of the healthcare industry, including potential pricing reform, and general economic conditions in the United States, Europe and globally, including the impact of tariffs and inflation, that may affect us, our suppliers, third-party service providers and potential partners.</w:t>
      </w:r>
    </w:p>
    <w:p>
      <w:pPr>
        <w:spacing w:after="0" w:line="177" w:lineRule="exact"/>
        <w:rPr>
          <w:sz w:val="20"/>
          <w:szCs w:val="20"/>
          <w:color w:val="auto"/>
        </w:rPr>
      </w:pPr>
    </w:p>
    <w:p>
      <w:pPr>
        <w:ind w:right="240" w:firstLine="648"/>
        <w:spacing w:after="0" w:line="247" w:lineRule="auto"/>
        <w:rPr>
          <w:sz w:val="20"/>
          <w:szCs w:val="20"/>
          <w:color w:val="auto"/>
        </w:rPr>
      </w:pPr>
      <w:r>
        <w:rPr>
          <w:rFonts w:ascii="Times New Roman" w:cs="Times New Roman" w:eastAsia="Times New Roman" w:hAnsi="Times New Roman"/>
          <w:sz w:val="18"/>
          <w:szCs w:val="18"/>
          <w:color w:val="auto"/>
        </w:rPr>
        <w:t>These forward-looking statements reflect management’s current views with respect to future events and with respect to our business and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 Item 1A, “Risk Factors” in our Annual Report on Form 10-K for the fiscal year ended December 31, 2025 and Part II, Item 1A, “Risk Factors” in this Quarterly Report and elsewhere in this Quarterly Report. Other sections of this Quarterly Report may</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uncertainties, you should not place undue reliance on these forward-looking statements. Except as required by law, we assume no obligation to update or revise these forward-looking statements for any reason, even if new information becomes available in the future. You are advised, however, to consult any further disclosure we make in our reports filed with the U.S.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198,693</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784,866</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 receivables,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227,377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134,476</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64"/>
        </w:trPr>
        <w:tc>
          <w:tcPr>
            <w:tcW w:w="8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47,804</w:t>
            </w:r>
          </w:p>
        </w:tc>
      </w:tr>
      <w:tr>
        <w:trPr>
          <w:trHeight w:val="270"/>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1,387,109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1,245,770</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1,434,389</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1,259,589</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6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48,878</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260,392</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57"/>
        </w:trPr>
        <w:tc>
          <w:tcPr>
            <w:tcW w:w="8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454,244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310,288</w:t>
            </w:r>
          </w:p>
        </w:tc>
      </w:tr>
      <w:tr>
        <w:trPr>
          <w:trHeight w:val="27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341,275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339,881</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57"/>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353,204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346,612</w:t>
            </w:r>
          </w:p>
        </w:tc>
      </w:tr>
      <w:tr>
        <w:trPr>
          <w:trHeight w:val="270"/>
        </w:trPr>
        <w:tc>
          <w:tcPr>
            <w:tcW w:w="81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807,448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656,900</w:t>
            </w: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31"/>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par value $0.0001 per share authorized: 5,000,000 shares at September 30, 2026 and</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03"/>
        </w:trPr>
        <w:tc>
          <w:tcPr>
            <w:tcW w:w="81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December 31, 2025; 2,369,797 shares issued and outstanding at September 30, 2026 and December 31,</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61"/>
        </w:trPr>
        <w:tc>
          <w:tcPr>
            <w:tcW w:w="8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shares at September 30, 2026 and</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3"/>
        </w:trPr>
        <w:tc>
          <w:tcPr>
            <w:tcW w:w="81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w w:val="99"/>
              </w:rPr>
              <w:t>December 31, 2025; 23,221,744 and 22,842,073 shares issued and outstanding at September 30, 2026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55"/>
        </w:trPr>
        <w:tc>
          <w:tcPr>
            <w:tcW w:w="8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2,692,280</w:t>
            </w:r>
          </w:p>
        </w:tc>
      </w:tr>
      <w:tr>
        <w:trPr>
          <w:trHeight w:val="263"/>
        </w:trPr>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77"/>
        </w:trPr>
        <w:tc>
          <w:tcPr>
            <w:tcW w:w="8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(2,187,354)</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(2,090,466)</w:t>
            </w:r>
          </w:p>
        </w:tc>
      </w:tr>
      <w:tr>
        <w:trPr>
          <w:trHeight w:val="257"/>
        </w:trPr>
        <w:tc>
          <w:tcPr>
            <w:tcW w:w="816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626,941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602,689</w:t>
            </w:r>
          </w:p>
        </w:tc>
      </w:tr>
      <w:tr>
        <w:trPr>
          <w:trHeight w:val="288"/>
        </w:trPr>
        <w:tc>
          <w:tcPr>
            <w:tcW w:w="81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1,434,389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1,259,589</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431,268</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287,268</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1,106,857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637,320</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272,257</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823,605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573,851</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375,279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1,199,899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877,808</w:t>
            </w:r>
          </w:p>
        </w:tc>
        <w:tc>
          <w:tcPr>
            <w:tcW w:w="0" w:type="dxa"/>
            <w:vAlign w:val="bottom"/>
          </w:tcPr>
          <w:p>
            <w:pPr>
              <w:spacing w:after="0"/>
              <w:rPr>
                <w:sz w:val="1"/>
                <w:szCs w:val="1"/>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(93,042)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(240,488)</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0" w:type="dxa"/>
            <w:vAlign w:val="bottom"/>
          </w:tcPr>
          <w:p>
            <w:pPr>
              <w:spacing w:after="0"/>
              <w:rPr>
                <w:sz w:val="1"/>
                <w:szCs w:val="1"/>
                <w:color w:val="auto"/>
              </w:rPr>
            </w:pPr>
          </w:p>
        </w:tc>
      </w:tr>
      <w:tr>
        <w:trPr>
          <w:trHeight w:val="263"/>
        </w:trPr>
        <w:tc>
          <w:tcPr>
            <w:tcW w:w="5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63"/>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88"/>
        </w:trPr>
        <w:tc>
          <w:tcPr>
            <w:tcW w:w="5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common, Series A preferred and Series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0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share: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common, Series A preferred, and Series B</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share - 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common, Series A preferred, and Series B</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share - diluted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 (Note 13)</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29,247,673</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28,508,089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29,142,570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28,276,865</w:t>
            </w:r>
          </w:p>
        </w:tc>
        <w:tc>
          <w:tcPr>
            <w:tcW w:w="0" w:type="dxa"/>
            <w:vAlign w:val="bottom"/>
          </w:tcPr>
          <w:p>
            <w:pPr>
              <w:spacing w:after="0"/>
              <w:rPr>
                <w:sz w:val="1"/>
                <w:szCs w:val="1"/>
                <w:color w:val="auto"/>
              </w:rPr>
            </w:pP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 (Note 13)</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30,313,137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28,508,089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29,142,570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28,276,865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0"/>
        </w:trPr>
        <w:tc>
          <w:tcPr>
            <w:tcW w:w="50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50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55,442</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(229,709)</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7"/>
        </w:trPr>
        <w:tc>
          <w:tcPr>
            <w:tcW w:w="5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unrealized (loss) gain on available-for-sale securities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50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(1,705)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(2,537)</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57"/>
        </w:trPr>
        <w:tc>
          <w:tcPr>
            <w:tcW w:w="5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52,905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(114,233)</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(229,109)</w:t>
            </w:r>
          </w:p>
        </w:tc>
      </w:tr>
      <w:tr>
        <w:trPr>
          <w:trHeight w:val="27"/>
        </w:trPr>
        <w:tc>
          <w:tcPr>
            <w:tcW w:w="50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0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80" w:type="dxa"/>
            <w:vAlign w:val="bottom"/>
            <w:gridSpan w:val="3"/>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9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80" w:type="dxa"/>
            <w:vAlign w:val="bottom"/>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22,842,073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$2,692,280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(2,090,466)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(94,391)</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2"/>
                <w:szCs w:val="22"/>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23,041,918</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$2,727,227</w:t>
            </w:r>
          </w:p>
        </w:tc>
        <w:tc>
          <w:tcPr>
            <w:tcW w:w="8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(2,184,857)</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23,093,974</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$2,765,710</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(2,242,796)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523,724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0"/>
                <w:szCs w:val="20"/>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23,221,744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2,816,022</w:t>
            </w:r>
          </w:p>
        </w:tc>
        <w:tc>
          <w:tcPr>
            <w:tcW w:w="8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(2,187,354)</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2"/>
                <w:szCs w:val="22"/>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22,004,679</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$2,556,095</w:t>
            </w:r>
          </w:p>
        </w:tc>
        <w:tc>
          <w:tcPr>
            <w:tcW w:w="80" w:type="dxa"/>
            <w:vAlign w:val="bottom"/>
          </w:tcPr>
          <w:p>
            <w:pPr>
              <w:spacing w:after="0"/>
              <w:rPr>
                <w:sz w:val="22"/>
                <w:szCs w:val="22"/>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(1,802,182)</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754,383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80" w:type="dxa"/>
            <w:vAlign w:val="bottom"/>
          </w:tcPr>
          <w:p>
            <w:pPr>
              <w:spacing w:after="0"/>
              <w:rPr>
                <w:sz w:val="24"/>
                <w:szCs w:val="24"/>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4"/>
                <w:szCs w:val="24"/>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2"/>
                <w:szCs w:val="22"/>
                <w:color w:val="auto"/>
              </w:rPr>
            </w:pPr>
          </w:p>
        </w:tc>
        <w:tc>
          <w:tcPr>
            <w:tcW w:w="3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(73,238)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0" w:type="dxa"/>
            <w:vAlign w:val="bottom"/>
          </w:tcPr>
          <w:p>
            <w:pPr>
              <w:spacing w:after="0"/>
              <w:rPr>
                <w:sz w:val="23"/>
                <w:szCs w:val="23"/>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22,187,716</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$2,585,666</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(1,875,420)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710,637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0" w:type="dxa"/>
            <w:vAlign w:val="bottom"/>
          </w:tcPr>
          <w:p>
            <w:pPr>
              <w:spacing w:after="0"/>
              <w:rPr>
                <w:sz w:val="20"/>
                <w:szCs w:val="20"/>
                <w:color w:val="auto"/>
              </w:rPr>
            </w:pPr>
          </w:p>
        </w:tc>
        <w:tc>
          <w:tcPr>
            <w:tcW w:w="3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18"/>
        </w:trPr>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3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42"/>
        </w:trPr>
        <w:tc>
          <w:tcPr>
            <w:tcW w:w="80" w:type="dxa"/>
            <w:vAlign w:val="bottom"/>
            <w:tcBorders>
              <w:top w:val="single" w:sz="8" w:color="0000FF"/>
            </w:tcBorders>
          </w:tcPr>
          <w:p>
            <w:pPr>
              <w:spacing w:after="0"/>
              <w:rPr>
                <w:sz w:val="24"/>
                <w:szCs w:val="24"/>
                <w:color w:val="auto"/>
              </w:rPr>
            </w:pPr>
          </w:p>
        </w:tc>
        <w:tc>
          <w:tcPr>
            <w:tcW w:w="128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80" w:type="dxa"/>
            <w:vAlign w:val="bottom"/>
          </w:tcPr>
          <w:p>
            <w:pPr>
              <w:spacing w:after="0"/>
              <w:rPr>
                <w:sz w:val="23"/>
                <w:szCs w:val="23"/>
                <w:color w:val="auto"/>
              </w:rPr>
            </w:pPr>
          </w:p>
        </w:tc>
        <w:tc>
          <w:tcPr>
            <w:tcW w:w="3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(42,281)</w:t>
            </w:r>
          </w:p>
        </w:tc>
      </w:tr>
      <w:tr>
        <w:trPr>
          <w:trHeight w:val="257"/>
        </w:trPr>
        <w:tc>
          <w:tcPr>
            <w:tcW w:w="80" w:type="dxa"/>
            <w:vAlign w:val="bottom"/>
          </w:tcPr>
          <w:p>
            <w:pPr>
              <w:spacing w:after="0"/>
              <w:rPr>
                <w:sz w:val="22"/>
                <w:szCs w:val="22"/>
                <w:color w:val="auto"/>
              </w:rPr>
            </w:pPr>
          </w:p>
        </w:tc>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22,221,116</w:t>
            </w:r>
          </w:p>
        </w:tc>
        <w:tc>
          <w:tcPr>
            <w:tcW w:w="8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$2,612,566</w:t>
            </w:r>
          </w:p>
        </w:tc>
        <w:tc>
          <w:tcPr>
            <w:tcW w:w="8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(1,917,701)</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695,978</w:t>
            </w:r>
          </w:p>
        </w:tc>
      </w:tr>
      <w:tr>
        <w:trPr>
          <w:trHeight w:val="231"/>
        </w:trPr>
        <w:tc>
          <w:tcPr>
            <w:tcW w:w="80" w:type="dxa"/>
            <w:vAlign w:val="bottom"/>
          </w:tcPr>
          <w:p>
            <w:pPr>
              <w:spacing w:after="0"/>
              <w:rPr>
                <w:sz w:val="20"/>
                <w:szCs w:val="20"/>
                <w:color w:val="auto"/>
              </w:rPr>
            </w:pPr>
          </w:p>
        </w:tc>
        <w:tc>
          <w:tcPr>
            <w:tcW w:w="3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of common stock under equity</w:t>
            </w: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48"/>
        </w:trPr>
        <w:tc>
          <w:tcPr>
            <w:tcW w:w="80" w:type="dxa"/>
            <w:vAlign w:val="bottom"/>
          </w:tcPr>
          <w:p>
            <w:pPr>
              <w:spacing w:after="0"/>
              <w:rPr>
                <w:sz w:val="21"/>
                <w:szCs w:val="21"/>
                <w:color w:val="auto"/>
              </w:rPr>
            </w:pPr>
          </w:p>
        </w:tc>
        <w:tc>
          <w:tcPr>
            <w:tcW w:w="33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plans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483,187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r>
      <w:tr>
        <w:trPr>
          <w:trHeight w:val="225"/>
        </w:trPr>
        <w:tc>
          <w:tcPr>
            <w:tcW w:w="80" w:type="dxa"/>
            <w:vAlign w:val="bottom"/>
          </w:tcPr>
          <w:p>
            <w:pPr>
              <w:spacing w:after="0"/>
              <w:rPr>
                <w:sz w:val="19"/>
                <w:szCs w:val="19"/>
                <w:color w:val="auto"/>
              </w:rPr>
            </w:pPr>
          </w:p>
        </w:tc>
        <w:tc>
          <w:tcPr>
            <w:tcW w:w="3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1"/>
        </w:trPr>
        <w:tc>
          <w:tcPr>
            <w:tcW w:w="80" w:type="dxa"/>
            <w:vAlign w:val="bottom"/>
          </w:tcPr>
          <w:p>
            <w:pPr>
              <w:spacing w:after="0"/>
              <w:rPr>
                <w:sz w:val="20"/>
                <w:szCs w:val="20"/>
                <w:color w:val="auto"/>
              </w:rPr>
            </w:pPr>
          </w:p>
        </w:tc>
        <w:tc>
          <w:tcPr>
            <w:tcW w:w="33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related to equity-classified awards</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26,252</w:t>
            </w:r>
          </w:p>
        </w:tc>
      </w:tr>
      <w:tr>
        <w:trPr>
          <w:trHeight w:val="277"/>
        </w:trPr>
        <w:tc>
          <w:tcPr>
            <w:tcW w:w="80" w:type="dxa"/>
            <w:vAlign w:val="bottom"/>
          </w:tcPr>
          <w:p>
            <w:pPr>
              <w:spacing w:after="0"/>
              <w:rPr>
                <w:sz w:val="24"/>
                <w:szCs w:val="24"/>
                <w:color w:val="auto"/>
              </w:rPr>
            </w:pPr>
          </w:p>
        </w:tc>
        <w:tc>
          <w:tcPr>
            <w:tcW w:w="3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3"/>
        </w:trPr>
        <w:tc>
          <w:tcPr>
            <w:tcW w:w="80" w:type="dxa"/>
            <w:vAlign w:val="bottom"/>
          </w:tcPr>
          <w:p>
            <w:pPr>
              <w:spacing w:after="0"/>
              <w:rPr>
                <w:sz w:val="22"/>
                <w:szCs w:val="22"/>
                <w:color w:val="auto"/>
              </w:rPr>
            </w:pPr>
          </w:p>
        </w:tc>
        <w:tc>
          <w:tcPr>
            <w:tcW w:w="33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(114,190)</w:t>
            </w:r>
          </w:p>
        </w:tc>
      </w:tr>
      <w:tr>
        <w:trPr>
          <w:trHeight w:val="283"/>
        </w:trPr>
        <w:tc>
          <w:tcPr>
            <w:tcW w:w="80" w:type="dxa"/>
            <w:vAlign w:val="bottom"/>
          </w:tcPr>
          <w:p>
            <w:pPr>
              <w:spacing w:after="0"/>
              <w:rPr>
                <w:sz w:val="24"/>
                <w:szCs w:val="24"/>
                <w:color w:val="auto"/>
              </w:rPr>
            </w:pPr>
          </w:p>
        </w:tc>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2,369,797</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22,704,303</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$2,656,553</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(2,031,891)</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625,732</w:t>
            </w:r>
          </w:p>
        </w:tc>
      </w:tr>
      <w:tr>
        <w:trPr>
          <w:trHeight w:val="20"/>
        </w:trPr>
        <w:tc>
          <w:tcPr>
            <w:tcW w:w="8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4"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30480</wp:posOffset>
            </wp:positionV>
            <wp:extent cx="18434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3"/>
        </w:trPr>
        <w:tc>
          <w:tcPr>
            <w:tcW w:w="8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(229,709)</w:t>
            </w:r>
          </w:p>
        </w:tc>
      </w:tr>
      <w:tr>
        <w:trPr>
          <w:trHeight w:val="277"/>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3"/>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108,336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72,342</w:t>
            </w: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63"/>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Inventory write-down</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Amortization of debt issuance costs and discount</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70"/>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70"/>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2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70"/>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non-cash items, net</w:t>
            </w:r>
          </w:p>
        </w:tc>
        <w:tc>
          <w:tcPr>
            <w:tcW w:w="4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70"/>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Trade receivables, net</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(59,463)</w:t>
            </w:r>
          </w:p>
        </w:tc>
      </w:tr>
      <w:tr>
        <w:trPr>
          <w:trHeight w:val="277"/>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(35,543)</w:t>
            </w:r>
          </w:p>
        </w:tc>
      </w:tr>
      <w:tr>
        <w:trPr>
          <w:trHeight w:val="263"/>
        </w:trPr>
        <w:tc>
          <w:tcPr>
            <w:tcW w:w="8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(35,249)</w:t>
            </w:r>
          </w:p>
        </w:tc>
      </w:tr>
      <w:tr>
        <w:trPr>
          <w:trHeight w:val="277"/>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63"/>
        </w:trPr>
        <w:tc>
          <w:tcPr>
            <w:tcW w:w="83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Accrued liabilities</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220,321</w:t>
            </w:r>
          </w:p>
        </w:tc>
      </w:tr>
      <w:tr>
        <w:trPr>
          <w:trHeight w:val="277"/>
        </w:trPr>
        <w:tc>
          <w:tcPr>
            <w:tcW w:w="83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8340" w:type="dxa"/>
            <w:vAlign w:val="bottom"/>
            <w:tcBorders>
              <w:bottom w:val="single" w:sz="8" w:color="CCEEFF"/>
            </w:tcBorders>
          </w:tcPr>
          <w:p>
            <w:pPr>
              <w:ind w:left="88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70"/>
        </w:trPr>
        <w:tc>
          <w:tcPr>
            <w:tcW w:w="83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(56,093)</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(834,554)</w:t>
            </w:r>
          </w:p>
        </w:tc>
      </w:tr>
      <w:tr>
        <w:trPr>
          <w:trHeight w:val="263"/>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773,783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843,151</w:t>
            </w: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Acquisition of intangible asset</w:t>
            </w:r>
          </w:p>
        </w:tc>
        <w:tc>
          <w:tcPr>
            <w:tcW w:w="4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64"/>
        </w:trPr>
        <w:tc>
          <w:tcPr>
            <w:tcW w:w="83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70"/>
        </w:trPr>
        <w:tc>
          <w:tcPr>
            <w:tcW w:w="83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320,178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4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r>
      <w:tr>
        <w:trPr>
          <w:trHeight w:val="263"/>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420" w:type="dxa"/>
            <w:vAlign w:val="bottom"/>
          </w:tcPr>
          <w:p>
            <w:pPr>
              <w:spacing w:after="0"/>
              <w:rPr>
                <w:sz w:val="22"/>
                <w:szCs w:val="2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Repayment of debt</w:t>
            </w:r>
          </w:p>
        </w:tc>
        <w:tc>
          <w:tcPr>
            <w:tcW w:w="4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(121,664)</w:t>
            </w:r>
          </w:p>
        </w:tc>
      </w:tr>
      <w:tr>
        <w:trPr>
          <w:trHeight w:val="264"/>
        </w:trPr>
        <w:tc>
          <w:tcPr>
            <w:tcW w:w="83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Proceeds from exercise of common stock options</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28,116</w:t>
            </w:r>
          </w:p>
        </w:tc>
      </w:tr>
      <w:tr>
        <w:trPr>
          <w:trHeight w:val="270"/>
        </w:trPr>
        <w:tc>
          <w:tcPr>
            <w:tcW w:w="834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247,028</w:t>
            </w:r>
          </w:p>
        </w:tc>
      </w:tr>
      <w:tr>
        <w:trPr>
          <w:trHeight w:val="257"/>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311,664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195,675</w:t>
            </w:r>
          </w:p>
        </w:tc>
      </w:tr>
      <w:tr>
        <w:trPr>
          <w:trHeight w:val="26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105,019</w:t>
            </w:r>
          </w:p>
        </w:tc>
      </w:tr>
      <w:tr>
        <w:trPr>
          <w:trHeight w:val="289"/>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515,447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24"/>
        </w:trPr>
        <w:tc>
          <w:tcPr>
            <w:tcW w:w="8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3"/>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Obtaining an operating lease right-of-use asset in exchange for an operating lease liability</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w:t>
            </w:r>
          </w:p>
        </w:tc>
      </w:tr>
      <w:tr>
        <w:trPr>
          <w:trHeight w:val="277"/>
        </w:trPr>
        <w:tc>
          <w:tcPr>
            <w:tcW w:w="83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Debt issuance costs in accounts payable and accrued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56"/>
        </w:trPr>
        <w:tc>
          <w:tcPr>
            <w:tcW w:w="83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310"/>
        </w:trPr>
        <w:tc>
          <w:tcPr>
            <w:tcW w:w="8760" w:type="dxa"/>
            <w:vAlign w:val="bottom"/>
            <w:gridSpan w:val="2"/>
          </w:tcPr>
          <w:p>
            <w:pPr>
              <w:ind w:left="262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9" w:lineRule="exact"/>
        <w:rPr>
          <w:sz w:val="20"/>
          <w:szCs w:val="20"/>
          <w:color w:val="auto"/>
        </w:rPr>
      </w:pPr>
    </w:p>
    <w:p>
      <w:pPr>
        <w:ind w:right="7240" w:firstLine="8"/>
        <w:spacing w:after="0" w:line="37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firstLine="648"/>
        <w:spacing w:after="0" w:line="242" w:lineRule="auto"/>
        <w:rPr>
          <w:sz w:val="20"/>
          <w:szCs w:val="20"/>
          <w:color w:val="auto"/>
        </w:rPr>
      </w:pPr>
      <w:r>
        <w:rPr>
          <w:rFonts w:ascii="Times New Roman" w:cs="Times New Roman" w:eastAsia="Times New Roman" w:hAnsi="Times New Roman"/>
          <w:sz w:val="18"/>
          <w:szCs w:val="18"/>
          <w:color w:val="auto"/>
        </w:rPr>
        <w:t>Madrigal Pharmaceuticals, Inc. (the “Company” or “Madrigal”) is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The Company’s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from the European Commission (“EC”), the Company launched Rezdiffra in Germany in September 2025. Rezdiffra was the first medication approved by both the FDA and EC for the treatment of adults with noncirrhotic MASH with moderate to advanced liver fibrosis (F2 to F3 fibrosis). The Company is also evaluating Rezdiffra in patients with compensated MASH cirrhosis (consistent with F4c fibrosis) in its MAESTRO-NASH OUTCOMES trial, that, if successful, could expand the eligible patient population for Rezdiffra. The Company also plans to initiate an additional trial in compensated MASH cirrhosis. In addition, the Company expects to evaluate its pipeline candidates with the goal of delivering best-in-disease therapies for the treatment of MASH.</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08"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the Company believes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the Company will have for the full year ending December 31, 2026 or any subsequent period. These unaudited condensed consolidated financial statements should be read in conjunction with the audited consolidated financial statements and the notes to those financial statements for the year ended December 31, 2025.</w:t>
      </w:r>
    </w:p>
    <w:p>
      <w:pPr>
        <w:spacing w:after="0" w:line="283" w:lineRule="exact"/>
        <w:rPr>
          <w:sz w:val="20"/>
          <w:szCs w:val="20"/>
          <w:color w:val="auto"/>
        </w:rPr>
      </w:pPr>
    </w:p>
    <w:p>
      <w:pPr>
        <w:ind w:right="7660" w:firstLine="8"/>
        <w:spacing w:after="0" w:line="370"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GAAP and include accounts of the Company and its wholly-owned subsidiaries. All significant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The Company recognizes revenue in accordance with Financial Accounting Standards Board (“FASB”) Accounting Standards Codification (“ASC”) Topic 606 - Revenue from Contracts with Customers (“ASC 606”). Revenue is recognized at a point in time when the customer obtains control of promised goods or services in an amount that reflects the consideration to which the entity expects to be entitled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20" w:firstLine="8"/>
        <w:spacing w:after="0" w:line="266"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 (iv) allocate the transaction price to the performance obligation(s) in the contract; and (v) recognize revenue when (or as) the Company satisfies its performance obligation(s).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 Net</w:t>
      </w:r>
    </w:p>
    <w:p>
      <w:pPr>
        <w:spacing w:after="0" w:line="108"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On March 14, 2024, the Company announced that the FDA granted accelerated approval of Rezdiffra (resmetirom) in conjunction with diet and exercise for the treatment of adults with noncirrhotic MASH with moderate to advanced liver fibrosis (consistent with stages F2 to F3 fibrosis). In addition, the Company commercially launched Rezdiffra in Germany in September 2025 following receipt of conditional marketing authorization from the EC. The Company enters into agreements with specialty pharmacies and specialty distributors (each a “Customer” and collectively the “Customers”) to sell Rezdiffra in the U.S. Revenues from product sales are recognized when the Customer obtains control of the Company’s product, which occurs at a point in time, typically upon delivery to the Customer.</w:t>
      </w:r>
    </w:p>
    <w:p>
      <w:pPr>
        <w:spacing w:after="0" w:line="18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Revenue is recorded net of variable consideration, which includes prompt pay discounts, returns, chargebacks, rebates and co-payment assistance. The variable consideration is estimated based on contractual terms as well as management assumptions and historical data. The amount of variable consideration is calculated by using the expected value method, which is the sum of probability-weighted amounts in a range of possible outcomes, or the most likely amount method, which is the single most likely amount in a range of possible outcomes. Estimates are reviewed quarterly and adjusted as necessary.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Accruals are established for gross to net deductions and actual amounts incurred are offset against applicable accruals. The Company reflects these accruals as either a reduction in the related account receivable from the customer or as a current liability, depending on the means by which the deduction is settled. Sales deductions are based on management’s estimates that involve a substantial degree of judgment.</w:t>
      </w:r>
    </w:p>
    <w:p>
      <w:pPr>
        <w:spacing w:after="0" w:line="175"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Prompt Pay</w:t>
      </w:r>
      <w:r>
        <w:rPr>
          <w:rFonts w:ascii="Times New Roman" w:cs="Times New Roman" w:eastAsia="Times New Roman" w:hAnsi="Times New Roman"/>
          <w:sz w:val="18"/>
          <w:szCs w:val="18"/>
          <w:color w:val="auto"/>
        </w:rPr>
        <w:t>: Customers receive a prompt pay discount for payments made within a contractually agreed number of days before the due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are accounted for as a reduction of the transaction price and recorded as a contra receivable.</w:t>
      </w:r>
    </w:p>
    <w:p>
      <w:pPr>
        <w:spacing w:after="0" w:line="159"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The Company records allowances for product returns as a reduction of revenue at the time product sales are recorded. Product returns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based on forecasted sales and historical and industry data. Returns are permitted in accordance with the return goods policy defined within each customer agreement. The returns reserve is recorded as an accrued liability.</w:t>
      </w:r>
    </w:p>
    <w:p>
      <w:pPr>
        <w:spacing w:after="0" w:line="18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estimates obligations resulting from contractual commitments with the government and other entities to sell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qualified healthcare providers at prices lower than the list price charged to the customer who directly purchases from the Company. The customer charges the Company for the difference between what it pays to the Company for the product and the selling price to the qualified healthcare providers, with the difference recorded as a contra receivable.</w:t>
      </w:r>
    </w:p>
    <w:p>
      <w:pPr>
        <w:spacing w:after="0" w:line="177"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Co-Payment Assistance</w:t>
      </w:r>
      <w:r>
        <w:rPr>
          <w:rFonts w:ascii="Times New Roman" w:cs="Times New Roman" w:eastAsia="Times New Roman" w:hAnsi="Times New Roman"/>
          <w:sz w:val="18"/>
          <w:szCs w:val="18"/>
          <w:color w:val="auto"/>
        </w:rPr>
        <w:t>: Co-payment assistance programs are offered to eligible end-users as price concessions and are recorded as accrued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and a reduction of the transaction price. The Company uses a third-party to administer the co-payment program for pharmacy benefit claims.</w:t>
      </w:r>
    </w:p>
    <w:p>
      <w:pPr>
        <w:spacing w:after="0" w:line="159"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Rebates</w:t>
      </w:r>
      <w:r>
        <w:rPr>
          <w:rFonts w:ascii="Times New Roman" w:cs="Times New Roman" w:eastAsia="Times New Roman" w:hAnsi="Times New Roman"/>
          <w:sz w:val="18"/>
          <w:szCs w:val="18"/>
          <w:color w:val="auto"/>
        </w:rPr>
        <w:t>: The Company’s rebates include amounts paid to Medicaid, Medicare, certain other payors and other rebate programs. Reserves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rebates are recorded in the same period the related product revenue is recognized, resulting in a reduction of product revenues and an accrued liability. The Company’s estimate for rebates is based on statutory or contractual discount rates, expected utilization or an estimated number of patients on treatment, as applicable.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 Net</w:t>
      </w:r>
    </w:p>
    <w:p>
      <w:pPr>
        <w:spacing w:after="0" w:line="94"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The Company's trade receivables relate to amounts due from Customers related to product sales and are recorded net of chargebacks, prompt pay discounts and other allowances. The Company assesses collectibility of overdue receivables and those determined to be uncollectible are written off. As of September 30, 2026, there were no receivables written off. No allowance for credit losses was recognized as of September 30, 2026 or December 31, 2025.</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debt instruments with an original maturity of three months or less to be cash equivalents. The carrying amount reported in the Company’s consolidated balance sheets for cash and cash equivalents approximates its fair value.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Marketable securities consist of available-for-sale debt securities that are presented as current assets in the Company’s consolidated balance sheets.</w:t>
      </w:r>
    </w:p>
    <w:p>
      <w:pPr>
        <w:spacing w:after="0" w:line="23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net. Realized gains and losses and declines in value, if any, that the Company judges to be the result of impairment or as a result of recognizing an allowance for credit losses on available-for-sale securities are reported as a component of interest income. To determine whether an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nine months ended September 30, 2026 and 2025, the Company determined it did not have any securities that were other-than-temporarily impaired.</w:t>
      </w:r>
    </w:p>
    <w:p>
      <w:pPr>
        <w:spacing w:after="0" w:line="18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nine months ended September 30, 2026 and 2025, realized gains and losses on marketable securities were not material to the consolidated financial statements.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19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12" w:lineRule="exact"/>
        <w:rPr>
          <w:sz w:val="20"/>
          <w:szCs w:val="20"/>
          <w:color w:val="auto"/>
        </w:rPr>
      </w:pPr>
    </w:p>
    <w:p>
      <w:pPr>
        <w:ind w:left="1100" w:right="120"/>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176" w:lineRule="exact"/>
        <w:rPr>
          <w:sz w:val="20"/>
          <w:szCs w:val="20"/>
          <w:color w:val="auto"/>
        </w:rPr>
      </w:pPr>
    </w:p>
    <w:p>
      <w:pPr>
        <w:ind w:left="1100" w:right="140"/>
        <w:spacing w:after="0" w:line="266"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77"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As of September 30, 2026,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nine months ended September 30, 2026 and 2025, the Company did not have any transfers of financial assets between Levels 1 and 2. As of September 30, 2026 and December 31, 2025, the Company did not have any financial liabilities that were recorded at fair value on a recurring basis on the balance sheet.</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10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Inventory, which consists of work-in-process and finished goods, is stated at the lower of cost or estimated net realizable value, using either actual or standard cost depending on the stage of inventory, based on a first-in, first-out method. The balance sheet classification of inventory as current or non-current is determined by whether the inventory will be consumed within the Company’s normal operating cycle. The Company analyzes its inventory levels quarterly and writes down inventory subject to expiry or in excess of expected requirements, or that has a cost basis in excess of its expected net realizable value. These write downs are charged to cost of sales in the accompanying Consolidated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The Company capitalizes inventory costs when future commercial sale in the ordinary course of business is probable.</w:t>
      </w:r>
    </w:p>
    <w:p>
      <w:pPr>
        <w:spacing w:after="0" w:line="212"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considered regulatory approval of its product candidate to be uncertain and product manufactured prior to regulatory approval could not have been sold unless regulatory approval was obtained. As such, the manufacturing costs incurred prior to regulatory approval were not capitalized as inventory, but rather were expensed as incurred as research and development expenses. The Company began capitalizing inventory in March 2024 after FDA accelerated approval was granted for Rezdiffra.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w:t>
      </w:r>
    </w:p>
    <w:p>
      <w:pPr>
        <w:spacing w:after="0" w:line="1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Cost of sales includes the cost of manufacturing and distribution of inventory related to sales of Rezdiffra, including salaries, benefits and stock-based compensation expense for employees dedicated to the production of Rezdiffra. Cost of sales also includes royalties payable to F. Hoffmann-La Roche AG (“Roche”) based on net sales of Rezdiffra. The Company estimates its annual royalty obligation and recognizes its related cost of sales at an estimated blended royalty rate each quarterly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cash compensation and stock-based compensation paid to research and development employees), costs for consultants, upfront and milestone payments under licensing agreements, and other costs associated with the Company’s preclinical and clinical programs. In particular, the Company has conducted safety studies in animals, optimized and implemented the manufacturing of its product candidates and conducted clinical trials, all of which are considered research and development expenditures. Management uses significant judgment in estimating the amount of research and development costs recognized in each reporting period. Management analyzes and estimates the progress of its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for employees other than research and development employees and employees dedicated to the production of Rezdiffra, management costs, costs associated with obtaining and maintaining our patent portfolio, commercial and marketing activities, advertising, professional fees for accounting, auditing, consulting and legal services and allocated overhead expenses.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All leases are classified as operating leases. Lease assets represent the right to use an underlying asset for the lease term and lease liabilities represent an obligation to make lease payments arising from the leasing arrangement. Operating lease assets and liabilities are recognized at commencement date based on the present value of lease payments over the lease term. When an implicit rate is not readily determinable, an incremental borrowing rate is estimated based on information available at commencement. Lease expense is recognized on a straight-line basis over the lease term. Short-term leases of 12 months or less at commencement date are expensed as incurred.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08"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selling, general and administrative expense in the Company’s consolidated statements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108"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Intangible assets with finite lives consist of regulatory approval milestones, which are amortized to cost of sales over their estimated useful lives using the straight-line method. Intangible assets are tested for recoverability whenever events or changes in circumstances indicate that the carrying amounts may not be recoverable.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restricted stock units, and other stock-based compensation awards granted to employees, officers, directors, and consultants. Awards that vest as the recipient provides service are expensed on a straight-line basis over the requisite service period.</w:t>
      </w:r>
    </w:p>
    <w:p>
      <w:pPr>
        <w:spacing w:after="0" w:line="169"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determine the grant date fair value of stock options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For the period ended September 30, 2026, the Company used the expected term based on historical Company exercise data for employee stock options and the simplified method for non-employee stock options. Expected volatility is based upon an industry estimate, the Company’s historical trading activity, or a blended rate of the two.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7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For other stock-based compensation awards granted to employees and directors that vest based on market conditions, such as the trading price of the Company’s common stock achieving or exceeding certain price targets or the Company’s total shareholder return relative to that of a defined peer group, the Company uses a Monte Carlo simulation model to estimate the grant date fair value and recognize stock compensation expense over the derived service period. The Monte Carlo simulation model requires key inputs for risk-free interest rate, dividend yield, volatility, and expected life.</w:t>
      </w:r>
    </w:p>
    <w:p>
      <w:pPr>
        <w:spacing w:after="0" w:line="177"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assumptions used in computing the fair value of equity awards reflect the Company’s best estimates but involve uncertainties related to market and other conditions. Changes in any of these assumptions may materially affect the fair value of awards granted and the amount of stock-based compensation recognized.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which prescribes the use of the liability method where deferred tax asset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their estimated realizable value if it is more likely than not that a portion or all of the deferred tax assets will not be realized based on the weight of available positive and negative evidence. The Company currently maintains a 100% valuation allowance on its deferred tax assets.</w:t>
      </w:r>
    </w:p>
    <w:p>
      <w:pPr>
        <w:spacing w:after="0" w:line="195"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recognizes the financial statement effects of a tax position when it is more likely than not (a likelihood of greater than 50%) that the position will be sustained upon examination by the relevant taxing authority, based on the technical merits of the position. Uncertain tax positions are recorded based upon certain recognition and measurement criteria. The Company re-evaluates uncertain tax positions at each reporting date and considers all available information, including, but not limited to, changes in tax laws or regulations, developments in case law, changes in the expected timing or outcome of audits, settlements with taxing authorities, and changes in facts or circumstances related to a particular tax position. Adjustments to recognized tax positions are recorded in the period in which new information becomes available. Interest and penalties related to unrecognized tax benefits are recognized as a component of income tax expense in the Company’s consolidated statements of operations.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108" w:lineRule="exact"/>
        <w:rPr>
          <w:sz w:val="20"/>
          <w:szCs w:val="20"/>
          <w:color w:val="auto"/>
        </w:rPr>
      </w:pPr>
    </w:p>
    <w:p>
      <w:pPr>
        <w:jc w:val="both"/>
        <w:ind w:right="280" w:firstLine="648"/>
        <w:spacing w:after="0" w:line="258"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The difference between the Company’s net income (loss) and comprehensive income (loss) includes changes in unrealized gains and losses on marketable securities and foreign currency translation adjustments.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Except as noted below, the Company believes that the impact of recently issued standards that are not yet effective will not have a material impact on its condensed consolidated financial statements and disclosures.</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The Company is currently evaluating the impact of ASU 2024-03 on its consolidated financial statements.</w:t>
      </w:r>
    </w:p>
    <w:p>
      <w:pPr>
        <w:spacing w:after="0" w:line="190"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w:t>
      </w:r>
      <w:r>
        <w:rPr>
          <w:rFonts w:ascii="Times New Roman" w:cs="Times New Roman" w:eastAsia="Times New Roman" w:hAnsi="Times New Roman"/>
          <w:sz w:val="18"/>
          <w:szCs w:val="18"/>
          <w:color w:val="auto"/>
        </w:rPr>
        <w:t>, which clarifies and reorganizes interim reporting disclosure requirements and introduces a principle requiring disclosure of material events and transactions occurring since the end of the prior annual reporting period. The standard is effective for annual reporting periods beginning after December 15, 2027, including interim periods within those annual reporting periods. Early adoption is permitted. The Company is currently evaluating the impact the adoption of ASU 2025-11 will have on its interim financial statement disclosures and does not expect the adoption to have a material impact on its consolidated financial statements.</w:t>
      </w:r>
    </w:p>
    <w:p>
      <w:pPr>
        <w:spacing w:after="0" w:line="177" w:lineRule="exact"/>
        <w:rPr>
          <w:sz w:val="20"/>
          <w:szCs w:val="20"/>
          <w:color w:val="auto"/>
        </w:rPr>
      </w:pPr>
    </w:p>
    <w:p>
      <w:pPr>
        <w:ind w:right="200"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provides technical corrections and clarifications across multiple Accounting Standards Codification topics, including guidance related to diluted earnings per share under ASC 260. The standard is effective for annual reporting periods beginning after December 15, 2026, with certain amendments also applying to interim periods within those annual reporting periods. Early adoption is permitted for individual amendments. The Company is currently evaluating the impact the adoption of ASU 2025-12 will have on its consolidated financial statements and does not expect the adoption to have a material impact on its consolidated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08"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and early commercial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applicable regulations. Although the Company generated net income of $55.4 million for the three months ended September 30, 2026, the Company has incurred losses since inception, including approximately $96.9 million for the nine months ended September 30, 2026, resulting in an accumulated deficit of approximately $2,187.4 million as of September 30, 2026. The Company may experience significant fluctuations in its operating results on a quarterly basis, including incurring net losses in future periods, and its ability to achieve and maintain consistent profitability will depend, in part, on its ability to generate sufficient revenue from Rezdiffra and any other products, if approved, to offset its costs and expenses.</w:t>
      </w:r>
    </w:p>
    <w:p>
      <w:pPr>
        <w:spacing w:after="0" w:line="77"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Company has historically funded its operations primarily through proceeds from sales of the Company’s capital stock and debt financings. In July 2025, the Company entered into a senior secured credit facility that provides up to $500.0 million. See Note 8 “Long Term Debt” for additional details. Following FDA and EC approval, the Company generates revenue from sales of Rezdiffra. The Company believes that its cash, cash equivalents and marketable securities at September 30, 2026 will be sufficient to fund operations past one year from the issuance of these financial statements. The Company’s future long-term liquidity requirements will be substantial and will depend on many factors, including the Company’s ability to effectively commercialize Rezdiffra, the Company’s decisions regarding future geographic expansion, the conduct of any future preclinical studies and clinical trials, the Company entering into any strategic transactions, the Company’s ability to maintain compliance with the liquidity covenant in the Financing Agreement (as defined in Note 8) and potential milestone payments payable pursuant to its license agreements. To meet its future capital needs, the Company may need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if at all, could have a material adverse effect on the Company’s business, results of operations and financial condition. The Company has the ability to delay certain commercial activities, geographic expansion activities, and certain research activities and related clinical expenses if necessary due to liquidity concerns until a date when those concerns are relieved.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Product Revenue, Net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balances and activity for gross to net reserves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Provision related to sales in the current year</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Adjustments related to prior year sales</w:t>
      </w:r>
    </w:p>
    <w:p>
      <w:pPr>
        <w:spacing w:after="0" w:line="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Payments and customer credits issued</w:t>
      </w:r>
    </w:p>
    <w:p>
      <w:pPr>
        <w:spacing w:after="0" w:line="10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Balance at September 30,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of Credit Risk and Significant Customers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Chargebacks, Discounts</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Rebates, Co-Pay</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8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 Prompt Pay and Other</w:t>
            </w:r>
          </w:p>
        </w:tc>
        <w:tc>
          <w:tcPr>
            <w:tcW w:w="180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Assistance, Returns, and</w:t>
            </w:r>
          </w:p>
        </w:tc>
        <w:tc>
          <w:tcPr>
            <w:tcW w:w="400" w:type="dxa"/>
            <w:vAlign w:val="bottom"/>
          </w:tcPr>
          <w:p>
            <w:pPr>
              <w:spacing w:after="0"/>
              <w:rPr>
                <w:sz w:val="13"/>
                <w:szCs w:val="13"/>
                <w:color w:val="auto"/>
              </w:rPr>
            </w:pPr>
          </w:p>
        </w:tc>
        <w:tc>
          <w:tcPr>
            <w:tcW w:w="132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2"/>
                <w:szCs w:val="22"/>
                <w:color w:val="auto"/>
              </w:rPr>
            </w:pPr>
          </w:p>
        </w:tc>
        <w:tc>
          <w:tcPr>
            <w:tcW w:w="22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90,504</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99,342</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128,225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549,431</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0" w:type="dxa"/>
            <w:vAlign w:val="bottom"/>
          </w:tcPr>
          <w:p>
            <w:pPr>
              <w:spacing w:after="0"/>
              <w:rPr>
                <w:sz w:val="1"/>
                <w:szCs w:val="1"/>
                <w:color w:val="auto"/>
              </w:rPr>
            </w:pPr>
          </w:p>
        </w:tc>
      </w:tr>
      <w:tr>
        <w:trPr>
          <w:trHeight w:val="277"/>
        </w:trPr>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(106,375)</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(328,731)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(435,106)</w:t>
            </w:r>
          </w:p>
        </w:tc>
        <w:tc>
          <w:tcPr>
            <w:tcW w:w="0" w:type="dxa"/>
            <w:vAlign w:val="bottom"/>
          </w:tcPr>
          <w:p>
            <w:pPr>
              <w:spacing w:after="0"/>
              <w:rPr>
                <w:sz w:val="1"/>
                <w:szCs w:val="1"/>
                <w:color w:val="auto"/>
              </w:rPr>
            </w:pPr>
          </w:p>
        </w:tc>
      </w:tr>
      <w:tr>
        <w:trPr>
          <w:trHeight w:val="264"/>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28,239</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180,092</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208,331</w:t>
            </w:r>
          </w:p>
        </w:tc>
        <w:tc>
          <w:tcPr>
            <w:tcW w:w="0" w:type="dxa"/>
            <w:vAlign w:val="bottom"/>
          </w:tcPr>
          <w:p>
            <w:pPr>
              <w:spacing w:after="0"/>
              <w:rPr>
                <w:sz w:val="1"/>
                <w:szCs w:val="1"/>
                <w:color w:val="auto"/>
              </w:rPr>
            </w:pPr>
          </w:p>
        </w:tc>
      </w:tr>
      <w:tr>
        <w:trPr>
          <w:trHeight w:val="27"/>
        </w:trPr>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-908050</wp:posOffset>
            </wp:positionV>
            <wp:extent cx="613791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7910" cy="1797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-556895</wp:posOffset>
            </wp:positionV>
            <wp:extent cx="613791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7910" cy="17145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-213995</wp:posOffset>
            </wp:positionV>
            <wp:extent cx="613791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7910" cy="197485"/>
                    </a:xfrm>
                    <a:prstGeom prst="rect">
                      <a:avLst/>
                    </a:prstGeom>
                    <a:noFill/>
                  </pic:spPr>
                </pic:pic>
              </a:graphicData>
            </a:graphic>
          </wp:anchor>
        </w:drawing>
      </w:r>
    </w:p>
    <w:p>
      <w:pPr>
        <w:spacing w:after="0" w:line="697" w:lineRule="exact"/>
        <w:rPr>
          <w:sz w:val="20"/>
          <w:szCs w:val="20"/>
          <w:color w:val="auto"/>
        </w:rPr>
      </w:pPr>
    </w:p>
    <w:p>
      <w:pPr>
        <w:sectPr>
          <w:pgSz w:w="11900" w:h="16838" w:orient="portrait"/>
          <w:cols w:equalWidth="0" w:num="2">
            <w:col w:w="4400" w:space="720"/>
            <w:col w:w="6120"/>
          </w:cols>
          <w:pgMar w:left="320" w:top="117" w:right="339" w:bottom="1440" w:gutter="0" w:footer="0" w:header="0"/>
          <w:type w:val="continuous"/>
        </w:sect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a small number of large, reputable customers. The following customers accounted for over 10% of total gross product revenue during the three and nine months ended September 30,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96"/>
        </w:trPr>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Borders>
              <w:bottom w:val="single" w:sz="8" w:color="auto"/>
            </w:tcBorders>
            <w:gridSpan w:val="3"/>
          </w:tcPr>
          <w:p>
            <w:pPr>
              <w:ind w:left="1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7"/>
                <w:szCs w:val="17"/>
                <w:color w:val="auto"/>
              </w:rPr>
            </w:pPr>
          </w:p>
        </w:tc>
        <w:tc>
          <w:tcPr>
            <w:tcW w:w="700" w:type="dxa"/>
            <w:vAlign w:val="bottom"/>
          </w:tcPr>
          <w:p>
            <w:pPr>
              <w:spacing w:after="0"/>
              <w:rPr>
                <w:sz w:val="17"/>
                <w:szCs w:val="17"/>
                <w:color w:val="auto"/>
              </w:rPr>
            </w:pPr>
          </w:p>
        </w:tc>
      </w:tr>
      <w:tr>
        <w:trPr>
          <w:trHeight w:val="206"/>
        </w:trPr>
        <w:tc>
          <w:tcPr>
            <w:tcW w:w="40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7"/>
                <w:szCs w:val="17"/>
                <w:color w:val="auto"/>
              </w:rPr>
            </w:pPr>
          </w:p>
        </w:tc>
      </w:tr>
      <w:tr>
        <w:trPr>
          <w:trHeight w:val="23"/>
        </w:trPr>
        <w:tc>
          <w:tcPr>
            <w:tcW w:w="1380" w:type="dxa"/>
            <w:vAlign w:val="bottom"/>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1380" w:type="dxa"/>
            <w:vAlign w:val="bottom"/>
          </w:tcPr>
          <w:p>
            <w:pPr>
              <w:spacing w:after="0"/>
              <w:rPr>
                <w:sz w:val="22"/>
                <w:szCs w:val="22"/>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700" w:type="dxa"/>
            <w:vAlign w:val="bottom"/>
          </w:tcPr>
          <w:p>
            <w:pPr>
              <w:spacing w:after="0"/>
              <w:rPr>
                <w:sz w:val="22"/>
                <w:szCs w:val="22"/>
                <w:color w:val="auto"/>
              </w:rPr>
            </w:pPr>
          </w:p>
        </w:tc>
      </w:tr>
      <w:tr>
        <w:trPr>
          <w:trHeight w:val="243"/>
        </w:trPr>
        <w:tc>
          <w:tcPr>
            <w:tcW w:w="1380" w:type="dxa"/>
            <w:vAlign w:val="bottom"/>
          </w:tcPr>
          <w:p>
            <w:pPr>
              <w:spacing w:after="0"/>
              <w:rPr>
                <w:sz w:val="21"/>
                <w:szCs w:val="21"/>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700" w:type="dxa"/>
            <w:vAlign w:val="bottom"/>
          </w:tcPr>
          <w:p>
            <w:pPr>
              <w:spacing w:after="0"/>
              <w:rPr>
                <w:sz w:val="21"/>
                <w:szCs w:val="21"/>
                <w:color w:val="auto"/>
              </w:rPr>
            </w:pPr>
          </w:p>
        </w:tc>
      </w:tr>
      <w:tr>
        <w:trPr>
          <w:trHeight w:val="243"/>
        </w:trPr>
        <w:tc>
          <w:tcPr>
            <w:tcW w:w="1380" w:type="dxa"/>
            <w:vAlign w:val="bottom"/>
          </w:tcPr>
          <w:p>
            <w:pPr>
              <w:spacing w:after="0"/>
              <w:rPr>
                <w:sz w:val="21"/>
                <w:szCs w:val="21"/>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700" w:type="dxa"/>
            <w:vAlign w:val="bottom"/>
          </w:tcPr>
          <w:p>
            <w:pPr>
              <w:spacing w:after="0"/>
              <w:rPr>
                <w:sz w:val="21"/>
                <w:szCs w:val="21"/>
                <w:color w:val="auto"/>
              </w:rPr>
            </w:pPr>
          </w:p>
        </w:tc>
      </w:tr>
      <w:tr>
        <w:trPr>
          <w:trHeight w:val="270"/>
        </w:trPr>
        <w:tc>
          <w:tcPr>
            <w:tcW w:w="1380" w:type="dxa"/>
            <w:vAlign w:val="bottom"/>
          </w:tcPr>
          <w:p>
            <w:pPr>
              <w:spacing w:after="0"/>
              <w:rPr>
                <w:sz w:val="23"/>
                <w:szCs w:val="23"/>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3"/>
                <w:szCs w:val="23"/>
                <w:color w:val="auto"/>
              </w:rPr>
            </w:pPr>
          </w:p>
        </w:tc>
        <w:tc>
          <w:tcPr>
            <w:tcW w:w="18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700" w:type="dxa"/>
            <w:vAlign w:val="bottom"/>
          </w:tcPr>
          <w:p>
            <w:pPr>
              <w:spacing w:after="0"/>
              <w:rPr>
                <w:sz w:val="23"/>
                <w:szCs w:val="23"/>
                <w:color w:val="auto"/>
              </w:rPr>
            </w:pPr>
          </w:p>
        </w:tc>
      </w:tr>
      <w:tr>
        <w:trPr>
          <w:trHeight w:val="243"/>
        </w:trPr>
        <w:tc>
          <w:tcPr>
            <w:tcW w:w="1380" w:type="dxa"/>
            <w:vAlign w:val="bottom"/>
          </w:tcPr>
          <w:p>
            <w:pPr>
              <w:spacing w:after="0"/>
              <w:rPr>
                <w:sz w:val="21"/>
                <w:szCs w:val="21"/>
                <w:color w:val="auto"/>
              </w:rPr>
            </w:pPr>
          </w:p>
        </w:tc>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700" w:type="dxa"/>
            <w:vAlign w:val="bottom"/>
          </w:tcPr>
          <w:p>
            <w:pPr>
              <w:spacing w:after="0"/>
              <w:rPr>
                <w:sz w:val="21"/>
                <w:szCs w:val="21"/>
                <w:color w:val="auto"/>
              </w:rPr>
            </w:pPr>
          </w:p>
        </w:tc>
      </w:tr>
      <w:tr>
        <w:trPr>
          <w:trHeight w:val="905"/>
        </w:trPr>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1"/>
        </w:trPr>
        <w:tc>
          <w:tcPr>
            <w:tcW w:w="138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Cash, Cash Equivalents, Restricted Cash and Marketable Securities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held restricted cash of $0.8 million and $5.1 million as of September 30, 2026 and December 31, 2025, respectively, predominantly as collateral to its corporate credit card program.</w:t>
      </w:r>
    </w:p>
    <w:p>
      <w:pPr>
        <w:spacing w:after="0" w:line="14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summary of cash, cash equivalents, restricted cash and available-for-sale marketable securities held by the Company as of September 30, 2026 and December 31, 2025 is as follows (in thousands):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0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
        </w:trPr>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1"/>
        </w:trPr>
        <w:tc>
          <w:tcPr>
            <w:tcW w:w="1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10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(Level 1)</w:t>
            </w:r>
          </w:p>
        </w:tc>
        <w:tc>
          <w:tcPr>
            <w:tcW w:w="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134,309</w:t>
            </w:r>
          </w:p>
        </w:tc>
        <w:tc>
          <w:tcPr>
            <w:tcW w:w="100" w:type="dxa"/>
            <w:vAlign w:val="bottom"/>
          </w:tcPr>
          <w:p>
            <w:pPr>
              <w:spacing w:after="0"/>
              <w:rPr>
                <w:sz w:val="22"/>
                <w:szCs w:val="22"/>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134,309</w:t>
            </w:r>
          </w:p>
        </w:tc>
        <w:tc>
          <w:tcPr>
            <w:tcW w:w="100" w:type="dxa"/>
            <w:vAlign w:val="bottom"/>
          </w:tcPr>
          <w:p>
            <w:pPr>
              <w:spacing w:after="0"/>
              <w:rPr>
                <w:sz w:val="22"/>
                <w:szCs w:val="22"/>
                <w:color w:val="auto"/>
              </w:rPr>
            </w:pPr>
          </w:p>
        </w:tc>
      </w:tr>
      <w:tr>
        <w:trPr>
          <w:trHeight w:val="277"/>
        </w:trPr>
        <w:tc>
          <w:tcPr>
            <w:tcW w:w="100" w:type="dxa"/>
            <w:vAlign w:val="bottom"/>
            <w:shd w:val="clear" w:color="auto" w:fill="CCEEFF"/>
          </w:tcPr>
          <w:p>
            <w:pPr>
              <w:spacing w:after="0"/>
              <w:rPr>
                <w:sz w:val="24"/>
                <w:szCs w:val="24"/>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214,749</w:t>
            </w:r>
          </w:p>
        </w:tc>
        <w:tc>
          <w:tcPr>
            <w:tcW w:w="100" w:type="dxa"/>
            <w:vAlign w:val="bottom"/>
          </w:tcPr>
          <w:p>
            <w:pPr>
              <w:spacing w:after="0"/>
              <w:rPr>
                <w:sz w:val="24"/>
                <w:szCs w:val="24"/>
                <w:color w:val="auto"/>
              </w:rPr>
            </w:pPr>
          </w:p>
        </w:tc>
      </w:tr>
      <w:tr>
        <w:trPr>
          <w:trHeight w:val="225"/>
        </w:trPr>
        <w:tc>
          <w:tcPr>
            <w:tcW w:w="10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government sponsored entity (GSE)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10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40,766</w:t>
            </w:r>
          </w:p>
        </w:tc>
        <w:tc>
          <w:tcPr>
            <w:tcW w:w="100" w:type="dxa"/>
            <w:vAlign w:val="bottom"/>
          </w:tcPr>
          <w:p>
            <w:pPr>
              <w:spacing w:after="0"/>
              <w:rPr>
                <w:sz w:val="20"/>
                <w:szCs w:val="20"/>
                <w:color w:val="auto"/>
              </w:rPr>
            </w:pPr>
          </w:p>
        </w:tc>
      </w:tr>
      <w:tr>
        <w:trPr>
          <w:trHeight w:val="231"/>
        </w:trPr>
        <w:tc>
          <w:tcPr>
            <w:tcW w:w="100" w:type="dxa"/>
            <w:vAlign w:val="bottom"/>
            <w:shd w:val="clear" w:color="auto" w:fill="CCEEFF"/>
          </w:tcPr>
          <w:p>
            <w:pPr>
              <w:spacing w:after="0"/>
              <w:rPr>
                <w:sz w:val="20"/>
                <w:szCs w:val="20"/>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 with original maturities of 3 months or less</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100" w:type="dxa"/>
            <w:vAlign w:val="bottom"/>
            <w:shd w:val="clear" w:color="auto" w:fill="CCEEFF"/>
          </w:tcPr>
          <w:p>
            <w:pPr>
              <w:spacing w:after="0"/>
              <w:rPr>
                <w:sz w:val="21"/>
                <w:szCs w:val="21"/>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125,623</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125,623</w:t>
            </w:r>
          </w:p>
        </w:tc>
        <w:tc>
          <w:tcPr>
            <w:tcW w:w="100" w:type="dxa"/>
            <w:vAlign w:val="bottom"/>
          </w:tcPr>
          <w:p>
            <w:pPr>
              <w:spacing w:after="0"/>
              <w:rPr>
                <w:sz w:val="21"/>
                <w:szCs w:val="21"/>
                <w:color w:val="auto"/>
              </w:rPr>
            </w:pPr>
          </w:p>
        </w:tc>
      </w:tr>
      <w:tr>
        <w:trPr>
          <w:trHeight w:val="257"/>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515,447</w:t>
            </w:r>
          </w:p>
        </w:tc>
        <w:tc>
          <w:tcPr>
            <w:tcW w:w="100" w:type="dxa"/>
            <w:vAlign w:val="bottom"/>
          </w:tcPr>
          <w:p>
            <w:pPr>
              <w:spacing w:after="0"/>
              <w:rPr>
                <w:sz w:val="22"/>
                <w:szCs w:val="22"/>
                <w:color w:val="auto"/>
              </w:rPr>
            </w:pPr>
          </w:p>
        </w:tc>
      </w:tr>
      <w:tr>
        <w:trPr>
          <w:trHeight w:val="277"/>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10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 with original maturities of 1 year or less (Level</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138,964</w:t>
            </w:r>
          </w:p>
        </w:tc>
        <w:tc>
          <w:tcPr>
            <w:tcW w:w="100" w:type="dxa"/>
            <w:vAlign w:val="bottom"/>
          </w:tcPr>
          <w:p>
            <w:pPr>
              <w:spacing w:after="0"/>
              <w:rPr>
                <w:sz w:val="20"/>
                <w:szCs w:val="20"/>
                <w:color w:val="auto"/>
              </w:rPr>
            </w:pPr>
          </w:p>
        </w:tc>
      </w:tr>
      <w:tr>
        <w:trPr>
          <w:trHeight w:val="231"/>
        </w:trPr>
        <w:tc>
          <w:tcPr>
            <w:tcW w:w="100" w:type="dxa"/>
            <w:vAlign w:val="bottom"/>
            <w:shd w:val="clear" w:color="auto" w:fill="CCEEFF"/>
          </w:tcPr>
          <w:p>
            <w:pPr>
              <w:spacing w:after="0"/>
              <w:rPr>
                <w:sz w:val="20"/>
                <w:szCs w:val="20"/>
                <w:color w:val="auto"/>
              </w:rPr>
            </w:pPr>
          </w:p>
        </w:tc>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and GSE securities with original maturities of 1 year or</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100" w:type="dxa"/>
            <w:vAlign w:val="bottom"/>
            <w:shd w:val="clear" w:color="auto" w:fill="CCEEFF"/>
          </w:tcPr>
          <w:p>
            <w:pPr>
              <w:spacing w:after="0"/>
              <w:rPr>
                <w:sz w:val="21"/>
                <w:szCs w:val="21"/>
                <w:color w:val="auto"/>
              </w:rPr>
            </w:pPr>
          </w:p>
        </w:tc>
        <w:tc>
          <w:tcPr>
            <w:tcW w:w="5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(Level 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237,504</w:t>
            </w:r>
          </w:p>
        </w:tc>
        <w:tc>
          <w:tcPr>
            <w:tcW w:w="10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and GSE securities with original maturities of 1 to 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100" w:type="dxa"/>
            <w:vAlign w:val="bottom"/>
          </w:tcPr>
          <w:p>
            <w:pPr>
              <w:spacing w:after="0"/>
              <w:rPr>
                <w:sz w:val="20"/>
                <w:szCs w:val="20"/>
                <w:color w:val="auto"/>
              </w:rPr>
            </w:pPr>
          </w:p>
        </w:tc>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years (Level 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69,856</w:t>
            </w:r>
          </w:p>
        </w:tc>
        <w:tc>
          <w:tcPr>
            <w:tcW w:w="100" w:type="dxa"/>
            <w:vAlign w:val="bottom"/>
          </w:tcPr>
          <w:p>
            <w:pPr>
              <w:spacing w:after="0"/>
              <w:rPr>
                <w:sz w:val="20"/>
                <w:szCs w:val="20"/>
                <w:color w:val="auto"/>
              </w:rPr>
            </w:pPr>
          </w:p>
        </w:tc>
      </w:tr>
      <w:tr>
        <w:trPr>
          <w:trHeight w:val="288"/>
        </w:trPr>
        <w:tc>
          <w:tcPr>
            <w:tcW w:w="5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34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963,188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961,771</w:t>
            </w:r>
          </w:p>
        </w:tc>
        <w:tc>
          <w:tcPr>
            <w:tcW w:w="100" w:type="dxa"/>
            <w:vAlign w:val="bottom"/>
          </w:tcPr>
          <w:p>
            <w:pPr>
              <w:spacing w:after="0"/>
              <w:rPr>
                <w:sz w:val="24"/>
                <w:szCs w:val="24"/>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4"/>
        </w:trPr>
        <w:tc>
          <w:tcPr>
            <w:tcW w:w="1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171"/>
        </w:trPr>
        <w:tc>
          <w:tcPr>
            <w:tcW w:w="10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204"/>
        </w:trPr>
        <w:tc>
          <w:tcPr>
            <w:tcW w:w="1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100" w:type="dxa"/>
            <w:vAlign w:val="bottom"/>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63"/>
        </w:trPr>
        <w:tc>
          <w:tcPr>
            <w:tcW w:w="100" w:type="dxa"/>
            <w:vAlign w:val="bottom"/>
          </w:tcPr>
          <w:p>
            <w:pPr>
              <w:spacing w:after="0"/>
              <w:rPr>
                <w:sz w:val="22"/>
                <w:szCs w:val="22"/>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(Level 1)</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109,708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109,708</w:t>
            </w:r>
          </w:p>
        </w:tc>
      </w:tr>
      <w:tr>
        <w:trPr>
          <w:trHeight w:val="277"/>
        </w:trPr>
        <w:tc>
          <w:tcPr>
            <w:tcW w:w="100" w:type="dxa"/>
            <w:vAlign w:val="bottom"/>
          </w:tcPr>
          <w:p>
            <w:pPr>
              <w:spacing w:after="0"/>
              <w:rPr>
                <w:sz w:val="24"/>
                <w:szCs w:val="24"/>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50,211</w:t>
            </w:r>
          </w:p>
        </w:tc>
      </w:tr>
      <w:tr>
        <w:trPr>
          <w:trHeight w:val="225"/>
        </w:trPr>
        <w:tc>
          <w:tcPr>
            <w:tcW w:w="10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government-sponsored entity (GSE) securities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100" w:type="dxa"/>
            <w:vAlign w:val="bottom"/>
          </w:tcPr>
          <w:p>
            <w:pPr>
              <w:spacing w:after="0"/>
              <w:rPr>
                <w:sz w:val="20"/>
                <w:szCs w:val="20"/>
                <w:color w:val="auto"/>
              </w:rPr>
            </w:pPr>
          </w:p>
        </w:tc>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(Level 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9,129</w:t>
            </w:r>
          </w:p>
        </w:tc>
      </w:tr>
      <w:tr>
        <w:trPr>
          <w:trHeight w:val="231"/>
        </w:trPr>
        <w:tc>
          <w:tcPr>
            <w:tcW w:w="100" w:type="dxa"/>
            <w:vAlign w:val="bottom"/>
          </w:tcPr>
          <w:p>
            <w:pPr>
              <w:spacing w:after="0"/>
              <w:rPr>
                <w:sz w:val="20"/>
                <w:szCs w:val="20"/>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with original maturities of 3 months or less</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8"/>
        </w:trPr>
        <w:tc>
          <w:tcPr>
            <w:tcW w:w="100" w:type="dxa"/>
            <w:vAlign w:val="bottom"/>
          </w:tcPr>
          <w:p>
            <w:pPr>
              <w:spacing w:after="0"/>
              <w:rPr>
                <w:sz w:val="21"/>
                <w:szCs w:val="21"/>
                <w:color w:val="auto"/>
              </w:rPr>
            </w:pPr>
          </w:p>
        </w:tc>
        <w:tc>
          <w:tcPr>
            <w:tcW w:w="5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(Level 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34,735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34,735</w:t>
            </w:r>
          </w:p>
        </w:tc>
      </w:tr>
      <w:tr>
        <w:trPr>
          <w:trHeight w:val="257"/>
        </w:trPr>
        <w:tc>
          <w:tcPr>
            <w:tcW w:w="10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203,783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203,783</w:t>
            </w:r>
          </w:p>
        </w:tc>
      </w:tr>
      <w:tr>
        <w:trPr>
          <w:trHeight w:val="277"/>
        </w:trPr>
        <w:tc>
          <w:tcPr>
            <w:tcW w:w="100" w:type="dxa"/>
            <w:vAlign w:val="bottom"/>
          </w:tcPr>
          <w:p>
            <w:pPr>
              <w:spacing w:after="0"/>
              <w:rPr>
                <w:sz w:val="24"/>
                <w:szCs w:val="24"/>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25"/>
        </w:trPr>
        <w:tc>
          <w:tcPr>
            <w:tcW w:w="10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 with original maturities of 1 year or less (Level</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372,096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372,258</w:t>
            </w:r>
          </w:p>
        </w:tc>
      </w:tr>
      <w:tr>
        <w:trPr>
          <w:trHeight w:val="231"/>
        </w:trPr>
        <w:tc>
          <w:tcPr>
            <w:tcW w:w="100" w:type="dxa"/>
            <w:vAlign w:val="bottom"/>
          </w:tcPr>
          <w:p>
            <w:pPr>
              <w:spacing w:after="0"/>
              <w:rPr>
                <w:sz w:val="20"/>
                <w:szCs w:val="20"/>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government and GSE securities with original maturities of 1 year or</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8"/>
        </w:trPr>
        <w:tc>
          <w:tcPr>
            <w:tcW w:w="100" w:type="dxa"/>
            <w:vAlign w:val="bottom"/>
          </w:tcPr>
          <w:p>
            <w:pPr>
              <w:spacing w:after="0"/>
              <w:rPr>
                <w:sz w:val="21"/>
                <w:szCs w:val="21"/>
                <w:color w:val="auto"/>
              </w:rPr>
            </w:pPr>
          </w:p>
        </w:tc>
        <w:tc>
          <w:tcPr>
            <w:tcW w:w="54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(Level 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298,007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298,466</w:t>
            </w:r>
          </w:p>
        </w:tc>
      </w:tr>
      <w:tr>
        <w:trPr>
          <w:trHeight w:val="225"/>
        </w:trPr>
        <w:tc>
          <w:tcPr>
            <w:tcW w:w="10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government and GSE securities with original maturities of 1 to 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100" w:type="dxa"/>
            <w:vAlign w:val="bottom"/>
          </w:tcPr>
          <w:p>
            <w:pPr>
              <w:spacing w:after="0"/>
              <w:rPr>
                <w:sz w:val="20"/>
                <w:szCs w:val="20"/>
                <w:color w:val="auto"/>
              </w:rPr>
            </w:pPr>
          </w:p>
        </w:tc>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years (Level 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91,936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92,147</w:t>
            </w:r>
          </w:p>
        </w:tc>
      </w:tr>
      <w:tr>
        <w:trPr>
          <w:trHeight w:val="277"/>
        </w:trPr>
        <w:tc>
          <w:tcPr>
            <w:tcW w:w="100" w:type="dxa"/>
            <w:vAlign w:val="bottom"/>
          </w:tcPr>
          <w:p>
            <w:pPr>
              <w:spacing w:after="0"/>
              <w:rPr>
                <w:sz w:val="24"/>
                <w:szCs w:val="24"/>
                <w:color w:val="auto"/>
              </w:rPr>
            </w:pPr>
          </w:p>
        </w:tc>
        <w:tc>
          <w:tcPr>
            <w:tcW w:w="5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debt securities with original maturities of 1 to 2 years (Level 2)</w:t>
            </w:r>
          </w:p>
        </w:tc>
        <w:tc>
          <w:tcPr>
            <w:tcW w:w="8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21,968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21,995</w:t>
            </w:r>
          </w:p>
        </w:tc>
      </w:tr>
      <w:tr>
        <w:trPr>
          <w:trHeight w:val="257"/>
        </w:trPr>
        <w:tc>
          <w:tcPr>
            <w:tcW w:w="100" w:type="dxa"/>
            <w:vAlign w:val="bottom"/>
          </w:tcPr>
          <w:p>
            <w:pPr>
              <w:spacing w:after="0"/>
              <w:rPr>
                <w:sz w:val="22"/>
                <w:szCs w:val="22"/>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marketable securities</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987,790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988,649</w:t>
            </w:r>
          </w:p>
        </w:tc>
      </w:tr>
      <w:tr>
        <w:trPr>
          <w:trHeight w:val="27"/>
        </w:trPr>
        <w:tc>
          <w:tcPr>
            <w:tcW w:w="1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inventory balances as of September 30, 2026 and December 31, 2025 (in thousands):</w:t>
      </w:r>
    </w:p>
    <w:p>
      <w:pPr>
        <w:spacing w:after="0" w:line="273" w:lineRule="exact"/>
        <w:rPr>
          <w:sz w:val="20"/>
          <w:szCs w:val="20"/>
          <w:color w:val="auto"/>
        </w:rPr>
      </w:pPr>
    </w:p>
    <w:tbl>
      <w:tblPr>
        <w:tblLayout w:type="fixed"/>
        <w:tblInd w:w="2220" w:type="dxa"/>
        <w:tblCellMar>
          <w:top w:w="0" w:type="dxa"/>
          <w:left w:w="0" w:type="dxa"/>
          <w:bottom w:w="0" w:type="dxa"/>
          <w:right w:w="0" w:type="dxa"/>
        </w:tblCellMar>
      </w:tblPr>
      <w:tr>
        <w:trPr>
          <w:trHeight w:val="190"/>
        </w:trPr>
        <w:tc>
          <w:tcPr>
            <w:tcW w:w="2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20" w:type="dxa"/>
            <w:vAlign w:val="bottom"/>
          </w:tcPr>
          <w:p>
            <w:pPr>
              <w:spacing w:after="0"/>
              <w:rPr>
                <w:sz w:val="16"/>
                <w:szCs w:val="16"/>
                <w:color w:val="auto"/>
              </w:rPr>
            </w:pPr>
          </w:p>
        </w:tc>
        <w:tc>
          <w:tcPr>
            <w:tcW w:w="19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2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67,633</w:t>
            </w:r>
          </w:p>
        </w:tc>
      </w:tr>
      <w:tr>
        <w:trPr>
          <w:trHeight w:val="24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r>
      <w:tr>
        <w:trPr>
          <w:trHeight w:val="237"/>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122,589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74,841</w:t>
            </w:r>
          </w:p>
        </w:tc>
      </w:tr>
      <w:tr>
        <w:trPr>
          <w:trHeight w:val="20"/>
        </w:trPr>
        <w:tc>
          <w:tcPr>
            <w:tcW w:w="2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2026, the Company recognized a $10.4 million write-down of certain work-in-process inventory that did not meet quality specifications. There was no provision for excess inventory recorded as of September 30, 2026 or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liabilities as of September 30, 2026 and December 31, 2025 consisted of the following (in thousands):</w:t>
      </w:r>
    </w:p>
    <w:p>
      <w:pPr>
        <w:spacing w:after="0" w:line="24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5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68"/>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returns and other revenue related reserves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90,504</w:t>
            </w: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study, manufacturing and drug supply</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26,907</w:t>
            </w:r>
          </w:p>
        </w:tc>
      </w:tr>
      <w:tr>
        <w:trPr>
          <w:trHeight w:val="277"/>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69,211</w:t>
            </w:r>
          </w:p>
        </w:tc>
      </w:tr>
      <w:tr>
        <w:trPr>
          <w:trHeight w:val="26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40,026</w:t>
            </w:r>
          </w:p>
        </w:tc>
      </w:tr>
      <w:tr>
        <w:trPr>
          <w:trHeight w:val="27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33,744</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391,864</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260,392</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9520" w:firstLine="8"/>
        <w:spacing w:after="0" w:line="433"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 Term Debt </w:t>
      </w:r>
      <w:r>
        <w:rPr>
          <w:rFonts w:ascii="Times New Roman" w:cs="Times New Roman" w:eastAsia="Times New Roman" w:hAnsi="Times New Roman"/>
          <w:sz w:val="17"/>
          <w:szCs w:val="17"/>
          <w:b w:val="1"/>
          <w:bCs w:val="1"/>
          <w:i w:val="1"/>
          <w:iCs w:val="1"/>
          <w:color w:val="auto"/>
        </w:rPr>
        <w:t>Hercules Loan Facility</w:t>
      </w:r>
    </w:p>
    <w:p>
      <w:pPr>
        <w:spacing w:after="0" w:line="41"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May 2022, the Company entered into a $250.0 million senior secured loan facility (as amended from time to time, the “Hercules Loan Facility”) with the several banks and other financial institutions or entities party thereto (collectively, the “Hercules Lenders”), and Hercules Capital, Inc. (“Hercules”), in its capacity as administrative agent and collateral agent for itself and the Hercules Lenders. Interest on the Hercules Loan Facility was the greater of (i) the prime rate plus 2.45% and (ii) 8.25%. The Hercules Loan Facility included an end-of-term charge of 5.35% of the aggregate principal amount, which was accounted for in the loan discount. In connection with the first tranche drawn at closing, the Company issued Hercules a warrant to purchase 14,899 shares of Company common stock, which had a Black-Scholes value of $0.6 million. In addition, the Company issued to Hercules and its affiliates warrants to purchase an aggregate of 4,555 shares of common stock, which had a Black-Scholes value of $0.9 million, following the closing of the second tranche.</w:t>
      </w:r>
    </w:p>
    <w:p>
      <w:pPr>
        <w:spacing w:after="0" w:line="186"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On July 17, 2025, the Company used the proceeds of the Initial Term Loan under the Financing Agreement (each as defined below in this Note 8) to repay all outstanding obligations under the Hercules Loan Facility, totaling $121.7 million, and upon such repayment, terminated the Hercules Loan Facility. The amount repaid by the Company included $115.0 million of outstanding indebtedness plus accrued and unpaid interest as of the repayment date and exit fees. As a result of the termination, all credit commitments under the Hercules Loan Facility were terminated and all security interests and guarantees executed in connection with the Hercules Loan Facility were released. The repayment resulted in a $2.8 million loss on extinguishment of debt, primarily due to the write off of unamortized debt issuance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12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On July 17, 2025 (the “Closing Date”), the Company entered into a Financing Agreement (as amended from time to time, the “Financing Agreement”) with the Guarantors (as defined below in this Note 8), certain funds managed by Blue Owl Capital Corporation, as the lenders (the “Lenders”), and LSI Financing LLC, as the administrative agent for the Lenders (the “Administrative Agent”). Under the Financing Agreement, the Lenders have committed up to $500.0 million in senior secured credit facilities, consisting of (a) an initial term loan in an aggregate principal amount equal to $350.0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million (the “Initial Term Loan”) and (b) delayed draw term loan commitments in an aggregate principal amount not to exceed $150.0 million (the loans thereunder, if any, the “Delayed Draw Term Loans”). In addition, the Financing Agreement includes an uncommitted incremental facility in an aggregate principal amount not to exceed $250.0 million (the loans thereunder, if any, the “Incremental Term Loans”, together with the Initial Term Loan and any Delayed Draw Term Loans, collectively the “Term Loans”), subject to the satisfaction of certain terms and conditions set forth in the Financing Agreement. The Initial Term Loan was funded on the Closing Date. Delayed Draw Term Loans are available at the Company’s election from time to time after the Closing Date until December 31, 2027. Incremental Term Loans are available at the Company’s and the Lenders’ mutual consent from time to time after the Closing Date.</w:t>
      </w:r>
    </w:p>
    <w:p>
      <w:pPr>
        <w:spacing w:after="0" w:line="18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1.0% per annum floor) plus (ii) 4.75%. Accrued interest is payable quarterly following the funding of the Initial Term Loan on the Closing Date, on any date of prepayment or repayment of the Term Loans and at maturity. The outstanding balance of the Term Loans, if not repaid sooner, shall be due and payable in full on the maturity date thereof. The stated maturity date of the Term Loans is July 17, 2030.</w:t>
      </w:r>
    </w:p>
    <w:p>
      <w:pPr>
        <w:spacing w:after="0" w:line="17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the Company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8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18"/>
          <w:szCs w:val="18"/>
          <w:color w:val="auto"/>
        </w:rPr>
        <w:t>The Financing Agreement contains affirmative covenants and negative covenants applicable to the Company and its subsidiaries that are customary for financings of this type. The Company and the Guarantors are also required to maintain a minimum unrestricted cash balance of $100.0 million at all times. The Financing Agreement also includes representations, warranties, indemnities and events of default that are customary for financings of this type, including an event of default relating to a change of control of the Company. Upon the occurrence of an event of default, the Lenders may, among other things, accelerate the Company’s obligations under the Financing Agreement. The obligations of the Company under the Financing Agreement are and will be guaranteed by certain of the Company’s existing and future direct and indirect subsidiaries, subject to certain exceptions (such subsidiaries, collectively, the “Guarantors”).</w:t>
      </w:r>
    </w:p>
    <w:p>
      <w:pPr>
        <w:spacing w:after="0" w:line="195"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On July 17, 2025, concurrently with the entry into the Financing Agreement, the Company, the Guarantors and the Administrative Agent entered into a Pledge and Security Agreement. As security for the obligations of the Company and the Guarantors, each of the Company and the Guarantors is required to grant to the Administrative Agent, for the benefit of the Lenders and secured parties, a continuing first priority security interest in substantially all of the assets of the Company and the Guarantors (including all equity interests owned or hereafter acquired by the Company and the Guarantors), subject to certain customary exceptions. On September 4, 2025, the parties amended the Financing Agreement to add certain of the Company’s subsidiaries as Guarantors.</w:t>
      </w:r>
    </w:p>
    <w:p>
      <w:pPr>
        <w:spacing w:after="0" w:line="19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As of September 30, 2026, the outstanding principal amount under the Financing Agreement was $350.0 million. The interest rate as of September 30, 2026 was 8.48%. Interest expense was $8.1 million and $23.8 million for the three and nine months ended September 30, 2026, respectively. Interest expense was $7.5 million and $14.0 million for the three and nine months ended September 30, 2025, respectively. As of September 30, 2026, the Company was in compliance with all loan covenants and provisions.</w:t>
      </w:r>
    </w:p>
    <w:p>
      <w:pPr>
        <w:spacing w:after="0" w:line="194"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Future minimum payments, including interest and principal, under the loans payable outstanding as of September 30, 2026 were as follows (in thousands):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 Ending September 30, 2026:</w:t>
            </w:r>
          </w:p>
        </w:tc>
        <w:tc>
          <w:tcPr>
            <w:tcW w:w="300" w:type="dxa"/>
            <w:vAlign w:val="bottom"/>
          </w:tcPr>
          <w:p>
            <w:pPr>
              <w:spacing w:after="0"/>
              <w:rPr>
                <w:sz w:val="13"/>
                <w:szCs w:val="13"/>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4"/>
        </w:trPr>
        <w:tc>
          <w:tcPr>
            <w:tcW w:w="20" w:type="dxa"/>
            <w:vAlign w:val="bottom"/>
            <w:tcBorders>
              <w:bottom w:val="single" w:sz="8" w:color="CCEEFF"/>
            </w:tcBorders>
          </w:tcPr>
          <w:p>
            <w:pPr>
              <w:spacing w:after="0"/>
              <w:rPr>
                <w:sz w:val="2"/>
                <w:szCs w:val="2"/>
                <w:color w:val="auto"/>
              </w:rPr>
            </w:pPr>
          </w:p>
        </w:tc>
        <w:tc>
          <w:tcPr>
            <w:tcW w:w="216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2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2026</w:t>
            </w:r>
          </w:p>
        </w:tc>
        <w:tc>
          <w:tcPr>
            <w:tcW w:w="344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w:t>
            </w:r>
          </w:p>
        </w:tc>
      </w:tr>
      <w:tr>
        <w:trPr>
          <w:trHeight w:val="263"/>
        </w:trPr>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2027</w:t>
            </w:r>
          </w:p>
        </w:tc>
        <w:tc>
          <w:tcPr>
            <w:tcW w:w="3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r>
      <w:tr>
        <w:trPr>
          <w:trHeight w:val="277"/>
        </w:trPr>
        <w:tc>
          <w:tcPr>
            <w:tcW w:w="2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2028</w:t>
            </w:r>
          </w:p>
        </w:tc>
        <w:tc>
          <w:tcPr>
            <w:tcW w:w="34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w:t>
            </w:r>
          </w:p>
        </w:tc>
      </w:tr>
      <w:tr>
        <w:trPr>
          <w:trHeight w:val="263"/>
        </w:trPr>
        <w:tc>
          <w:tcPr>
            <w:tcW w:w="2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2029</w:t>
            </w:r>
          </w:p>
        </w:tc>
        <w:tc>
          <w:tcPr>
            <w:tcW w:w="3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w:t>
            </w:r>
          </w:p>
        </w:tc>
      </w:tr>
      <w:tr>
        <w:trPr>
          <w:trHeight w:val="270"/>
        </w:trPr>
        <w:tc>
          <w:tcPr>
            <w:tcW w:w="2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2030</w:t>
            </w:r>
          </w:p>
        </w:tc>
        <w:tc>
          <w:tcPr>
            <w:tcW w:w="34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366,987</w:t>
            </w:r>
          </w:p>
        </w:tc>
      </w:tr>
      <w:tr>
        <w:trPr>
          <w:trHeight w:val="263"/>
        </w:trPr>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468,911</w:t>
            </w:r>
          </w:p>
        </w:tc>
      </w:tr>
      <w:tr>
        <w:trPr>
          <w:trHeight w:val="277"/>
        </w:trPr>
        <w:tc>
          <w:tcPr>
            <w:tcW w:w="20" w:type="dxa"/>
            <w:vAlign w:val="bottom"/>
            <w:shd w:val="clear" w:color="auto" w:fill="CCEEFF"/>
          </w:tcPr>
          <w:p>
            <w:pPr>
              <w:spacing w:after="0"/>
              <w:rPr>
                <w:sz w:val="24"/>
                <w:szCs w:val="24"/>
                <w:color w:val="auto"/>
              </w:rPr>
            </w:pPr>
          </w:p>
        </w:tc>
        <w:tc>
          <w:tcPr>
            <w:tcW w:w="56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(118,911)</w:t>
            </w:r>
          </w:p>
        </w:tc>
      </w:tr>
      <w:tr>
        <w:trPr>
          <w:trHeight w:val="263"/>
        </w:trPr>
        <w:tc>
          <w:tcPr>
            <w:tcW w:w="20" w:type="dxa"/>
            <w:vAlign w:val="bottom"/>
            <w:tcBorders>
              <w:bottom w:val="single" w:sz="8" w:color="CCEEFF"/>
            </w:tcBorders>
          </w:tcPr>
          <w:p>
            <w:pPr>
              <w:spacing w:after="0"/>
              <w:rPr>
                <w:sz w:val="22"/>
                <w:szCs w:val="22"/>
                <w:color w:val="auto"/>
              </w:rPr>
            </w:pPr>
          </w:p>
        </w:tc>
        <w:tc>
          <w:tcPr>
            <w:tcW w:w="560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payable, net of discount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341,275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380" w:firstLine="8"/>
        <w:spacing w:after="0" w:line="362" w:lineRule="auto"/>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Each common stockholder is entitled to one vote for each share of common stock held. The common stock will vote together with all other classes and series of stock of the Company as a single class on all actions to be taken by the Company’s stockholders. Each share of common stock is entitled to receive dividends, as and when declared by the Company’s Board of Directors (the “Board”). The Company has never declared cash dividends on its common stock and does not expect to do so in the foreseeable future.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08"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 xml:space="preserve">The Company’s Series A Convertible Preferred Stock and Series B Convertible Preferred Stock (together, the “Series A and B Preferred Stock”) have a par value of $0.0001 per share and are convertible into shares of the Company’s common stock at a one-to-one ratio, subject to adjustment as provided in the Certificates of Designation of Preferences, Rights and Limitations of Series A Convertible Preferred Stock and Series B Convertible Preferred Stock that the Company filed with the Secretary of State of the State of Delaware on June 21, 2017 and December 22, 2022, respectively. The terms of the Series A and B Preferred Stock are set forth in such Certificates of Designation. Each share of the Series A and B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and B Preferred Stock upon liquidation, the holders of the Series A and B Preferred Stock shall participate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holders of the common stock (on an as-if-converted-to-common-stock basis) in the net assets of the Company. Shares of the Series A and B Preferred Stock will generally have no voting rights, except as required by law. Shares of the Series A and B Preferred Stock will be entitled to receive dividends before or concurrently with shares of any other class or series of capital stock of the Company (other than dividends in the form of the common stock) equal to the dividend payable on each share of the common stock, on an as-converted basis.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an underwritten public offering in September 2023, the Company issued pre-funded warrants (the “2023 Pre-Funded</w:t>
      </w:r>
    </w:p>
    <w:p>
      <w:pPr>
        <w:spacing w:after="0" w:line="27"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Warrants”) to purchase 2,048,098 shares of common stock at a public offering price of $151.6899 per 2023 Pre-Funded Warrant, which represents the per share public offering price for common stock less a $0.0001 per share exercise price for each such 2023 Pre-Funded Warrant. In addition, in connection with an underwritten public offering in March 2024, the Company issued pre-funded warrants (the “2024 Pre-Funded Warrants,” and together with the 2023 Pre-Funded Warrants, the “Pre-Funded Warrants”) to purchase 1,557,692 shares of common stock at a public offering price of $259.9999 per 2024 Pre-Funded Warrant, which represents the per share public offering price for the common stock less a $0.0001 per share exercise price for each such 2024 Pre-Funded Warrant.</w:t>
      </w:r>
    </w:p>
    <w:p>
      <w:pPr>
        <w:spacing w:after="0" w:line="198"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The Pre-Funded Warrants are generally exercisable at any time; however, a holder of Pre-Funded Warrants may not exercise the warrant to the extent that the holder, together with its affiliates, would beneficially own more than 9.99% of the number of shares of common stock outstanding immediately after giving effect to such exercise. A holder of Pre-</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Funded Warrants may increase or decrease this percentage, but not in excess of 19.99%, by providing at least 61 days’ prior notice to the Company.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21"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In May 2024, the Company entered into a Sales Agreement (the “Sales Agreement”) with Cowen and Company, LLC (“Cowen”). Pursuant to the Sales Agreement, the Company is authorized to issue and sell up to $300.0 million in shares of the Company’s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Subject to the terms and conditions of the Sales Agreement, Cowen would use commercially reasonable efforts consistent with its normal trading and sales practices to sell the common stock based upon the Company’s instructions (including any price, time or size limits or other customary parameters or conditions the Company imposed). The Company sold no shares in the three and nine months ended September 30, 2026 or 2025 under the Sales Agreement.</w:t>
      </w:r>
    </w:p>
    <w:p>
      <w:pPr>
        <w:spacing w:after="0" w:line="290" w:lineRule="exact"/>
        <w:rPr>
          <w:sz w:val="20"/>
          <w:szCs w:val="20"/>
          <w:color w:val="auto"/>
        </w:rPr>
      </w:pPr>
    </w:p>
    <w:p>
      <w:pPr>
        <w:ind w:right="8880" w:firstLine="8"/>
        <w:spacing w:after="0" w:line="370"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2015 Stock Plan</w:t>
      </w: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The 2015 Stock Plan, as amended (the “2015 Stock Plan”), was the Company’s stockholder-approved incentive plan through which equity based grants were awarded. The 2015 Stock Plan provided for the grant of incentive stock options, non-statutory stock options, stock grants and other stock-based compensation awards to employees, officers, directors and consultants of the Company. The administration of the 2015 Stock Plan was under the general supervision of the Compensation Committee of the Board. The terms of stock options awarded under the 2015 Stock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was granted. Following stockholder approval of the Madrigal Pharmaceuticals, Inc. 2026 Stock Plan (the “2026 Stock Plan”) in June 2026, no additional awards may be granted under the 2015 Stock Plan. Outstanding awards under the 2015 Stock Plan will continue to be governed by the terms thereof.</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Inducement Plan</w:t>
      </w:r>
    </w:p>
    <w:p>
      <w:pPr>
        <w:spacing w:after="0" w:line="108"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In September 2023, the Company adopted the 2023 Inducement Plan (the “2023 Inducement Plan”), pursuant to which the Company from time to time was permitted to make equity grants to new employees as a material inducement to their employment. The 2023 Inducement Plan was adopted without stockholder approval, pursuant to Nasdaq Listing Rule 5635(c)(4), and was administered by the Compensation Committee of the Board. The 2023 Inducement Plan provided for the granting of non-statutory stock options, stock grants and other stock-based compensation awards to new employees, but did not allow for the granting of incentive stock options. The terms of the stock options under the 2023 Inducement Plan, in general, were determined by the Compensation Committee, provided the exercise price per share generally would not be set at less than the fair market value of a share of the common stock on the date of grant and the term would not be greater than ten years from the date the option was granted. A total of 500,000 shares of the Company’s common stock were reserved for issuance under the 2023 Inducement Plan. In June 2025, the Company terminated the 2023 Inducement Plan, and therefore no additional awards may be made from the 2023 Inducement Plan. Any awards outstanding under the 2023 Inducement Plan will continue to be governed by the terms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Inducement Plan</w:t>
      </w:r>
    </w:p>
    <w:p>
      <w:pPr>
        <w:spacing w:after="0" w:line="121"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In June 2025, the Company adopted the 2025 Inducement Plan (the “2025 Inducement Plan”), pursuant to which the Company may from time to time make equity grants to new employees as a material inducement to their employment. The 2025 Inducement Plan was adopted without stockholder approval, pursuant to Nasdaq Listing Rule 5635(c)(4), and is administered by the Compensation Committee of the Board. The 2025 Inducement Plan provides for the granting of non-statutory stock options, stock grants and other stock-based compensation awards to new employees, but does not allow for the granting of incentive stock options. The terms of the stock options under the 2025 Inducement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 total of 100,000 shares of the Company’s common stock were initially reserved for issuance under the 2025 Inducement Plan. In September 2025, the 2025 Inducement Plan was amended to increase the aggregate number of shares reserved for issuance by an additional 300,000 shares. A total of 134,898 shares were available for future issuance as of September 30, 2026.</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Stock Plan</w:t>
      </w:r>
    </w:p>
    <w:p>
      <w:pPr>
        <w:spacing w:after="0" w:line="108"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June 2026, the Company’s stockholders approved the 2026 Stock Plan. The 2026 Stock Plan provides for the grant of incentive stock options, non-statutory stock options, stock grants and other stock-based compensation awards to employees, officers, directors and consultants of the Company. The administration of the 2026 Stock Plan is under the general supervision of the Compensation Committee of the Board of Directors. The terms of stock options awarded under the 2026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Shares underlying any awards under the 2026 Stock Plan and the 2015 Stock Plan that are forfeited, canceled, cash-settled or otherwise terminated (other than by exercise) will be added back to the shares of the 2026 Stock Plan. A total of 991,099 shares were available for issuance as of September 30, 2026 under the 2026 Stock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08"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In June 2026, the Company’s stockholders approved the Madrigal Pharmaceuticals, Inc. 2026 Employee Stock Purchase Plan (the “ESPP”). The ESPP enables eligible employees to purchase shares of the Company’s common stock through payroll deductions at a purchase price determined in accordance with the terms of the ESPP. The Company has reserved 460,840 shares of common stock for issuance under the ESPP, subject to adjustment as provided in the ESPP. As of September 30, 2026, no shares had been issued under the ESPP.</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nine months ended September 30, 2026:</w:t>
      </w: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176"/>
        </w:trPr>
        <w:tc>
          <w:tcPr>
            <w:tcW w:w="56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34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3"/>
        </w:trPr>
        <w:tc>
          <w:tcPr>
            <w:tcW w:w="5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979,861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0" w:type="dxa"/>
            <w:vAlign w:val="bottom"/>
          </w:tcPr>
          <w:p>
            <w:pPr>
              <w:spacing w:after="0"/>
              <w:rPr>
                <w:sz w:val="1"/>
                <w:szCs w:val="1"/>
                <w:color w:val="auto"/>
              </w:rPr>
            </w:pPr>
          </w:p>
        </w:tc>
      </w:tr>
      <w:tr>
        <w:trPr>
          <w:trHeight w:val="26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451.31</w:t>
            </w:r>
          </w:p>
        </w:tc>
        <w:tc>
          <w:tcPr>
            <w:tcW w:w="0" w:type="dxa"/>
            <w:vAlign w:val="bottom"/>
          </w:tcPr>
          <w:p>
            <w:pPr>
              <w:spacing w:after="0"/>
              <w:rPr>
                <w:sz w:val="1"/>
                <w:szCs w:val="1"/>
                <w:color w:val="auto"/>
              </w:rPr>
            </w:pPr>
          </w:p>
        </w:tc>
      </w:tr>
      <w:tr>
        <w:trPr>
          <w:trHeight w:val="27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0" w:type="dxa"/>
            <w:vAlign w:val="bottom"/>
          </w:tcPr>
          <w:p>
            <w:pPr>
              <w:spacing w:after="0"/>
              <w:rPr>
                <w:sz w:val="1"/>
                <w:szCs w:val="1"/>
                <w:color w:val="auto"/>
              </w:rPr>
            </w:pPr>
          </w:p>
        </w:tc>
      </w:tr>
      <w:tr>
        <w:trPr>
          <w:trHeight w:val="288"/>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936,458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2026</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0" w:type="dxa"/>
            <w:vAlign w:val="bottom"/>
            <w:vMerge w:val="continue"/>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$15.4 million and $28.1 million for the nine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 The total intrinsic value of options exercised was $62.7 million and $176.4 million for the nine months ended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respectively.</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awards restricted stock units (“RSUs”) to employees, officers and directors of the Company. RSUs vest annually and are subject to forfeiture if employment or service terminates before vesting.</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RSU activity, excluding performance-based RSUs, during the nine months ended September 30, 2026:</w:t>
      </w:r>
    </w:p>
    <w:p>
      <w:pPr>
        <w:spacing w:after="0" w:line="24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4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 date fair</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41"/>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798,422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0" w:type="dxa"/>
            <w:vAlign w:val="bottom"/>
          </w:tcPr>
          <w:p>
            <w:pPr>
              <w:spacing w:after="0"/>
              <w:rPr>
                <w:sz w:val="1"/>
                <w:szCs w:val="1"/>
                <w:color w:val="auto"/>
              </w:rPr>
            </w:pPr>
          </w:p>
        </w:tc>
      </w:tr>
      <w:tr>
        <w:trPr>
          <w:trHeight w:val="27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399,943</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455.75</w:t>
            </w:r>
          </w:p>
        </w:tc>
        <w:tc>
          <w:tcPr>
            <w:tcW w:w="0" w:type="dxa"/>
            <w:vAlign w:val="bottom"/>
          </w:tcPr>
          <w:p>
            <w:pPr>
              <w:spacing w:after="0"/>
              <w:rPr>
                <w:sz w:val="1"/>
                <w:szCs w:val="1"/>
                <w:color w:val="auto"/>
              </w:rPr>
            </w:pPr>
          </w:p>
        </w:tc>
      </w:tr>
      <w:tr>
        <w:trPr>
          <w:trHeight w:val="27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(225,525)</w:t>
            </w: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291.56</w:t>
            </w: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14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2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343.36</w:t>
            </w:r>
          </w:p>
        </w:tc>
        <w:tc>
          <w:tcPr>
            <w:tcW w:w="0" w:type="dxa"/>
            <w:vAlign w:val="bottom"/>
          </w:tcPr>
          <w:p>
            <w:pPr>
              <w:spacing w:after="0"/>
              <w:rPr>
                <w:sz w:val="1"/>
                <w:szCs w:val="1"/>
                <w:color w:val="auto"/>
              </w:rPr>
            </w:pPr>
          </w:p>
        </w:tc>
      </w:tr>
      <w:tr>
        <w:trPr>
          <w:trHeight w:val="284"/>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920,616</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2026 and 2025, the total fair value of RSUs vested was $109.2 million and $43.5 million, respectively.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121"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The Company has granted various performance-based restricted stock units (“PSUs”) to certain senior members of leadership. Depending on the terms of the PSUs and the outcome of the pre-established performance criteria, which may include a market or performance condition, a recipient may ultimately earn the target number of PSUs granted or a specified multiple thereof at the end of the vesting period. The Company granted PSUs to the Company’s Chief Executive Officer (“CEO”) in connection with his hiring in September 2023. Such PSUs could be earned based on the achievement of three significant sustained stock price appreciation hurdles over a five-year period. The first two hurdles were achieved in 2025 and the final hurdle was achieved in July 2026. The Company’s CEO earned 50,000 shares of common stock for each hurdle. Earned PSUs are settled on a delayed basis notwithstanding the date of achievement of the stock price hurdle. Beginning in 2024, the Company issued PSUs to certain executives that may be earned based on the Company’s total shareholder return relative to a defined peer group over a three year period. Accordingly, any PSUs granted in 2024, 2025 and 2026 will vest, to the extent earned, in the first quarter of 2027, 2028 and 2029, respectively.</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PSU activity during the nine months ended September 30, 2026:</w:t>
      </w:r>
    </w:p>
    <w:p>
      <w:pPr>
        <w:spacing w:after="0" w:line="247" w:lineRule="exact"/>
        <w:rPr>
          <w:sz w:val="20"/>
          <w:szCs w:val="20"/>
          <w:color w:val="auto"/>
        </w:rPr>
      </w:pPr>
    </w:p>
    <w:tbl>
      <w:tblPr>
        <w:tblLayout w:type="fixed"/>
        <w:tblInd w:w="140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PSUs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Eligible to Earn PSUs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95"/>
        </w:trPr>
        <w:tc>
          <w:tcPr>
            <w:tcW w:w="3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2"/>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PSUs at December 31,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103,244</w:t>
            </w:r>
          </w:p>
        </w:tc>
        <w:tc>
          <w:tcPr>
            <w:tcW w:w="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500.55</w:t>
            </w:r>
          </w:p>
        </w:tc>
        <w:tc>
          <w:tcPr>
            <w:tcW w:w="0" w:type="dxa"/>
            <w:vAlign w:val="bottom"/>
          </w:tcPr>
          <w:p>
            <w:pPr>
              <w:spacing w:after="0"/>
              <w:rPr>
                <w:sz w:val="1"/>
                <w:szCs w:val="1"/>
                <w:color w:val="auto"/>
              </w:rPr>
            </w:pPr>
          </w:p>
        </w:tc>
      </w:tr>
      <w:tr>
        <w:trPr>
          <w:trHeight w:val="270"/>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42,550</w:t>
            </w:r>
          </w:p>
        </w:tc>
        <w:tc>
          <w:tcPr>
            <w:tcW w:w="8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616.19</w:t>
            </w:r>
          </w:p>
        </w:tc>
        <w:tc>
          <w:tcPr>
            <w:tcW w:w="0" w:type="dxa"/>
            <w:vAlign w:val="bottom"/>
          </w:tcPr>
          <w:p>
            <w:pPr>
              <w:spacing w:after="0"/>
              <w:rPr>
                <w:sz w:val="1"/>
                <w:szCs w:val="1"/>
                <w:color w:val="auto"/>
              </w:rPr>
            </w:pPr>
          </w:p>
        </w:tc>
      </w:tr>
      <w:tr>
        <w:trPr>
          <w:trHeight w:val="27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earned</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0" w:type="dxa"/>
            <w:vAlign w:val="bottom"/>
          </w:tcPr>
          <w:p>
            <w:pPr>
              <w:spacing w:after="0"/>
              <w:rPr>
                <w:sz w:val="1"/>
                <w:szCs w:val="1"/>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PSUs forfeited</w:t>
            </w:r>
          </w:p>
        </w:tc>
        <w:tc>
          <w:tcPr>
            <w:tcW w:w="10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136,258</w:t>
            </w:r>
          </w:p>
        </w:tc>
        <w:tc>
          <w:tcPr>
            <w:tcW w:w="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Outstanding PSUs excludes 150,000 shares underlying PSU awards that have been earned by the Company’s CEO but are subject to delayed settlement as there is no longer a risk of forfeiture with respect to these awards.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Awards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2026, the Company had RSUs, PSUs, and options outstanding pursuant to which an aggregate of 2,129,590 shares of its common stock may be issued pursuant to the terms of all awards granted under the 2015 Stock Plan, 2023 Inducement Plan, 2025 Inducement Plan and 2026 Stock Plan. Shares underlying PSU awards that have been earned but are subject to delayed settlement have been excluded from this amount as there is no longer a risk of forfeiture with respect to these awards.</w:t>
      </w: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during the three and nine months ended September 30, 2026 and 2025 was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0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80" w:type="dxa"/>
            <w:vAlign w:val="bottom"/>
          </w:tcPr>
          <w:p>
            <w:pPr>
              <w:spacing w:after="0"/>
              <w:rPr>
                <w:sz w:val="22"/>
                <w:szCs w:val="22"/>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27,886</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42,152</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38,947</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72,342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30,133</w:t>
            </w:r>
          </w:p>
        </w:tc>
        <w:tc>
          <w:tcPr>
            <w:tcW w:w="8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84,572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55,300</w:t>
            </w:r>
          </w:p>
        </w:tc>
        <w:tc>
          <w:tcPr>
            <w:tcW w:w="0" w:type="dxa"/>
            <w:vAlign w:val="bottom"/>
          </w:tcPr>
          <w:p>
            <w:pPr>
              <w:spacing w:after="0"/>
              <w:rPr>
                <w:sz w:val="1"/>
                <w:szCs w:val="1"/>
                <w:color w:val="auto"/>
              </w:rPr>
            </w:pPr>
          </w:p>
        </w:tc>
      </w:tr>
      <w:tr>
        <w:trPr>
          <w:trHeight w:val="205"/>
        </w:trPr>
        <w:tc>
          <w:tcPr>
            <w:tcW w:w="50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stock-based compensation expense included in net income</w:t>
            </w:r>
          </w:p>
        </w:tc>
        <w:tc>
          <w:tcPr>
            <w:tcW w:w="900" w:type="dxa"/>
            <w:vAlign w:val="bottom"/>
            <w:vMerge w:val="restart"/>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6"/>
              </w:rPr>
              <w:t>38,947</w:t>
            </w:r>
          </w:p>
        </w:tc>
        <w:tc>
          <w:tcPr>
            <w:tcW w:w="80" w:type="dxa"/>
            <w:vAlign w:val="bottom"/>
          </w:tcPr>
          <w:p>
            <w:pPr>
              <w:spacing w:after="0"/>
              <w:rPr>
                <w:sz w:val="17"/>
                <w:szCs w:val="17"/>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26,252</w:t>
            </w:r>
          </w:p>
        </w:tc>
        <w:tc>
          <w:tcPr>
            <w:tcW w:w="100" w:type="dxa"/>
            <w:vAlign w:val="bottom"/>
          </w:tcPr>
          <w:p>
            <w:pPr>
              <w:spacing w:after="0"/>
              <w:rPr>
                <w:sz w:val="17"/>
                <w:szCs w:val="17"/>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108,336</w:t>
            </w:r>
          </w:p>
        </w:tc>
        <w:tc>
          <w:tcPr>
            <w:tcW w:w="100" w:type="dxa"/>
            <w:vAlign w:val="bottom"/>
          </w:tcPr>
          <w:p>
            <w:pPr>
              <w:spacing w:after="0"/>
              <w:rPr>
                <w:sz w:val="17"/>
                <w:szCs w:val="17"/>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72,342</w:t>
            </w:r>
          </w:p>
        </w:tc>
        <w:tc>
          <w:tcPr>
            <w:tcW w:w="0" w:type="dxa"/>
            <w:vAlign w:val="bottom"/>
          </w:tcPr>
          <w:p>
            <w:pPr>
              <w:spacing w:after="0"/>
              <w:rPr>
                <w:sz w:val="1"/>
                <w:szCs w:val="1"/>
                <w:color w:val="auto"/>
              </w:rPr>
            </w:pPr>
          </w:p>
        </w:tc>
      </w:tr>
      <w:tr>
        <w:trPr>
          <w:trHeight w:val="22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w:t>
            </w:r>
          </w:p>
        </w:tc>
        <w:tc>
          <w:tcPr>
            <w:tcW w:w="90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Unrecognized stock-based compensation expense as of September 30, 2026 was $334.2 million with a weighted average remaining period of 2.83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w:t>
      </w:r>
    </w:p>
    <w:p>
      <w:pPr>
        <w:spacing w:after="0" w:line="297" w:lineRule="exact"/>
        <w:rPr>
          <w:sz w:val="20"/>
          <w:szCs w:val="20"/>
          <w:color w:val="auto"/>
        </w:rPr>
      </w:pPr>
    </w:p>
    <w:p>
      <w:pPr>
        <w:ind w:right="8420" w:firstLine="8"/>
        <w:spacing w:after="0" w:line="370" w:lineRule="auto"/>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Licenses and Other Commitments</w:t>
      </w:r>
    </w:p>
    <w:p>
      <w:pPr>
        <w:ind w:right="340" w:firstLine="648"/>
        <w:spacing w:after="0" w:line="250" w:lineRule="auto"/>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operations in the normal course of business. As of September 30, 2026, the Company had approximately $305.9 million of obligations under these agreements related to active pharmaceutical ingredient, which is expected to be paid through 2029.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 Agreement</w:t>
      </w:r>
    </w:p>
    <w:p>
      <w:pPr>
        <w:spacing w:after="0" w:line="108"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(as amended, the “Roche Agreement”) with Roche which grants the Company a sole and exclusive license to develop, use, sell, offer for sale and import any Licensed Product (as defined in the Roche Agreement). In January 2026, the Company entered into an amendment to the Roche Agreement to provide the Company the full and exclusive right and discretion to control all patent term adjustments and patent term extensions applicable to Rezdiffra, including patents owned by Roche and jointly owned between the parties. In consideration of the foregoing, the royalty payable to Roche based on net sales of Rezdiffra will not be reduced until the expiration of certain patent term extensions that have been, or could have been, filed.</w:t>
      </w:r>
    </w:p>
    <w:p>
      <w:pPr>
        <w:spacing w:after="0" w:line="180"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The Roche Agreement required certain milestone payments to Roche. In March 2024, upon receiving FDA approval of Rezdiffra, a milestone was achieved and $5.0 million was paid to Roche. In August 2025, upon receiving conditional marketing authorization from the EC, a milestone was achieved and $3.0 million was paid to Roche. Furthermore, a tiered single-digit royalty is payable on net sales of resmetirom or a product developed from resmetirom, subject to certain reductions. The Company began incurring royalty expense following its commercial launch of Rezdiffra in April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CSPC License (MGL-2086)</w:t>
      </w:r>
    </w:p>
    <w:p>
      <w:pPr>
        <w:spacing w:after="0" w:line="121"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In July 2025, the Company entered into an exclusive global license agreement (the “CSPC License Agreement”) with CSPC Pharmaceutical Group Limited (“CSPC”) for MGL-2086 (formerly known as SYH2086), an oral small molecule GLP-1 receptor agonist. Pursuant to the CSPC License Agreement, CSPC has granted the Company an exclusive global license to develop, manufacture, and commercialize MGL-2086. The transaction closed in September 2025. The Company paid CSPC an upfront payment of $120.0 million in October 2025. CSPC is eligible to receive up to $2.0 billion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development, regulatory and commercial milestone payments, as well as royalties on net sales ranging from mid-single digits to low-double digits.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License (ervogastat)</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December 2025, the Company entered into an exclusive global license agreement with Pfizer Inc. (the “Pfizer License Agreement”) to develop, manufacture and commercialize ervogastat, a Phase 2 oral DGAT-2 inhibitor, and two additional early-stage MASH assets. The Company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Ribocure License (siRNA programs)</w:t>
      </w:r>
    </w:p>
    <w:p>
      <w:pPr>
        <w:spacing w:after="0" w:line="121"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In February 2026, the Company entered into an exclusive global license agreement (the “Ribocure License Agreement”) with Suzhou Ribo Life Science Co. Ltd. and Ribocure Pharmaceuticals AB (together, “Ribocure”) granting the Company exclusive global rights to develop, manufacture and commercialize six small interfering RNA (“siRNA”) programs. Pursuant to the Ribocure License Agreement, the Company paid Ribocure an upfront payment of $60.0 million. In addition, Ribocure is eligible to receive up to $4.4 billion in development, regulatory and commercial milestone payments across all programs, as well as royalties on net sales ranging from mid-single digits to low-double digits.</w:t>
      </w:r>
    </w:p>
    <w:p>
      <w:pPr>
        <w:spacing w:after="0" w:line="181"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$49.8 million of the upfront payment was recognized as research and development expense and $10.2 million was capitalized as a prepaid expense and other asset to be expensed as research and development services are performed by Ribocure.</w:t>
      </w:r>
    </w:p>
    <w:p>
      <w:pPr>
        <w:spacing w:after="0" w:line="148"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made a $4.0 million milestone payment to Ribocure upon nomination of a development candidate under the Ribocure License Agreement.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Arrowhead License (PNPLA3)</w:t>
      </w:r>
    </w:p>
    <w:p>
      <w:pPr>
        <w:spacing w:after="0" w:line="108"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In May 2026, the Company entered into an exclusive global license agreement (the “Arrowhead License Agreement”) with Arrowhead Pharmaceuticals, Inc. (“Arrowhead”) granting the Company an exclusive global license to ARO-PNPLA3 (now referred to as MGL-0795). Pursuant to the Arrowhead License Agreement, the Company paid Arrowhead an upfront payment of $25.0 million in June 2026, which was recognized as research and development expense. In addition, Arrowhead is eligible to receive up to $975.0 million in development, regulatory and commercial milestone payments, as well as royalties on net sales ranging from high-single digits to the mid-teens.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08"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18"/>
          <w:szCs w:val="18"/>
          <w:color w:val="auto"/>
        </w:rPr>
        <w:t>From time to time, the Company is a party to various claims, intellectual property matters, regulatory inquiries and other legal proceedings that arise in the ordinary course of business. While we do not currently expect any pending proceedings to have a material adverse effect on our financial position, results of operations, or cash flows, there can be no assurance that future developments will not have a material impact.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spacing w:after="0" w:line="72"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18"/>
          <w:szCs w:val="18"/>
          <w:color w:val="auto"/>
        </w:rPr>
        <w:t>On October 9, 2026, a former employee filed a complaint against the Company in the United States District Court for the Northern District of Illinois, Charlton v. Madrigal Pharmaceuticals, Inc. (the “Complaint”), alleging retaliation under the whistleblower-protection provisions of the Sarbanes-Oxley Act of 2002, 18 U.S.C. § 1514A. The Complaint alleges that the plaintiff raised internal concerns about certain Company data and reporting practices prior to their resignation in January 2026 and seeks monetary damages and other relief. The Company disputes the allegations in the Complaint and plans to vigorously defend itself.</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In 2019, the Company entered into an operating lease for office space located in West Conshohocken, Pennsylvania (the “Office Lease”), which was further amended by four amendments entered into from 2019 to May 2023. In August 2023, the Company entered into the Fifth Amendment to the Office Lease (the “Fifth Lease Amendment”). The Fifth Lease Amendment extended the term of the Office Lease through November 2026. As a result of the Fifth Lease Amendment, an incremental $1.6 million right-of-use asset and lease liabilities were recorded during the year ended</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20"/>
        <w:spacing w:after="0" w:line="296" w:lineRule="auto"/>
        <w:rPr>
          <w:sz w:val="20"/>
          <w:szCs w:val="20"/>
          <w:color w:val="auto"/>
        </w:rPr>
      </w:pPr>
      <w:r>
        <w:rPr>
          <w:rFonts w:ascii="Times New Roman" w:cs="Times New Roman" w:eastAsia="Times New Roman" w:hAnsi="Times New Roman"/>
          <w:sz w:val="17"/>
          <w:szCs w:val="17"/>
          <w:color w:val="auto"/>
        </w:rPr>
        <w:t>December 31, 2023. In 2024, the Company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52"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18"/>
          <w:szCs w:val="18"/>
          <w:color w:val="auto"/>
        </w:rPr>
        <w:t>In April 2025, the Company entered into an operating lease for additional office space in West Conshohocken, Pennsylvania. The lease commenced in May 2025 and resulted in a $4.0 million right-of-use asset and lease liability. In March 2026, the Company entered into an amendment to this lease, which modified the lease term and payment schedule. As a result, the right-of-use asset and lease liability balances were remeasured to $4.0 million and $4.6 million, respectively.</w:t>
      </w:r>
    </w:p>
    <w:p>
      <w:pPr>
        <w:spacing w:after="0" w:line="177"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In September 2025, the Company entered into an operating lease for office space in Waltham, Massachusetts. The lease commenced in July 2026 and resulted in the recognition of an $8.1 million right-of-use asset and a $6.8 million lease liability. The right-of-use asset includes approximately</w:t>
      </w:r>
    </w:p>
    <w:p>
      <w:pPr>
        <w:spacing w:after="0"/>
        <w:rPr>
          <w:sz w:val="20"/>
          <w:szCs w:val="20"/>
          <w:color w:val="auto"/>
        </w:rPr>
      </w:pPr>
      <w:r>
        <w:rPr>
          <w:rFonts w:ascii="Times New Roman" w:cs="Times New Roman" w:eastAsia="Times New Roman" w:hAnsi="Times New Roman"/>
          <w:sz w:val="18"/>
          <w:szCs w:val="18"/>
          <w:color w:val="auto"/>
        </w:rPr>
        <w:t>$1.3 million of prepaid lease payments.</w:t>
      </w:r>
    </w:p>
    <w:p>
      <w:pPr>
        <w:spacing w:after="0" w:line="19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February 2026, the Company entered into an operating lease for office space in Baar, Switzerland. The lease commenced on March 1, 2026 and has a term of 24 months. As a result, the Company recognized a right-of-use asset and corresponding lease liability of approximately $1.4 million upon commencement.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0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The Company operates as one reportable segment focused on delivering novel therapeutics for MASH. The Company's Chief Executive Officer, as the chief operating decision maker (“CODM”), leads the Company in support of four core values—focus on the patient, having an owner mindset, the relentless pursuit of innovation and commitment to collaboration. To best align the Company with these values, the CODM reviews consolidated financials, along with qualitative information, to evaluate performance, manage and allocate resources, make operating decisions, and assess planning and forecasting on a total company basis. Assets, liabilities and equity are reviewed and presented on the same level as the Company's consolidated balance sheet. Starting in the first quarter of 2026, the Company has further disaggregated its significant expense categories within research and development into four categories and selling, general and administrative into four categories. Prior periods have been recast to conform to the current period presentation.</w:t>
      </w:r>
    </w:p>
    <w:p>
      <w:pPr>
        <w:spacing w:after="0" w:line="195" w:lineRule="exact"/>
        <w:rPr>
          <w:sz w:val="20"/>
          <w:szCs w:val="20"/>
          <w:color w:val="auto"/>
        </w:rPr>
      </w:pPr>
    </w:p>
    <w:p>
      <w:pPr>
        <w:ind w:right="360" w:firstLine="648"/>
        <w:spacing w:after="0" w:line="250" w:lineRule="auto"/>
        <w:rPr>
          <w:sz w:val="20"/>
          <w:szCs w:val="20"/>
          <w:color w:val="auto"/>
        </w:rPr>
      </w:pPr>
      <w:r>
        <w:rPr>
          <w:rFonts w:ascii="Times New Roman" w:cs="Times New Roman" w:eastAsia="Times New Roman" w:hAnsi="Times New Roman"/>
          <w:sz w:val="18"/>
          <w:szCs w:val="18"/>
          <w:color w:val="auto"/>
        </w:rPr>
        <w:t>Management does not segment business operations for internal reporting or decision making purposes. As the Company has a single reporting segment, the segment accounting policies are the same as those at the Company level, as described in Note 2 “Summary of Significant Accounting Policies.”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income (loss) reported at the segment measure of profit and loss:</w:t>
      </w:r>
    </w:p>
    <w:p>
      <w:pPr>
        <w:spacing w:after="0" w:line="139"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2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r>
      <w:tr>
        <w:trPr>
          <w:trHeight w:val="195"/>
        </w:trPr>
        <w:tc>
          <w:tcPr>
            <w:tcW w:w="4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205"/>
        </w:trPr>
        <w:tc>
          <w:tcPr>
            <w:tcW w:w="4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2025</w:t>
            </w:r>
          </w:p>
        </w:tc>
      </w:tr>
      <w:tr>
        <w:trPr>
          <w:trHeight w:val="23"/>
        </w:trPr>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 revenue,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431,268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1,106,857</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w:t>
            </w:r>
          </w:p>
        </w:tc>
      </w:tr>
      <w:tr>
        <w:trPr>
          <w:trHeight w:val="263"/>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(31,700)</w:t>
            </w:r>
          </w:p>
        </w:tc>
      </w:tr>
      <w:tr>
        <w:trPr>
          <w:trHeight w:val="277"/>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Compensation and benefit-related expenses</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(30,628)</w:t>
            </w:r>
          </w:p>
        </w:tc>
      </w:tr>
      <w:tr>
        <w:trPr>
          <w:trHeight w:val="277"/>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w:t>
            </w:r>
          </w:p>
        </w:tc>
      </w:tr>
      <w:tr>
        <w:trPr>
          <w:trHeight w:val="270"/>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Professional fees and other external expenses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(152,998)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(196,383)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(220,397)</w:t>
            </w:r>
          </w:p>
        </w:tc>
      </w:tr>
      <w:tr>
        <w:trPr>
          <w:trHeight w:val="270"/>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Facility related and other internal expenses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w:t>
            </w:r>
          </w:p>
        </w:tc>
      </w:tr>
      <w:tr>
        <w:trPr>
          <w:trHeight w:val="263"/>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Compensation and benefit-related expenses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(86,438)</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(250,364)</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(167,966)</w:t>
            </w:r>
          </w:p>
        </w:tc>
      </w:tr>
      <w:tr>
        <w:trPr>
          <w:trHeight w:val="263"/>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(84,572)</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(55,300)</w:t>
            </w:r>
          </w:p>
        </w:tc>
      </w:tr>
      <w:tr>
        <w:trPr>
          <w:trHeight w:val="277"/>
        </w:trPr>
        <w:tc>
          <w:tcPr>
            <w:tcW w:w="4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Professional fees and other external expenses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(402,967)</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(299,508)</w:t>
            </w:r>
          </w:p>
        </w:tc>
      </w:tr>
      <w:tr>
        <w:trPr>
          <w:trHeight w:val="270"/>
        </w:trPr>
        <w:tc>
          <w:tcPr>
            <w:tcW w:w="44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Facility related and other internal expenses</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(85,702)</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(51,077)</w:t>
            </w:r>
          </w:p>
        </w:tc>
      </w:tr>
      <w:tr>
        <w:trPr>
          <w:trHeight w:val="270"/>
        </w:trPr>
        <w:tc>
          <w:tcPr>
            <w:tcW w:w="4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segment (expense) income</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10,779</w:t>
            </w:r>
          </w:p>
        </w:tc>
      </w:tr>
      <w:tr>
        <w:trPr>
          <w:trHeight w:val="257"/>
        </w:trPr>
        <w:tc>
          <w:tcPr>
            <w:tcW w:w="4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8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(229,709)</w:t>
            </w:r>
          </w:p>
        </w:tc>
      </w:tr>
      <w:tr>
        <w:trPr>
          <w:trHeight w:val="27"/>
        </w:trPr>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50" w:lineRule="exact"/>
        <w:rPr>
          <w:sz w:val="20"/>
          <w:szCs w:val="20"/>
          <w:color w:val="auto"/>
        </w:rPr>
      </w:pPr>
    </w:p>
    <w:p>
      <w:pPr>
        <w:ind w:left="820" w:hanging="164"/>
        <w:spacing w:after="0"/>
        <w:tabs>
          <w:tab w:leader="none" w:pos="820" w:val="left"/>
        </w:tabs>
        <w:numPr>
          <w:ilvl w:val="1"/>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Facility and other internal expenses includes occupancy, information technology, and other internal costs.</w:t>
      </w:r>
    </w:p>
    <w:p>
      <w:pPr>
        <w:spacing w:after="0" w:line="68" w:lineRule="exact"/>
        <w:rPr>
          <w:rFonts w:ascii="Times New Roman" w:cs="Times New Roman" w:eastAsia="Times New Roman" w:hAnsi="Times New Roman"/>
          <w:sz w:val="21"/>
          <w:szCs w:val="21"/>
          <w:color w:val="auto"/>
          <w:vertAlign w:val="superscript"/>
        </w:rPr>
      </w:pPr>
    </w:p>
    <w:p>
      <w:pPr>
        <w:ind w:left="840" w:hanging="184"/>
        <w:spacing w:after="0" w:line="219" w:lineRule="auto"/>
        <w:tabs>
          <w:tab w:leader="none" w:pos="840" w:val="left"/>
        </w:tabs>
        <w:numPr>
          <w:ilvl w:val="1"/>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(expense) income includes interest income, interest expense, loss on extinguishment of debt and other expense, net.</w:t>
      </w:r>
    </w:p>
    <w:p>
      <w:pPr>
        <w:spacing w:after="0" w:line="302" w:lineRule="exact"/>
        <w:rPr>
          <w:rFonts w:ascii="Times New Roman" w:cs="Times New Roman" w:eastAsia="Times New Roman" w:hAnsi="Times New Roman"/>
          <w:sz w:val="23"/>
          <w:szCs w:val="23"/>
          <w:color w:val="auto"/>
          <w:vertAlign w:val="superscript"/>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(Loss) per Share</w:t>
      </w:r>
    </w:p>
    <w:p>
      <w:pPr>
        <w:spacing w:after="0" w:line="10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Basic net income (loss) per share is computed using the weighted average number of shares outstanding during the period. Diluted net income (loss) per share is computed using the weighted average number of shares outstanding and the weighted average incremental shares issuable under stock-based awards and warrants, determined using the treasury stock method, to the extent their inclusion is dilutive. For the three months ended September 30, 2026, diluted net income per share includes the dilutive effect of stock-based awards and warrants. However, for the three months ended September 30, 2025 and the nine months ended September 30, 2026 and 2025, diluted net loss per share is the same as basic net loss per share because the inclusion of weighted average shares of common stock issuable upon the exercise of stock options and warrants or vesting of restricted stock units would have been anti-dilutive.</w:t>
      </w:r>
    </w:p>
    <w:p>
      <w:pPr>
        <w:spacing w:after="0" w:line="73"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Weighted average common shares outstanding include (i) the Pre-Funded Warrants, as the exercise price is negligible, and (ii) PSUs that have been earned but are subject to a delayed settlement feature, as the vesting conditions have been met but the shares will be settled at a later date. Series A and B Preferred Stock are also included in the calculation of net income (loss) per share under the two-class method. The Series A and B Preferred Stock have no preferential treatment compared to shares of common stock and therefore, the Series A and B Preferred Stock are considered additional classes of common stock for purposes of calculating net income (loss) per share. As the Series A and B Preferred Stock are convertible into shares of common stock at a one-to-one ratio and participate equally with common stock on a per-share basis, the basic and diluted net income (loss) per share of the Series A and B Preferred Stock is the same as basic and diluted net income (loss) per common share and, accordingly, the Company presents a single set of basic and diluted net income (loss) per share amounts applicable to all three classes.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(loss) per common, Series A preferred, and Series B preferred share (in thousands, except share and per share amounts):</w:t>
      </w:r>
    </w:p>
    <w:p>
      <w:pPr>
        <w:spacing w:after="0" w:line="115" w:lineRule="exact"/>
        <w:rPr>
          <w:sz w:val="20"/>
          <w:szCs w:val="20"/>
          <w:color w:val="auto"/>
        </w:rPr>
      </w:pPr>
    </w:p>
    <w:tbl>
      <w:tblPr>
        <w:tblLayout w:type="fixed"/>
        <w:tblInd w:w="76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20" w:type="dxa"/>
            <w:vAlign w:val="bottom"/>
            <w:gridSpan w:val="4"/>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3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190"/>
        </w:trPr>
        <w:tc>
          <w:tcPr>
            <w:tcW w:w="3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70"/>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8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(229,709)</w:t>
            </w: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189"/>
        </w:trPr>
        <w:tc>
          <w:tcPr>
            <w:tcW w:w="368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Weighted-average common, Series A preferred</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76"/>
        </w:trPr>
        <w:tc>
          <w:tcPr>
            <w:tcW w:w="368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and Series B preferred shares outstanding,</w:t>
            </w: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43"/>
        </w:trPr>
        <w:tc>
          <w:tcPr>
            <w:tcW w:w="3680" w:type="dxa"/>
            <w:vAlign w:val="bottom"/>
          </w:tcPr>
          <w:p>
            <w:pPr>
              <w:ind w:left="100"/>
              <w:spacing w:after="0" w:line="243" w:lineRule="exact"/>
              <w:rPr>
                <w:sz w:val="20"/>
                <w:szCs w:val="20"/>
                <w:color w:val="auto"/>
              </w:rPr>
            </w:pPr>
            <w:r>
              <w:rPr>
                <w:rFonts w:ascii="Times New Roman" w:cs="Times New Roman" w:eastAsia="Times New Roman" w:hAnsi="Times New Roman"/>
                <w:sz w:val="18"/>
                <w:szCs w:val="18"/>
                <w:color w:val="auto"/>
              </w:rPr>
              <w:t>basic</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29,247,673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28,508,089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28,276,865</w:t>
            </w: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43"/>
        </w:trPr>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issuable under equity plans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1,050,361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issuable under warrants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36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Weighted-average common, Series A preferred</w:t>
            </w: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03"/>
        </w:trPr>
        <w:tc>
          <w:tcPr>
            <w:tcW w:w="36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and Series B preferred shares outstanding,</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61"/>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30,313,137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28,508,089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29,142,570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28,276,865</w:t>
            </w:r>
          </w:p>
        </w:tc>
      </w:tr>
      <w:tr>
        <w:trPr>
          <w:trHeight w:val="270"/>
        </w:trPr>
        <w:tc>
          <w:tcPr>
            <w:tcW w:w="36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Series A</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8"/>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and Series B preferred share - 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common, Series A</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8"/>
        </w:trPr>
        <w:tc>
          <w:tcPr>
            <w:tcW w:w="3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and Series B preferred share - diluted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bl>
    <w:p>
      <w:pPr>
        <w:spacing w:after="0" w:line="279" w:lineRule="exact"/>
        <w:rPr>
          <w:sz w:val="20"/>
          <w:szCs w:val="20"/>
          <w:color w:val="auto"/>
        </w:rPr>
      </w:pPr>
    </w:p>
    <w:p>
      <w:pPr>
        <w:ind w:right="120" w:firstLine="656"/>
        <w:spacing w:after="0" w:line="271" w:lineRule="auto"/>
        <w:tabs>
          <w:tab w:leader="none" w:pos="813"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Basic weighted average shares outstanding reflect the weighted-average impact of common stock, Pre-Funded Warrants, Series A and Series B convertible preferred shares outstanding, and earned PSUs during the period. Diluted weighted average shares outstanding also include the weighted average incremental shares from dilutive stock-based awards and warrants, as applicable.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potential common shares excluded from the computation of diluted earnings per common, Series A preferred,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Series B preferred share for the three and nine months ended September 30, 2026 and 2025, as their inclusion would have been anti-dilutive:</w:t>
      </w:r>
    </w:p>
    <w:p>
      <w:pPr>
        <w:spacing w:after="0" w:line="241"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31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8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0"/>
        </w:trPr>
        <w:tc>
          <w:tcPr>
            <w:tcW w:w="4600" w:type="dxa"/>
            <w:vAlign w:val="bottom"/>
          </w:tcPr>
          <w:p>
            <w:pPr>
              <w:spacing w:after="0"/>
              <w:rPr>
                <w:sz w:val="17"/>
                <w:szCs w:val="17"/>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5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50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5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issuable under equity plans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299,454</w:t>
            </w: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2,177,363</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2,120,673</w:t>
            </w:r>
          </w:p>
        </w:tc>
        <w:tc>
          <w:tcPr>
            <w:tcW w:w="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2,177,363</w:t>
            </w:r>
          </w:p>
        </w:tc>
      </w:tr>
      <w:tr>
        <w:trPr>
          <w:trHeight w:val="270"/>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issuable under warrants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c>
          <w:tcPr>
            <w:tcW w:w="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19,454</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 to previously issued financial statements</w:t>
      </w:r>
    </w:p>
    <w:p>
      <w:pPr>
        <w:spacing w:after="0" w:line="106"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The Company previously concluded that its Pre-Funded Warrants and Series A and B Preferred Stock should be excluded from the calculation of basic and diluted net loss per share pursuant to the two-class method. In preparation of the financial statements for the three months ended March 31, 2026, the Company determined that the exercise of the Pre-Funded Warrants was not subject to a contingency, as previously concluded, and have a negligible exercise price of $0.0001. The Company also determined that the Series A and B Preferred Stock do not have preferential rights over the Company’s common stock and should therefore be considered additional classes of the Company’s common stock for the earnings per share calculations. As a result of the correction, the Pre-Funded Warrants and the Series A and B Preferred Stock should be included in basic and diluted net loss per share calculation.</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assessed the materiality of the change in the calculation of net loss per share, considering both quantitative and qualitative factors, and concluded that the effects of the change to the calculation and presentation of net loss per share are not material, individually or in the aggregate, to any previously reported quarterly or annual period and</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are not expected to be material to the current period annual financial statements. However, the Company has revised its presentation of net loss per share previously included in the Company’s consolidated financial statements to reflect the inclusion of the Pre-Funded Warrants and Series A and B Preferred Stock in basic and diluted weighted average shares outstanding for the three and nine months ended September 30, 2025 and these revisions are reflected in this Form 10-Q. All related amounts have been updated to reflect the effects of the revision throughout the financial statements and related footnotes, as applicable. The Company will also revise its presentation of net loss per share consistent with the foregoing in its future filings, as applicable.</w:t>
      </w:r>
    </w:p>
    <w:p>
      <w:pPr>
        <w:spacing w:after="0" w:line="195"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18"/>
          <w:szCs w:val="18"/>
          <w:color w:val="auto"/>
        </w:rPr>
        <w:t>As the Series A and B Preferred Stock are convertible into shares of common stock at a one-to-one ratio, the basic and diluted net loss per share of the Series A and Series B Preferred Stock is the same as basic and diluted net loss per common share and accordingly, the Company has not separately presented the basic and diluted net loss per share for each class, and has calculated the basic and diluted net loss per share by including all shares in the denominator.</w:t>
      </w:r>
    </w:p>
    <w:p>
      <w:pPr>
        <w:spacing w:after="0" w:line="17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impact of the revision on both the weighted average shares outstanding and net loss per share calculations for each of the relevant periods: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w:t>
            </w:r>
          </w:p>
        </w:tc>
        <w:tc>
          <w:tcPr>
            <w:tcW w:w="300" w:type="dxa"/>
            <w:vAlign w:val="bottom"/>
          </w:tcPr>
          <w:p>
            <w:pPr>
              <w:spacing w:after="0"/>
              <w:rPr>
                <w:sz w:val="16"/>
                <w:szCs w:val="16"/>
                <w:color w:val="auto"/>
              </w:rPr>
            </w:pPr>
          </w:p>
        </w:tc>
        <w:tc>
          <w:tcPr>
            <w:tcW w:w="376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Net Loss per Share</w:t>
            </w:r>
          </w:p>
        </w:tc>
      </w:tr>
      <w:tr>
        <w:trPr>
          <w:trHeight w:val="23"/>
        </w:trPr>
        <w:tc>
          <w:tcPr>
            <w:tcW w:w="58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00"/>
        </w:trPr>
        <w:tc>
          <w:tcPr>
            <w:tcW w:w="580" w:type="dxa"/>
            <w:vAlign w:val="bottom"/>
          </w:tcPr>
          <w:p>
            <w:pPr>
              <w:spacing w:after="0"/>
              <w:rPr>
                <w:sz w:val="17"/>
                <w:szCs w:val="17"/>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 Impacted</w:t>
            </w: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300" w:type="dxa"/>
            <w:vAlign w:val="bottom"/>
          </w:tcPr>
          <w:p>
            <w:pPr>
              <w:spacing w:after="0"/>
              <w:rPr>
                <w:sz w:val="17"/>
                <w:szCs w:val="17"/>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00" w:type="dxa"/>
            <w:vAlign w:val="bottom"/>
          </w:tcPr>
          <w:p>
            <w:pPr>
              <w:spacing w:after="0"/>
              <w:rPr>
                <w:sz w:val="17"/>
                <w:szCs w:val="17"/>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As Revised</w:t>
            </w:r>
          </w:p>
        </w:tc>
      </w:tr>
      <w:tr>
        <w:trPr>
          <w:trHeight w:val="23"/>
        </w:trPr>
        <w:tc>
          <w:tcPr>
            <w:tcW w:w="58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Year-ended 12/31/2025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22,434,310</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28,409,706</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Year-ended 12/31/2024</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21,272,962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26,908,070</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Year-ended 12/31/2023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18,687,774</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21,562,581</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56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243"/>
        </w:trPr>
        <w:tc>
          <w:tcPr>
            <w:tcW w:w="580" w:type="dxa"/>
            <w:vAlign w:val="bottom"/>
          </w:tcPr>
          <w:p>
            <w:pPr>
              <w:spacing w:after="0"/>
              <w:rPr>
                <w:sz w:val="21"/>
                <w:szCs w:val="21"/>
                <w:color w:val="auto"/>
              </w:rPr>
            </w:pPr>
          </w:p>
        </w:tc>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9/30/25</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22,482,502</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28,508,089</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9/30/25</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22,261,718</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28,276,865</w:t>
            </w:r>
          </w:p>
        </w:tc>
        <w:tc>
          <w:tcPr>
            <w:tcW w:w="14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560" w:type="dxa"/>
            <w:vAlign w:val="bottom"/>
          </w:tcPr>
          <w:p>
            <w:pPr>
              <w:spacing w:after="0"/>
              <w:rPr>
                <w:sz w:val="21"/>
                <w:szCs w:val="21"/>
                <w:color w:val="auto"/>
              </w:rPr>
            </w:pPr>
          </w:p>
        </w:tc>
      </w:tr>
      <w:tr>
        <w:trPr>
          <w:trHeight w:val="905"/>
        </w:trPr>
        <w:tc>
          <w:tcPr>
            <w:tcW w:w="5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jc w:val="right"/>
              <w:ind w:right="1233"/>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2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14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together with our unaudited consolidated financial statements included elsewhere in this Quarterly Report on Form 10-Q and our audited financial statements and accompanying notes for the year ended December 31, 2025 and the related Management’s Discussion and Analysis of Financial Condition and Results of Operations, both of which are included in our Annual Report on Form 10-K for the fiscal year ended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08"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are a biopharmaceutical company focused on delivering novel therapeutics for metabolic dysfunction-associated steatohepatitis (“MASH”), a serious liver disease with high unmet medical need that can lead to cirrhosis, liver failure, liver cancer, need for liver transplantation and premature mortality. MASH was previously known as nonalcoholic steatohepatitis (“NASH”). MASH is the leading cause of liver transplantation in women, the second leading cause of all liver transplantation in the United States and the fastest-growing indication for liver transplantation in Europe. Our medication, Rezdiffra (resmetirom), is a once-daily, oral, liver-directed thyroid hormone receptor beta (“THR-β”) agonist designed to target key underlying causes of MASH. In March 2024, Rezdiffra became the first therapy approved by the U.S. Food and Drug Administration (“FDA”) for patients with MASH and was commercially available in the United States beginning in April 2024. Following receipt of conditional marketing authorization (“CMA”) from the European Commission (“EC”), we launched Rezdiffra in Germany in September 2025. Rezdiffra was the first medication approved by both the FDA and EC for the treatment of adults with noncirrhotic MASH with moderate to advanced liver fibrosis (F2 to F3 fibrosis).</w:t>
      </w:r>
    </w:p>
    <w:p>
      <w:pPr>
        <w:spacing w:after="0" w:line="172"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We are also evaluating Rezdiffra in patients with compensated MASH cirrhosis (consistent with F4c fibrosis) in our MAESTRO-NASH OUTCOMES trial, that, if successful, is expected to support the full FDA approval of Rezdiffra for noncirrhotic MASH, and expand the eligible patient population for Rezdiffra with an additional indication in patients with compensated MASH cirrhosis. In this event-driven trial, we are assessing progression to liver decompensation events in patients with compensated MASH cirrhosis treated with Rezdiffra versus placebo. We expect data from the MAESTRO-NASH OUTCOMES trial in late 2027. In addition, we plan to initiate an additional Phase 3 trial in compensated MASH cirrhosis. MAESTRO-CSPH is a new Phase 3 event-driven trial that is expected to enroll more than 2,000 F4c patients, with a population enriched for clinically significant portal hypertension (“CSPH”). Together, we expect data from MAESTRO-NASH OUTCOMES and MAESTRO-CSPH to provide us with the most comprehensive dataset in F4c. Pending regulatory discussions, we expect to initiate MAESTRO-CSPH in the first half of 2027 and anticipate results in the early 2030s.</w:t>
      </w:r>
    </w:p>
    <w:p>
      <w:pPr>
        <w:spacing w:after="0" w:line="191"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In addition, we are advancing a focused pipeline to lead the evolution of MASH treatment for patients for decades to come. Through our business development efforts, we have acquired rights to MGL-2086, an oral glucagon-like peptide-1 (“GLP-1”) receptor agonist, ervogastat, an oral diacylglycerol O-acyltransferase 2 (“DGAT-2”) inhibitor, MGL-0795 (formerly ARO-PNPLA3), an siRNA asset targeting a mutation in the patatin-like phospholipase domain-containing protein 3 (“PNPLA3”) gene, six small interfering RNA (“siRNA”) programs and additional preclinical MASH candidates. We plan to evaluate these candidates with the goal of delivering best-in-disease therapies for the treatment of MASH. As we continue to build our pipeline, we will evaluate mechanisms that fit scientifically, strategically and commercially to enhance our leading position in MASH care.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Rezdiffra</w:t>
      </w:r>
    </w:p>
    <w:p>
      <w:pPr>
        <w:spacing w:after="0" w:line="94"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18"/>
          <w:szCs w:val="18"/>
          <w:color w:val="auto"/>
        </w:rPr>
        <w:t>The FDA’s accelerated approval and the EC’s conditional marketing authorization, as well as Rezdiffra’s approved prescribing information, were supported by 52-week data from our Phase 3 MAESTRO-NASH trial in which both 100 mg and 80 mg doses of Rezdiffra demonstrated statistically significant improvement compared to placebo on (i) MASH resolution with no worsening of fibrosis and (ii) an improvement in fibrosis by at least one stage with no worsening of the nonalcoholic fatty liver disease (“NAFLD”) activity score. MAESTRO-NASH remains ongoing as an outcomes trial where we are generating confirmatory outcomes data to 54-months that, if positive, is expected to verify a clinical benefit and support the full FDA approval of Rezdiffra to treat noncirrhotic MASH. We expect outcomes data from MAESTRO-NASH in 2028. In addition, as discussed above, full FDA approval of Rezdiffra to treat noncirrhotic MASH could also be based on results from our Phase 3 MAESTRO-NASH OUTCOMES trial. A positive outcome in this trial is also expected to support the full FDA approval of Rezdiffra for noncirrhotic MASH, and expand the eligible patient population for Rezdiffra with an additional indication in patients with compensated MASH cirrhosis. We have agreed to submit results from these trials to the European Medicines Agency (“EMA”) in support of full approval of Rezdiffra in the European Union.</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Rezdiffra in MASH</w:t>
      </w:r>
    </w:p>
    <w:p>
      <w:pPr>
        <w:spacing w:after="0" w:line="216"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MASH is a more advanced form of metabolic dysfunction-associated steatotic liver disease (“MASLD”). MASLD has become the most common liver disease in the United States and other developed countries and is characterized by an accumulation of fat in the liver with no other apparent causes. MASH can progress to cirrhosis or liver failure, can require liver transplantation and can also result in liver cancer. Patients with MASH, especially those with more advanced metabolic risk factors (hypertension, concomitant type 2 diabetes), are at increased risk for adverse cardiovascular events and increased morbidity and mortality. In addition, MASH patients with moderate to advanced fibrosis (consistent with fibrosis stages F2 and F3) have a 10-to-17 times higher risk of liver-related mortality. Patients with MASH who progress to cirrhosis face a 42 times higher risk of liver-related mortality, underscoring the need to treat MASH before complications of cirrhosis develop. MASH is also an independent driver of cardiovascular disease, which is the leading cause of mortality for patients.</w:t>
      </w:r>
    </w:p>
    <w:p>
      <w:pPr>
        <w:spacing w:after="0" w:line="179"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18"/>
          <w:szCs w:val="18"/>
          <w:color w:val="auto"/>
        </w:rPr>
        <w:t>Based on published epidemiology data and an analysis of medical claims using ICD-10 disease diagnosis codes as of year-end 2023, we estimated that 315,000 patients diagnosed with MASH with moderate to advanced fibrosis (stages F2 to F3) were under the care of specialist prescribers which we are targeting during the launch of Rezdiffra in the U.S. Through the first half of 2026, we estimate that the number of patients under the care of our target prescribers in the U.S. has grown to more than 530,000 patients with moderate to advanced fibrosis, and as disease awareness improves and disease prevalence increases, we expect the number of identified MASH patients with moderate to advanced fibrosis eligible for treatment to grow significantly going forward. We also estimate that approximately 370,000 patients with MASH with moderate to advanced fibrosis are currently diagnosed and under the care of specialists across Europe. In addition, we estimate that the number of patients with compensated MASH cirrhosis under the care of our target prescribers in the U.S. has grown from approximately 245,000 as of the end of 2024 to approximately 360,000 as of June 30, 2026.</w:t>
      </w:r>
    </w:p>
    <w:p>
      <w:pPr>
        <w:spacing w:after="0" w:line="200" w:lineRule="exact"/>
        <w:rPr>
          <w:sz w:val="20"/>
          <w:szCs w:val="20"/>
          <w:color w:val="auto"/>
        </w:rPr>
      </w:pPr>
    </w:p>
    <w:p>
      <w:pPr>
        <w:ind w:right="380" w:firstLine="648"/>
        <w:spacing w:after="0" w:line="246" w:lineRule="auto"/>
        <w:rPr>
          <w:sz w:val="20"/>
          <w:szCs w:val="20"/>
          <w:color w:val="auto"/>
        </w:rPr>
      </w:pPr>
      <w:r>
        <w:rPr>
          <w:rFonts w:ascii="Times New Roman" w:cs="Times New Roman" w:eastAsia="Times New Roman" w:hAnsi="Times New Roman"/>
          <w:sz w:val="18"/>
          <w:szCs w:val="18"/>
          <w:color w:val="auto"/>
        </w:rPr>
        <w:t>With a growing body of real-world supportive data, we continue to educate healthcare providers and patients on the risks of MASH and the potential clinical benefits and appropriate use of Rezdiffra. During our first six quarters of launch in the United States, we focused our efforts on hepatologists and gastroenterologists. Beginning in the fourth quarter of 2025, we expanded our field team to further target select endocrinologists that provide care to MASH patients. We are also supporting the creation of care pathways for patients at physician offices, driving breadth and depth of Rezdiffra prescribers and engaging with payers to support patient access to therapy.</w:t>
      </w:r>
    </w:p>
    <w:p>
      <w:pPr>
        <w:spacing w:after="0" w:line="181" w:lineRule="exact"/>
        <w:rPr>
          <w:sz w:val="20"/>
          <w:szCs w:val="20"/>
          <w:color w:val="auto"/>
        </w:rPr>
      </w:pPr>
    </w:p>
    <w:p>
      <w:pPr>
        <w:jc w:val="both"/>
        <w:ind w:right="40" w:firstLine="648"/>
        <w:spacing w:after="0" w:line="258" w:lineRule="auto"/>
        <w:rPr>
          <w:sz w:val="20"/>
          <w:szCs w:val="20"/>
          <w:color w:val="auto"/>
        </w:rPr>
      </w:pPr>
      <w:r>
        <w:rPr>
          <w:rFonts w:ascii="Times New Roman" w:cs="Times New Roman" w:eastAsia="Times New Roman" w:hAnsi="Times New Roman"/>
          <w:sz w:val="18"/>
          <w:szCs w:val="18"/>
          <w:color w:val="auto"/>
        </w:rPr>
        <w:t>Beyond Germany, we expect to launch Rezdiffra on a country-by-country basis in Europe dependent on multiple factors, including the completion of reimbursement procedures and regulatory approval where required. In addition, we may enter into distribution agreements with third parties to distribute Rezdiffra in smaller European countries and in other jurisdictions globally.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08"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18"/>
          <w:szCs w:val="18"/>
          <w:color w:val="auto"/>
        </w:rPr>
        <w:t>In August 2026, we announced the appointment of John C. Reed, M.D., Ph.D. to our Board of Directors. Dr. Reed currently serves as Executive Vice President, Innovative Medicine, Research &amp; Development at Johnson &amp; Johnson (“J&amp;J”) and is a member of J&amp;J’s Executive Committee, where he leads research and development across oncology, immunology, neuroscience and other areas of significant unmet medical need. Prior to joining J&amp;J in April 2023, Dr. Reed held executive leadership positions at Sanofi and Roche, serving on their respective executive committees. Earlier in his career, he served as President and Chief Executive Officer of Sanford-Burnham Medical Research Institute (now Sanford Burnham Prebys), where he established multiple disease-focused research centers and platform technology organizations.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08"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In March 2024, the FDA approved Rezdiffra for the treatment of noncirrhotic MASH with moderate to advanced liver fibrosis (consistent with stages F2 to F3 fibrosis). We began generating revenue from sales of Rezdiffra in the United States in April 2024. In addition, we launched Rezdiffra in Germany in September 2025. Revenue is recorded net of variable consideration, which includes prompt pay discounts, returns, chargebacks, rebates, and co-payment assistance.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Cost of sales includes the cost of manufacturing and distribution of inventory related to sales of Rezdiffra, including salaries, benefits and stock-based compensation expense for employees dedicated to the production of Rezdiffra. We expect cost of sales to increase in the future, as manufacturing costs incurred prior to regulatory approval were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expensed to research and development rather than capitalized as inventory, as approval was considered uncertain. Cost of sales also includes royalties payable to F. Hoffmann-La Roche AG (“Roche”) based on net sales of Rezdiffra. Each quarterly period, we estimate our total royalty obligation for the full year and recognize our cost of sales at an even rate over the year, based on an estimated blended royalty rate.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expenses primarily consist of costs associated with our research activities, including the clinical development of our product candidates. We expense our research and development expenses as incurred. We contract with clinical research organizations to manage our clinical trials under agreed upon budgets for each trial, with oversight by our clinical program managers. We account for nonrefundable advance payments for goods and services that will be used in future research and 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04"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 paid to our employees engaged in research and development activities;</w:t>
      </w:r>
    </w:p>
    <w:p>
      <w:pPr>
        <w:spacing w:after="0" w:line="103" w:lineRule="exact"/>
        <w:rPr>
          <w:rFonts w:ascii="Times New Roman" w:cs="Times New Roman" w:eastAsia="Times New Roman" w:hAnsi="Times New Roman"/>
          <w:sz w:val="18"/>
          <w:szCs w:val="18"/>
          <w:color w:val="auto"/>
        </w:rPr>
      </w:pPr>
    </w:p>
    <w:p>
      <w:pPr>
        <w:ind w:left="1300" w:right="8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40" w:lineRule="exact"/>
        <w:rPr>
          <w:rFonts w:ascii="Times New Roman" w:cs="Times New Roman" w:eastAsia="Times New Roman" w:hAnsi="Times New Roman"/>
          <w:sz w:val="18"/>
          <w:szCs w:val="18"/>
          <w:color w:val="auto"/>
        </w:rPr>
      </w:pPr>
    </w:p>
    <w:p>
      <w:pPr>
        <w:ind w:left="1300" w:right="94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activities;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upfront and milestone payments payable pursuant to our license agreements.</w:t>
      </w:r>
    </w:p>
    <w:p>
      <w:pPr>
        <w:spacing w:after="0" w:line="212"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trial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w:t>
      </w:r>
    </w:p>
    <w:p>
      <w:pPr>
        <w:spacing w:after="0" w:line="180"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any future product candidate and are difficult to predict. As a result, we cannot estimate with any degree of certainty the costs we will incur in connection with the development of product candidates at this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and ongoing assessments as to each product candidate’s commercial potential.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08"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benefits and stock-based compensation expenses paid to employees engaged in selling, general and administrative activities, management costs, costs associated with commercial activities, costs associated with obtaining and maintaining our patent portfolio, commercial and marketing activities, professional fees for accounting, auditing, consulting and legal services and allocated overhead expenses.</w:t>
      </w:r>
    </w:p>
    <w:p>
      <w:pPr>
        <w:spacing w:after="0" w:line="17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selling, general and administrative expenses will increase in the future as we expand our operating activities, continue commercialization efforts, including extending operations into new geographies (if</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approved), maintain and expand our patent portfolio and incur additional costs associated with being a public company and maintaining compliance with exchange listing and U.S. Securities and Exchange Commission (“SEC”)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consists primarily of interest and dividend income earned on cash equivalents and marketable securities.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Interest expense consists primarily of interest accrued on principal balances outstanding under our Financing Agreement (as amended from time to time, the “Financing Agreement”) with the guarantors thereunder, certain funds managed by Blue Owl Capital Corporation, as the lenders (the “Lenders”), and LSI Financing LLC, as the administrative agent for the Lenders (the “Administrative Agent”).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consists primarily of realized and unrealized gains and losses on foreign currency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firstLine="648"/>
        <w:spacing w:after="0" w:line="24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amounts of assets, liabilities, revenue, and expenses and the disclosure of contingent assets and liabilities at the date of the financial statements. On an ongoing basis, we evaluate our estimates and judgments, including those related to gross to net expenses, inventory valuation, accrued research and development expenses and stock-based compensation expenses.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as compared to those disclosed in “Part II, Item 7—Management’s Discussion and Analysis of Financial Condition and Results of Operations” in our Annual Report on Form 10-K for the fiscal year ended December 31, 2025 filed with the SEC on February 19, 2026. Refer to Note 2 to the unaudited condensed consolidated financial statements in this Quarterly Report on Form 10-Q for details of accounting policies over revenue and inventory.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and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provides comparative unaudited results of operations for the three months ended September 30, 2026 and 2025 (in thousands):</w:t>
      </w:r>
    </w:p>
    <w:p>
      <w:pPr>
        <w:spacing w:after="0" w:line="258"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5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tcPr>
          <w:p>
            <w:pPr>
              <w:spacing w:after="0"/>
              <w:rPr>
                <w:sz w:val="13"/>
                <w:szCs w:val="13"/>
                <w:color w:val="auto"/>
              </w:rPr>
            </w:pPr>
          </w:p>
        </w:tc>
      </w:tr>
      <w:tr>
        <w:trPr>
          <w:trHeight w:val="195"/>
        </w:trPr>
        <w:tc>
          <w:tcPr>
            <w:tcW w:w="4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05"/>
        </w:trPr>
        <w:tc>
          <w:tcPr>
            <w:tcW w:w="4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63"/>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37,815</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r>
      <w:tr>
        <w:trPr>
          <w:trHeight w:val="270"/>
        </w:trPr>
        <w:tc>
          <w:tcPr>
            <w:tcW w:w="4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265,709</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56,592</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63"/>
        </w:trPr>
        <w:tc>
          <w:tcPr>
            <w:tcW w:w="4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375,279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401,243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4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169,964</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0"/>
        </w:trPr>
        <w:tc>
          <w:tcPr>
            <w:tcW w:w="4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70"/>
        </w:trPr>
        <w:tc>
          <w:tcPr>
            <w:tcW w:w="4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3"/>
                <w:szCs w:val="2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4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145 %</w:t>
            </w:r>
          </w:p>
        </w:tc>
      </w:tr>
      <w:tr>
        <w:trPr>
          <w:trHeight w:val="257"/>
        </w:trPr>
        <w:tc>
          <w:tcPr>
            <w:tcW w:w="4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(114,190)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169,632</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7"/>
        </w:trPr>
        <w:tc>
          <w:tcPr>
            <w:tcW w:w="4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06" w:lineRule="exact"/>
        <w:rPr>
          <w:sz w:val="20"/>
          <w:szCs w:val="20"/>
          <w:color w:val="auto"/>
        </w:rPr>
      </w:pPr>
    </w:p>
    <w:p>
      <w:pPr>
        <w:ind w:right="840" w:firstLine="648"/>
        <w:spacing w:after="0" w:line="266" w:lineRule="auto"/>
        <w:rPr>
          <w:sz w:val="20"/>
          <w:szCs w:val="20"/>
          <w:color w:val="auto"/>
        </w:rPr>
      </w:pPr>
      <w:r>
        <w:rPr>
          <w:rFonts w:ascii="Times New Roman" w:cs="Times New Roman" w:eastAsia="Times New Roman" w:hAnsi="Times New Roman"/>
          <w:sz w:val="18"/>
          <w:szCs w:val="18"/>
          <w:color w:val="auto"/>
        </w:rPr>
        <w:t>We recorded $431.3 million of product revenue, net for the three months ended September 30, 2026, compared to $287.3 million in the corresponding period in 2025. The increase was driven by increased demand for Rezdiffra in the United States in 2026.</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92" w:lineRule="exact"/>
        <w:rPr>
          <w:sz w:val="20"/>
          <w:szCs w:val="20"/>
          <w:color w:val="auto"/>
        </w:rPr>
      </w:pPr>
    </w:p>
    <w:p>
      <w:pPr>
        <w:jc w:val="both"/>
        <w:ind w:right="200" w:firstLine="648"/>
        <w:spacing w:after="0"/>
        <w:rPr>
          <w:sz w:val="20"/>
          <w:szCs w:val="20"/>
          <w:color w:val="auto"/>
        </w:rPr>
      </w:pPr>
      <w:r>
        <w:rPr>
          <w:rFonts w:ascii="Times New Roman" w:cs="Times New Roman" w:eastAsia="Times New Roman" w:hAnsi="Times New Roman"/>
          <w:sz w:val="18"/>
          <w:szCs w:val="18"/>
          <w:color w:val="auto"/>
        </w:rPr>
        <w:t>Cost of sales was incurred as a result of sales of Rezdiffra and includes non-cash stock-based compensation expense for employees dedicated to the production of Rezdiffra. For the three months ended September 30, 2026, we recorded $37.8 million of cost of sales compared to $18.1 million in the corresponding period in 2025. The increase in cost of sales was primarily driven by an increase in royalties payable to Roche as a result of an increase in net sales of Rezdiffra in 2026.</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three months ended September 30, 2026 and 2025 (in thousands):</w:t>
      </w:r>
    </w:p>
    <w:p>
      <w:pPr>
        <w:spacing w:after="0" w:line="3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40" w:type="dxa"/>
            <w:vAlign w:val="bottom"/>
          </w:tcPr>
          <w:p>
            <w:pPr>
              <w:spacing w:after="0"/>
              <w:rPr>
                <w:sz w:val="13"/>
                <w:szCs w:val="13"/>
                <w:color w:val="auto"/>
              </w:rPr>
            </w:pPr>
          </w:p>
        </w:tc>
      </w:tr>
      <w:tr>
        <w:trPr>
          <w:trHeight w:val="196"/>
        </w:trPr>
        <w:tc>
          <w:tcPr>
            <w:tcW w:w="344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06"/>
        </w:trPr>
        <w:tc>
          <w:tcPr>
            <w:tcW w:w="3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benefit-related expenses</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other external expenses</w:t>
            </w:r>
          </w:p>
        </w:tc>
        <w:tc>
          <w:tcPr>
            <w:tcW w:w="10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(109,003)</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43"/>
        </w:trPr>
        <w:tc>
          <w:tcPr>
            <w:tcW w:w="34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Facility related and other internal expenses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2"/>
        </w:trPr>
        <w:tc>
          <w:tcPr>
            <w:tcW w:w="3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174,004</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(102,249)</w:t>
            </w: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820" w:hanging="164"/>
        <w:spacing w:after="0"/>
        <w:tabs>
          <w:tab w:leader="none" w:pos="82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Facility and other internal expenses includes occupancy, information technology, and other internal costs.</w:t>
      </w:r>
    </w:p>
    <w:p>
      <w:pPr>
        <w:spacing w:after="0" w:line="19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expenses were $71.8 million for the three months ended September 30, 2026, compared to $174.0 million in the corresponding period in 2025. Research and development expenses include non-cash stock-based compensation expense associated with employees engaged in research and development activities. Research and development expenses decreased by $102.2 million in the 2026 period. The decrease was primarily attributable to one-time upfront business development expenses of $117.3 million recognized in the corresponding period in 2025. This decrease was partially offset by higher clinical development costs resulting from additional studies related to our expanded pipeline in 2026 and a $7.3 million increase in compensation and benefit-related expenses, including stock-based compensation, reflecting increased headcount to support pipeline expansion activities in 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selling, general and administrative expenses for the three months ended September 30, 2026 and 2025 (in thousands):</w:t>
      </w:r>
    </w:p>
    <w:p>
      <w:pPr>
        <w:spacing w:after="0" w:line="8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13335</wp:posOffset>
            </wp:positionV>
            <wp:extent cx="40716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7" w:lineRule="exact"/>
        <w:rPr>
          <w:sz w:val="20"/>
          <w:szCs w:val="20"/>
          <w:color w:val="auto"/>
        </w:rPr>
      </w:pPr>
    </w:p>
    <w:p>
      <w:pPr>
        <w:ind w:left="4640"/>
        <w:spacing w:after="0"/>
        <w:tabs>
          <w:tab w:leader="none" w:pos="6220" w:val="left"/>
          <w:tab w:leader="none" w:pos="7680" w:val="left"/>
          <w:tab w:leader="none" w:pos="9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33655</wp:posOffset>
            </wp:positionV>
            <wp:extent cx="613791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37910" cy="16319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75" w:lineRule="exact"/>
        <w:rPr>
          <w:sz w:val="20"/>
          <w:szCs w:val="20"/>
          <w:color w:val="auto"/>
        </w:rPr>
      </w:pPr>
    </w:p>
    <w:p>
      <w:pPr>
        <w:ind w:left="800"/>
        <w:spacing w:after="0" w:line="297" w:lineRule="auto"/>
        <w:rPr>
          <w:sz w:val="20"/>
          <w:szCs w:val="20"/>
          <w:color w:val="auto"/>
        </w:rPr>
      </w:pPr>
      <w:r>
        <w:rPr>
          <w:rFonts w:ascii="Times New Roman" w:cs="Times New Roman" w:eastAsia="Times New Roman" w:hAnsi="Times New Roman"/>
          <w:sz w:val="18"/>
          <w:szCs w:val="18"/>
          <w:color w:val="auto"/>
        </w:rPr>
        <w:t>Compensation and benefit-related expenses $ Stock-based compensation</w:t>
      </w:r>
    </w:p>
    <w:p>
      <w:pPr>
        <w:spacing w:after="0" w:line="1" w:lineRule="exact"/>
        <w:rPr>
          <w:sz w:val="20"/>
          <w:szCs w:val="20"/>
          <w:color w:val="auto"/>
        </w:rPr>
      </w:pPr>
    </w:p>
    <w:p>
      <w:pPr>
        <w:ind w:left="800" w:right="780"/>
        <w:spacing w:after="0" w:line="237" w:lineRule="auto"/>
        <w:rPr>
          <w:sz w:val="20"/>
          <w:szCs w:val="20"/>
          <w:color w:val="auto"/>
        </w:rPr>
      </w:pPr>
      <w:r>
        <w:rPr>
          <w:rFonts w:ascii="Times New Roman" w:cs="Times New Roman" w:eastAsia="Times New Roman" w:hAnsi="Times New Roman"/>
          <w:sz w:val="18"/>
          <w:szCs w:val="18"/>
          <w:color w:val="auto"/>
        </w:rPr>
        <w:t>Professional fees and other external expenses</w:t>
      </w:r>
    </w:p>
    <w:p>
      <w:pPr>
        <w:spacing w:after="0" w:line="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Facility related and other internal</w:t>
      </w:r>
    </w:p>
    <w:p>
      <w:pPr>
        <w:ind w:left="80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800"/>
        <w:spacing w:after="0"/>
        <w:tabs>
          <w:tab w:leader="none" w:pos="40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86,438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67,101</w:t>
            </w:r>
          </w:p>
        </w:tc>
        <w:tc>
          <w:tcPr>
            <w:tcW w:w="1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7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30,133</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10,354</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432"/>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122,719</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21,066</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432"/>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26,419</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5,835</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7"/>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265,709</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209,117</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56,592</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0"/>
        </w:trPr>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-744855</wp:posOffset>
            </wp:positionV>
            <wp:extent cx="6137910" cy="27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37910" cy="27432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-196215</wp:posOffset>
            </wp:positionV>
            <wp:extent cx="6137910" cy="196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160" w:space="720"/>
            <w:col w:w="6320"/>
          </w:cols>
          <w:pgMar w:left="320" w:top="117" w:right="379" w:bottom="1440" w:gutter="0" w:footer="0" w:header="0"/>
          <w:type w:val="continuous"/>
        </w:sectPr>
      </w:pPr>
    </w:p>
    <w:p>
      <w:pPr>
        <w:ind w:left="820" w:hanging="164"/>
        <w:spacing w:after="0"/>
        <w:tabs>
          <w:tab w:leader="none" w:pos="82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Facility and other internal expenses includes occupancy, information technology, and other internal costs.</w:t>
      </w:r>
    </w:p>
    <w:p>
      <w:pPr>
        <w:spacing w:after="0" w:line="7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Our selling, general and administrative expenses were $265.7 million for the three months ended September 30, 2026, compared to $209.1 million in the corresponding period in 2025. Selling, general and administrative expenses includes non-cash stock-based compensation expense. Selling, general and administrative expenses increased by $56.6 million in the 2026 period, primarily due to a $21.1 million increase in professional fees and other external expenses as a result of continued investment in commercial activities for Rezdiffra, including direct-to-consumer (DTC) marketing efforts and a</w:t>
      </w:r>
    </w:p>
    <w:p>
      <w:pPr>
        <w:spacing w:after="0" w:line="2"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18"/>
          <w:szCs w:val="18"/>
          <w:color w:val="auto"/>
        </w:rPr>
        <w:t>$29.7 million increase in compensation and benefit-related expenses and stock-based compensation expense primarily due to headcount for the endocrinology field force expansion that began in the fourth quarter of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net interest income was $8.2 million for the three months ended September 30, 2026, compared to $10.3 million in the corresponding period in 2025. The decrease in interest income was primarily due to lower interest rates and</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average balances of interest-bearing cash equivalents and marketable securities compared to the corresponding period in 2025.</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06" w:lineRule="exact"/>
        <w:rPr>
          <w:sz w:val="20"/>
          <w:szCs w:val="20"/>
          <w:color w:val="auto"/>
        </w:rPr>
      </w:pPr>
    </w:p>
    <w:p>
      <w:pPr>
        <w:ind w:right="160" w:firstLine="648"/>
        <w:spacing w:after="0" w:line="242" w:lineRule="auto"/>
        <w:rPr>
          <w:sz w:val="20"/>
          <w:szCs w:val="20"/>
          <w:color w:val="auto"/>
        </w:rPr>
      </w:pPr>
      <w:r>
        <w:rPr>
          <w:rFonts w:ascii="Times New Roman" w:cs="Times New Roman" w:eastAsia="Times New Roman" w:hAnsi="Times New Roman"/>
          <w:sz w:val="18"/>
          <w:szCs w:val="18"/>
          <w:color w:val="auto"/>
        </w:rPr>
        <w:t>Our interest expense was $8.1 million for the three months ended September 30, 2026, compared to $7.5 million in the corresponding period in 2025. The increase was primarily attributable to a higher average outstanding principal balance, reflecting the full quarter impact of borrowings under the Financing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consists primarily of realized and unrealized gains and losses on foreign currency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and 2025</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nine months ended September 30, 2026 and 2025 (in thousands):</w:t>
      </w:r>
    </w:p>
    <w:p>
      <w:pPr>
        <w:spacing w:after="0" w:line="24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5"/>
        </w:trPr>
        <w:tc>
          <w:tcPr>
            <w:tcW w:w="4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04"/>
        </w:trPr>
        <w:tc>
          <w:tcPr>
            <w:tcW w:w="4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4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1,106,857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637,320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469,537</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63"/>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104,669</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r>
      <w:tr>
        <w:trPr>
          <w:trHeight w:val="270"/>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271,625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823,605</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573,851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249,754</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64"/>
        </w:trPr>
        <w:tc>
          <w:tcPr>
            <w:tcW w:w="4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1,199,899</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877,808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322,091</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63"/>
        </w:trPr>
        <w:tc>
          <w:tcPr>
            <w:tcW w:w="4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(240,488)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147,446</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0"/>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70"/>
        </w:trPr>
        <w:tc>
          <w:tcPr>
            <w:tcW w:w="4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45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976 %</w:t>
            </w:r>
          </w:p>
        </w:tc>
      </w:tr>
      <w:tr>
        <w:trPr>
          <w:trHeight w:val="257"/>
        </w:trPr>
        <w:tc>
          <w:tcPr>
            <w:tcW w:w="4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(96,888)</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(229,709)</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132,821</w:t>
            </w:r>
          </w:p>
        </w:tc>
        <w:tc>
          <w:tcPr>
            <w:tcW w:w="100" w:type="dxa"/>
            <w:vAlign w:val="bottom"/>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
        </w:trPr>
        <w:tc>
          <w:tcPr>
            <w:tcW w:w="4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06"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We recorded $1,106.9 million of product revenue, net for the nine months ended September 30, 2026, compared to $637.3 million in the corresponding period in 2025. The increase was driven by increased demand for Rezdiffra in the United States in 2026.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Cost of sales were incurred as a result of sales of Rezdiffra and includes non-cash stock-based compensation expense for employees dedicated to the production of Rezdiffra. For the nine months ended September 30, 2026, we recorded $104.7 million of cost of sales compared to $31.7 million in the corresponding period in 2025. The increase in cost of sales was primarily driven by (i) an increase in royalties payable to Roche as a result of an increase in net sales of Rezdiffra in 2026 and (ii) a write-down of $10.4 million for certain work-in-process inventory that did not meet quality specifications.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our research and development expenses for the nine months ended September 30, 2026 and 2025 (in thousands):</w:t>
      </w:r>
    </w:p>
    <w:p>
      <w:pPr>
        <w:spacing w:after="0" w:line="3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740" w:type="dxa"/>
            <w:vAlign w:val="bottom"/>
          </w:tcPr>
          <w:p>
            <w:pPr>
              <w:spacing w:after="0"/>
              <w:rPr>
                <w:sz w:val="13"/>
                <w:szCs w:val="13"/>
                <w:color w:val="auto"/>
              </w:rPr>
            </w:pPr>
          </w:p>
        </w:tc>
      </w:tr>
      <w:tr>
        <w:trPr>
          <w:trHeight w:val="196"/>
        </w:trPr>
        <w:tc>
          <w:tcPr>
            <w:tcW w:w="34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192"/>
        </w:trPr>
        <w:tc>
          <w:tcPr>
            <w:tcW w:w="3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3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benefit-related expenses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other external expenses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220,397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(24,014)</w:t>
            </w:r>
          </w:p>
        </w:tc>
        <w:tc>
          <w:tcPr>
            <w:tcW w:w="8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4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Facility related and other internal expenses</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tcBorders>
              <w:bottom w:val="single" w:sz="8" w:color="CCEEFF"/>
            </w:tcBorders>
          </w:tcPr>
          <w:p>
            <w:pPr>
              <w:spacing w:after="0"/>
              <w:rPr>
                <w:sz w:val="21"/>
                <w:szCs w:val="21"/>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2"/>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820" w:hanging="164"/>
        <w:spacing w:after="0"/>
        <w:tabs>
          <w:tab w:leader="none" w:pos="820"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Facility and other internal expenses includes occupancy, information technology, and other internal costs.</w:t>
      </w:r>
    </w:p>
    <w:p>
      <w:pPr>
        <w:spacing w:after="0" w:line="19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expenses were $271.6 million for the nine months ended September 30, 2026, compared to $272.3 million in the corresponding period in 2025. Research and development expenses include non-cash stock-based compensation expense associated with employees engaged in research and development activities. Research and development expenses decreased by $0.6 million in the 2026 period. The change included a $24.0 million decrease in professional fees and other external expenses, primarily attributable to lower upfront business development expenses in 2026, partially offset by higher clinical development costs resulting from additional studies related to our expanded pipeline in 2026. The decrease in professional fees and other external expenses was offset by a $24.1 million increase in compensation and benefit-related expenses, including stock-based compensation, reflecting increased headcount to support pipeline expansion activities.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0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selling, general and administrative expenses for the nine months ended September 30, 2026 and 2025 (in thousands):</w:t>
      </w:r>
    </w:p>
    <w:p>
      <w:pPr>
        <w:spacing w:after="0" w:line="88"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32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13335</wp:posOffset>
            </wp:positionV>
            <wp:extent cx="4071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spacing w:after="0" w:line="17" w:lineRule="exact"/>
        <w:rPr>
          <w:sz w:val="20"/>
          <w:szCs w:val="20"/>
          <w:color w:val="auto"/>
        </w:rPr>
      </w:pPr>
    </w:p>
    <w:p>
      <w:pPr>
        <w:ind w:left="4640"/>
        <w:spacing w:after="0"/>
        <w:tabs>
          <w:tab w:leader="none" w:pos="6220" w:val="left"/>
          <w:tab w:leader="none" w:pos="7680" w:val="left"/>
          <w:tab w:leader="none" w:pos="930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33655</wp:posOffset>
            </wp:positionV>
            <wp:extent cx="6137910"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37910" cy="16319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p>
      <w:pPr>
        <w:spacing w:after="0" w:line="75" w:lineRule="exact"/>
        <w:rPr>
          <w:sz w:val="20"/>
          <w:szCs w:val="20"/>
          <w:color w:val="auto"/>
        </w:rPr>
      </w:pPr>
    </w:p>
    <w:p>
      <w:pPr>
        <w:ind w:left="800"/>
        <w:spacing w:after="0" w:line="297" w:lineRule="auto"/>
        <w:rPr>
          <w:sz w:val="20"/>
          <w:szCs w:val="20"/>
          <w:color w:val="auto"/>
        </w:rPr>
      </w:pPr>
      <w:r>
        <w:rPr>
          <w:rFonts w:ascii="Times New Roman" w:cs="Times New Roman" w:eastAsia="Times New Roman" w:hAnsi="Times New Roman"/>
          <w:sz w:val="18"/>
          <w:szCs w:val="18"/>
          <w:color w:val="auto"/>
        </w:rPr>
        <w:t>Compensation and benefit-related expenses $ Stock-based compensation</w:t>
      </w:r>
    </w:p>
    <w:p>
      <w:pPr>
        <w:spacing w:after="0" w:line="1" w:lineRule="exact"/>
        <w:rPr>
          <w:sz w:val="20"/>
          <w:szCs w:val="20"/>
          <w:color w:val="auto"/>
        </w:rPr>
      </w:pPr>
    </w:p>
    <w:p>
      <w:pPr>
        <w:ind w:left="800" w:right="780"/>
        <w:spacing w:after="0" w:line="237" w:lineRule="auto"/>
        <w:rPr>
          <w:sz w:val="20"/>
          <w:szCs w:val="20"/>
          <w:color w:val="auto"/>
        </w:rPr>
      </w:pPr>
      <w:r>
        <w:rPr>
          <w:rFonts w:ascii="Times New Roman" w:cs="Times New Roman" w:eastAsia="Times New Roman" w:hAnsi="Times New Roman"/>
          <w:sz w:val="18"/>
          <w:szCs w:val="18"/>
          <w:color w:val="auto"/>
        </w:rPr>
        <w:t>Professional fees and other external expenses</w:t>
      </w:r>
    </w:p>
    <w:p>
      <w:pPr>
        <w:spacing w:after="0" w:line="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Facility related and other internal</w:t>
      </w:r>
    </w:p>
    <w:p>
      <w:pPr>
        <w:ind w:left="80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23"/>
          <w:szCs w:val="23"/>
          <w:color w:val="auto"/>
          <w:vertAlign w:val="superscript"/>
        </w:rPr>
        <w:t>(1)</w:t>
      </w:r>
    </w:p>
    <w:p>
      <w:pPr>
        <w:spacing w:after="0" w:line="6" w:lineRule="exact"/>
        <w:rPr>
          <w:sz w:val="20"/>
          <w:szCs w:val="20"/>
          <w:color w:val="auto"/>
        </w:rPr>
      </w:pPr>
    </w:p>
    <w:p>
      <w:pPr>
        <w:ind w:left="800"/>
        <w:spacing w:after="0"/>
        <w:tabs>
          <w:tab w:leader="none" w:pos="40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250,364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167,966</w:t>
            </w:r>
          </w:p>
        </w:tc>
        <w:tc>
          <w:tcPr>
            <w:tcW w:w="10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82,398</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0"/>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84,572</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55,300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29,272</w:t>
            </w:r>
          </w:p>
        </w:tc>
        <w:tc>
          <w:tcPr>
            <w:tcW w:w="1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432"/>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402,967</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299,508</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103,459</w:t>
            </w:r>
          </w:p>
        </w:tc>
        <w:tc>
          <w:tcPr>
            <w:tcW w:w="10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432"/>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85,702</w:t>
            </w: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51,077</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34,625</w:t>
            </w:r>
          </w:p>
        </w:tc>
        <w:tc>
          <w:tcPr>
            <w:tcW w:w="10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236"/>
        </w:trPr>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823,605</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573,851</w:t>
            </w:r>
          </w:p>
        </w:tc>
        <w:tc>
          <w:tcPr>
            <w:tcW w:w="100" w:type="dxa"/>
            <w:vAlign w:val="bottom"/>
          </w:tcPr>
          <w:p>
            <w:pPr>
              <w:spacing w:after="0"/>
              <w:rPr>
                <w:sz w:val="20"/>
                <w:szCs w:val="20"/>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249,754</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1"/>
        </w:trPr>
        <w:tc>
          <w:tcPr>
            <w:tcW w:w="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-745490</wp:posOffset>
            </wp:positionV>
            <wp:extent cx="613791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37910" cy="274320"/>
                    </a:xfrm>
                    <a:prstGeom prst="rect">
                      <a:avLst/>
                    </a:prstGeom>
                    <a:noFill/>
                  </pic:spPr>
                </pic:pic>
              </a:graphicData>
            </a:graphic>
          </wp:anchor>
        </w:drawing>
        <w:drawing>
          <wp:anchor simplePos="0" relativeHeight="251657728" behindDoc="1" locked="0" layoutInCell="0" allowOverlap="1">
            <wp:simplePos x="0" y="0"/>
            <wp:positionH relativeFrom="column">
              <wp:posOffset>-2595880</wp:posOffset>
            </wp:positionH>
            <wp:positionV relativeFrom="paragraph">
              <wp:posOffset>-196215</wp:posOffset>
            </wp:positionV>
            <wp:extent cx="6137910" cy="196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37910" cy="19685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160" w:space="720"/>
            <w:col w:w="6340"/>
          </w:cols>
          <w:pgMar w:left="320" w:top="117" w:right="359" w:bottom="1440" w:gutter="0" w:footer="0" w:header="0"/>
          <w:type w:val="continuous"/>
        </w:sectPr>
      </w:pPr>
    </w:p>
    <w:p>
      <w:pPr>
        <w:ind w:left="820" w:hanging="164"/>
        <w:spacing w:after="0"/>
        <w:tabs>
          <w:tab w:leader="none" w:pos="820"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Facility and other internal expenses includes occupancy, information technology, and other internal costs.</w:t>
      </w:r>
    </w:p>
    <w:p>
      <w:pPr>
        <w:spacing w:after="0" w:line="184"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18"/>
          <w:szCs w:val="18"/>
          <w:color w:val="auto"/>
        </w:rPr>
        <w:t>Our selling, general and administrative expenses were $823.6 million for the nine months ended September 30, 2026, compared to $573.9 million in the corresponding period in 2025. Selling, general and administrative expenses includes non-cash stock-based compensation expense. Selling, general and administrative expenses increased by $249.8 million in the 2026 period, primarily due to (i) a $103.5 million increase in professional fees and other external expenses as a result of continued investment in commercial activities for Rezdiffra, including direct-to-consumer (DTC) marketing efforts, (ii) a $111.7 million increase in compensation and benefit-related expenses and stock-based compensation expense primarily due to headcount for the endocrinology field force expansion that began in the fourth quarter of 2025 and (iii) a</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$34.6 million increase in facility-related and other internal expenses, primarily due to higher information technology costs to support the expansion of our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0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net interest income was $23.6 million for the nine months ended September 30, 2026, compared to $27.9 million in the corresponding period in 2025. The decrease in interest income was primarily due to lower interest rates and lower average balances of interest-bearing cash equivalents and marketable securities compared to the corresponding period in 2025.</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92"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Our interest expense was $23.8 million for the nine months ended September 30, 2026, compared to $14.0 million in the corresponding period in 2025. The increase in interest expense was primarily the result of a higher average outstanding principal balance after entering into the Financing Agreement.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expense, net consists primarily of realized and unrealized gains and losses on foreign currency transactions.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Events</w:t>
      </w:r>
    </w:p>
    <w:p>
      <w:pPr>
        <w:spacing w:after="0" w:line="121"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Changes in, and uncertainties related to, global trade or other economic policies, including tariffs, pricing policies or other restrictions imposed by the United States government or governments of other nations, may have an adverse effect on us, our partners and the pharmaceutical industry as a whole. Based on our current manufacturing locations, supply chain operations and inventory, we believe that the current tariff policies will not have a material impact on our business, results of operations or financial condition. Our U.S. commercial and clinical supply of resmetirom is currently manufactured in the United States. In addition, we have engaged a European manufacturer to produce our commercial supply of drug product for European commercialization. Additional changes to the policies of the United States or other nations that affect the geopolitical landscape or global trade, economy or market conditions, and other direct or indirect impacts of such policies, are uncertain and unpredictable, and could, in the future, have an adverse effect on our business, results of operations or financial condition.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648"/>
        <w:spacing w:after="0" w:line="242" w:lineRule="auto"/>
        <w:rPr>
          <w:sz w:val="20"/>
          <w:szCs w:val="20"/>
          <w:color w:val="auto"/>
        </w:rPr>
      </w:pPr>
      <w:r>
        <w:rPr>
          <w:rFonts w:ascii="Times New Roman" w:cs="Times New Roman" w:eastAsia="Times New Roman" w:hAnsi="Times New Roman"/>
          <w:sz w:val="18"/>
          <w:szCs w:val="18"/>
          <w:color w:val="auto"/>
        </w:rPr>
        <w:t>As of September 30, 2026, we had cash, cash equivalents, restricted cash, and marketable securities totaling $961.8 million compared to $988.6 million as of December 31, 2025. We have historically funded our operations primarily through proceeds from sales of our capital stock and debt financings. In July 2025, we entered into a senior secured credit facility that provides up to $500.0 million. See Note 8 “Long Term Debt” for additional details. We began receiving revenue from sales of Rezdiffra following the receipt of accelerated FDA approval in March 2024 and CMA from the EC in August 2025. Although we generated net income of $55.4 million for the three months ended September 30, 2026, we have incurred losses since inception, including approximately $96.9 million for the nine months ended September 30, 2026, resulting in an accumulated deficit of approximately $2,187.4 million as of September 30, 2026. We may experience significant fluctuations in our operating results on a quarterly basis, including incurring net losses in future periods, and our ability to achieve and maintain consistent profitability will depend, in part, on our ability to generate sufficient revenue from Rezdiffra and any other products, if approved, to offset our costs and expenses.</w:t>
      </w:r>
    </w:p>
    <w:p>
      <w:pPr>
        <w:spacing w:after="0" w:line="79"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18"/>
          <w:szCs w:val="18"/>
          <w:color w:val="auto"/>
        </w:rPr>
        <w:t>While our rate of cash usage will likely increase in the future, in particular to support our product development and clinical trial efforts, our commercialization efforts and geographic expansion activities and our business development goals, we believe our available cash resources are sufficient to fund our operations past one year from the issuance of the financial statements contained herein. Our future long-term liquidity requirements will be substantial and will depend on many factors, including our ability to effectively commercialize Rezdiffra, our decisions regarding future geographic expansion, the conduct of any future preclinical studies and clinical trials, our entry into any strategic transactions, our ability to maintain compliance with the liquidity covenant in the Financing Agreement and potential milestone payments payable pursuant to our license agreements. To meet future long-term liquidity requirements, we may need to raise additional capital to fund our operations through equity or debt financings, collaborations, partnerships or other strategic transactions. Additional capital, if needed, may not be available on terms acceptable to us, or at all. If adequate funds are not available, or if the terms of potential funding sources are unfavorable, this could have a material adverse effect on our business, results of operations and financial condition. We have the ability to delay certain commercial activities, geographic expansion activities and certain research activities and related clinical expenses, if necessary, due to liquidity concerns until a date when those concerns are relieved.</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Sales Agreement</w:t>
      </w:r>
    </w:p>
    <w:p>
      <w:pPr>
        <w:spacing w:after="0" w:line="106"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In May 2024, we entered into a Sales Agreement (the “Sales Agreement”) with Cowen and Company, LLC, an affiliate of TD Securities (USA) LLC (“Cowen”), replacing and superseding our prior sales agreement. We are authorized to issue and sell up to $300.0 million of shares of our common stock under the Sales Agreement. Sales of our common stock, if any, under the Sales Agreement will be made by any method that is deemed to be an “at the market” offering as defined in Rule 415(a)(4) of the Securities Act of 1933, as amended. We have no obligation to sell any common stock and may at any time suspend offers under the Sales Agreement or terminate the Sales Agreement pursuant to its terms.</w:t>
      </w:r>
    </w:p>
    <w:p>
      <w:pPr>
        <w:spacing w:after="0" w:line="17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We did not make any sales under the Sales Agreement during the three and nine months ended September 30, 2026 or 2025. As of September 30, 2026, $300.0 million remained available for sale under the Sales Agreement and our related prospectus supplement.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Hercules Loan Facility</w:t>
      </w:r>
    </w:p>
    <w:p>
      <w:pPr>
        <w:spacing w:after="0" w:line="119"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In May 2022 we entered into a $250.0 million senior secured loan facility with Hercules Capital, Inc. (the “Hercules Loan Facility”). Interest on the Hercules Loan Facility was the greater of (i) the prime rate plus 2.45% and (ii) 8.25%. The Hercules Loan Facility included an end-of-term charge of 5.35% of the aggregate principal amount, which was accounted for in the loan discount.</w:t>
      </w:r>
    </w:p>
    <w:p>
      <w:pPr>
        <w:spacing w:after="0" w:line="169"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On July 17, 2025, we used the proceeds received from the Financing Agreement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As a result of the termination, all credit commitments under the Hercules Loan Facility were terminated and all security interests and guarantees in connection with the Hercules Loan Facility were released. The repayment resulted in a $2.8 million loss on extinguishment of debt, primarily due to the write off of unamortized debt issuance costs.</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Agreement</w:t>
      </w:r>
    </w:p>
    <w:p>
      <w:pPr>
        <w:spacing w:after="0" w:line="106" w:lineRule="exact"/>
        <w:rPr>
          <w:sz w:val="20"/>
          <w:szCs w:val="20"/>
          <w:color w:val="auto"/>
        </w:rPr>
      </w:pPr>
    </w:p>
    <w:p>
      <w:pPr>
        <w:ind w:right="100" w:firstLine="648"/>
        <w:spacing w:after="0" w:line="243" w:lineRule="auto"/>
        <w:rPr>
          <w:sz w:val="20"/>
          <w:szCs w:val="20"/>
          <w:color w:val="auto"/>
        </w:rPr>
      </w:pPr>
      <w:r>
        <w:rPr>
          <w:rFonts w:ascii="Times New Roman" w:cs="Times New Roman" w:eastAsia="Times New Roman" w:hAnsi="Times New Roman"/>
          <w:sz w:val="18"/>
          <w:szCs w:val="18"/>
          <w:color w:val="auto"/>
        </w:rPr>
        <w:t>On July 17, 2025 (the “Closing Date”), we entered into the Financing Agreement with the Lenders and the Administrative Agent. Under the Financing Agreement, the Lenders have committed up to $500.0 million in senior secured credit facilities, consisting of (a) the initial term loan in an aggregate principal amount equal to $350.0 million (the “Initial Term Loan”) and (b) delayed draw term loans in an aggregate principal amount not to exceed $150.0 million (the “Delayed Draw Term Loans”). In addition, the Financing Agreement includes uncommitted Incremental Term Loans in an aggregate principal amount not to exceed $250.0 million (the “Incremental Term Loans”), subject to the satisfaction of certain terms and conditions set forth in the Financing Agreement. The Initial Term Loan was funded on the Closing Date. Delayed Draw Term Loans are available at our election from time to time until December 31, 2027. Incremental Term Loans are available at our and the Lenders’ mutual consent from time to time. The proceeds from the Financing Agreement are expected to primarily support our business development activities.</w:t>
      </w:r>
    </w:p>
    <w:p>
      <w:pPr>
        <w:spacing w:after="0" w:line="186"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Accrued interest is payable (i) quarterly following the funding of the Initial Term Loan on the Closing Date, (ii) on any date of prepayment or repayment of the Term Loans and (iii) at maturity. The outstanding balance of the Term Loans, if not repaid sooner, shall be due and payable in full on July 17, 2030.</w:t>
      </w:r>
    </w:p>
    <w:p>
      <w:pPr>
        <w:spacing w:after="0" w:line="177"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may prepay the Term Loans at any time (in whole or in part) and may be required to make mandatory prepayments upon the occurrence of certain customary prepayment events. In certain instances and during certain time periods, these prepayments will be subject to customary prepayment fees. If the Term Loans are prepaid on or prior to the one-year anniversary of the original issuance date, we must pay a make-whole amount equal to the greater of (i) 3.00% of the Term Loans being prepaid at such time and (ii) the present value of all remaining interest payments on the amount repaid through the one-year anniversary of the original issuance of such Term Loans, calculated using a discount rate. Thereafter, the amount of any such prepayment fee may vary, but the maximum amount that may be due with any such prepayment would be an amount equal to 3.00% of the Term Loans being prepaid at such time, with such prepayment fee stepping down on each anniversary of the original issuance of such Term Loans.</w:t>
      </w:r>
    </w:p>
    <w:p>
      <w:pPr>
        <w:spacing w:after="0" w:line="18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Financing Agreement contains affirmative covenants and negative covenants applicable to us and our subsidiaries that are customary for financings of this type. We and the Guarantors (as defined below) are also required to</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8"/>
          <w:szCs w:val="18"/>
          <w:color w:val="auto"/>
        </w:rPr>
        <w:t>maintain a minimum unrestricted cash balance of $100.0 million at all times. The Financing Agreement also includes representations, warranties, indemnities and events of default that are customary for financings of this type, including an event of default relating to us experiencing a change of control. Upon the occurrence of an event of default, the Lenders may, among other things, accelerate our obligations under the Financing Agreement. Our obligations under the Financing Agreement are and will be guaranteed by certain of our existing and future direct and indirect subsidiaries, subject to certain exceptions (such subsidiaries, collectively, the “Guarantors”).</w:t>
      </w:r>
    </w:p>
    <w:p>
      <w:pPr>
        <w:spacing w:after="0" w:line="195"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On July 17, 2025, concurrently with the entry into the Financing Agreement, we, the Guarantors and the Administrative Agent entered into a Pledge and Security Agreement. As security for our obligations under the Financing Agreement, we and the Guarantors granted to the Administrative Agent, for the benefit of the Lenders and secured parties, a continuing first priority security interest in substantially all of our and the Guarantors’ assets (including all equity interests owned or hereafter acquired by us and the Guarantors), subject to certain customary exceptions. On September 4, 2025, the parties amended the Financing Agreement to add certain of our subsidiaries as Guarantors.</w:t>
      </w:r>
    </w:p>
    <w:p>
      <w:pPr>
        <w:spacing w:after="0" w:line="18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of September 30, 2026, the outstanding principal amount under the Financing Agreement was $350.0 million. The interest rate as of September 30, 2026 was 8.48%. Interest expense was $8.1 million and $23.8 million for the three and nine months ended September 30, 2026, respectively. Interest expense was $7.5 million and $14.0 million for the three and nine months ended September 30, 2025, respectively. As of September 30, 2026, we were in compliance with all loan covenants and provisions.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6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0"/>
        </w:trPr>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(56,093)</w:t>
            </w:r>
          </w:p>
        </w:tc>
      </w:tr>
      <w:tr>
        <w:trPr>
          <w:trHeight w:val="263"/>
        </w:trPr>
        <w:tc>
          <w:tcPr>
            <w:tcW w:w="6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320,178</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r>
      <w:tr>
        <w:trPr>
          <w:trHeight w:val="277"/>
        </w:trPr>
        <w:tc>
          <w:tcPr>
            <w:tcW w:w="6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247,028</w:t>
            </w: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was $23.6 million for the nine months ended September 30, 2026, compared to $56.1 million for the corresponding period in 2025. The use of cash in these periods resulted primarily from our losses from operations, driven by commercialization efforts, including purchases of API, one-time upfront payments related to business development transactions and higher annual incentive bonus payouts, partially offset by cash receipts from sales of Rezdiffra, as adjusted for non-cash charges, and changes in our working capital accounts.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18"/>
          <w:szCs w:val="18"/>
          <w:color w:val="auto"/>
        </w:rPr>
        <w:t>Net cash provided by investing activities was $320.2 million for the nine months ended September 30, 2026, compared to net cash provided by investing activities of $4.7 million for the corresponding period in 2025. Net cash provided by investing activities for the nine months ended September 30, 2026 primarily consisted of $773.8 million from sales and maturities of marketable securities, partially offset by $441.6 million of purchases of marketable securities for our investment portfolio and $12.0 million of purchases of property and equipment. Net cash provided by investing activities for the corresponding period in 2025 primarily consisted of $843.2 million from sales and maturities of marketable securities, partially offset by $834.6 million of purchases of marketable securities in our investment portfolio.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Net cash provided by financing activities was $15.4 million for the nine months ended September 30, 2026, compared to $247.0 million for the corresponding period in 2025. Net cash provided by financing activities for the nine months ended September 30, 2026 consisted of $15.4 million from the exercise of stock options. Net cash provided by financing activities for the corresponding period in 2025 consisted of $350.0 million of proceeds from the Financing Agreement and $28.1 million from the exercise of stock options, partially offset by a repayment of $121.7 million under the Hercules Loan Facility and $9.4 million of debt issuance costs.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2019, we entered into an operating lease for office space in certain premises located in West Conshohocken, Pennsylvania (the “Office Lease”), which was further amended by four amendments entered into from 2019 to May 2023. In August 2023, we entered into the Fifth Amendment to the Office Lease (the “Fifth Lease Amendment”) pursuant to which the term of the Office Lease was extended through November 2026. As a result of the Fifth Lease Amendment, an incremental $1.6 million right-of-use asset and lease liability were recorded during the year ended December 31, 2023. In 2024, we entered into the Sixth, Seventh, Eighth, and Ninth Amendments to the Office Lease, leasing additional office space available in the same premises under the Office Lease, which resulted in an incremental $1.3 million right-of-use asset and lease liability recorded.</w:t>
      </w:r>
    </w:p>
    <w:p>
      <w:pPr>
        <w:spacing w:after="0" w:line="180"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In April 2025, we entered into an operating lease for additional office space in West Conshohocken, Pennsylvania. The lease commenced in May 2025 and resulted in a $4.0 million right-of-use asset and lease liability. In March 2026, we entered into an amendment to this lease, which modified the lease term and payment schedule. As a result, the right-of-use asset and lease liability balances were remeasured to $4.0 million and $4.6 million, respectively.</w:t>
      </w:r>
    </w:p>
    <w:p>
      <w:pPr>
        <w:spacing w:after="0" w:line="191"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18"/>
          <w:szCs w:val="18"/>
          <w:color w:val="auto"/>
        </w:rPr>
        <w:t>In September 2025, we entered into an operating lease for office space in Waltham, Massachusetts. The lease commenced in July 2026 and resulted in the recognition of an $8.1 million right-of-use asset and a $6.8 million lease liability. The right-of-use asset includes approximately $1.3 million of prepaid lease payments.</w:t>
      </w:r>
    </w:p>
    <w:p>
      <w:pPr>
        <w:spacing w:after="0" w:line="19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2026, we entered into an operating lease for office space in Baar, Switzerland. The lease commenced on March 1, 2026 and has a term of 24 months. As a result, we recognized a right-of-use asset and corresponding lease liability of approximately $1.4 million upon commencement.</w:t>
      </w:r>
    </w:p>
    <w:p>
      <w:pPr>
        <w:spacing w:after="0" w:line="162" w:lineRule="exact"/>
        <w:rPr>
          <w:sz w:val="20"/>
          <w:szCs w:val="20"/>
          <w:color w:val="auto"/>
        </w:rPr>
      </w:pPr>
    </w:p>
    <w:p>
      <w:pPr>
        <w:ind w:right="60" w:firstLine="648"/>
        <w:spacing w:after="0" w:line="246" w:lineRule="auto"/>
        <w:rPr>
          <w:sz w:val="20"/>
          <w:szCs w:val="20"/>
          <w:color w:val="auto"/>
        </w:rPr>
      </w:pPr>
      <w:r>
        <w:rPr>
          <w:rFonts w:ascii="Times New Roman" w:cs="Times New Roman" w:eastAsia="Times New Roman" w:hAnsi="Times New Roman"/>
          <w:sz w:val="18"/>
          <w:szCs w:val="18"/>
          <w:color w:val="auto"/>
        </w:rPr>
        <w:t>In May 2022, we entered into the $250.0 million Hercules Loan Facility. On July 17, 2025, we entered into the Financing Agreement and used the proceeds to repay all outstanding obligations under the Hercules Loan Facility, totaling $121.7 million, and upon such repayment, terminated the Hercules Loan Facility. The amount we repaid included $115.0 million of outstanding indebtedness plus accrued and unpaid interest as of the repayment date and exit fees. The Initial Term Loan of $350.0 million under the Financing Agreement was funded on July 17, 2025. Accrued interest under the Financing Agreement is payable quarterly, on any date of prepayment or repayment of the term loans outstanding thereunder and at maturity. We are not required to repay any principal amounts outstanding under the Financing Agreement until maturity in July 2030, subject to certain prepayment events set forth in the Financing Agreement. See Note 8 “Long Term Debt” to the unaudited condensed consolidated financial statements included in this Quarterly Report on Form 10-Q for additional information regarding the Financing Agreement.</w:t>
      </w:r>
    </w:p>
    <w:p>
      <w:pPr>
        <w:spacing w:after="0" w:line="17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Pursuant to the Research, Development and Commercialization Agreement with Roche (as amended, the “Roche Agreement”), Roche granted us a sole and exclusive license to develop, use, sell, offer for sale and import any Licensed Product (as defined in the Roche Agreement). We received FDA approval for Rezdiffra in March 2024 and EC approval for Rezdiffra in August 2025. A tiered single-digit royalty is payable to Roche on net sales of Rezdiffra, subject to certain reductions.</w:t>
      </w:r>
    </w:p>
    <w:p>
      <w:pPr>
        <w:spacing w:after="0" w:line="177" w:lineRule="exact"/>
        <w:rPr>
          <w:sz w:val="20"/>
          <w:szCs w:val="20"/>
          <w:color w:val="auto"/>
        </w:rPr>
      </w:pPr>
    </w:p>
    <w:p>
      <w:pPr>
        <w:ind w:right="280" w:firstLine="648"/>
        <w:spacing w:after="0" w:line="250" w:lineRule="auto"/>
        <w:rPr>
          <w:sz w:val="20"/>
          <w:szCs w:val="20"/>
          <w:color w:val="auto"/>
        </w:rPr>
      </w:pPr>
      <w:r>
        <w:rPr>
          <w:rFonts w:ascii="Times New Roman" w:cs="Times New Roman" w:eastAsia="Times New Roman" w:hAnsi="Times New Roman"/>
          <w:sz w:val="18"/>
          <w:szCs w:val="18"/>
          <w:color w:val="auto"/>
        </w:rPr>
        <w:t>In July 2025, we entered into the CSPC License Agreement with CSPC for MGL-2086 (formerly known as SYH2086), an oral small molecule GLP-1 receptor agonist. Pursuant to the CSPC License Agreement, CSPC has granted us an exclusive global license to develop, manufacture, and commercialize MGL-2086. The transaction closed in September 2025. We paid CSPC an upfront payment of $120.0 million in October 2025. CSPC is eligible to receive up to $2.0 billion in development, regulatory and commercial milestone payments, as well as royalties on net sales ranging from mid-single digits to low-double digits.</w:t>
      </w:r>
    </w:p>
    <w:p>
      <w:pPr>
        <w:spacing w:after="0" w:line="177"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In December 2025, we entered into the Pfizer License Agreement with Pfizer Inc. (“Pfizer”) to develop, manufacture and commercialize ervogastat, a Phase 2 oral DGAT-2 inhibitor, and two additional early-stage MASH assets. We paid Pfizer an upfront payment of $50.0 million in December 2025. In addition, Pfizer is eligible to receive up to $70.0 million in development and regulatory milestone payments related to ervogastat and low-double digit royalties on net sales of ervogastat. Pfizer is eligible to receive additional development, regulatory and commercial milestone payments and royalty payments on net sales of the two licensed early stage assets.</w:t>
      </w:r>
    </w:p>
    <w:p>
      <w:pPr>
        <w:spacing w:after="0" w:line="181"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In February 2026, we entered into the Ribocure License Agreement granting us exclusive global rights to develop, manufacture and commercialize six siRNA programs. Pursuant to the Ribocure License Agreement, we paid Ribocure an upfront payment of $60.0 million. In addition, Ribocure is eligible to receive up to $4.4 billion in development, regulatory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commercial milestone payments across all programs, as well as royalties on net sales ranging from mid-single digits to low-double digits.</w:t>
      </w:r>
    </w:p>
    <w:p>
      <w:pPr>
        <w:spacing w:after="0" w:line="212"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In May 2026, we entered into the Arrowhead License Agreement with Arrowhead granting us an exclusive global license to ARO-PNPLA3 (now referred to as MGL-0795). Pursuant to the Arrowhead License Agreement, we made an upfront payment of $25.0 million, which was recognized as research and development expense in June 2026. In addition, Arrowhead is eligible to receive up to $975.0 million in development, regulatory and commercial milestone payments, as well as royalties on net sales ranging from high-single digits to the mid-teens.</w:t>
      </w:r>
    </w:p>
    <w:p>
      <w:pPr>
        <w:spacing w:after="0" w:line="191" w:lineRule="exact"/>
        <w:rPr>
          <w:sz w:val="20"/>
          <w:szCs w:val="20"/>
          <w:color w:val="auto"/>
        </w:rPr>
      </w:pPr>
    </w:p>
    <w:p>
      <w:pPr>
        <w:jc w:val="both"/>
        <w:ind w:right="60" w:firstLine="648"/>
        <w:spacing w:after="0" w:line="250" w:lineRule="auto"/>
        <w:rPr>
          <w:sz w:val="20"/>
          <w:szCs w:val="20"/>
          <w:color w:val="auto"/>
        </w:rPr>
      </w:pPr>
      <w:r>
        <w:rPr>
          <w:rFonts w:ascii="Times New Roman" w:cs="Times New Roman" w:eastAsia="Times New Roman" w:hAnsi="Times New Roman"/>
          <w:sz w:val="18"/>
          <w:szCs w:val="18"/>
          <w:color w:val="auto"/>
        </w:rPr>
        <w:t>We have entered into customary contractual agreements in support of the Phase 3 clinical trials and in connection with manufacturing Rezdiffra. As of September 30, 2026, we had approximately $305.9 million of obligations under these agreements related to active pharmaceutical ingredient, which is expected to be paid through December 2029.</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Except as noted above, no significant changes to contractual obligations and commitments occurred during the nine months ended September 30, 2026, as compared to those disclosed in our Annual Report on Form 10-K for the fiscal year ended December 31, 2025 filed with the SEC on February 19, 2026.</w:t>
      </w:r>
    </w:p>
    <w:p>
      <w:pPr>
        <w:spacing w:after="0" w:line="2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w:t>
      </w:r>
    </w:p>
    <w:p>
      <w:pPr>
        <w:spacing w:after="0" w:line="121"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17"/>
          <w:szCs w:val="17"/>
          <w:color w:val="auto"/>
        </w:rPr>
        <w:t>As of September 30, 2026, our primary exposure to interest rate risk was associated with our variable rate borrowings under the Financing Agreement. Any outstanding principal on the Term Loans will bear interest at a rate per annum on the basis of a 360-day year equal to the sum of (i) the three-month forward-looking term secured overnight financing rate administered by the Federal Reserve Bank of New York (subject to a 1.0% per annum floor) plus (ii) 4.75%. See Note 8 “Long Term Debt” to the unaudited condensed consolidated financial statements included in this Quarterly Report on Form 10-Q. Interest rates are sensitive to a variety of factors, including changes in fiscal and monetary policies, geopolitical events, changes in global economic conditions and other factors beyond our control. As of September 30, 2026, the interest rate associated with the $350.0 million of borrowings outstanding under the Financing Agreement was 8.48%. For the three months ended September 30, 2026, the effect of a hypothetical 100 basis point increase or decrease in the interest rate would have changed our interest expense under the Financing Agreement by approximately $0.9 million.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121"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We are exposed to market risk with respect to our cash, cash equivalents and marketable securities. We regularly review our investments and monitor the financial markets. We invest in high-quality financial instruments, primarily money market funds, U.S. government and agency securities, government-sponsored bond obligations and certain other corporate debt securities, with the effective duration of the portfolio less than 12 months and no security with an effective duration in excess of 24 months, which we believe are subject to limited credit risk. We currently do not hedge interest rate exposure. Due to the short-term duration of our investment portfolio and the low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Exposure</w:t>
      </w:r>
    </w:p>
    <w:p>
      <w:pPr>
        <w:spacing w:after="0" w:line="94"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As we expand our operations into Europe, we are exposed to risks related to changes in foreign currency exchange rates, primarily between the U.S. dollar, euro and Swiss franc. The majority of our expenses are generally denominated in the currencies in which they are incurred, which is primarily the U.S. dollar. As we endeavor to expand our presence in international markets, to the extent we are required to enter into agreements denominated in a currency other than the U.S. dollar, results of operations and cash flows may increasingly be subject to fluctuations due to changes in foreign currency exchange rates and may be adversely affected in the future due to changes in foreign currency exchange rates. To date, we have not entered into any hedging arrangements with respect to foreign currency risk. As our international operations grow, we will continue to reassess our approach to manage our risk relating to fluctuations in currency rates.</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Under the supervision of our principal executive officer and principal financial officer, we evaluated the effectiveness of our disclosure controls and procedures as of the end of the period covered by this Quarterly Report on Form 10-Q. Based on that evaluation, our principal executive officer and principal financial officer have concluded that our disclosure controls and procedures were effective to provide such reasonable assurance described above as of September 30, 2026.</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08"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 13a-15(f) under the Exchange Act)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included under the heading “Legal Proceedings” in Note 11, Commitments and Contingencies, to our condensed consolidated financial statements included in Part I, Item 1 “Financial Statements” of this report is incorporated into this item by reference.</w:t>
      </w:r>
    </w:p>
    <w:p>
      <w:pPr>
        <w:spacing w:after="0" w:line="26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included in detail in the “Risk Factors” section appearing in Part I, Item 1A of our Annual Report on Form 10-K for the year ended December 31, 2025, filed with the SEC on February 19, 2026 (the “Annual Report”). We encourage you to read and carefully consider all of the risk factors disclosed in our Annual Report, in addition to the risk factors presented below, for a more complete understanding of the risks and uncertainties material to our business.</w:t>
      </w:r>
    </w:p>
    <w:p>
      <w:pPr>
        <w:spacing w:after="0" w:line="65" w:lineRule="exact"/>
        <w:rPr>
          <w:sz w:val="20"/>
          <w:szCs w:val="20"/>
          <w:color w:val="auto"/>
        </w:rPr>
      </w:pPr>
    </w:p>
    <w:p>
      <w:pPr>
        <w:jc w:val="both"/>
        <w:ind w:right="280" w:firstLine="648"/>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or regulatory approval processes are prolonged, delayed or suspended, we may be unable to advance the development of or commercialize our product candidates on a timely basis, which would require us to incur additional costs and delay our receipt of any revenue from potential product sales.</w:t>
      </w:r>
    </w:p>
    <w:p>
      <w:pPr>
        <w:spacing w:after="0" w:line="6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We cannot predict whether we will encounter problems with any of our completed, ongoing or planned clinical trials that will cause us or any regulatory authority to delay, suspend, or terminate those clinical trials or delay the analysis of data derived from them. A number of events, including, but are not limited to, any of the following, could delay or impede completely the completion of our ongoing and planned clinical trials and negatively affect our ability to obtain regulatory approval for, and to market and sell, a particular product candidate:</w:t>
      </w:r>
    </w:p>
    <w:p>
      <w:pPr>
        <w:spacing w:after="0" w:line="312"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the EMA or other regulatory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of our product candidates or other materials necessary to conduct and complete our clinical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enrollment and retention rate of subjects in our clinical trials;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or recruiting sufficient trial sites or investigators for clinical trials;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related to the product candidate being tested.</w:t>
      </w:r>
    </w:p>
    <w:p>
      <w:pPr>
        <w:spacing w:after="0" w:line="34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Commercialization of any future product candidates may be delayed by the imposition of additional conditions on our clinical trials by the FDA or any other applicable foreign regulatory authority or the requirement of additional supportive trials by the FDA or such foreign regulatory authority.</w:t>
      </w:r>
    </w:p>
    <w:p>
      <w:pPr>
        <w:spacing w:after="0" w:line="68"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We do not know whether our ongoing clinical trials will need to be restructured, will enroll an adequate number of patients on time, or will be completed on schedule, if at all, or whether future clinical trials will begin as planned or have similar future challenges. Certain clinical trials evaluate the accrual of events in the patients enrolled. Outcomes-based trials are subject to delays stemming from patient withdrawal and from lower-than-expected event rates. Actual event accrual rates may differ from our assumptions. Accordingly, the precise timing for completion of these trials is difficult to predict with any certainty and may occur at a different time than currently expected. Delays in the initiation, enrollment or completion of our clinical trials may result in increased development costs for our product candidates. In addition, if our clinical trials are delayed, our competitors may be able to bring products to market before we do and the commercial viability of our product candidates could be limited.</w:t>
      </w:r>
    </w:p>
    <w:p>
      <w:pPr>
        <w:spacing w:after="0" w:line="3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never achieve or maintain consistent profitability.</w:t>
      </w:r>
    </w:p>
    <w:p>
      <w:pPr>
        <w:spacing w:after="0" w:line="108" w:lineRule="exact"/>
        <w:rPr>
          <w:sz w:val="20"/>
          <w:szCs w:val="20"/>
          <w:color w:val="auto"/>
        </w:rPr>
      </w:pPr>
    </w:p>
    <w:p>
      <w:pPr>
        <w:ind w:right="20" w:firstLine="648"/>
        <w:spacing w:after="0" w:line="246" w:lineRule="auto"/>
        <w:rPr>
          <w:sz w:val="20"/>
          <w:szCs w:val="20"/>
          <w:color w:val="auto"/>
        </w:rPr>
      </w:pPr>
      <w:r>
        <w:rPr>
          <w:rFonts w:ascii="Times New Roman" w:cs="Times New Roman" w:eastAsia="Times New Roman" w:hAnsi="Times New Roman"/>
          <w:sz w:val="18"/>
          <w:szCs w:val="18"/>
          <w:color w:val="auto"/>
        </w:rPr>
        <w:t>As of September 30, 2026, we had an accumulated deficit of $2,187.4 million. Losses have principally resulted from costs incurred from our commercialization efforts, in our preclinical studies and clinical trials, research and development programs and from our selling, general and administrative expenses. As of September 30, 2026, we had cash, cash equivalents, restricted cash and marketable securities of $961.8 million. Despite generating net income of $55.4 million for the three months ended September 30, 2026, we may experience significant fluctuations in our operating results, including incurring net losses in future periods, as we:</w:t>
      </w:r>
    </w:p>
    <w:p>
      <w:pPr>
        <w:spacing w:after="0" w:line="330" w:lineRule="exact"/>
        <w:rPr>
          <w:sz w:val="20"/>
          <w:szCs w:val="20"/>
          <w:color w:val="auto"/>
        </w:rPr>
      </w:pPr>
    </w:p>
    <w:p>
      <w:pPr>
        <w:ind w:left="5540" w:right="5240" w:hanging="4560"/>
        <w:spacing w:after="0" w:line="641" w:lineRule="auto"/>
        <w:tabs>
          <w:tab w:leader="none" w:pos="130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support our sales and marketing efforts for Rezdiffra;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 our post-marketing commitments and clinical trials of Rezdiffra, as required by the FDA;</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or continue clinical trials of any future product candidates;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acquire or in-license additional product candidates;</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and, if approved, commercialize Rezdiffra in foreign markets;</w:t>
      </w:r>
    </w:p>
    <w:p>
      <w:pPr>
        <w:spacing w:after="0" w:line="103" w:lineRule="exact"/>
        <w:rPr>
          <w:rFonts w:ascii="Times New Roman" w:cs="Times New Roman" w:eastAsia="Times New Roman" w:hAnsi="Times New Roman"/>
          <w:sz w:val="18"/>
          <w:szCs w:val="18"/>
          <w:color w:val="auto"/>
        </w:rPr>
      </w:pPr>
    </w:p>
    <w:p>
      <w:pPr>
        <w:ind w:left="1300" w:hanging="320"/>
        <w:spacing w:after="0" w:line="258" w:lineRule="auto"/>
        <w:tabs>
          <w:tab w:leader="none" w:pos="12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commercialization of Rezdiffra and pipeline development and to help us comply with our obligations as a public company; hire and retain additional personnel, such as clinical, quality control, scientific, commercial and administrative personnel;</w:t>
      </w:r>
    </w:p>
    <w:p>
      <w:pPr>
        <w:spacing w:after="0" w:line="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1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a result, we may report net income in certain quarterly periods and net losses in certain other quarterly periods, and profitability in any particular quarter should not be considered indicative of our ability to achieve or sustain profitability in future periods. Due to the numerous risks and uncertainties associated with developing and commercializing Rezdiffra and any future product candidates, we are unable to predict the extent of any future losses or if we will be able to achieve and sustain consistent profitability.</w:t>
      </w:r>
    </w:p>
    <w:p>
      <w:pPr>
        <w:spacing w:after="0" w:line="2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Executive Officer 10b5-1 Plans</w:t>
      </w:r>
    </w:p>
    <w:p>
      <w:pPr>
        <w:spacing w:after="0" w:line="94"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Our policy governing transactions in our securities by our directors, officers and employees permits our directors, officers and employees to enter into trading plans complying with Rule 10b5-1 under the Exchange Act. The following table describes the written plans for the sale of our securities that were adopted by our executive officers and directors during the quarter ended September 30, 2026. Each plan was entered into during an open trading window and is intended to satisfy the affirmative defense conditions of Rule 10b5-1(c) (each a “Trading Plan”).</w:t>
      </w:r>
    </w:p>
    <w:p>
      <w:pPr>
        <w:spacing w:after="0" w:line="200" w:lineRule="exact"/>
        <w:rPr>
          <w:sz w:val="20"/>
          <w:szCs w:val="20"/>
          <w:color w:val="auto"/>
        </w:rPr>
      </w:pPr>
    </w:p>
    <w:p>
      <w:pPr>
        <w:spacing w:after="0" w:line="310" w:lineRule="exact"/>
        <w:rPr>
          <w:sz w:val="20"/>
          <w:szCs w:val="20"/>
          <w:color w:val="auto"/>
        </w:rPr>
      </w:pPr>
    </w:p>
    <w:tbl>
      <w:tblPr>
        <w:tblLayout w:type="fixed"/>
        <w:tblInd w:w="960" w:type="dxa"/>
        <w:tblCellMar>
          <w:top w:w="0" w:type="dxa"/>
          <w:left w:w="0" w:type="dxa"/>
          <w:bottom w:w="0" w:type="dxa"/>
          <w:right w:w="0" w:type="dxa"/>
        </w:tblCellMar>
      </w:tblPr>
      <w:tr>
        <w:trPr>
          <w:trHeight w:val="207"/>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Scheduled Start</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Number of</w:t>
            </w: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Action Taken</w:t>
            </w:r>
          </w:p>
        </w:tc>
        <w:tc>
          <w:tcPr>
            <w:tcW w:w="16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 of Trading</w:t>
            </w:r>
          </w:p>
        </w:tc>
        <w:tc>
          <w:tcPr>
            <w:tcW w:w="19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Scheduled Expiration</w:t>
            </w:r>
          </w:p>
        </w:tc>
        <w:tc>
          <w:tcPr>
            <w:tcW w:w="2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Shares Subject to Trading</w:t>
            </w:r>
          </w:p>
        </w:tc>
      </w:tr>
      <w:tr>
        <w:trPr>
          <w:trHeight w:val="238"/>
        </w:trPr>
        <w:tc>
          <w:tcPr>
            <w:tcW w:w="22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Date of Trading Plan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r>
      <w:tr>
        <w:trPr>
          <w:trHeight w:val="27"/>
        </w:trPr>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05"/>
        </w:trPr>
        <w:tc>
          <w:tcPr>
            <w:tcW w:w="2220" w:type="dxa"/>
            <w:vAlign w:val="bottom"/>
            <w:gridSpan w:val="2"/>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Shannon Kelley (Chief</w:t>
            </w:r>
          </w:p>
        </w:tc>
        <w:tc>
          <w:tcPr>
            <w:tcW w:w="1660" w:type="dxa"/>
            <w:vAlign w:val="bottom"/>
            <w:gridSpan w:val="2"/>
            <w:shd w:val="clear" w:color="auto" w:fill="CCEEFF"/>
          </w:tcPr>
          <w:p>
            <w:pPr>
              <w:jc w:val="center"/>
              <w:ind w:right="80"/>
              <w:spacing w:after="0" w:line="205" w:lineRule="exact"/>
              <w:rPr>
                <w:sz w:val="20"/>
                <w:szCs w:val="20"/>
                <w:color w:val="auto"/>
              </w:rPr>
            </w:pPr>
            <w:r>
              <w:rPr>
                <w:rFonts w:ascii="Times New Roman" w:cs="Times New Roman" w:eastAsia="Times New Roman" w:hAnsi="Times New Roman"/>
                <w:sz w:val="18"/>
                <w:szCs w:val="18"/>
                <w:color w:val="auto"/>
                <w:w w:val="98"/>
              </w:rPr>
              <w:t>Adoption (July 31,</w:t>
            </w:r>
          </w:p>
        </w:tc>
        <w:tc>
          <w:tcPr>
            <w:tcW w:w="15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11/6/2026</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line="205" w:lineRule="exact"/>
              <w:rPr>
                <w:sz w:val="20"/>
                <w:szCs w:val="20"/>
                <w:color w:val="auto"/>
              </w:rPr>
            </w:pPr>
            <w:r>
              <w:rPr>
                <w:rFonts w:ascii="Times New Roman" w:cs="Times New Roman" w:eastAsia="Times New Roman" w:hAnsi="Times New Roman"/>
                <w:sz w:val="18"/>
                <w:szCs w:val="18"/>
                <w:color w:val="auto"/>
              </w:rPr>
              <w:t>9/1/2027</w:t>
            </w: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jc w:val="center"/>
              <w:spacing w:after="0" w:line="204" w:lineRule="exact"/>
              <w:rPr>
                <w:sz w:val="20"/>
                <w:szCs w:val="20"/>
                <w:color w:val="auto"/>
              </w:rPr>
            </w:pPr>
            <w:r>
              <w:rPr>
                <w:rFonts w:ascii="Times New Roman" w:cs="Times New Roman" w:eastAsia="Times New Roman" w:hAnsi="Times New Roman"/>
                <w:sz w:val="18"/>
                <w:szCs w:val="18"/>
                <w:color w:val="auto"/>
                <w:w w:val="92"/>
              </w:rPr>
              <w:t>8,927</w:t>
            </w:r>
            <w:r>
              <w:rPr>
                <w:rFonts w:ascii="Times New Roman" w:cs="Times New Roman" w:eastAsia="Times New Roman" w:hAnsi="Times New Roman"/>
                <w:sz w:val="23"/>
                <w:szCs w:val="23"/>
                <w:color w:val="auto"/>
                <w:w w:val="92"/>
                <w:vertAlign w:val="superscript"/>
              </w:rPr>
              <w:t>(1)</w:t>
            </w:r>
          </w:p>
        </w:tc>
      </w:tr>
      <w:tr>
        <w:trPr>
          <w:trHeight w:val="241"/>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Officer)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1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Carole Huntsman (Chief</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Adoption (July 31,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11/20/2026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1/31/2027</w:t>
            </w:r>
          </w:p>
        </w:tc>
        <w:tc>
          <w:tcPr>
            <w:tcW w:w="100" w:type="dxa"/>
            <w:vAlign w:val="bottom"/>
          </w:tcPr>
          <w:p>
            <w:pPr>
              <w:spacing w:after="0"/>
              <w:rPr>
                <w:sz w:val="18"/>
                <w:szCs w:val="18"/>
                <w:color w:val="auto"/>
              </w:rPr>
            </w:pPr>
          </w:p>
        </w:tc>
        <w:tc>
          <w:tcPr>
            <w:tcW w:w="2220" w:type="dxa"/>
            <w:vAlign w:val="bottom"/>
          </w:tcPr>
          <w:p>
            <w:pPr>
              <w:jc w:val="center"/>
              <w:spacing w:after="0" w:line="211" w:lineRule="exact"/>
              <w:rPr>
                <w:sz w:val="20"/>
                <w:szCs w:val="20"/>
                <w:color w:val="auto"/>
              </w:rPr>
            </w:pPr>
            <w:r>
              <w:rPr>
                <w:rFonts w:ascii="Times New Roman" w:cs="Times New Roman" w:eastAsia="Times New Roman" w:hAnsi="Times New Roman"/>
                <w:sz w:val="18"/>
                <w:szCs w:val="18"/>
                <w:color w:val="auto"/>
                <w:w w:val="92"/>
              </w:rPr>
              <w:t>2,868</w:t>
            </w:r>
            <w:r>
              <w:rPr>
                <w:rFonts w:ascii="Times New Roman" w:cs="Times New Roman" w:eastAsia="Times New Roman" w:hAnsi="Times New Roman"/>
                <w:sz w:val="23"/>
                <w:szCs w:val="23"/>
                <w:color w:val="auto"/>
                <w:w w:val="92"/>
                <w:vertAlign w:val="superscript"/>
              </w:rPr>
              <w:t>(1)</w:t>
            </w:r>
          </w:p>
        </w:tc>
      </w:tr>
      <w:tr>
        <w:trPr>
          <w:trHeight w:val="23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11"/>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Mardi Dier (Chief Financial</w:t>
            </w:r>
          </w:p>
        </w:tc>
        <w:tc>
          <w:tcPr>
            <w:tcW w:w="16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Adoption (August 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11/6/2026</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7/31/2027</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center"/>
              <w:spacing w:after="0" w:line="211" w:lineRule="exact"/>
              <w:rPr>
                <w:sz w:val="20"/>
                <w:szCs w:val="20"/>
                <w:color w:val="auto"/>
              </w:rPr>
            </w:pPr>
            <w:r>
              <w:rPr>
                <w:rFonts w:ascii="Times New Roman" w:cs="Times New Roman" w:eastAsia="Times New Roman" w:hAnsi="Times New Roman"/>
                <w:sz w:val="18"/>
                <w:szCs w:val="18"/>
                <w:color w:val="auto"/>
                <w:w w:val="91"/>
              </w:rPr>
              <w:t>19,185</w:t>
            </w:r>
            <w:r>
              <w:rPr>
                <w:rFonts w:ascii="Times New Roman" w:cs="Times New Roman" w:eastAsia="Times New Roman" w:hAnsi="Times New Roman"/>
                <w:sz w:val="23"/>
                <w:szCs w:val="23"/>
                <w:color w:val="auto"/>
                <w:w w:val="91"/>
                <w:vertAlign w:val="superscript"/>
              </w:rPr>
              <w:t>(1)(2)</w:t>
            </w:r>
          </w:p>
        </w:tc>
      </w:tr>
      <w:tr>
        <w:trPr>
          <w:trHeight w:val="241"/>
        </w:trPr>
        <w:tc>
          <w:tcPr>
            <w:tcW w:w="2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11"/>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Rebecca Taub, M.D.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Adoption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11/27/2026</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3/1/2028</w:t>
            </w:r>
          </w:p>
        </w:tc>
        <w:tc>
          <w:tcPr>
            <w:tcW w:w="100" w:type="dxa"/>
            <w:vAlign w:val="bottom"/>
          </w:tcPr>
          <w:p>
            <w:pPr>
              <w:spacing w:after="0"/>
              <w:rPr>
                <w:sz w:val="18"/>
                <w:szCs w:val="18"/>
                <w:color w:val="auto"/>
              </w:rPr>
            </w:pPr>
          </w:p>
        </w:tc>
        <w:tc>
          <w:tcPr>
            <w:tcW w:w="2220" w:type="dxa"/>
            <w:vAlign w:val="bottom"/>
          </w:tcPr>
          <w:p>
            <w:pPr>
              <w:jc w:val="center"/>
              <w:spacing w:after="0" w:line="211" w:lineRule="exact"/>
              <w:rPr>
                <w:sz w:val="20"/>
                <w:szCs w:val="20"/>
                <w:color w:val="auto"/>
              </w:rPr>
            </w:pPr>
            <w:r>
              <w:rPr>
                <w:rFonts w:ascii="Times New Roman" w:cs="Times New Roman" w:eastAsia="Times New Roman" w:hAnsi="Times New Roman"/>
                <w:sz w:val="18"/>
                <w:szCs w:val="18"/>
                <w:color w:val="auto"/>
                <w:w w:val="94"/>
              </w:rPr>
              <w:t>100,000</w:t>
            </w:r>
            <w:r>
              <w:rPr>
                <w:rFonts w:ascii="Times New Roman" w:cs="Times New Roman" w:eastAsia="Times New Roman" w:hAnsi="Times New Roman"/>
                <w:sz w:val="23"/>
                <w:szCs w:val="23"/>
                <w:color w:val="auto"/>
                <w:w w:val="94"/>
                <w:vertAlign w:val="superscript"/>
              </w:rPr>
              <w:t>(3)</w:t>
            </w:r>
          </w:p>
        </w:tc>
      </w:tr>
      <w:tr>
        <w:trPr>
          <w:trHeight w:val="234"/>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(August 28, 2026)</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656"/>
        <w:spacing w:after="0" w:line="250"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provides for the sale of shares to be received upon future vesting of certain outstanding restricted stock unit awards, net of any shares sold to satisfy applicable taxes. The number of shares to be sold to satisfy taxes, and thus the exact number of shares to be sold pursuant to this Trading Plan, can only be determined upon the occurrence of future vesting events. For purposes of this disclosure, we have reported the maximum aggregate number of shares to be sold without subtracting any shares to be sold to satisfy tax obligations.</w:t>
      </w:r>
    </w:p>
    <w:p>
      <w:pPr>
        <w:spacing w:after="0" w:line="69" w:lineRule="exact"/>
        <w:rPr>
          <w:rFonts w:ascii="Times New Roman" w:cs="Times New Roman" w:eastAsia="Times New Roman" w:hAnsi="Times New Roman"/>
          <w:sz w:val="18"/>
          <w:szCs w:val="18"/>
          <w:color w:val="auto"/>
        </w:rPr>
      </w:pPr>
    </w:p>
    <w:p>
      <w:pPr>
        <w:ind w:right="20" w:firstLine="656"/>
        <w:spacing w:after="0" w:line="250" w:lineRule="auto"/>
        <w:tabs>
          <w:tab w:leader="none" w:pos="9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provides for the sale of shares underlying certain outstanding performance-based restricted stock units (“PSUs”) that are expected to vest in January 2027. The total number of shares reported in this column includes 8,875 shares, representing the target number of shares that may be issued upon vesting of the PSUs. The PSUs vest between 0% and 200% of the target number of PSUs, depending on the relative total shareholder return of our common stock compared to a peer group over a three-year performance period ending on December 31, 2026. In addition, we have reported the maximum number of shares to be sold without subtracting any shares to be sold to satisfy tax obligations.</w:t>
      </w:r>
    </w:p>
    <w:p>
      <w:pPr>
        <w:spacing w:after="0" w:line="6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62,000 shares held by SQN, LLC. Dr. Taub is a managing member of SQN, LLC.</w:t>
      </w:r>
    </w:p>
    <w:p>
      <w:pPr>
        <w:spacing w:after="0" w:line="3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720" w:firstLine="648"/>
        <w:spacing w:after="0" w:line="266"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3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980" w:type="dxa"/>
            <w:vAlign w:val="bottom"/>
            <w:gridSpan w:val="10"/>
            <w:vMerge w:val="restart"/>
          </w:tcPr>
          <w:p>
            <w:pPr>
              <w:ind w:left="14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3460" w:type="dxa"/>
            <w:vAlign w:val="bottom"/>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90"/>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980" w:type="dxa"/>
            <w:vAlign w:val="bottom"/>
            <w:gridSpan w:val="10"/>
            <w:vMerge w:val="continue"/>
          </w:tcPr>
          <w:p>
            <w:pPr>
              <w:spacing w:after="0"/>
              <w:rPr>
                <w:sz w:val="16"/>
                <w:szCs w:val="16"/>
                <w:color w:val="auto"/>
              </w:rPr>
            </w:pPr>
          </w:p>
        </w:tc>
        <w:tc>
          <w:tcPr>
            <w:tcW w:w="3460" w:type="dxa"/>
            <w:vAlign w:val="bottom"/>
            <w:vMerge w:val="continue"/>
          </w:tcPr>
          <w:p>
            <w:pPr>
              <w:spacing w:after="0"/>
              <w:rPr>
                <w:sz w:val="16"/>
                <w:szCs w:val="16"/>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13"/>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5"/>
              </w:rPr>
              <w:t>31.1</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3460" w:type="dxa"/>
            <w:vAlign w:val="bottom"/>
          </w:tcPr>
          <w:p>
            <w:pPr>
              <w:spacing w:after="0"/>
              <w:rPr>
                <w:sz w:val="18"/>
                <w:szCs w:val="18"/>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340" w:type="dxa"/>
            <w:vAlign w:val="bottom"/>
            <w:tcBorders>
              <w:top w:val="single" w:sz="8" w:color="0000FF"/>
            </w:tcBorders>
            <w:gridSpan w:val="3"/>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98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5"/>
              </w:rPr>
              <w:t>31.2</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60" w:type="dxa"/>
            <w:vAlign w:val="bottom"/>
          </w:tcPr>
          <w:p>
            <w:pPr>
              <w:spacing w:after="0"/>
              <w:rPr>
                <w:sz w:val="24"/>
                <w:szCs w:val="24"/>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64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w w:val="99"/>
              </w:rPr>
              <w:t>Rule 13a-14(a) or Rule 15d-14(a) of the Securities</w:t>
            </w:r>
          </w:p>
        </w:tc>
        <w:tc>
          <w:tcPr>
            <w:tcW w:w="280" w:type="dxa"/>
            <w:vAlign w:val="bottom"/>
            <w:tcBorders>
              <w:top w:val="single" w:sz="8" w:color="0000FF"/>
            </w:tcBorders>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498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1020" w:type="dxa"/>
            <w:vAlign w:val="bottom"/>
            <w:tcBorders>
              <w:top w:val="single" w:sz="8" w:color="0000FF"/>
            </w:tcBorders>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32.1**</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w:t>
            </w:r>
          </w:p>
        </w:tc>
        <w:tc>
          <w:tcPr>
            <w:tcW w:w="3460" w:type="dxa"/>
            <w:vAlign w:val="bottom"/>
          </w:tcPr>
          <w:p>
            <w:pPr>
              <w:spacing w:after="0"/>
              <w:rPr>
                <w:sz w:val="19"/>
                <w:szCs w:val="19"/>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350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Financial Officer, pursuant to 18 U.S.C.</w:t>
            </w:r>
          </w:p>
        </w:tc>
        <w:tc>
          <w:tcPr>
            <w:tcW w:w="60" w:type="dxa"/>
            <w:vAlign w:val="bottom"/>
            <w:tcBorders>
              <w:bottom w:val="single" w:sz="8" w:color="0000FF"/>
            </w:tcBorders>
          </w:tcPr>
          <w:p>
            <w:pPr>
              <w:spacing w:after="0"/>
              <w:rPr>
                <w:sz w:val="14"/>
                <w:szCs w:val="14"/>
                <w:color w:val="auto"/>
              </w:rPr>
            </w:pPr>
          </w:p>
        </w:tc>
        <w:tc>
          <w:tcPr>
            <w:tcW w:w="14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0000FF"/>
              </w:rPr>
              <w:t>of the</w:t>
            </w: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356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1350, as adopted pursuant to Section 906</w:t>
            </w:r>
          </w:p>
        </w:tc>
        <w:tc>
          <w:tcPr>
            <w:tcW w:w="1420" w:type="dxa"/>
            <w:vAlign w:val="bottom"/>
            <w:gridSpan w:val="6"/>
            <w:vMerge w:val="continue"/>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21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900" w:type="dxa"/>
            <w:vAlign w:val="bottom"/>
            <w:tcBorders>
              <w:top w:val="single" w:sz="8" w:color="0000FF"/>
            </w:tcBorders>
            <w:gridSpan w:val="8"/>
          </w:tcPr>
          <w:p>
            <w:pPr>
              <w:spacing w:after="0"/>
              <w:rPr>
                <w:sz w:val="13"/>
                <w:szCs w:val="13"/>
                <w:color w:val="auto"/>
              </w:rPr>
            </w:pPr>
          </w:p>
        </w:tc>
        <w:tc>
          <w:tcPr>
            <w:tcW w:w="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9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101.INS</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460" w:type="dxa"/>
            <w:vAlign w:val="bottom"/>
          </w:tcPr>
          <w:p>
            <w:pPr>
              <w:spacing w:after="0"/>
              <w:rPr>
                <w:sz w:val="22"/>
                <w:szCs w:val="22"/>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97"/>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9"/>
              </w:rPr>
              <w:t>101.SCH</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60" w:type="dxa"/>
            <w:vAlign w:val="bottom"/>
          </w:tcPr>
          <w:p>
            <w:pPr>
              <w:spacing w:after="0"/>
              <w:rPr>
                <w:sz w:val="24"/>
                <w:szCs w:val="24"/>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7"/>
              </w:rPr>
              <w:t>101.CAL</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w w:val="97"/>
              </w:rPr>
              <w:t>101.LAB</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940" w:type="dxa"/>
            <w:vAlign w:val="bottom"/>
          </w:tcPr>
          <w:p>
            <w:pPr>
              <w:jc w:val="center"/>
              <w:ind w:right="213"/>
              <w:spacing w:after="0"/>
              <w:rPr>
                <w:sz w:val="20"/>
                <w:szCs w:val="20"/>
                <w:color w:val="auto"/>
              </w:rPr>
            </w:pPr>
            <w:r>
              <w:rPr>
                <w:rFonts w:ascii="Times New Roman" w:cs="Times New Roman" w:eastAsia="Times New Roman" w:hAnsi="Times New Roman"/>
                <w:sz w:val="18"/>
                <w:szCs w:val="18"/>
                <w:color w:val="auto"/>
                <w:w w:val="99"/>
              </w:rPr>
              <w:t>101.PRE</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940" w:type="dxa"/>
            <w:vAlign w:val="bottom"/>
          </w:tcPr>
          <w:p>
            <w:pPr>
              <w:jc w:val="center"/>
              <w:ind w:right="193"/>
              <w:spacing w:after="0"/>
              <w:rPr>
                <w:sz w:val="20"/>
                <w:szCs w:val="20"/>
                <w:color w:val="auto"/>
              </w:rPr>
            </w:pPr>
            <w:r>
              <w:rPr>
                <w:rFonts w:ascii="Times New Roman" w:cs="Times New Roman" w:eastAsia="Times New Roman" w:hAnsi="Times New Roman"/>
                <w:sz w:val="18"/>
                <w:szCs w:val="18"/>
                <w:color w:val="auto"/>
              </w:rPr>
              <w:t>101.DEF</w:t>
            </w: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34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49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w:t>
            </w:r>
          </w:p>
        </w:tc>
        <w:tc>
          <w:tcPr>
            <w:tcW w:w="3460" w:type="dxa"/>
            <w:vAlign w:val="bottom"/>
          </w:tcPr>
          <w:p>
            <w:pPr>
              <w:spacing w:after="0"/>
              <w:rPr>
                <w:sz w:val="20"/>
                <w:szCs w:val="20"/>
                <w:color w:val="auto"/>
              </w:rPr>
            </w:pPr>
          </w:p>
        </w:tc>
        <w:tc>
          <w:tcPr>
            <w:tcW w:w="1520" w:type="dxa"/>
            <w:vAlign w:val="bottom"/>
          </w:tcPr>
          <w:p>
            <w:pPr>
              <w:jc w:val="center"/>
              <w:ind w:left="85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1120" w:right="5960" w:hanging="748"/>
        <w:spacing w:after="0" w:line="231" w:lineRule="auto"/>
        <w:tabs>
          <w:tab w:leader="none" w:pos="11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93" w:lineRule="exact"/>
        <w:rPr>
          <w:rFonts w:ascii="Times New Roman" w:cs="Times New Roman" w:eastAsia="Times New Roman" w:hAnsi="Times New Roman"/>
          <w:sz w:val="18"/>
          <w:szCs w:val="18"/>
          <w:color w:val="auto"/>
        </w:rPr>
      </w:pPr>
    </w:p>
    <w:p>
      <w:pPr>
        <w:ind w:left="340" w:hanging="332"/>
        <w:spacing w:after="0" w:line="250" w:lineRule="auto"/>
        <w:tabs>
          <w:tab w:leader="none" w:pos="33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MADRIGAL PHARMACEUTICALS, INC.</w:t>
            </w:r>
          </w:p>
        </w:tc>
      </w:tr>
      <w:tr>
        <w:trPr>
          <w:trHeight w:val="54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J. Sibold</w:t>
            </w:r>
          </w:p>
        </w:tc>
      </w:tr>
      <w:tr>
        <w:trPr>
          <w:trHeight w:val="257"/>
        </w:trPr>
        <w:tc>
          <w:tcPr>
            <w:tcW w:w="36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J. Sibold</w:t>
            </w:r>
          </w:p>
        </w:tc>
      </w:tr>
      <w:tr>
        <w:trPr>
          <w:trHeight w:val="270"/>
        </w:trPr>
        <w:tc>
          <w:tcPr>
            <w:tcW w:w="36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6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7"/>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3, 2026</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Rita Thakkar</w:t>
            </w:r>
          </w:p>
        </w:tc>
      </w:tr>
      <w:tr>
        <w:trPr>
          <w:trHeight w:val="257"/>
        </w:trPr>
        <w:tc>
          <w:tcPr>
            <w:tcW w:w="36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Rita Thakkar</w:t>
            </w:r>
          </w:p>
        </w:tc>
      </w:tr>
      <w:tr>
        <w:trPr>
          <w:trHeight w:val="270"/>
        </w:trPr>
        <w:tc>
          <w:tcPr>
            <w:tcW w:w="36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r>
      <w:tr>
        <w:trPr>
          <w:trHeight w:val="270"/>
        </w:trPr>
        <w:tc>
          <w:tcPr>
            <w:tcW w:w="364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918"/>
        </w:trPr>
        <w:tc>
          <w:tcPr>
            <w:tcW w:w="3640" w:type="dxa"/>
            <w:vAlign w:val="bottom"/>
          </w:tcPr>
          <w:p>
            <w:pPr>
              <w:spacing w:after="0"/>
              <w:rPr>
                <w:sz w:val="24"/>
                <w:szCs w:val="24"/>
                <w:color w:val="auto"/>
              </w:rPr>
            </w:pPr>
          </w:p>
        </w:tc>
        <w:tc>
          <w:tcPr>
            <w:tcW w:w="25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49</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0" w:name="page51"/>
    <w:bookmarkEnd w:id="5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Sibold, certify that:</w:t>
      </w:r>
    </w:p>
    <w:p>
      <w:pPr>
        <w:spacing w:after="0" w:line="104"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927" w:right="339" w:bottom="1440" w:gutter="0" w:footer="0" w:header="0"/>
        </w:sectPr>
      </w:pPr>
    </w:p>
    <w:bookmarkStart w:id="51" w:name="page52"/>
    <w:bookmarkEnd w:id="51"/>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ind w:left="340" w:right="40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Mardi C. Dier, certify that:</w:t>
      </w:r>
    </w:p>
    <w:p>
      <w:pPr>
        <w:spacing w:after="0" w:line="104"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50"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980" w:right="20" w:hanging="486"/>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sz w:val="20"/>
          <w:szCs w:val="20"/>
          <w:color w:val="auto"/>
        </w:rPr>
      </w:pPr>
    </w:p>
    <w:p>
      <w:pPr>
        <w:ind w:left="980" w:right="60" w:hanging="486"/>
        <w:spacing w:after="0" w:line="258" w:lineRule="auto"/>
        <w:tabs>
          <w:tab w:leader="none" w:pos="9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980" w:right="360" w:hanging="486"/>
        <w:spacing w:after="0" w:line="258" w:lineRule="auto"/>
        <w:tabs>
          <w:tab w:leader="none" w:pos="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jc w:val="both"/>
        <w:ind w:left="980" w:right="540" w:hanging="486"/>
        <w:spacing w:after="0" w:line="312" w:lineRule="auto"/>
        <w:tabs>
          <w:tab w:leader="none" w:pos="977"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980" w:right="60" w:hanging="486"/>
        <w:spacing w:after="0" w:line="258" w:lineRule="auto"/>
        <w:tabs>
          <w:tab w:leader="none" w:pos="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sz w:val="20"/>
          <w:szCs w:val="20"/>
          <w:color w:val="auto"/>
        </w:rPr>
      </w:pPr>
    </w:p>
    <w:p>
      <w:pPr>
        <w:ind w:left="980" w:right="460" w:hanging="486"/>
        <w:spacing w:after="0" w:line="258"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sz w:val="20"/>
          <w:szCs w:val="20"/>
          <w:color w:val="auto"/>
        </w:rPr>
      </w:pPr>
    </w:p>
    <w:p>
      <w:pPr>
        <w:ind w:left="980" w:right="780" w:hanging="486"/>
        <w:spacing w:after="0" w:line="266" w:lineRule="auto"/>
        <w:tabs>
          <w:tab w:leader="none" w:pos="9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80" w:right="480" w:hanging="486"/>
        <w:spacing w:after="0" w:line="266" w:lineRule="auto"/>
        <w:tabs>
          <w:tab w:leader="none" w:pos="97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1629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Mardi C. Dier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2026</w:t>
      </w:r>
    </w:p>
    <w:p>
      <w:pPr>
        <w:sectPr>
          <w:pgSz w:w="11900" w:h="16838" w:orient="portrait"/>
          <w:cols w:equalWidth="0" w:num="1">
            <w:col w:w="11240"/>
          </w:cols>
          <w:pgMar w:left="320" w:top="927"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2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92"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69"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September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37"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7"/>
          <w:szCs w:val="17"/>
          <w:color w:val="auto"/>
        </w:rPr>
        <w:t>/s/ William J. Sibold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William J. Sibold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left="20"/>
        <w:spacing w:after="0"/>
        <w:tabs>
          <w:tab w:leader="none" w:pos="5820" w:val="left"/>
        </w:tabs>
        <w:rPr>
          <w:sz w:val="20"/>
          <w:szCs w:val="20"/>
          <w:color w:val="auto"/>
        </w:rPr>
      </w:pPr>
      <w:r>
        <w:rPr>
          <w:rFonts w:ascii="Times New Roman" w:cs="Times New Roman" w:eastAsia="Times New Roman" w:hAnsi="Times New Roman"/>
          <w:sz w:val="18"/>
          <w:szCs w:val="18"/>
          <w:color w:val="auto"/>
        </w:rPr>
        <w:t>Dated: November 3, 2026</w:t>
      </w:r>
      <w:r>
        <w:rPr>
          <w:sz w:val="20"/>
          <w:szCs w:val="20"/>
          <w:color w:val="auto"/>
        </w:rPr>
        <w:tab/>
      </w:r>
      <w:r>
        <w:rPr>
          <w:rFonts w:ascii="Times New Roman" w:cs="Times New Roman" w:eastAsia="Times New Roman" w:hAnsi="Times New Roman"/>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26035</wp:posOffset>
            </wp:positionV>
            <wp:extent cx="34461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Mardi C. Dier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33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o"/>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lowerRoman"/>
      <w:start w:val="3"/>
    </w:lvl>
  </w:abstractNum>
  <w:abstractNum w:abstractNumId="6">
    <w:nsid w:val="7C83E458"/>
    <w:multiLevelType w:val="hybridMultilevel"/>
    <w:lvl w:ilvl="0">
      <w:lvlJc w:val="left"/>
      <w:lvlText w:val="%1."/>
      <w:numFmt w:val="decimal"/>
      <w:start w:val="8"/>
    </w:lvl>
  </w:abstractNum>
  <w:abstractNum w:abstractNumId="7">
    <w:nsid w:val="257130A3"/>
    <w:multiLevelType w:val="hybridMultilevel"/>
    <w:lvl w:ilvl="0">
      <w:lvlJc w:val="left"/>
      <w:lvlText w:val="%1."/>
      <w:numFmt w:val="decimal"/>
      <w:start w:val="9"/>
    </w:lvl>
  </w:abstractNum>
  <w:abstractNum w:abstractNumId="8">
    <w:nsid w:val="62BBD95A"/>
    <w:multiLevelType w:val="hybridMultilevel"/>
    <w:lvl w:ilvl="0">
      <w:lvlJc w:val="left"/>
      <w:lvlText w:val="%1."/>
      <w:numFmt w:val="decimal"/>
      <w:start w:val="10"/>
    </w:lvl>
  </w:abstractNum>
  <w:abstractNum w:abstractNumId="9">
    <w:nsid w:val="436C6125"/>
    <w:multiLevelType w:val="hybridMultilevel"/>
    <w:lvl w:ilvl="0">
      <w:lvlJc w:val="left"/>
      <w:lvlText w:val="%1."/>
      <w:numFmt w:val="decimal"/>
      <w:start w:val="11"/>
    </w:lvl>
  </w:abstractNum>
  <w:abstractNum w:abstractNumId="10">
    <w:nsid w:val="628C895D"/>
    <w:multiLevelType w:val="hybridMultilevel"/>
    <w:lvl w:ilvl="0">
      <w:lvlJc w:val="left"/>
      <w:lvlText w:val="%1"/>
      <w:numFmt w:val="decimal"/>
      <w:start w:val="1"/>
    </w:lvl>
    <w:lvl w:ilvl="1">
      <w:lvlJc w:val="left"/>
      <w:lvlText w:val="(%2)"/>
      <w:numFmt w:val="decimal"/>
      <w:start w:val="1"/>
    </w:lvl>
  </w:abstractNum>
  <w:abstractNum w:abstractNumId="11">
    <w:nsid w:val="333AB105"/>
    <w:multiLevelType w:val="hybridMultilevel"/>
    <w:lvl w:ilvl="0">
      <w:lvlJc w:val="left"/>
      <w:lvlText w:val="%1."/>
      <w:numFmt w:val="decimal"/>
      <w:start w:val="13"/>
    </w:lvl>
    <w:lvl w:ilvl="1">
      <w:lvlJc w:val="left"/>
      <w:lvlText w:val="%2"/>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
      <w:numFmt w:val="bullet"/>
      <w:start w:val="1"/>
    </w:lvl>
    <w:lvl w:ilvl="1">
      <w:lvlJc w:val="left"/>
      <w:lvlText w:val="%2"/>
      <w:numFmt w:val="decimal"/>
      <w:start w:val="104"/>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decimal"/>
      <w:start w:val="5"/>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2026-11-03T08:13:29Z</dcterms:created>
  <dcterms:modified xsi:type="dcterms:W3CDTF">2026-11-03T08:13:29Z</dcterms:modified>
</cp:coreProperties>
</file>