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393700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0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3" w:lineRule="exact"/>
        <w:rPr>
          <w:sz w:val="24"/>
          <w:szCs w:val="24"/>
          <w:color w:val="auto"/>
        </w:rPr>
      </w:pPr>
    </w:p>
    <w:p>
      <w:pPr>
        <w:ind w:left="480" w:hanging="461"/>
        <w:spacing w:after="0"/>
        <w:tabs>
          <w:tab w:leader="none" w:pos="48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1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2" w:lineRule="exact"/>
        <w:rPr>
          <w:sz w:val="24"/>
          <w:szCs w:val="24"/>
          <w:color w:val="auto"/>
        </w:rPr>
      </w:pPr>
    </w:p>
    <w:p>
      <w:pPr>
        <w:ind w:left="460" w:hanging="441"/>
        <w:spacing w:after="0"/>
        <w:tabs>
          <w:tab w:leader="none" w:pos="46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69" w:lineRule="exact"/>
        <w:rPr>
          <w:sz w:val="24"/>
          <w:szCs w:val="24"/>
          <w:color w:val="auto"/>
        </w:rPr>
      </w:pPr>
    </w:p>
    <w:p>
      <w:pPr>
        <w:jc w:val="center"/>
        <w:ind w:right="40"/>
        <w:spacing w:after="0"/>
        <w:tabs>
          <w:tab w:leader="none" w:pos="120" w:val="left"/>
        </w:tabs>
        <w:rPr>
          <w:sz w:val="20"/>
          <w:szCs w:val="20"/>
          <w:color w:val="auto"/>
        </w:rPr>
      </w:pPr>
      <w:r>
        <w:rPr>
          <w:rFonts w:ascii="Times New Roman" w:cs="Times New Roman" w:eastAsia="Times New Roman" w:hAnsi="Times New Roman"/>
          <w:sz w:val="14"/>
          <w:szCs w:val="14"/>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3666490</wp:posOffset>
            </wp:positionH>
            <wp:positionV relativeFrom="paragraph">
              <wp:posOffset>-3175</wp:posOffset>
            </wp:positionV>
            <wp:extent cx="10179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7905" cy="6985"/>
                    </a:xfrm>
                    <a:prstGeom prst="rect">
                      <a:avLst/>
                    </a:prstGeom>
                    <a:noFill/>
                  </pic:spPr>
                </pic:pic>
              </a:graphicData>
            </a:graphic>
          </wp:anchor>
        </w:drawing>
      </w:r>
    </w:p>
    <w:p>
      <w:pPr>
        <w:spacing w:after="0" w:line="1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001-33277</w:t>
      </w:r>
    </w:p>
    <w:p>
      <w:pPr>
        <w:spacing w:after="0" w:line="9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1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4"/>
          <w:szCs w:val="34"/>
          <w:b w:val="1"/>
          <w:bCs w:val="1"/>
          <w:color w:val="auto"/>
        </w:rPr>
        <w:t>MADRIGAL PHARMACEUTICALS, INC.</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6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221" w:lineRule="exact"/>
        <w:rPr>
          <w:sz w:val="24"/>
          <w:szCs w:val="24"/>
          <w:color w:val="auto"/>
        </w:rPr>
      </w:pPr>
    </w:p>
    <w:tbl>
      <w:tblPr>
        <w:tblLayout w:type="fixed"/>
        <w:tblInd w:w="1760" w:type="dxa"/>
        <w:tblCellMar>
          <w:top w:w="0" w:type="dxa"/>
          <w:left w:w="0" w:type="dxa"/>
          <w:bottom w:w="0" w:type="dxa"/>
          <w:right w:w="0" w:type="dxa"/>
        </w:tblCellMar>
      </w:tblPr>
      <w:tr>
        <w:trPr>
          <w:trHeight w:val="186"/>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04-3508648</w:t>
            </w:r>
          </w:p>
        </w:tc>
      </w:tr>
      <w:tr>
        <w:trPr>
          <w:trHeight w:val="140"/>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060" w:type="dxa"/>
            <w:vAlign w:val="bottom"/>
          </w:tcPr>
          <w:p>
            <w:pPr>
              <w:jc w:val="center"/>
              <w:ind w:left="98"/>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060" w:type="dxa"/>
            <w:vAlign w:val="bottom"/>
          </w:tcPr>
          <w:p>
            <w:pPr>
              <w:jc w:val="center"/>
              <w:ind w:left="9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406"/>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4"/>
                <w:szCs w:val="14"/>
                <w:b w:val="1"/>
                <w:bCs w:val="1"/>
                <w:color w:val="auto"/>
                <w:w w:val="98"/>
              </w:rPr>
              <w:t>Four Tower Bridge</w:t>
            </w:r>
          </w:p>
        </w:tc>
        <w:tc>
          <w:tcPr>
            <w:tcW w:w="1060" w:type="dxa"/>
            <w:vAlign w:val="bottom"/>
          </w:tcPr>
          <w:p>
            <w:pPr>
              <w:spacing w:after="0"/>
              <w:rPr>
                <w:sz w:val="24"/>
                <w:szCs w:val="24"/>
                <w:color w:val="auto"/>
              </w:rPr>
            </w:pPr>
          </w:p>
        </w:tc>
      </w:tr>
      <w:tr>
        <w:trPr>
          <w:trHeight w:val="159"/>
        </w:trPr>
        <w:tc>
          <w:tcPr>
            <w:tcW w:w="6100" w:type="dxa"/>
            <w:vAlign w:val="bottom"/>
          </w:tcPr>
          <w:p>
            <w:pPr>
              <w:jc w:val="center"/>
              <w:ind w:right="3935"/>
              <w:spacing w:after="0" w:line="159" w:lineRule="exact"/>
              <w:rPr>
                <w:sz w:val="20"/>
                <w:szCs w:val="20"/>
                <w:color w:val="auto"/>
              </w:rPr>
            </w:pPr>
            <w:r>
              <w:rPr>
                <w:rFonts w:ascii="Times New Roman" w:cs="Times New Roman" w:eastAsia="Times New Roman" w:hAnsi="Times New Roman"/>
                <w:sz w:val="14"/>
                <w:szCs w:val="14"/>
                <w:b w:val="1"/>
                <w:bCs w:val="1"/>
                <w:color w:val="auto"/>
              </w:rPr>
              <w:t>200 Barr Harbor Drive, Suite 200</w:t>
            </w:r>
          </w:p>
        </w:tc>
        <w:tc>
          <w:tcPr>
            <w:tcW w:w="1060" w:type="dxa"/>
            <w:vAlign w:val="bottom"/>
          </w:tcPr>
          <w:p>
            <w:pPr>
              <w:spacing w:after="0"/>
              <w:rPr>
                <w:sz w:val="13"/>
                <w:szCs w:val="13"/>
                <w:color w:val="auto"/>
              </w:rPr>
            </w:pPr>
          </w:p>
        </w:tc>
      </w:tr>
      <w:tr>
        <w:trPr>
          <w:trHeight w:val="197"/>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4"/>
                <w:szCs w:val="14"/>
                <w:b w:val="1"/>
                <w:bCs w:val="1"/>
                <w:color w:val="auto"/>
              </w:rPr>
              <w:t>West Conshohocken, Pennsylvania</w:t>
            </w:r>
          </w:p>
        </w:tc>
        <w:tc>
          <w:tcPr>
            <w:tcW w:w="106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19428</w:t>
            </w:r>
          </w:p>
        </w:tc>
      </w:tr>
      <w:tr>
        <w:trPr>
          <w:trHeight w:val="162"/>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060" w:type="dxa"/>
            <w:vAlign w:val="bottom"/>
          </w:tcPr>
          <w:p>
            <w:pPr>
              <w:jc w:val="center"/>
              <w:ind w:left="98"/>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422"/>
        </w:trPr>
        <w:tc>
          <w:tcPr>
            <w:tcW w:w="610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(267) 824-2827</w:t>
            </w:r>
          </w:p>
        </w:tc>
        <w:tc>
          <w:tcPr>
            <w:tcW w:w="1060" w:type="dxa"/>
            <w:vAlign w:val="bottom"/>
          </w:tcPr>
          <w:p>
            <w:pPr>
              <w:spacing w:after="0"/>
              <w:rPr>
                <w:sz w:val="24"/>
                <w:szCs w:val="24"/>
                <w:color w:val="auto"/>
              </w:rPr>
            </w:pPr>
          </w:p>
        </w:tc>
      </w:tr>
    </w:tbl>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8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4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4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r>
      <w:tr>
        <w:trPr>
          <w:trHeight w:val="16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4"/>
                <w:szCs w:val="1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4"/>
                <w:szCs w:val="14"/>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r>
      <w:tr>
        <w:trPr>
          <w:trHeight w:val="191"/>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MDGL</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700"/>
        </w:trPr>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w:t>
            </w:r>
          </w:p>
        </w:tc>
        <w:tc>
          <w:tcPr>
            <w:tcW w:w="8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145" w:lineRule="exact"/>
        <w:rPr>
          <w:sz w:val="24"/>
          <w:szCs w:val="24"/>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14" w:lineRule="exact"/>
        <w:rPr>
          <w:sz w:val="24"/>
          <w:szCs w:val="24"/>
          <w:color w:val="auto"/>
        </w:rPr>
      </w:pPr>
    </w:p>
    <w:p>
      <w:pPr>
        <w:ind w:right="280"/>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35"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7"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80" w:type="dxa"/>
            <w:vAlign w:val="bottom"/>
          </w:tcPr>
          <w:p>
            <w:pPr>
              <w:ind w:left="1120"/>
              <w:spacing w:after="0"/>
              <w:rPr>
                <w:sz w:val="20"/>
                <w:szCs w:val="20"/>
                <w:color w:val="auto"/>
              </w:rPr>
            </w:pPr>
            <w:r>
              <w:rPr>
                <w:rFonts w:ascii="Wingdings" w:cs="Wingdings" w:eastAsia="Wingdings" w:hAnsi="Wingdings"/>
                <w:sz w:val="14"/>
                <w:szCs w:val="14"/>
                <w:b w:val="1"/>
                <w:bCs w:val="1"/>
                <w:color w:val="auto"/>
              </w:rPr>
              <w:t>x</w:t>
            </w:r>
          </w:p>
        </w:tc>
        <w:tc>
          <w:tcPr>
            <w:tcW w:w="44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Accelerated filer</w:t>
            </w:r>
          </w:p>
        </w:tc>
        <w:tc>
          <w:tcPr>
            <w:tcW w:w="1280" w:type="dxa"/>
            <w:vAlign w:val="bottom"/>
          </w:tcPr>
          <w:p>
            <w:pPr>
              <w:ind w:left="114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80" w:type="dxa"/>
            <w:vAlign w:val="bottom"/>
          </w:tcPr>
          <w:p>
            <w:pPr>
              <w:ind w:left="1120"/>
              <w:spacing w:after="0"/>
              <w:rPr>
                <w:sz w:val="20"/>
                <w:szCs w:val="20"/>
                <w:color w:val="auto"/>
              </w:rPr>
            </w:pPr>
            <w:r>
              <w:rPr>
                <w:rFonts w:ascii="Wingdings" w:cs="Wingdings" w:eastAsia="Wingdings" w:hAnsi="Wingdings"/>
                <w:sz w:val="14"/>
                <w:szCs w:val="14"/>
                <w:b w:val="1"/>
                <w:bCs w:val="1"/>
                <w:color w:val="auto"/>
              </w:rPr>
              <w:t>o</w:t>
            </w:r>
          </w:p>
        </w:tc>
        <w:tc>
          <w:tcPr>
            <w:tcW w:w="44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80" w:type="dxa"/>
            <w:vAlign w:val="bottom"/>
          </w:tcPr>
          <w:p>
            <w:pPr>
              <w:ind w:left="114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80" w:type="dxa"/>
            <w:vAlign w:val="bottom"/>
          </w:tcPr>
          <w:p>
            <w:pPr>
              <w:ind w:left="11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40" w:lineRule="exact"/>
        <w:rPr>
          <w:sz w:val="24"/>
          <w:szCs w:val="24"/>
          <w:color w:val="auto"/>
        </w:rPr>
      </w:pPr>
    </w:p>
    <w:p>
      <w:pPr>
        <w:jc w:val="both"/>
        <w:ind w:right="180"/>
        <w:spacing w:after="0" w:line="27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4"/>
          <w:szCs w:val="14"/>
          <w:b w:val="1"/>
          <w:bCs w:val="1"/>
          <w:color w:val="auto"/>
        </w:rPr>
        <w:t>o</w:t>
      </w:r>
    </w:p>
    <w:p>
      <w:pPr>
        <w:spacing w:after="0" w:line="135" w:lineRule="exact"/>
        <w:rPr>
          <w:sz w:val="24"/>
          <w:szCs w:val="24"/>
          <w:color w:val="auto"/>
        </w:rPr>
      </w:pPr>
    </w:p>
    <w:p>
      <w:pPr>
        <w:ind w:right="3740"/>
        <w:spacing w:after="0" w:line="25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May 1, 2026, the registrant had 23,055,659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581025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74930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40"/>
          </w:cols>
          <w:pgMar w:left="300" w:top="20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Item</w:t>
            </w:r>
          </w:p>
        </w:tc>
        <w:tc>
          <w:tcPr>
            <w:tcW w:w="8120" w:type="dxa"/>
            <w:vAlign w:val="bottom"/>
            <w:gridSpan w:val="20"/>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1"/>
        </w:trPr>
        <w:tc>
          <w:tcPr>
            <w:tcW w:w="240" w:type="dxa"/>
            <w:vAlign w:val="bottom"/>
            <w:tcBorders>
              <w:top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Part I. Financial Information</w:t>
            </w:r>
          </w:p>
        </w:tc>
        <w:tc>
          <w:tcPr>
            <w:tcW w:w="6500" w:type="dxa"/>
            <w:vAlign w:val="bottom"/>
            <w:gridSpan w:val="12"/>
          </w:tcPr>
          <w:p>
            <w:pPr>
              <w:spacing w:after="0"/>
              <w:rPr>
                <w:sz w:val="14"/>
                <w:szCs w:val="1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9"/>
              </w:rPr>
              <w:t>Financial Statements (Unaudited):</w:t>
            </w:r>
          </w:p>
        </w:tc>
        <w:tc>
          <w:tcPr>
            <w:tcW w:w="6180" w:type="dxa"/>
            <w:vAlign w:val="bottom"/>
            <w:gridSpan w:val="10"/>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Condensed Consolidated Balance Sheets at March 31, 2026 and December 31, 2025</w:t>
            </w:r>
          </w:p>
        </w:tc>
        <w:tc>
          <w:tcPr>
            <w:tcW w:w="3360" w:type="dxa"/>
            <w:vAlign w:val="bottom"/>
            <w:gridSpan w:val="6"/>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for the Three Months Ended March 31, 2026 and 2025</w:t>
            </w:r>
          </w:p>
        </w:tc>
        <w:tc>
          <w:tcPr>
            <w:tcW w:w="2120" w:type="dxa"/>
            <w:vAlign w:val="bottom"/>
            <w:gridSpan w:val="4"/>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1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Loss for the Three Months Ended March 31, 2026 and 2025</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5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Equity for the Three Months Ended March 31, 2026 and 2025</w:t>
            </w:r>
          </w:p>
        </w:tc>
        <w:tc>
          <w:tcPr>
            <w:tcW w:w="154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1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Three Months Ended March 31, 2026 and 2025</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2900" w:type="dxa"/>
            <w:vAlign w:val="bottom"/>
            <w:tcBorders>
              <w:top w:val="single" w:sz="8" w:color="0000FF"/>
            </w:tcBorders>
            <w:gridSpan w:val="6"/>
          </w:tcPr>
          <w:p>
            <w:pPr>
              <w:spacing w:after="0"/>
              <w:rPr>
                <w:sz w:val="13"/>
                <w:szCs w:val="13"/>
                <w:color w:val="auto"/>
              </w:rPr>
            </w:pPr>
          </w:p>
        </w:tc>
        <w:tc>
          <w:tcPr>
            <w:tcW w:w="2080" w:type="dxa"/>
            <w:vAlign w:val="bottom"/>
            <w:gridSpan w:val="3"/>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81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2"/>
          </w:tcPr>
          <w:p>
            <w:pPr>
              <w:spacing w:after="0"/>
              <w:rPr>
                <w:sz w:val="13"/>
                <w:szCs w:val="13"/>
                <w:color w:val="auto"/>
              </w:rPr>
            </w:pPr>
          </w:p>
        </w:tc>
        <w:tc>
          <w:tcPr>
            <w:tcW w:w="3060" w:type="dxa"/>
            <w:vAlign w:val="bottom"/>
            <w:gridSpan w:val="5"/>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81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Part II. Other Information</w:t>
            </w:r>
          </w:p>
        </w:tc>
        <w:tc>
          <w:tcPr>
            <w:tcW w:w="6660" w:type="dxa"/>
            <w:vAlign w:val="bottom"/>
            <w:gridSpan w:val="13"/>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81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10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7080" w:type="dxa"/>
            <w:vAlign w:val="bottom"/>
            <w:gridSpan w:val="15"/>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
        </w:trPr>
        <w:tc>
          <w:tcPr>
            <w:tcW w:w="112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81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8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Defaults Upon Senior Securities</w:t>
            </w:r>
          </w:p>
        </w:tc>
        <w:tc>
          <w:tcPr>
            <w:tcW w:w="1580" w:type="dxa"/>
            <w:vAlign w:val="bottom"/>
            <w:tcBorders>
              <w:top w:val="single" w:sz="8" w:color="0000FF"/>
            </w:tcBorders>
            <w:gridSpan w:val="3"/>
          </w:tcPr>
          <w:p>
            <w:pPr>
              <w:spacing w:after="0"/>
              <w:rPr>
                <w:sz w:val="13"/>
                <w:szCs w:val="13"/>
                <w:color w:val="auto"/>
              </w:rPr>
            </w:pPr>
          </w:p>
        </w:tc>
        <w:tc>
          <w:tcPr>
            <w:tcW w:w="4720" w:type="dxa"/>
            <w:vAlign w:val="bottom"/>
            <w:gridSpan w:val="8"/>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81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6740" w:type="dxa"/>
            <w:vAlign w:val="bottom"/>
            <w:gridSpan w:val="14"/>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10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Exhibits</w:t>
            </w:r>
          </w:p>
        </w:tc>
        <w:tc>
          <w:tcPr>
            <w:tcW w:w="7100" w:type="dxa"/>
            <w:vAlign w:val="bottom"/>
            <w:gridSpan w:val="16"/>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520" w:type="dxa"/>
            <w:vAlign w:val="bottom"/>
            <w:gridSpan w:val="1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7520" w:type="dxa"/>
            <w:vAlign w:val="bottom"/>
            <w:gridSpan w:val="18"/>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8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This Quarterly Report on Form 10-Q (this “Quarterly Report”)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“may,” “will,” “should,” “could,” “would,” “expects,” “plans,” “anticipates,” “goal,” “believes,” “estimates,” “positions,” “predictive,” “projects,” “predicts,” “intends,” “potential,” “continue,” “seeks” and similar expressions and the negatives of those terms. In particular, forward-looking statements contained in this Quarterly Report relate to, among other things:</w:t>
      </w:r>
    </w:p>
    <w:p>
      <w:pPr>
        <w:spacing w:after="0" w:line="223" w:lineRule="exact"/>
        <w:rPr>
          <w:sz w:val="20"/>
          <w:szCs w:val="20"/>
          <w:color w:val="auto"/>
        </w:rPr>
      </w:pPr>
    </w:p>
    <w:p>
      <w:pPr>
        <w:ind w:left="1020" w:right="180" w:hanging="251"/>
        <w:spacing w:after="0" w:line="287"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commercialize Rezdiffra, our only approved product, for the treatment of metabolic dysfunction-associated steatohepatitis (“MASH”) with moderate to advanced liver fibrosis (consistent with stages F2 to F3 fibrosis);</w:t>
      </w:r>
    </w:p>
    <w:p>
      <w:pPr>
        <w:spacing w:after="0" w:line="2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full approval for Rezdiffra from the U.S. Food and Drug Administration (the “FDA”) and the European Medicines Agency;</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or in a timely manner, report positive results from our outcomes trials;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to expand Rezdiffra’s indication to a broader MASH patient population;</w:t>
      </w:r>
    </w:p>
    <w:p>
      <w:pPr>
        <w:spacing w:after="0" w:line="83" w:lineRule="exact"/>
        <w:rPr>
          <w:rFonts w:ascii="Times New Roman" w:cs="Times New Roman" w:eastAsia="Times New Roman" w:hAnsi="Times New Roman"/>
          <w:sz w:val="14"/>
          <w:szCs w:val="14"/>
          <w:color w:val="auto"/>
        </w:rPr>
      </w:pPr>
    </w:p>
    <w:p>
      <w:pPr>
        <w:ind w:left="1020" w:right="60" w:hanging="251"/>
        <w:spacing w:after="0" w:line="271"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degree of market acceptance of Rezdiffra by physicians, patients, third-party payors and others in the healthcare community, our ability to obtain and maintain adequate reimbursement from government and third-party payors for Rezdiffra or acceptable prices for Rezdiffra and Rezdiffra’s leadership position;</w:t>
      </w:r>
    </w:p>
    <w:p>
      <w:pPr>
        <w:spacing w:after="0" w:line="50" w:lineRule="exact"/>
        <w:rPr>
          <w:rFonts w:ascii="Times New Roman" w:cs="Times New Roman" w:eastAsia="Times New Roman" w:hAnsi="Times New Roman"/>
          <w:sz w:val="14"/>
          <w:szCs w:val="14"/>
          <w:color w:val="auto"/>
        </w:rPr>
      </w:pPr>
    </w:p>
    <w:p>
      <w:pPr>
        <w:ind w:left="1020" w:right="80" w:hanging="251"/>
        <w:spacing w:after="0" w:line="271"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possible or assumed future business strategies and plans (including potential ex-U.S. commercial or partnering opportunities) and potential growth opportunities and our ability to acquire or in-license new product candidates and technologies;</w:t>
      </w:r>
    </w:p>
    <w:p>
      <w:pPr>
        <w:spacing w:after="0" w:line="39" w:lineRule="exact"/>
        <w:rPr>
          <w:rFonts w:ascii="Times New Roman" w:cs="Times New Roman" w:eastAsia="Times New Roman" w:hAnsi="Times New Roman"/>
          <w:sz w:val="14"/>
          <w:szCs w:val="14"/>
          <w:color w:val="auto"/>
        </w:rPr>
      </w:pPr>
    </w:p>
    <w:p>
      <w:pPr>
        <w:ind w:left="1020" w:right="140" w:hanging="251"/>
        <w:spacing w:after="0" w:line="287"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and plans related to clinical trials, including anticipated timing of initiating clinical trials and the receipt of data from our clinical trials, our ability to successfully conduct our current or any future clinical trials necessary for regulatory approval and our ability to delay certain research activities and related clinical expenses as necessary;</w:t>
      </w:r>
    </w:p>
    <w:p>
      <w:pPr>
        <w:spacing w:after="0" w:line="28" w:lineRule="exact"/>
        <w:rPr>
          <w:rFonts w:ascii="Times New Roman" w:cs="Times New Roman" w:eastAsia="Times New Roman" w:hAnsi="Times New Roman"/>
          <w:sz w:val="14"/>
          <w:szCs w:val="14"/>
          <w:color w:val="auto"/>
        </w:rPr>
      </w:pPr>
    </w:p>
    <w:p>
      <w:pPr>
        <w:ind w:left="1020" w:right="520" w:hanging="251"/>
        <w:spacing w:after="0" w:line="271"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an effective commercial organization, including sales and marketing representatives, and the ability of third parties on which we rely to manufacture sufficient quantities of Rezdiffra or any other future product candidate for our commercial or clinical needs;</w:t>
      </w:r>
    </w:p>
    <w:p>
      <w:pPr>
        <w:spacing w:after="0" w:line="50" w:lineRule="exact"/>
        <w:rPr>
          <w:rFonts w:ascii="Times New Roman" w:cs="Times New Roman" w:eastAsia="Times New Roman" w:hAnsi="Times New Roman"/>
          <w:sz w:val="14"/>
          <w:szCs w:val="14"/>
          <w:color w:val="auto"/>
        </w:rPr>
      </w:pPr>
    </w:p>
    <w:p>
      <w:pPr>
        <w:ind w:left="1020" w:right="140" w:hanging="251"/>
        <w:spacing w:after="0" w:line="271"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or estimated future results, including our future operating performance and financial position, estimates of our expenses and liquidity and our ability to raise additional capital as needed, our ability to achieve or maintain profitability and our ability to comply with the covenants included in our loan facility;</w:t>
      </w:r>
    </w:p>
    <w:p>
      <w:pPr>
        <w:spacing w:after="0" w:line="39" w:lineRule="exact"/>
        <w:rPr>
          <w:rFonts w:ascii="Times New Roman" w:cs="Times New Roman" w:eastAsia="Times New Roman" w:hAnsi="Times New Roman"/>
          <w:sz w:val="14"/>
          <w:szCs w:val="14"/>
          <w:color w:val="auto"/>
        </w:rPr>
      </w:pPr>
    </w:p>
    <w:p>
      <w:pPr>
        <w:ind w:left="1020" w:right="240" w:hanging="251"/>
        <w:spacing w:after="0" w:line="287"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protect our intellectual property rights or prevent disclosure of our trade secrets and other proprietary information and costs associated with litigation or other proceedings related to such matters;</w:t>
      </w:r>
    </w:p>
    <w:p>
      <w:pPr>
        <w:spacing w:after="0" w:line="28" w:lineRule="exact"/>
        <w:rPr>
          <w:rFonts w:ascii="Times New Roman" w:cs="Times New Roman" w:eastAsia="Times New Roman" w:hAnsi="Times New Roman"/>
          <w:sz w:val="14"/>
          <w:szCs w:val="14"/>
          <w:color w:val="auto"/>
        </w:rPr>
      </w:pPr>
    </w:p>
    <w:p>
      <w:pPr>
        <w:ind w:left="1020" w:right="140" w:hanging="251"/>
        <w:spacing w:after="0" w:line="271"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complete business development transactions and receive the expected benefits of such transactions, and our ability to comply with our obligations under any of our current or future license agreements, including the license agreement with F. Hoffmann-La Roche AG in respect of resmetirom; and</w:t>
      </w:r>
    </w:p>
    <w:p>
      <w:pPr>
        <w:spacing w:after="0" w:line="50" w:lineRule="exact"/>
        <w:rPr>
          <w:rFonts w:ascii="Times New Roman" w:cs="Times New Roman" w:eastAsia="Times New Roman" w:hAnsi="Times New Roman"/>
          <w:sz w:val="14"/>
          <w:szCs w:val="14"/>
          <w:color w:val="auto"/>
        </w:rPr>
      </w:pPr>
    </w:p>
    <w:p>
      <w:pPr>
        <w:ind w:left="1020" w:right="320" w:hanging="251"/>
        <w:spacing w:after="0" w:line="271"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regulation of the healthcare industry, including potential pricing reform, and general economic conditions in the United States, Europe and globally, including the impact of tariffs and inflation, that may affect us, our suppliers, third-party service providers and potential partners.</w:t>
      </w:r>
    </w:p>
    <w:p>
      <w:pPr>
        <w:spacing w:after="0" w:line="12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These forward-looking statements reflect management’s current views with respect to future events and with respect to our business and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in our Annual Report on Form 10-K for the fiscal year ended December 31, 2025 and Part II, Item 1A, “Risk Factors” in this Quarterly Report and elsewhere in this Quarterly Report. Other sections of this Quarterly Report may</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 You are advised, however, to consult any further disclosure we make in our reports filed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6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1.</w:t>
        <w:tab/>
        <w:t>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40" w:type="dxa"/>
            <w:vAlign w:val="bottom"/>
          </w:tcPr>
          <w:p>
            <w:pPr>
              <w:spacing w:after="0"/>
              <w:rPr>
                <w:sz w:val="11"/>
                <w:szCs w:val="11"/>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30"/>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198,693</w:t>
            </w: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w:t>
            </w: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585,738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784,866</w:t>
            </w: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 receivables, net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134,476</w:t>
            </w: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74,841</w:t>
            </w:r>
          </w:p>
        </w:tc>
      </w:tr>
      <w:tr>
        <w:trPr>
          <w:trHeight w:val="196"/>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64,955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47,804</w:t>
            </w:r>
          </w:p>
        </w:tc>
      </w:tr>
      <w:tr>
        <w:trPr>
          <w:trHeight w:val="198"/>
        </w:trPr>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1,182,307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1,245,770</w:t>
            </w: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 net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w:t>
            </w: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w:t>
            </w: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82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1,227,327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1,259,589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48,878</w:t>
            </w: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260,392</w:t>
            </w: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r>
      <w:tr>
        <w:trPr>
          <w:trHeight w:val="187"/>
        </w:trPr>
        <w:tc>
          <w:tcPr>
            <w:tcW w:w="82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310,288</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 term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Loan payable, net of discount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339,881</w:t>
            </w: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w:t>
            </w:r>
          </w:p>
        </w:tc>
      </w:tr>
      <w:tr>
        <w:trPr>
          <w:trHeight w:val="187"/>
        </w:trPr>
        <w:tc>
          <w:tcPr>
            <w:tcW w:w="82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Total long term liabilities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345,614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346,612</w:t>
            </w:r>
          </w:p>
        </w:tc>
      </w:tr>
      <w:tr>
        <w:trPr>
          <w:trHeight w:val="198"/>
        </w:trPr>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683,873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656,900</w:t>
            </w:r>
          </w:p>
        </w:tc>
      </w:tr>
      <w:tr>
        <w:trPr>
          <w:trHeight w:val="17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1"/>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Preferred stock, par value $0.0001 per share authorized: 5,000,000 shares at March 31, 2026 and December 31, 2025; 2,369,797 shares</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5"/>
        </w:trPr>
        <w:tc>
          <w:tcPr>
            <w:tcW w:w="8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issued and outstanding at March 31, 2026 and December 31, 2025</w:t>
            </w: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 par value $0.0001 per share authorized: 200,000,000 shares at March 31, 2026 and December 31, 2025; 23,041,918 and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0"/>
        </w:trPr>
        <w:tc>
          <w:tcPr>
            <w:tcW w:w="82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22,842,073 shares issued and outstanding at March 31, 2026 and December 31, 2025, respectively</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2,727,227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2,692,280</w:t>
            </w: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(2,184,857)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(2,090,466)</w:t>
            </w:r>
          </w:p>
        </w:tc>
      </w:tr>
      <w:tr>
        <w:trPr>
          <w:trHeight w:val="187"/>
        </w:trPr>
        <w:tc>
          <w:tcPr>
            <w:tcW w:w="82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543,454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602,689</w:t>
            </w:r>
          </w:p>
        </w:tc>
      </w:tr>
      <w:tr>
        <w:trPr>
          <w:trHeight w:val="217"/>
        </w:trPr>
        <w:tc>
          <w:tcPr>
            <w:tcW w:w="82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1,227,327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1,259,589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181" w:lineRule="exact"/>
        <w:rPr>
          <w:sz w:val="20"/>
          <w:szCs w:val="20"/>
          <w:color w:val="auto"/>
        </w:rPr>
      </w:pPr>
    </w:p>
    <w:tbl>
      <w:tblPr>
        <w:tblLayout w:type="fixed"/>
        <w:tblInd w:w="156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20" w:type="dxa"/>
            <w:vAlign w:val="bottom"/>
            <w:gridSpan w:val="4"/>
          </w:tcPr>
          <w:p>
            <w:pPr>
              <w:jc w:val="right"/>
              <w:ind w:right="69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30"/>
        </w:trPr>
        <w:tc>
          <w:tcPr>
            <w:tcW w:w="5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50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6"/>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Product revenue, net</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311,337</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137,250</w:t>
            </w:r>
          </w:p>
        </w:tc>
      </w:tr>
      <w:tr>
        <w:trPr>
          <w:trHeight w:val="20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6"/>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w:t>
            </w:r>
          </w:p>
        </w:tc>
      </w:tr>
      <w:tr>
        <w:trPr>
          <w:trHeight w:val="20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44,172</w:t>
            </w:r>
          </w:p>
        </w:tc>
      </w:tr>
      <w:tr>
        <w:trPr>
          <w:trHeight w:val="196"/>
        </w:trPr>
        <w:tc>
          <w:tcPr>
            <w:tcW w:w="5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167,876</w:t>
            </w:r>
          </w:p>
        </w:tc>
      </w:tr>
      <w:tr>
        <w:trPr>
          <w:trHeight w:val="198"/>
        </w:trPr>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404,060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216,561</w:t>
            </w: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(79,311)</w:t>
            </w:r>
          </w:p>
        </w:tc>
      </w:tr>
      <w:tr>
        <w:trPr>
          <w:trHeight w:val="20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w:t>
            </w:r>
          </w:p>
        </w:tc>
      </w:tr>
      <w:tr>
        <w:trPr>
          <w:trHeight w:val="196"/>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w:t>
            </w:r>
          </w:p>
        </w:tc>
      </w:tr>
      <w:tr>
        <w:trPr>
          <w:trHeight w:val="202"/>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expense, net</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(94,391)</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(73,238)</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common, Series A preferred and Series B preferred share:</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common, Series A preferred, and Series B preferred share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0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number of shares outstanding (Note 13)</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29,032,422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28,085,234</w:t>
            </w:r>
          </w:p>
        </w:tc>
      </w:tr>
    </w:tbl>
    <w:p>
      <w:pPr>
        <w:spacing w:after="0" w:line="2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(Unaudited; in thousands)</w:t>
      </w:r>
    </w:p>
    <w:p>
      <w:pPr>
        <w:spacing w:after="0" w:line="181" w:lineRule="exact"/>
        <w:rPr>
          <w:sz w:val="20"/>
          <w:szCs w:val="20"/>
          <w:color w:val="auto"/>
        </w:rPr>
      </w:pPr>
    </w:p>
    <w:tbl>
      <w:tblPr>
        <w:tblLayout w:type="fixed"/>
        <w:tblInd w:w="1580" w:type="dxa"/>
        <w:tblCellMar>
          <w:top w:w="0" w:type="dxa"/>
          <w:left w:w="0" w:type="dxa"/>
          <w:bottom w:w="0" w:type="dxa"/>
          <w:right w:w="0" w:type="dxa"/>
        </w:tblCellMar>
      </w:tblPr>
      <w:tr>
        <w:trPr>
          <w:trHeight w:val="158"/>
        </w:trPr>
        <w:tc>
          <w:tcPr>
            <w:tcW w:w="5100" w:type="dxa"/>
            <w:vAlign w:val="bottom"/>
          </w:tcPr>
          <w:p>
            <w:pPr>
              <w:spacing w:after="0"/>
              <w:rPr>
                <w:sz w:val="13"/>
                <w:szCs w:val="13"/>
                <w:color w:val="auto"/>
              </w:rPr>
            </w:pPr>
          </w:p>
        </w:tc>
        <w:tc>
          <w:tcPr>
            <w:tcW w:w="246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r>
      <w:tr>
        <w:trPr>
          <w:trHeight w:val="160"/>
        </w:trPr>
        <w:tc>
          <w:tcPr>
            <w:tcW w:w="5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r>
      <w:tr>
        <w:trPr>
          <w:trHeight w:val="20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(94,391)</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(73,238)</w:t>
            </w:r>
          </w:p>
        </w:tc>
      </w:tr>
      <w:tr>
        <w:trPr>
          <w:trHeight w:val="196"/>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7"/>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unrealized loss on available-for-sale securities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96"/>
        </w:trPr>
        <w:tc>
          <w:tcPr>
            <w:tcW w:w="5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gain</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gain (loss):</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7"/>
        </w:trPr>
        <w:tc>
          <w:tcPr>
            <w:tcW w:w="51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Comprehensive loss</w:t>
            </w: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(94,182)</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(73,317)</w:t>
            </w:r>
          </w:p>
        </w:tc>
      </w:tr>
      <w:tr>
        <w:trPr>
          <w:trHeight w:val="20"/>
        </w:trPr>
        <w:tc>
          <w:tcPr>
            <w:tcW w:w="5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ectPr>
          <w:pgSz w:w="11900" w:h="16838" w:orient="portrait"/>
          <w:cols w:equalWidth="0" w:num="1">
            <w:col w:w="11240"/>
          </w:cols>
          <w:pgMar w:left="300" w:top="123" w:right="359" w:bottom="1440" w:gutter="0" w:footer="0" w:header="0"/>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3480" w:type="dxa"/>
            <w:vAlign w:val="bottom"/>
          </w:tcPr>
          <w:p>
            <w:pPr>
              <w:spacing w:after="0"/>
              <w:rPr>
                <w:sz w:val="13"/>
                <w:szCs w:val="13"/>
                <w:color w:val="auto"/>
              </w:rPr>
            </w:pPr>
          </w:p>
        </w:tc>
        <w:tc>
          <w:tcPr>
            <w:tcW w:w="16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Preferred stock</w:t>
            </w:r>
          </w:p>
        </w:tc>
      </w:tr>
      <w:tr>
        <w:trPr>
          <w:trHeight w:val="182"/>
        </w:trPr>
        <w:tc>
          <w:tcPr>
            <w:tcW w:w="3480" w:type="dxa"/>
            <w:vAlign w:val="bottom"/>
          </w:tcPr>
          <w:p>
            <w:pPr>
              <w:spacing w:after="0"/>
              <w:rPr>
                <w:sz w:val="15"/>
                <w:szCs w:val="15"/>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9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4"/>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March 31, 2026</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4"/>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March 31, 2025</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40" w:type="dxa"/>
            <w:vAlign w:val="bottom"/>
            <w:gridSpan w:val="3"/>
            <w:vMerge w:val="restart"/>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7"/>
        </w:trPr>
        <w:tc>
          <w:tcPr>
            <w:tcW w:w="164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0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9"/>
                <w:szCs w:val="9"/>
                <w:color w:val="auto"/>
              </w:rPr>
            </w:pPr>
          </w:p>
        </w:tc>
        <w:tc>
          <w:tcPr>
            <w:tcW w:w="94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9"/>
                <w:szCs w:val="9"/>
                <w:color w:val="auto"/>
              </w:rPr>
            </w:pPr>
          </w:p>
        </w:tc>
        <w:tc>
          <w:tcPr>
            <w:tcW w:w="820" w:type="dxa"/>
            <w:vAlign w:val="bottom"/>
          </w:tcPr>
          <w:p>
            <w:pPr>
              <w:jc w:val="center"/>
              <w:ind w:right="52"/>
              <w:spacing w:after="0" w:line="10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9"/>
        </w:trPr>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2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4"/>
                <w:szCs w:val="14"/>
                <w:color w:val="auto"/>
              </w:rPr>
            </w:pP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91"/>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22,842,073</w:t>
            </w:r>
          </w:p>
        </w:tc>
        <w:tc>
          <w:tcPr>
            <w:tcW w:w="60" w:type="dxa"/>
            <w:vAlign w:val="bottom"/>
          </w:tcPr>
          <w:p>
            <w:pPr>
              <w:spacing w:after="0"/>
              <w:rPr>
                <w:sz w:val="16"/>
                <w:szCs w:val="16"/>
                <w:color w:val="auto"/>
              </w:rPr>
            </w:pPr>
          </w:p>
        </w:tc>
        <w:tc>
          <w:tcPr>
            <w:tcW w:w="6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2,692,280</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(2,090,466)</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602,689</w:t>
            </w:r>
          </w:p>
        </w:tc>
        <w:tc>
          <w:tcPr>
            <w:tcW w:w="0" w:type="dxa"/>
            <w:vAlign w:val="bottom"/>
          </w:tcPr>
          <w:p>
            <w:pPr>
              <w:spacing w:after="0"/>
              <w:rPr>
                <w:sz w:val="1"/>
                <w:szCs w:val="1"/>
                <w:color w:val="auto"/>
              </w:rPr>
            </w:pPr>
          </w:p>
        </w:tc>
      </w:tr>
      <w:tr>
        <w:trPr>
          <w:trHeight w:val="202"/>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199,845</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2,329</w:t>
            </w:r>
          </w:p>
        </w:tc>
        <w:tc>
          <w:tcPr>
            <w:tcW w:w="0" w:type="dxa"/>
            <w:vAlign w:val="bottom"/>
          </w:tcPr>
          <w:p>
            <w:pPr>
              <w:spacing w:after="0"/>
              <w:rPr>
                <w:sz w:val="1"/>
                <w:szCs w:val="1"/>
                <w:color w:val="auto"/>
              </w:rPr>
            </w:pPr>
          </w:p>
        </w:tc>
      </w:tr>
      <w:tr>
        <w:trPr>
          <w:trHeight w:val="361"/>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32,618</w:t>
            </w:r>
          </w:p>
        </w:tc>
        <w:tc>
          <w:tcPr>
            <w:tcW w:w="0" w:type="dxa"/>
            <w:vAlign w:val="bottom"/>
          </w:tcPr>
          <w:p>
            <w:pPr>
              <w:spacing w:after="0"/>
              <w:rPr>
                <w:sz w:val="1"/>
                <w:szCs w:val="1"/>
                <w:color w:val="auto"/>
              </w:rPr>
            </w:pPr>
          </w:p>
        </w:tc>
      </w:tr>
      <w:tr>
        <w:trPr>
          <w:trHeight w:val="202"/>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07"/>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(94,391)</w:t>
            </w:r>
          </w:p>
        </w:tc>
        <w:tc>
          <w:tcPr>
            <w:tcW w:w="0" w:type="dxa"/>
            <w:vAlign w:val="bottom"/>
          </w:tcPr>
          <w:p>
            <w:pPr>
              <w:spacing w:after="0"/>
              <w:rPr>
                <w:sz w:val="1"/>
                <w:szCs w:val="1"/>
                <w:color w:val="auto"/>
              </w:rPr>
            </w:pPr>
          </w:p>
        </w:tc>
      </w:tr>
      <w:tr>
        <w:trPr>
          <w:trHeight w:val="187"/>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23,041,918</w:t>
            </w:r>
          </w:p>
        </w:tc>
        <w:tc>
          <w:tcPr>
            <w:tcW w:w="60" w:type="dxa"/>
            <w:vAlign w:val="bottom"/>
          </w:tcPr>
          <w:p>
            <w:pPr>
              <w:spacing w:after="0"/>
              <w:rPr>
                <w:sz w:val="16"/>
                <w:szCs w:val="16"/>
                <w:color w:val="auto"/>
              </w:rPr>
            </w:pPr>
          </w:p>
        </w:tc>
        <w:tc>
          <w:tcPr>
            <w:tcW w:w="6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2,727,227</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(2,184,857)</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543,454</w:t>
            </w:r>
          </w:p>
        </w:tc>
        <w:tc>
          <w:tcPr>
            <w:tcW w:w="0" w:type="dxa"/>
            <w:vAlign w:val="bottom"/>
          </w:tcPr>
          <w:p>
            <w:pPr>
              <w:spacing w:after="0"/>
              <w:rPr>
                <w:sz w:val="1"/>
                <w:szCs w:val="1"/>
                <w:color w:val="auto"/>
              </w:rPr>
            </w:pPr>
          </w:p>
        </w:tc>
      </w:tr>
      <w:tr>
        <w:trPr>
          <w:trHeight w:val="414"/>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22,004,679</w:t>
            </w:r>
          </w:p>
        </w:tc>
        <w:tc>
          <w:tcPr>
            <w:tcW w:w="60" w:type="dxa"/>
            <w:vAlign w:val="bottom"/>
          </w:tcPr>
          <w:p>
            <w:pPr>
              <w:spacing w:after="0"/>
              <w:rPr>
                <w:sz w:val="24"/>
                <w:szCs w:val="24"/>
                <w:color w:val="auto"/>
              </w:rPr>
            </w:pPr>
          </w:p>
        </w:tc>
        <w:tc>
          <w:tcPr>
            <w:tcW w:w="62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2,556,095</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(1,802,182)</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754,383</w:t>
            </w:r>
          </w:p>
        </w:tc>
        <w:tc>
          <w:tcPr>
            <w:tcW w:w="0" w:type="dxa"/>
            <w:vAlign w:val="bottom"/>
          </w:tcPr>
          <w:p>
            <w:pPr>
              <w:spacing w:after="0"/>
              <w:rPr>
                <w:sz w:val="1"/>
                <w:szCs w:val="1"/>
                <w:color w:val="auto"/>
              </w:rPr>
            </w:pPr>
          </w:p>
        </w:tc>
      </w:tr>
      <w:tr>
        <w:trPr>
          <w:trHeight w:val="202"/>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183,037</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8,640</w:t>
            </w:r>
          </w:p>
        </w:tc>
        <w:tc>
          <w:tcPr>
            <w:tcW w:w="0" w:type="dxa"/>
            <w:vAlign w:val="bottom"/>
          </w:tcPr>
          <w:p>
            <w:pPr>
              <w:spacing w:after="0"/>
              <w:rPr>
                <w:sz w:val="1"/>
                <w:szCs w:val="1"/>
                <w:color w:val="auto"/>
              </w:rPr>
            </w:pPr>
          </w:p>
        </w:tc>
      </w:tr>
      <w:tr>
        <w:trPr>
          <w:trHeight w:val="361"/>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20,931</w:t>
            </w:r>
          </w:p>
        </w:tc>
        <w:tc>
          <w:tcPr>
            <w:tcW w:w="0" w:type="dxa"/>
            <w:vAlign w:val="bottom"/>
          </w:tcPr>
          <w:p>
            <w:pPr>
              <w:spacing w:after="0"/>
              <w:rPr>
                <w:sz w:val="1"/>
                <w:szCs w:val="1"/>
                <w:color w:val="auto"/>
              </w:rPr>
            </w:pPr>
          </w:p>
        </w:tc>
      </w:tr>
      <w:tr>
        <w:trPr>
          <w:trHeight w:val="202"/>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7"/>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(73,238)</w:t>
            </w:r>
          </w:p>
        </w:tc>
        <w:tc>
          <w:tcPr>
            <w:tcW w:w="0" w:type="dxa"/>
            <w:vAlign w:val="bottom"/>
          </w:tcPr>
          <w:p>
            <w:pPr>
              <w:spacing w:after="0"/>
              <w:rPr>
                <w:sz w:val="1"/>
                <w:szCs w:val="1"/>
                <w:color w:val="auto"/>
              </w:rPr>
            </w:pPr>
          </w:p>
        </w:tc>
      </w:tr>
      <w:tr>
        <w:trPr>
          <w:trHeight w:val="187"/>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22,187,716</w:t>
            </w:r>
          </w:p>
        </w:tc>
        <w:tc>
          <w:tcPr>
            <w:tcW w:w="60" w:type="dxa"/>
            <w:vAlign w:val="bottom"/>
          </w:tcPr>
          <w:p>
            <w:pPr>
              <w:spacing w:after="0"/>
              <w:rPr>
                <w:sz w:val="16"/>
                <w:szCs w:val="16"/>
                <w:color w:val="auto"/>
              </w:rPr>
            </w:pPr>
          </w:p>
        </w:tc>
        <w:tc>
          <w:tcPr>
            <w:tcW w:w="6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2,585,666</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(1,875,420)</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710,637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-1885315</wp:posOffset>
            </wp:positionV>
            <wp:extent cx="7087870"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870" cy="13462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-1623060</wp:posOffset>
            </wp:positionV>
            <wp:extent cx="7087870" cy="229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870" cy="22923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-1265555</wp:posOffset>
            </wp:positionV>
            <wp:extent cx="7087870"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870" cy="12827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-1002665</wp:posOffset>
            </wp:positionV>
            <wp:extent cx="708787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870" cy="13462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-740410</wp:posOffset>
            </wp:positionV>
            <wp:extent cx="7087870"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870" cy="12827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-382905</wp:posOffset>
            </wp:positionV>
            <wp:extent cx="7087870"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870" cy="12827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-127000</wp:posOffset>
            </wp:positionV>
            <wp:extent cx="708787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87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60"/>
            <w:col w:w="5940"/>
          </w:cols>
          <w:pgMar w:left="300" w:top="123" w:right="359" w:bottom="1440" w:gutter="0" w:footer="0" w:header="0"/>
          <w:type w:val="continuous"/>
        </w:sectPr>
      </w:pPr>
    </w:p>
    <w:p>
      <w:pPr>
        <w:spacing w:after="0" w:line="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w:t>
      </w:r>
    </w:p>
    <w:p>
      <w:pPr>
        <w:spacing w:after="0" w:line="192"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836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1"/>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6"/>
        </w:trPr>
        <w:tc>
          <w:tcPr>
            <w:tcW w:w="8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(94,391)</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(73,238)</w:t>
            </w:r>
          </w:p>
        </w:tc>
      </w:tr>
      <w:tr>
        <w:trPr>
          <w:trHeight w:val="207"/>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20,931</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debt issuance costs and discount</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Amortization and interest accretion related to operating leases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01"/>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non-cash items, net</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Trade receivables, net</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(7,606)</w:t>
            </w:r>
          </w:p>
        </w:tc>
      </w:tr>
      <w:tr>
        <w:trPr>
          <w:trHeight w:val="207"/>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(9,456)</w:t>
            </w:r>
          </w:p>
        </w:tc>
      </w:tr>
      <w:tr>
        <w:trPr>
          <w:trHeight w:val="196"/>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Inventory</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(21,173)</w:t>
            </w:r>
          </w:p>
        </w:tc>
      </w:tr>
      <w:tr>
        <w:trPr>
          <w:trHeight w:val="207"/>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196"/>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liabilities</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207"/>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interest, net of interest received on maturity of investments</w:t>
            </w:r>
          </w:p>
        </w:tc>
        <w:tc>
          <w:tcPr>
            <w:tcW w:w="8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w:t>
            </w:r>
          </w:p>
        </w:tc>
      </w:tr>
      <w:tr>
        <w:trPr>
          <w:trHeight w:val="187"/>
        </w:trPr>
        <w:tc>
          <w:tcPr>
            <w:tcW w:w="83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(167,435)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(88,891)</w:t>
            </w:r>
          </w:p>
        </w:tc>
      </w:tr>
      <w:tr>
        <w:trPr>
          <w:trHeight w:val="187"/>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(157,829)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(130,812)</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294,690</w:t>
            </w:r>
          </w:p>
        </w:tc>
      </w:tr>
      <w:tr>
        <w:trPr>
          <w:trHeight w:val="196"/>
        </w:trPr>
        <w:tc>
          <w:tcPr>
            <w:tcW w:w="83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Purchases of property and equipment, net of disposals</w:t>
            </w:r>
          </w:p>
        </w:tc>
        <w:tc>
          <w:tcPr>
            <w:tcW w:w="8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8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192,191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163,878</w:t>
            </w:r>
          </w:p>
        </w:tc>
      </w:tr>
      <w:tr>
        <w:trPr>
          <w:trHeight w:val="176"/>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8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w:t>
            </w:r>
          </w:p>
        </w:tc>
      </w:tr>
      <w:tr>
        <w:trPr>
          <w:trHeight w:val="187"/>
        </w:trPr>
        <w:tc>
          <w:tcPr>
            <w:tcW w:w="83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8,640</w:t>
            </w:r>
          </w:p>
        </w:tc>
      </w:tr>
      <w:tr>
        <w:trPr>
          <w:trHeight w:val="198"/>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83,627</w:t>
            </w:r>
          </w:p>
        </w:tc>
      </w:tr>
      <w:tr>
        <w:trPr>
          <w:trHeight w:val="207"/>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105,019</w:t>
            </w:r>
          </w:p>
        </w:tc>
      </w:tr>
      <w:tr>
        <w:trPr>
          <w:trHeight w:val="187"/>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232,188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188,646</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9"/>
        </w:trPr>
        <w:tc>
          <w:tcPr>
            <w:tcW w:w="8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6"/>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Obtaining an operating lease right-of-use asset in exchange for an operating lease liability</w:t>
            </w:r>
          </w:p>
        </w:tc>
        <w:tc>
          <w:tcPr>
            <w:tcW w:w="82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w:t>
            </w:r>
          </w:p>
        </w:tc>
        <w:tc>
          <w:tcPr>
            <w:tcW w:w="82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2" w:lineRule="exact"/>
        <w:rPr>
          <w:sz w:val="20"/>
          <w:szCs w:val="20"/>
          <w:color w:val="auto"/>
        </w:rPr>
      </w:pPr>
    </w:p>
    <w:p>
      <w:pPr>
        <w:ind w:right="8100" w:firstLine="5"/>
        <w:spacing w:after="0" w:line="373" w:lineRule="auto"/>
        <w:tabs>
          <w:tab w:leader="none" w:pos="141"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 Business, and Basis of Presentation Organization and Business</w:t>
      </w:r>
    </w:p>
    <w:p>
      <w:pPr>
        <w:ind w:firstLine="509"/>
        <w:spacing w:after="0" w:line="246" w:lineRule="auto"/>
        <w:rPr>
          <w:sz w:val="20"/>
          <w:szCs w:val="20"/>
          <w:color w:val="auto"/>
        </w:rPr>
      </w:pPr>
      <w:r>
        <w:rPr>
          <w:rFonts w:ascii="Times New Roman" w:cs="Times New Roman" w:eastAsia="Times New Roman" w:hAnsi="Times New Roman"/>
          <w:sz w:val="14"/>
          <w:szCs w:val="14"/>
          <w:color w:val="auto"/>
        </w:rPr>
        <w:t>Madrigal Pharmaceuticals, Inc. (the “Company” or “Madrigal”) is a biopharmaceutical company focused on delivering novel therapeutics for metabolic dysfunction-associated steatohepatitis (“MASH”), a serious liver disease with high unmet medical need that can lead to cirrhosis, liver failure, liver cancer, need for liver transplantation and premature mortality. MASH was previously known as nonalcoholic steatohepatitis (“NASH”). MASH is the leading cause of liver transplantation in women, the second leading cause of all liver transplantation in the United States, and the fastest-growing indication for liver transplantation in Europe. The Company’s medication, Rezdiffra (resmetirom), is a once-daily, oral, liver-directed thyroid hormone receptor beta (“THR-β”) agonist designed to target key underlying causes of MASH. In March 2024, Rezdiffra became the first therapy approved by the U.S. Food and Drug Administration (“FDA”) for patients with MASH and was commercially available in the United States beginning in April 2024. Following receipt of conditional marketing authorization from the European Commission (“EC”), the Company launched Rezdiffra in Germany in September 2025. Rezdiffra was the first medication approved by both the FDA and EC for the treatment of adults with noncirrhotic MASH with moderate to advanced liver fibrosis (F2 to F3 fibrosis). The Company is also evaluating Rezdiffra in patients with compensated MASH cirrhosis (consistent with F4c fibrosis) in its MAESTRO-NASH OUTCOMES trial, that, if successful, could expand the eligible patient population for Rezdiffra. In addition, the Company expects to evaluate its pipeline candidates with the goal of delivering best-in-disease therapies for the treatment of MASH.</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85"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the Company believes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the Company will have for the full year ending December 31, 2026 or any subsequent period. These unaudited condensed consolidated financial statements should be read in conjunction with the audited consolidated financial statements and the notes to those financial statements for the year ended December 31, 2025.</w:t>
      </w:r>
    </w:p>
    <w:p>
      <w:pPr>
        <w:spacing w:after="0" w:line="223" w:lineRule="exact"/>
        <w:rPr>
          <w:sz w:val="20"/>
          <w:szCs w:val="20"/>
          <w:color w:val="auto"/>
        </w:rPr>
      </w:pPr>
    </w:p>
    <w:p>
      <w:pPr>
        <w:ind w:right="8440" w:firstLine="5"/>
        <w:spacing w:after="0" w:line="373" w:lineRule="auto"/>
        <w:tabs>
          <w:tab w:leader="none" w:pos="141"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Principle of Consolidation</w:t>
      </w: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have been prepared in conformity with GAAP and include accounts of the Company and its wholly-owned subsidiaries. All significant intercompany balances and transactions have been eliminated in consolidation.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85" w:lineRule="exact"/>
        <w:rPr>
          <w:sz w:val="20"/>
          <w:szCs w:val="20"/>
          <w:color w:val="auto"/>
        </w:rPr>
      </w:pPr>
    </w:p>
    <w:p>
      <w:pPr>
        <w:jc w:val="both"/>
        <w:ind w:right="40" w:firstLine="509"/>
        <w:spacing w:after="0" w:line="26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74"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The Company recognizes revenue in accordance with Financial Accounting Standards Board (“FASB”) Accounting Standards Codification (“ASC”) Topic 606 - Revenue from Contracts with Customers (“ASC 606”). Revenue is recognized at a point in time when the customer obtains control of promised goods or services in an amount that reflects the consideration to which the entity expects to be entitled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140" w:firstLine="5"/>
        <w:spacing w:after="0" w:line="271" w:lineRule="auto"/>
        <w:tabs>
          <w:tab w:leader="none" w:pos="24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 (iv) allocate the transaction price to the performance obligation(s) in the contract; and (v) recognize revenue when (or as) the Company satisfies its performance obligation(s).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Revenue, Net</w:t>
      </w:r>
    </w:p>
    <w:p>
      <w:pPr>
        <w:spacing w:after="0" w:line="85"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4"/>
          <w:szCs w:val="14"/>
          <w:color w:val="auto"/>
        </w:rPr>
        <w:t>On March 14, 2024, the Company announced that the FDA granted accelerated approval of Rezdiffra (resmetirom) in conjunction with diet and exercise for the treatment of adults with noncirrhotic MASH with moderate to advanced liver fibrosis (consistent with stages F2 to F3 fibrosis). In addition, the Company commercially launched Rezdiffra in Germany in September 2025 following receipt of Conditional Marketing Authorization from the EC. The Company enters into agreements with specialty pharmacies and specialty distributors (each a “Customer” and collectively the “Customers”) to sell Rezdiffra in the U.S. Revenues from product sales are recognized when the Customer obtains control of the Company’s product, which occurs at a point in time, typically upon delivery to the Customer.</w:t>
      </w:r>
    </w:p>
    <w:p>
      <w:pPr>
        <w:spacing w:after="0" w:line="147" w:lineRule="exact"/>
        <w:rPr>
          <w:sz w:val="20"/>
          <w:szCs w:val="20"/>
          <w:color w:val="auto"/>
        </w:rPr>
      </w:pPr>
    </w:p>
    <w:p>
      <w:pPr>
        <w:ind w:right="260" w:firstLine="509"/>
        <w:spacing w:after="0" w:line="248" w:lineRule="auto"/>
        <w:rPr>
          <w:sz w:val="20"/>
          <w:szCs w:val="20"/>
          <w:color w:val="auto"/>
        </w:rPr>
      </w:pPr>
      <w:r>
        <w:rPr>
          <w:rFonts w:ascii="Times New Roman" w:cs="Times New Roman" w:eastAsia="Times New Roman" w:hAnsi="Times New Roman"/>
          <w:sz w:val="14"/>
          <w:szCs w:val="14"/>
          <w:color w:val="auto"/>
        </w:rPr>
        <w:t>Revenue is recorded net of variable consideration, which includes prompt pay discounts, returns, chargebacks, rebates and co-payment assistance. The variable consideration is estimated based on contractual terms as well as management assumptions and historical data.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14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Accruals are established for gross to net deductions and actual amounts incurred are offset against applicable accruals. The Company reflects these accruals as either a reduction in the related account receivable from the customer or as a current liability, depending on the means by which the deduction is settled. Sales deductions are based on management’s estimates that involve a substantial degree of judgment.</w:t>
      </w:r>
    </w:p>
    <w:p>
      <w:pPr>
        <w:spacing w:after="0" w:line="134" w:lineRule="exact"/>
        <w:rPr>
          <w:sz w:val="20"/>
          <w:szCs w:val="20"/>
          <w:color w:val="auto"/>
        </w:rPr>
      </w:pPr>
    </w:p>
    <w:p>
      <w:pPr>
        <w:ind w:right="14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Prompt Pay</w:t>
      </w:r>
      <w:r>
        <w:rPr>
          <w:rFonts w:ascii="Times New Roman" w:cs="Times New Roman" w:eastAsia="Times New Roman" w:hAnsi="Times New Roman"/>
          <w:sz w:val="14"/>
          <w:szCs w:val="14"/>
          <w:color w:val="auto"/>
        </w:rPr>
        <w:t>: Customers receive a prompt pay discount for payments made within a contractually agreed number of days before the due date. The discounts are accounted for as a reduction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transaction price and recorded as a contra receivable.</w:t>
      </w:r>
    </w:p>
    <w:p>
      <w:pPr>
        <w:spacing w:after="0" w:line="120" w:lineRule="exact"/>
        <w:rPr>
          <w:sz w:val="20"/>
          <w:szCs w:val="20"/>
          <w:color w:val="auto"/>
        </w:rPr>
      </w:pPr>
    </w:p>
    <w:p>
      <w:pPr>
        <w:ind w:right="20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Returns</w:t>
      </w:r>
      <w:r>
        <w:rPr>
          <w:rFonts w:ascii="Times New Roman" w:cs="Times New Roman" w:eastAsia="Times New Roman" w:hAnsi="Times New Roman"/>
          <w:sz w:val="14"/>
          <w:szCs w:val="14"/>
          <w:color w:val="auto"/>
        </w:rPr>
        <w:t>: The Company records allowances for product returns as a reduction of revenue at the time product sales are recorded. Product returns are estimated based on forecasted sales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historical and industry data. Returns are permitted in accordance with the return goods policy defined within each customer agreement. The returns reserve is recorded as an accrued liability.</w:t>
      </w:r>
    </w:p>
    <w:p>
      <w:pPr>
        <w:spacing w:after="0" w:line="120"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4"/>
          <w:szCs w:val="14"/>
          <w:i w:val="1"/>
          <w:iCs w:val="1"/>
          <w:color w:val="auto"/>
        </w:rPr>
        <w:t>Chargebacks</w:t>
      </w:r>
      <w:r>
        <w:rPr>
          <w:rFonts w:ascii="Times New Roman" w:cs="Times New Roman" w:eastAsia="Times New Roman" w:hAnsi="Times New Roman"/>
          <w:sz w:val="14"/>
          <w:szCs w:val="14"/>
          <w:color w:val="auto"/>
        </w:rPr>
        <w:t>: The Company estimates obligations resulting from contractual commitments with the government and other entities to sell products to qualified healthcare providers at prices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lower than the list price charged to the customer who directly purchases from the Company. The customer charges the Company for the difference between what it pays to the Company for the product and the selling price to the qualified healthcare providers, with the difference recorded as a contra receivable.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Co-Payment Assistance</w:t>
      </w:r>
      <w:r>
        <w:rPr>
          <w:rFonts w:ascii="Times New Roman" w:cs="Times New Roman" w:eastAsia="Times New Roman" w:hAnsi="Times New Roman"/>
          <w:sz w:val="14"/>
          <w:szCs w:val="14"/>
          <w:color w:val="auto"/>
        </w:rPr>
        <w:t>: Co-payment assistance programs are offered to eligible end-users as price concessions and are recorded as accrued liabilities and a reduction of the transaction price.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uses a third-party to administer the co-payment program for pharmacy benefit claims.</w:t>
      </w:r>
    </w:p>
    <w:p>
      <w:pPr>
        <w:spacing w:after="0" w:line="150"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4"/>
          <w:szCs w:val="14"/>
          <w:i w:val="1"/>
          <w:iCs w:val="1"/>
          <w:color w:val="auto"/>
        </w:rPr>
        <w:t>Rebates</w:t>
      </w:r>
      <w:r>
        <w:rPr>
          <w:rFonts w:ascii="Times New Roman" w:cs="Times New Roman" w:eastAsia="Times New Roman" w:hAnsi="Times New Roman"/>
          <w:sz w:val="14"/>
          <w:szCs w:val="14"/>
          <w:color w:val="auto"/>
        </w:rPr>
        <w:t>: The Company’s rebates include amounts paid to Medicaid, Medicare, certain other payors and other rebate programs. Reserves for rebates are recorded in the same period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related product revenue is recognized, resulting in a reduction of product revenues and an accrued liability. The Company’s estimate for rebates is based on statutory or contractual discount rates, expected utilization or an estimated number of patients on treatment, as applicable.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Trade Receivables, Net</w:t>
      </w:r>
    </w:p>
    <w:p>
      <w:pPr>
        <w:spacing w:after="0" w:line="8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4"/>
          <w:szCs w:val="14"/>
          <w:color w:val="auto"/>
        </w:rPr>
        <w:t>The Company's trade receivables relate to amounts due from Customers related to product sales and are recorded net of chargebacks, prompt pay discounts and other allowances. The Company assesses collectibility of overdue receivables and those determined to be uncollectible are written-off. As of March 31, 2026, there were no receivables written off. No allowance for credit loss was recognized as of March 31, 2026 or 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85" w:lineRule="exact"/>
        <w:rPr>
          <w:sz w:val="20"/>
          <w:szCs w:val="20"/>
          <w:color w:val="auto"/>
        </w:rPr>
      </w:pPr>
    </w:p>
    <w:p>
      <w:pPr>
        <w:ind w:right="640" w:firstLine="509"/>
        <w:spacing w:after="0" w:line="271" w:lineRule="auto"/>
        <w:rPr>
          <w:sz w:val="20"/>
          <w:szCs w:val="20"/>
          <w:color w:val="auto"/>
        </w:rPr>
      </w:pPr>
      <w:r>
        <w:rPr>
          <w:rFonts w:ascii="Times New Roman" w:cs="Times New Roman" w:eastAsia="Times New Roman" w:hAnsi="Times New Roman"/>
          <w:sz w:val="14"/>
          <w:szCs w:val="14"/>
          <w:color w:val="auto"/>
        </w:rPr>
        <w:t>The Company considers all highly liquid debt instruments with an original maturity of three months or less to be cash equivalents. The carrying amount reported in the Company’s consolidated balance sheets for cash and cash equivalents approximates its fair value.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Marketable Securities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Marketable securities consist of available-for-sale debt securities that are presented as current assets in the Company’s consolidated balance sheets.</w:t>
      </w:r>
    </w:p>
    <w:p>
      <w:pPr>
        <w:spacing w:after="0" w:line="179"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4"/>
          <w:szCs w:val="14"/>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months ended March 31, 2026 and 2025, the Company determined it did not have any securities that were other-than-temporarily impaired.</w:t>
      </w:r>
    </w:p>
    <w:p>
      <w:pPr>
        <w:spacing w:after="0" w:line="15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months ended March 31, 2026 and 2025, realized gains and losses on marketable securities were not material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8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Level 1—quoted prices in active markets for identical assets and liabilities.</w:t>
      </w:r>
    </w:p>
    <w:p>
      <w:pPr>
        <w:spacing w:after="0" w:line="179" w:lineRule="exact"/>
        <w:rPr>
          <w:sz w:val="20"/>
          <w:szCs w:val="20"/>
          <w:color w:val="auto"/>
        </w:rPr>
      </w:pPr>
    </w:p>
    <w:p>
      <w:pPr>
        <w:ind w:left="860" w:right="60"/>
        <w:spacing w:after="0" w:line="271" w:lineRule="auto"/>
        <w:rPr>
          <w:sz w:val="20"/>
          <w:szCs w:val="20"/>
          <w:color w:val="auto"/>
        </w:rPr>
      </w:pPr>
      <w:r>
        <w:rPr>
          <w:rFonts w:ascii="Times New Roman" w:cs="Times New Roman" w:eastAsia="Times New Roman" w:hAnsi="Times New Roman"/>
          <w:sz w:val="14"/>
          <w:szCs w:val="14"/>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Level 3—unobservable inputs that reflect the Company’s own assumptions about the assumptions market participants would use in pricing the asset or liability.</w:t>
      </w:r>
    </w:p>
    <w:p>
      <w:pPr>
        <w:spacing w:after="0" w:line="1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3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As of March 31, 2026,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three months ended March 31, 2026 and 2025, the Company did not have any transfers of financial assets between Levels 1 and 2. As of March 31, 2026 and December 31, 2025, the Company did not have any financial liabilities that were recorded at fair value on a recurring basis on the balance sheet.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Inventory, which consists of work in process and finished goods, is stated at the lower of cost or estimated net realizable value, using either actual or standard cost depending on the stage of inventory, based on a first-in, first-out method. The balance sheet classification of inventory as current or non-current is determined by whether the inventory will be consumed within the Company’s normal operating cycle. The Company analyzes its inventory levels quarterly and writes down inventory subject to expiry or in excess of expected requirements, or that has a cost basis in excess of its expected net realizable value. These write downs are charged to cost of sales in the accompanying Consolidated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Operations. The Company capitalizes inventory costs when future commercial sale in the ordinary course of business is probable.</w:t>
      </w:r>
    </w:p>
    <w:p>
      <w:pPr>
        <w:spacing w:after="0" w:line="168"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4"/>
          <w:szCs w:val="14"/>
          <w:color w:val="auto"/>
        </w:rPr>
        <w:t>The Company considered regulatory approval of its product candidate to be uncertain and product manufactured prior to regulatory approval could not have been sold unless regulatory approval was obtained. As such, the manufacturing costs incurred prior to regulatory approval were not capitalized as inventory, but rather were expensed as incurred as research and development expenses. The Company began capitalizing inventory in March 2024 after FDA accelerated approval was granted for Rezdiffra.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4"/>
          <w:szCs w:val="14"/>
          <w:color w:val="auto"/>
        </w:rPr>
        <w:t>Cost of sales includes the cost of manufacturing and distribution of inventory related to sales of Rezdiffra, including salaries, benefits and stock-based compensation expense for employees dedicated to the production of Rezdiffra. Cost of sales also includes royalties payable to F. Hoffmann-La Roche AG (“Roche”) based on net sales of Rezdiffra. The Company estimates its annual royalty obligation and recognizes its related cost of sales at an estimated blended royalty rate each quarterly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8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costs are comprised of costs incurred in performing research and development activities, including internal costs (including cash compensation and stock-based compensation paid to research and development employees), costs for consultants, upfront and milestone payments under licensing agreements, and other costs associated with the Company’s preclinical and clinical programs. In particular, the Company has conducted safety studies in animals, optimized and implemented the manufacturing of its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p>
      <w:pPr>
        <w:spacing w:after="0" w:line="85" w:lineRule="exact"/>
        <w:rPr>
          <w:sz w:val="20"/>
          <w:szCs w:val="20"/>
          <w:color w:val="auto"/>
        </w:rPr>
      </w:pPr>
    </w:p>
    <w:p>
      <w:pPr>
        <w:jc w:val="both"/>
        <w:ind w:right="160" w:firstLine="509"/>
        <w:spacing w:after="0" w:line="262"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salaries, benefits and stock-based compensation expenses for employees other than research and development employees and employees dedicated to the production of Rezdiffra, management costs, costs associated with obtaining and maintaining our patent portfolio, commercial and marketing activities, advertising, professional fees for accounting, auditing, consulting and legal services and allocated overhead expenses.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The Company determines if an arrangement is a lease at contract inception. All leases are classified as operating leases. Lease assets represent the right to use an underlying asset for the lease term and lease liabilities represent an obligation to make lease payments arising from the leasing arrangement. Operating lease assets and liabilities are recognized at commencement date based on the present value of lease payments over the lease term. When an implicit rate is not readily determinable, an incremental borrowing rate is estimated based on information available at commencement. Lease expense is recognized on a straight-line basis over the lease term. Short-term leases of 12 months or less at commencement date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Costs to secure and defend patents are expensed as incurred and are classified as selling, general and administrative expense in the Company’s consolidated statements of operations.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 Net</w:t>
      </w:r>
    </w:p>
    <w:p>
      <w:pPr>
        <w:spacing w:after="0" w:line="85"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Intangible assets with finite lives consist of regulatory approval milestones, which are amortized to cost of sales over their estimated useful lives using the straight-line method. Intangible assets are tested for recoverability whenever events or changes in circumstances indicate that the carrying amounts may not be recoverable.</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85"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w:t>
      </w:r>
    </w:p>
    <w:p>
      <w:pPr>
        <w:spacing w:after="0" w:line="11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For the period ended March 31, 2026, the Company used the expected term based on historical Company data for determining the expected lives of options. The Company previously used the simplified method. Expected volatility is based upon an industry estimate, the Company’s historical trading activity, or a blended rate of the two.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40"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4"/>
          <w:szCs w:val="14"/>
          <w:color w:val="auto"/>
        </w:rPr>
        <w:t>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w:t>
      </w:r>
    </w:p>
    <w:p>
      <w:pPr>
        <w:spacing w:after="0" w:line="131"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5" w:lineRule="exact"/>
        <w:rPr>
          <w:sz w:val="20"/>
          <w:szCs w:val="20"/>
          <w:color w:val="auto"/>
        </w:rPr>
      </w:pPr>
    </w:p>
    <w:p>
      <w:pPr>
        <w:ind w:right="180" w:firstLine="509"/>
        <w:spacing w:after="0" w:line="249" w:lineRule="auto"/>
        <w:rPr>
          <w:sz w:val="20"/>
          <w:szCs w:val="20"/>
          <w:color w:val="auto"/>
        </w:rPr>
      </w:pPr>
      <w:r>
        <w:rPr>
          <w:rFonts w:ascii="Times New Roman" w:cs="Times New Roman" w:eastAsia="Times New Roman" w:hAnsi="Times New Roman"/>
          <w:sz w:val="14"/>
          <w:szCs w:val="14"/>
          <w:color w:val="auto"/>
        </w:rPr>
        <w:t>The Company accounts for income taxes in accordance with ASC 740, “Income Taxes”, which prescribes the use of the liability method where deferred tax asset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The Company currently maintains a 100% valuation allowance on its deferred tax assets.</w:t>
      </w:r>
    </w:p>
    <w:p>
      <w:pPr>
        <w:spacing w:after="0" w:line="15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The Company recognizes the financial statement effects of a tax position when it is more likely than not (a likelihood of greater than 50%) that the position will be sustained upon examination by the relevant taxing authority, based on the technical merits of the position. Uncertain tax positions are recorded based upon certain recognition and measurement criteria. The Company re-evaluates uncertain tax positions at each reporting date and considers all available information, including, but not limited to, changes in tax laws or regulations, developments in case law, changes in the expected timing or outcome of audits, settlements with taxing authorities, and changes in facts or circumstances related to a particular tax position. Adjustments to recognized tax positions are recorded in the period in which new information becomes available. Interest and penalties related to unrecognized tax benefits are recognized as a component of income tax expense in the Company’s consolidated statements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Comprehensive Income (Loss)</w:t>
      </w:r>
    </w:p>
    <w:p>
      <w:pPr>
        <w:spacing w:after="0" w:line="85"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4"/>
          <w:szCs w:val="14"/>
          <w:color w:val="auto"/>
        </w:rPr>
        <w:t>Comprehensive income (loss) is defined as the change in equity of a business enterprise during a period from transactions and other events and circumstances from non-owner sources. The difference between the Company’s net income (loss) and comprehensive income (loss) includes changes in unrealized gains and losses on marketable securities and foreign currency translation adjustments.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5"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Financial Accounting Standards Board ("FASB") or other standard setting bodies and adopted by the Company as of the specified effective date. Except as noted below, the Company believes that the impact of recently issued standards that are not yet effective will not have a material impact on its condensed consolidated financial statements and disclosures.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which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The Company is currently evaluating the impact of ASU 2024-03 on its consolidated financial statements.</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Intangibles - Goodwill and Other - Internal-Use Software (Subtopic 350-40): </w:t>
      </w:r>
      <w:r>
        <w:rPr>
          <w:rFonts w:ascii="Times New Roman" w:cs="Times New Roman" w:eastAsia="Times New Roman" w:hAnsi="Times New Roman"/>
          <w:sz w:val="14"/>
          <w:szCs w:val="14"/>
          <w:i w:val="1"/>
          <w:iCs w:val="1"/>
          <w:color w:val="auto"/>
        </w:rPr>
        <w:t>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(“ASU 2025-06”), which clarifies and aligns existing guidance related to accounting for certain costs incurred in connection with internal-use software, including updated guidance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regarding agile and iterative software development methodologies. The standard applies to all entities that incur costs to develop internal-use software. ASU 2025-06 is effective for annual periods beginning after December 15, 2027, and interim periods within those annual periods. The Company early adopted ASU 2025-06 prospectively, effective January 1, 2026. The adoption did not have a material impact on its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Liquidity and Uncertainties</w:t>
      </w:r>
    </w:p>
    <w:p>
      <w:pPr>
        <w:spacing w:after="0" w:line="85"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4"/>
          <w:szCs w:val="14"/>
          <w:color w:val="auto"/>
        </w:rPr>
        <w:t>The Company is subject to risks common to development stage companies and early commercial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applicable regulations.</w:t>
      </w:r>
    </w:p>
    <w:p>
      <w:pPr>
        <w:spacing w:after="0" w:line="13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The Company has incurred losses since inception, including approximately $94.4 million for the three months ended March 31, 2026, resulting in an accumulated deficit of approximately $2,184.9 million as of March 31, 2026. The Company has historically funded its operations primarily through proceeds from sales of the Company’s capital stock and debt financings. In July 2025, the Company entered into a senior secured credit facility that provides up to $500.0 million. See Note 8 “Long Term Debt” for additional details. In addition, following FDA and EC approval, the Company receives revenue from sales of Rezdiffra. Management expects to incur losses until the Company is able to generate sufficient revenue from Rezdiffra and any other approved products. The Company believes that its cash, cash equivalents and marketable securities at March 31, 2026 will be sufficient to fund operations past one year from the issuance of these financial statements. The Company’s future long-term liquidity requirements will be substantial and will depend on many factors, including the Company’s ability to effectively commercialize Rezdiffra, the Company’s decisions regarding future geographic expansion, the conduct of any future preclinical studies and clinical trials, the Company entering into any strategic transactions, the Company’s ability to maintain compliance with the liquidity covenant in the Financing Agreement (as defined in Note 8) and potential milestone payments payable pursuant to its license agreements.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 delay certain commercial activities, geographic expansion activities, and certain research activities and related clinical expenses if necessary due to liquidity concerns until a date when those concerns are relieved.</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Product Revenue, Net</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balances and activity for gross to net reserves (in thousands):</w:t>
      </w:r>
    </w:p>
    <w:p>
      <w:pPr>
        <w:spacing w:after="0" w:line="281"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Chargebacks, Discounts for</w:t>
            </w:r>
          </w:p>
        </w:tc>
        <w:tc>
          <w:tcPr>
            <w:tcW w:w="120" w:type="dxa"/>
            <w:vAlign w:val="bottom"/>
          </w:tcPr>
          <w:p>
            <w:pPr>
              <w:spacing w:after="0"/>
              <w:rPr>
                <w:sz w:val="11"/>
                <w:szCs w:val="11"/>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Rebates, Co-Pay Assistance,</w:t>
            </w: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Prompt Pay and Other</w:t>
            </w:r>
          </w:p>
        </w:tc>
        <w:tc>
          <w:tcPr>
            <w:tcW w:w="12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vMerge w:val="restart"/>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Totals</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Allowances</w:t>
            </w:r>
          </w:p>
        </w:tc>
        <w:tc>
          <w:tcPr>
            <w:tcW w:w="120" w:type="dxa"/>
            <w:vAlign w:val="bottom"/>
          </w:tcPr>
          <w:p>
            <w:pPr>
              <w:spacing w:after="0"/>
              <w:rPr>
                <w:sz w:val="13"/>
                <w:szCs w:val="13"/>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Returns, and Other</w:t>
            </w:r>
          </w:p>
        </w:tc>
        <w:tc>
          <w:tcPr>
            <w:tcW w:w="4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90,504</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99,342</w:t>
            </w:r>
          </w:p>
        </w:tc>
        <w:tc>
          <w:tcPr>
            <w:tcW w:w="0" w:type="dxa"/>
            <w:vAlign w:val="bottom"/>
          </w:tcPr>
          <w:p>
            <w:pPr>
              <w:spacing w:after="0"/>
              <w:rPr>
                <w:sz w:val="1"/>
                <w:szCs w:val="1"/>
                <w:color w:val="auto"/>
              </w:rPr>
            </w:pPr>
          </w:p>
        </w:tc>
      </w:tr>
      <w:tr>
        <w:trPr>
          <w:trHeight w:val="201"/>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Provision related to sales in the current year</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128,950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166,774</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related to prior year sales</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0" w:type="dxa"/>
            <w:vAlign w:val="bottom"/>
          </w:tcPr>
          <w:p>
            <w:pPr>
              <w:spacing w:after="0"/>
              <w:rPr>
                <w:sz w:val="1"/>
                <w:szCs w:val="1"/>
                <w:color w:val="auto"/>
              </w:rPr>
            </w:pPr>
          </w:p>
        </w:tc>
      </w:tr>
      <w:tr>
        <w:trPr>
          <w:trHeight w:val="201"/>
        </w:trPr>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Payments and customer credits issued</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(94,359)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(118,209)</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122,728</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Concentrations of Credit Risk and Significant Customers</w:t>
      </w:r>
    </w:p>
    <w:p>
      <w:pPr>
        <w:spacing w:after="0" w:line="85"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color w:val="auto"/>
        </w:rPr>
        <w:t>The Company generates revenue from a small number of large, reputable customers. The following customers accounted for over 10% of total gross product revenue during the three months ended March 31, 2026 and 2025.</w:t>
      </w:r>
    </w:p>
    <w:p>
      <w:pPr>
        <w:spacing w:after="0" w:line="156"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ind w:left="21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gridSpan w:val="2"/>
          </w:tcPr>
          <w:p>
            <w:pPr>
              <w:spacing w:after="0"/>
              <w:rPr>
                <w:sz w:val="14"/>
                <w:szCs w:val="14"/>
                <w:color w:val="auto"/>
              </w:rPr>
            </w:pPr>
          </w:p>
        </w:tc>
        <w:tc>
          <w:tcPr>
            <w:tcW w:w="126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ind w:right="7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80" w:type="dxa"/>
            <w:vAlign w:val="bottom"/>
          </w:tcPr>
          <w:p>
            <w:pPr>
              <w:spacing w:after="0"/>
              <w:rPr>
                <w:sz w:val="14"/>
                <w:szCs w:val="14"/>
                <w:color w:val="auto"/>
              </w:rPr>
            </w:pPr>
          </w:p>
        </w:tc>
      </w:tr>
      <w:tr>
        <w:trPr>
          <w:trHeight w:val="180"/>
        </w:trPr>
        <w:tc>
          <w:tcPr>
            <w:tcW w:w="3200" w:type="dxa"/>
            <w:vAlign w:val="bottom"/>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A</w:t>
            </w:r>
          </w:p>
        </w:tc>
        <w:tc>
          <w:tcPr>
            <w:tcW w:w="12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2680" w:type="dxa"/>
            <w:vAlign w:val="bottom"/>
          </w:tcPr>
          <w:p>
            <w:pPr>
              <w:spacing w:after="0"/>
              <w:rPr>
                <w:sz w:val="15"/>
                <w:szCs w:val="15"/>
                <w:color w:val="auto"/>
              </w:rPr>
            </w:pPr>
          </w:p>
        </w:tc>
      </w:tr>
      <w:tr>
        <w:trPr>
          <w:trHeight w:val="180"/>
        </w:trPr>
        <w:tc>
          <w:tcPr>
            <w:tcW w:w="320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Customer B</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2680" w:type="dxa"/>
            <w:vAlign w:val="bottom"/>
          </w:tcPr>
          <w:p>
            <w:pPr>
              <w:spacing w:after="0"/>
              <w:rPr>
                <w:sz w:val="15"/>
                <w:szCs w:val="15"/>
                <w:color w:val="auto"/>
              </w:rPr>
            </w:pPr>
          </w:p>
        </w:tc>
      </w:tr>
      <w:tr>
        <w:trPr>
          <w:trHeight w:val="180"/>
        </w:trPr>
        <w:tc>
          <w:tcPr>
            <w:tcW w:w="320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C</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680" w:type="dxa"/>
            <w:vAlign w:val="bottom"/>
          </w:tcPr>
          <w:p>
            <w:pPr>
              <w:spacing w:after="0"/>
              <w:rPr>
                <w:sz w:val="15"/>
                <w:szCs w:val="15"/>
                <w:color w:val="auto"/>
              </w:rPr>
            </w:pPr>
          </w:p>
        </w:tc>
      </w:tr>
      <w:tr>
        <w:trPr>
          <w:trHeight w:val="180"/>
        </w:trPr>
        <w:tc>
          <w:tcPr>
            <w:tcW w:w="320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Customer 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2680" w:type="dxa"/>
            <w:vAlign w:val="bottom"/>
          </w:tcPr>
          <w:p>
            <w:pPr>
              <w:spacing w:after="0"/>
              <w:rPr>
                <w:sz w:val="15"/>
                <w:szCs w:val="15"/>
                <w:color w:val="auto"/>
              </w:rPr>
            </w:pPr>
          </w:p>
        </w:tc>
      </w:tr>
      <w:tr>
        <w:trPr>
          <w:trHeight w:val="180"/>
        </w:trPr>
        <w:tc>
          <w:tcPr>
            <w:tcW w:w="320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2680" w:type="dxa"/>
            <w:vAlign w:val="bottom"/>
          </w:tcPr>
          <w:p>
            <w:pPr>
              <w:spacing w:after="0"/>
              <w:rPr>
                <w:sz w:val="15"/>
                <w:szCs w:val="15"/>
                <w:color w:val="auto"/>
              </w:rPr>
            </w:pPr>
          </w:p>
        </w:tc>
      </w:tr>
      <w:tr>
        <w:trPr>
          <w:trHeight w:val="710"/>
        </w:trPr>
        <w:tc>
          <w:tcPr>
            <w:tcW w:w="6080" w:type="dxa"/>
            <w:vAlign w:val="bottom"/>
            <w:gridSpan w:val="3"/>
          </w:tcPr>
          <w:p>
            <w:pPr>
              <w:jc w:val="right"/>
              <w:ind w:right="303"/>
              <w:spacing w:after="0"/>
              <w:rPr>
                <w:sz w:val="20"/>
                <w:szCs w:val="20"/>
                <w:color w:val="auto"/>
              </w:rPr>
            </w:pPr>
            <w:r>
              <w:rPr>
                <w:rFonts w:ascii="Times New Roman" w:cs="Times New Roman" w:eastAsia="Times New Roman" w:hAnsi="Times New Roman"/>
                <w:sz w:val="14"/>
                <w:szCs w:val="14"/>
                <w:color w:val="auto"/>
              </w:rPr>
              <w:t>16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76"/>
        </w:trPr>
        <w:tc>
          <w:tcPr>
            <w:tcW w:w="320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40" w:type="dxa"/>
            <w:vAlign w:val="bottom"/>
            <w:tcBorders>
              <w:bottom w:val="single" w:sz="8" w:color="9A9A9A"/>
            </w:tcBorders>
          </w:tcPr>
          <w:p>
            <w:pPr>
              <w:spacing w:after="0"/>
              <w:rPr>
                <w:sz w:val="6"/>
                <w:szCs w:val="6"/>
                <w:color w:val="auto"/>
              </w:rPr>
            </w:pPr>
          </w:p>
        </w:tc>
        <w:tc>
          <w:tcPr>
            <w:tcW w:w="26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Cash, Cash Equivalents, Restricted Cash and Marketable Securities</w:t>
      </w:r>
    </w:p>
    <w:p>
      <w:pPr>
        <w:spacing w:after="0" w:line="85"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The Company held restricted cash of $5.2 million and $5.1 million as of March 31, 2026 and December 31, 2025, respectively, predominately as collateral to its corporate credit card program.</w:t>
      </w:r>
    </w:p>
    <w:p>
      <w:pPr>
        <w:spacing w:after="0" w:line="114" w:lineRule="exact"/>
        <w:rPr>
          <w:sz w:val="20"/>
          <w:szCs w:val="20"/>
          <w:color w:val="auto"/>
        </w:rPr>
      </w:pPr>
    </w:p>
    <w:p>
      <w:pPr>
        <w:ind w:right="480" w:firstLine="509"/>
        <w:spacing w:after="0" w:line="271" w:lineRule="auto"/>
        <w:rPr>
          <w:sz w:val="20"/>
          <w:szCs w:val="20"/>
          <w:color w:val="auto"/>
        </w:rPr>
      </w:pPr>
      <w:r>
        <w:rPr>
          <w:rFonts w:ascii="Times New Roman" w:cs="Times New Roman" w:eastAsia="Times New Roman" w:hAnsi="Times New Roman"/>
          <w:sz w:val="14"/>
          <w:szCs w:val="14"/>
          <w:color w:val="auto"/>
        </w:rPr>
        <w:t>A summary of cash, cash equivalents, restricted cash and available-for-sale marketable securities held by the Company as of March 31, 2026 and December 31, 2025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left="277"/>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left="276"/>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Cost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left="277"/>
              <w:spacing w:after="0"/>
              <w:rPr>
                <w:sz w:val="20"/>
                <w:szCs w:val="20"/>
                <w:color w:val="auto"/>
              </w:rPr>
            </w:pPr>
            <w:r>
              <w:rPr>
                <w:rFonts w:ascii="Times New Roman" w:cs="Times New Roman" w:eastAsia="Times New Roman" w:hAnsi="Times New Roman"/>
                <w:sz w:val="11"/>
                <w:szCs w:val="11"/>
                <w:b w:val="1"/>
                <w:bCs w:val="1"/>
                <w:color w:val="auto"/>
                <w:w w:val="97"/>
              </w:rPr>
              <w:t>gains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left="276"/>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4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(Level 1)</w:t>
            </w:r>
          </w:p>
        </w:tc>
        <w:tc>
          <w:tcPr>
            <w:tcW w:w="1160" w:type="dxa"/>
            <w:vAlign w:val="bottom"/>
            <w:gridSpan w:val="2"/>
          </w:tcPr>
          <w:p>
            <w:pPr>
              <w:jc w:val="right"/>
              <w:ind w:right="59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83,555</w:t>
            </w:r>
          </w:p>
        </w:tc>
        <w:tc>
          <w:tcPr>
            <w:tcW w:w="80" w:type="dxa"/>
            <w:vAlign w:val="bottom"/>
          </w:tcPr>
          <w:p>
            <w:pPr>
              <w:spacing w:after="0"/>
              <w:rPr>
                <w:sz w:val="17"/>
                <w:szCs w:val="17"/>
                <w:color w:val="auto"/>
              </w:rPr>
            </w:pPr>
          </w:p>
        </w:tc>
        <w:tc>
          <w:tcPr>
            <w:tcW w:w="900" w:type="dxa"/>
            <w:vAlign w:val="bottom"/>
          </w:tcPr>
          <w:p>
            <w:pPr>
              <w:jc w:val="right"/>
              <w:ind w:right="757"/>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83,555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Money market funds (Level 1)</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government and government sponsored entity (GSE) securities (Level 1)</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7"/>
                <w:szCs w:val="17"/>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debt securities with original maturities of 3 months or less (Level 2)</w:t>
            </w: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83,542</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232,188</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232,188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 debt securities with original maturities of 1 year or less (Level 2)</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238,508</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238,387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government and GSE securities with original maturities of 1 year or less (Level 2)</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257,024</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government and GSE securities with original maturities of 1 to 2 years (Level 2)</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73,045</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(175)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debt securities with original maturities of 1 to 2 years (Level 2)</w:t>
            </w: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17,407</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restricted cash and marketable securities</w:t>
            </w:r>
          </w:p>
        </w:tc>
        <w:tc>
          <w:tcPr>
            <w:tcW w:w="420" w:type="dxa"/>
            <w:vAlign w:val="bottom"/>
          </w:tcPr>
          <w:p>
            <w:pPr>
              <w:spacing w:after="0"/>
              <w:rPr>
                <w:sz w:val="16"/>
                <w:szCs w:val="16"/>
                <w:color w:val="auto"/>
              </w:rPr>
            </w:pPr>
          </w:p>
        </w:tc>
        <w:tc>
          <w:tcPr>
            <w:tcW w:w="7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818,172</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(401)</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817,926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left="277"/>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276"/>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Cost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left="277"/>
              <w:spacing w:after="0"/>
              <w:rPr>
                <w:sz w:val="20"/>
                <w:szCs w:val="20"/>
                <w:color w:val="auto"/>
              </w:rPr>
            </w:pPr>
            <w:r>
              <w:rPr>
                <w:rFonts w:ascii="Times New Roman" w:cs="Times New Roman" w:eastAsia="Times New Roman" w:hAnsi="Times New Roman"/>
                <w:sz w:val="11"/>
                <w:szCs w:val="11"/>
                <w:b w:val="1"/>
                <w:bCs w:val="1"/>
                <w:color w:val="auto"/>
                <w:w w:val="97"/>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left="276"/>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4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(Level 1)</w:t>
            </w:r>
          </w:p>
        </w:tc>
        <w:tc>
          <w:tcPr>
            <w:tcW w:w="1160" w:type="dxa"/>
            <w:vAlign w:val="bottom"/>
            <w:gridSpan w:val="2"/>
          </w:tcPr>
          <w:p>
            <w:pPr>
              <w:jc w:val="right"/>
              <w:ind w:right="59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109,708</w:t>
            </w:r>
          </w:p>
        </w:tc>
        <w:tc>
          <w:tcPr>
            <w:tcW w:w="80" w:type="dxa"/>
            <w:vAlign w:val="bottom"/>
          </w:tcPr>
          <w:p>
            <w:pPr>
              <w:spacing w:after="0"/>
              <w:rPr>
                <w:sz w:val="17"/>
                <w:szCs w:val="17"/>
                <w:color w:val="auto"/>
              </w:rPr>
            </w:pPr>
          </w:p>
        </w:tc>
        <w:tc>
          <w:tcPr>
            <w:tcW w:w="900" w:type="dxa"/>
            <w:vAlign w:val="bottom"/>
          </w:tcPr>
          <w:p>
            <w:pPr>
              <w:jc w:val="right"/>
              <w:ind w:right="757"/>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109,708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Money market funds (Level 1)</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government-sponsored entity (GSE) securities (Level 1)</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7"/>
                <w:szCs w:val="17"/>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debt securities with original maturities of 3 months or less (Level 2)</w:t>
            </w: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34,735</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203,783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203,783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 debt securities with original maturities of 1 year or less (Level 2)</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372,096</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government and GSE securities with original maturities of 1 year or less (Level 2)</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298,007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government and GSE securities with original maturities of 1 to 2 years (Level 2)</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91,936</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92,147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debt securities with original maturities of 1 to 2 years (Level 2)</w:t>
            </w: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21,968</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restricted cash and marketable securities</w:t>
            </w:r>
          </w:p>
        </w:tc>
        <w:tc>
          <w:tcPr>
            <w:tcW w:w="1160" w:type="dxa"/>
            <w:vAlign w:val="bottom"/>
            <w:gridSpan w:val="2"/>
          </w:tcPr>
          <w:p>
            <w:pPr>
              <w:jc w:val="right"/>
              <w:ind w:right="59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987,790</w:t>
            </w:r>
          </w:p>
        </w:tc>
        <w:tc>
          <w:tcPr>
            <w:tcW w:w="80" w:type="dxa"/>
            <w:vAlign w:val="bottom"/>
          </w:tcPr>
          <w:p>
            <w:pPr>
              <w:spacing w:after="0"/>
              <w:rPr>
                <w:sz w:val="15"/>
                <w:szCs w:val="15"/>
                <w:color w:val="auto"/>
              </w:rPr>
            </w:pPr>
          </w:p>
        </w:tc>
        <w:tc>
          <w:tcPr>
            <w:tcW w:w="900" w:type="dxa"/>
            <w:vAlign w:val="bottom"/>
          </w:tcPr>
          <w:p>
            <w:pPr>
              <w:jc w:val="right"/>
              <w:ind w:right="757"/>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5"/>
                <w:szCs w:val="15"/>
                <w:color w:val="auto"/>
              </w:rPr>
            </w:pP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988,649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2"/>
        </w:trPr>
        <w:tc>
          <w:tcPr>
            <w:tcW w:w="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0" w:type="dxa"/>
            <w:vAlign w:val="bottom"/>
            <w:tcBorders>
              <w:bottom w:val="single" w:sz="8" w:color="9A9A9A"/>
            </w:tcBorders>
          </w:tcPr>
          <w:p>
            <w:pPr>
              <w:spacing w:after="0"/>
              <w:rPr>
                <w:sz w:val="6"/>
                <w:szCs w:val="6"/>
                <w:color w:val="auto"/>
              </w:rPr>
            </w:pPr>
          </w:p>
        </w:tc>
        <w:tc>
          <w:tcPr>
            <w:tcW w:w="52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Inventory</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Company's inventory balances as of March 31, 2026 and December 31, 2025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170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r>
      <w:tr>
        <w:trPr>
          <w:trHeight w:val="180"/>
        </w:trPr>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Work in process</w:t>
            </w:r>
          </w:p>
        </w:tc>
        <w:tc>
          <w:tcPr>
            <w:tcW w:w="170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106,258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67,633</w:t>
            </w:r>
          </w:p>
        </w:tc>
        <w:tc>
          <w:tcPr>
            <w:tcW w:w="940" w:type="dxa"/>
            <w:vAlign w:val="bottom"/>
          </w:tcPr>
          <w:p>
            <w:pPr>
              <w:spacing w:after="0"/>
              <w:rPr>
                <w:sz w:val="15"/>
                <w:szCs w:val="15"/>
                <w:color w:val="auto"/>
              </w:rPr>
            </w:pPr>
          </w:p>
        </w:tc>
      </w:tr>
      <w:tr>
        <w:trPr>
          <w:trHeight w:val="180"/>
        </w:trPr>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17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5,812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7,208</w:t>
            </w:r>
          </w:p>
        </w:tc>
        <w:tc>
          <w:tcPr>
            <w:tcW w:w="940" w:type="dxa"/>
            <w:vAlign w:val="bottom"/>
          </w:tcPr>
          <w:p>
            <w:pPr>
              <w:spacing w:after="0"/>
              <w:rPr>
                <w:sz w:val="15"/>
                <w:szCs w:val="15"/>
                <w:color w:val="auto"/>
              </w:rPr>
            </w:pPr>
          </w:p>
        </w:tc>
      </w:tr>
      <w:tr>
        <w:trPr>
          <w:trHeight w:val="171"/>
        </w:trPr>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Total inventory</w:t>
            </w:r>
          </w:p>
        </w:tc>
        <w:tc>
          <w:tcPr>
            <w:tcW w:w="1700" w:type="dxa"/>
            <w:vAlign w:val="bottom"/>
            <w:tcBorders>
              <w:bottom w:val="single" w:sz="8" w:color="auto"/>
            </w:tcBorders>
          </w:tcPr>
          <w:p>
            <w:pPr>
              <w:jc w:val="right"/>
              <w:ind w:right="15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112,070</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74,841</w:t>
            </w:r>
          </w:p>
        </w:tc>
        <w:tc>
          <w:tcPr>
            <w:tcW w:w="94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5"/>
        </w:trPr>
        <w:tc>
          <w:tcPr>
            <w:tcW w:w="616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There was no provision for excess inventory recorded as of March 31, 2026 or December 31, 2025.</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4"/>
        </w:trPr>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7. Accrued Liabilities</w:t>
            </w: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4"/>
        </w:trPr>
        <w:tc>
          <w:tcPr>
            <w:tcW w:w="6800" w:type="dxa"/>
            <w:vAlign w:val="bottom"/>
            <w:gridSpan w:val="6"/>
          </w:tcPr>
          <w:p>
            <w:pPr>
              <w:ind w:left="520"/>
              <w:spacing w:after="0"/>
              <w:rPr>
                <w:sz w:val="20"/>
                <w:szCs w:val="20"/>
                <w:color w:val="auto"/>
              </w:rPr>
            </w:pPr>
            <w:r>
              <w:rPr>
                <w:rFonts w:ascii="Times New Roman" w:cs="Times New Roman" w:eastAsia="Times New Roman" w:hAnsi="Times New Roman"/>
                <w:sz w:val="14"/>
                <w:szCs w:val="14"/>
                <w:color w:val="auto"/>
              </w:rPr>
              <w:t>Accrued liabilities as of March 31, 2026 and December 31, 2025 consisted of the following (in thousands):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9"/>
        </w:trPr>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1280" w:type="dxa"/>
            <w:vAlign w:val="bottom"/>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170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6"/>
        </w:trPr>
        <w:tc>
          <w:tcPr>
            <w:tcW w:w="1280" w:type="dxa"/>
            <w:vAlign w:val="bottom"/>
          </w:tcPr>
          <w:p>
            <w:pPr>
              <w:spacing w:after="0"/>
              <w:rPr>
                <w:sz w:val="17"/>
                <w:szCs w:val="17"/>
                <w:color w:val="auto"/>
              </w:rPr>
            </w:pP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Rebates, returns and other revenue related reserves</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90,504</w:t>
            </w:r>
          </w:p>
        </w:tc>
      </w:tr>
      <w:tr>
        <w:trPr>
          <w:trHeight w:val="196"/>
        </w:trPr>
        <w:tc>
          <w:tcPr>
            <w:tcW w:w="1280" w:type="dxa"/>
            <w:vAlign w:val="bottom"/>
          </w:tcPr>
          <w:p>
            <w:pPr>
              <w:spacing w:after="0"/>
              <w:rPr>
                <w:sz w:val="17"/>
                <w:szCs w:val="17"/>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Clinical study, manufacturing and drug supply</w:t>
            </w: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26,907</w:t>
            </w:r>
          </w:p>
        </w:tc>
      </w:tr>
      <w:tr>
        <w:trPr>
          <w:trHeight w:val="207"/>
        </w:trPr>
        <w:tc>
          <w:tcPr>
            <w:tcW w:w="1280" w:type="dxa"/>
            <w:vAlign w:val="bottom"/>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69,211</w:t>
            </w:r>
          </w:p>
        </w:tc>
      </w:tr>
      <w:tr>
        <w:trPr>
          <w:trHeight w:val="196"/>
        </w:trPr>
        <w:tc>
          <w:tcPr>
            <w:tcW w:w="1280" w:type="dxa"/>
            <w:vAlign w:val="bottom"/>
          </w:tcPr>
          <w:p>
            <w:pPr>
              <w:spacing w:after="0"/>
              <w:rPr>
                <w:sz w:val="17"/>
                <w:szCs w:val="17"/>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40,026</w:t>
            </w:r>
          </w:p>
        </w:tc>
      </w:tr>
      <w:tr>
        <w:trPr>
          <w:trHeight w:val="207"/>
        </w:trPr>
        <w:tc>
          <w:tcPr>
            <w:tcW w:w="1280" w:type="dxa"/>
            <w:vAlign w:val="bottom"/>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36,993</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33,744</w:t>
            </w:r>
          </w:p>
        </w:tc>
      </w:tr>
      <w:tr>
        <w:trPr>
          <w:trHeight w:val="171"/>
        </w:trPr>
        <w:tc>
          <w:tcPr>
            <w:tcW w:w="1280" w:type="dxa"/>
            <w:vAlign w:val="bottom"/>
          </w:tcPr>
          <w:p>
            <w:pPr>
              <w:spacing w:after="0"/>
              <w:rPr>
                <w:sz w:val="14"/>
                <w:szCs w:val="14"/>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275,761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260,392</w:t>
            </w:r>
          </w:p>
        </w:tc>
      </w:tr>
      <w:tr>
        <w:trPr>
          <w:trHeight w:val="20"/>
        </w:trPr>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9880" w:firstLine="5"/>
        <w:spacing w:after="0" w:line="401" w:lineRule="auto"/>
        <w:tabs>
          <w:tab w:leader="none" w:pos="141"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Long Term Debt </w:t>
      </w:r>
      <w:r>
        <w:rPr>
          <w:rFonts w:ascii="Times New Roman" w:cs="Times New Roman" w:eastAsia="Times New Roman" w:hAnsi="Times New Roman"/>
          <w:sz w:val="14"/>
          <w:szCs w:val="14"/>
          <w:b w:val="1"/>
          <w:bCs w:val="1"/>
          <w:i w:val="1"/>
          <w:iCs w:val="1"/>
          <w:color w:val="auto"/>
        </w:rPr>
        <w:t>Hercules Loan Facility</w:t>
      </w:r>
    </w:p>
    <w:p>
      <w:pPr>
        <w:spacing w:after="0" w:line="4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4"/>
          <w:szCs w:val="14"/>
          <w:color w:val="auto"/>
        </w:rPr>
        <w:t>In May 2022, the Company entered into a $250.0 million senior secured loan facility (as amended from time to time, the “Hercules Loan Facility”) with the several banks and other financial institutions or entities party thereto (collectively, the “Hercules Lenders”), and Hercules Capital, Inc. (“Hercules”), in its capacity as administrative agent and collateral agent for itself and the Hercules Lenders. Interest on the Hercules Loan Facility was the greater of (i) the prime rate plus 2.45% and (ii) 8.25%. The Hercules Loan Facility included an end-of-term charge of 5.35% of the aggregate principal amount, which was accounted for in the loan discount. In connection with the first tranche drawn at closing, the Company issued Hercules a warrant to purchase 14,899 shares of Company common stock, which had a Black-Scholes value of $0.6 million. In addition, the Company issued to Hercules and its affiliates warrants to purchase an aggregate of 4,555 shares of common stock, which had a Black-Scholes value of $0.9 million, following the closing of the second tranche.</w:t>
      </w:r>
    </w:p>
    <w:p>
      <w:pPr>
        <w:spacing w:after="0" w:line="152" w:lineRule="exact"/>
        <w:rPr>
          <w:sz w:val="20"/>
          <w:szCs w:val="20"/>
          <w:color w:val="auto"/>
        </w:rPr>
      </w:pPr>
    </w:p>
    <w:p>
      <w:pPr>
        <w:ind w:right="80" w:firstLine="509"/>
        <w:spacing w:after="0" w:line="249" w:lineRule="auto"/>
        <w:rPr>
          <w:sz w:val="20"/>
          <w:szCs w:val="20"/>
          <w:color w:val="auto"/>
        </w:rPr>
      </w:pPr>
      <w:r>
        <w:rPr>
          <w:rFonts w:ascii="Times New Roman" w:cs="Times New Roman" w:eastAsia="Times New Roman" w:hAnsi="Times New Roman"/>
          <w:sz w:val="14"/>
          <w:szCs w:val="14"/>
          <w:color w:val="auto"/>
        </w:rPr>
        <w:t>On July 17, 2025, the Company used the proceeds of the Initial Term Loan under the Financing Agreement (each as defined below in this Note 8) to repay all outstanding obligations under the Hercules Loan Facility, totaling $121.7 million, and upon such repayment, terminated the Hercules Loan Facility. The amount repaid by the Company included $115.0 million of outstanding indebtedness plus accrued and unpaid interest as of the repayment date and exit fees. As a result of the termination, all credit commitments under the Hercules Loan Facility were terminated and all security interests and guarantees executed in connection with the Hercules Loan Facility were released. The repayment resulted in a $2.8 million loss on extinguishment of debt, primarily due to the write off of unamortized debt issuance costs.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Agreement</w:t>
      </w:r>
    </w:p>
    <w:p>
      <w:pPr>
        <w:spacing w:after="0" w:line="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On July 17, 2025 (the “Closing Date”), the Company entered into a Financing Agreement (as amended from time to time, the “Financing Agreement”) with the Guarantors (as defined below in this Note 8), certain funds managed by Blue Owl Capital Corporation, as the lenders (the “Lenders”), and LSI Financing LLC, as the administrative agent for the Lenders (the “Administrative Agent”). Under the Financing Agreement, the Lenders have committed up to $500.0 million in senior secured credit facilities, consisting of (a) an initial term loan in an aggregate principal amount equal to $350.0 million (the “Initial Term Loan”) and (b) delayed draw term loan commitments in an aggregate principal amount not to</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4"/>
          <w:szCs w:val="14"/>
          <w:color w:val="auto"/>
        </w:rPr>
        <w:t>exceed $150.0 million (the loans thereunder, if any, the “Delayed Draw Term Loans”). In addition, the Financing Agreement includes an uncommitted incremental facility in an aggregate principal amount not to exceed $250.0 million (the loans thereunder, if any, the “Incremental Term Loans”, together with the Initial Term Loan and any Delayed Draw Term Loans, collectively the “Term Loans”), subject to the satisfaction of certain terms and conditions set forth in the Financing Agreement. The Initial Term Loan was funded on the Closing Date. Delayed Draw Term Loans are available at the Company’s election from time to time after the Closing Date until December 31, 2027. Incremental Term Loans are available at the Company’s and the Lenders’ mutual consent from time to time after the Closing Date.</w:t>
      </w:r>
    </w:p>
    <w:p>
      <w:pPr>
        <w:spacing w:after="0" w:line="15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4"/>
          <w:szCs w:val="14"/>
          <w:color w:val="auto"/>
        </w:rPr>
        <w:t>Any outstanding principal on the Term Loans will bear interest at a rate per annum on the basis of a 360-day year equal to the sum of (i) the three-month forward-looking term secured overnight financing rate administered by the Federal Reserve Bank of New York (subject to 1.0% per annum floor) plus (ii) 4.75%. Accrued interest is payable quarterly following the funding of the Initial Term Loan on the Closing Date, on any date of prepayment or repayment of the Term Loans and at maturity. The outstanding balance of the Term Loans, if not repaid sooner, shall be due and payable in full on the maturity date thereof. The stated maturity date of the Term Loans is July 17, 2030.</w:t>
      </w:r>
    </w:p>
    <w:p>
      <w:pPr>
        <w:spacing w:after="0" w:line="13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The Company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If the Term Loans are prepaid on or prior to the one-year anniversary of the original issuance, the Company must pay a make-whole amount equal to the greater of (i) 3.00% of the Term Loans being prepaid at such time and (ii) the present value of all remaining interest payments on the amount repaid through the one-year anniversary of the original issuance of such Term Loans, calculated using a discount rate. Thereafter, the amount of any such prepayment fee may vary, but the maximum amount that may be due with any such prepayment would be an amount equal to 3.00% of the Term Loans being prepaid at such time, with such prepayment fee stepping down on each anniversary of the original issuance of such Term Loans.</w:t>
      </w:r>
    </w:p>
    <w:p>
      <w:pPr>
        <w:spacing w:after="0" w:line="140"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color w:val="auto"/>
        </w:rPr>
        <w:t>The Financing Agreement contains affirmative covenants and negative covenants applicable to the Company and its subsidiaries that are customary for financings of this type. The Company and the Guarantors are also required to maintain a minimum unrestricted cash balance of $100.0 million at all times. The Financing Agreement also includes representations, warranties, indemnities and events of default that are customary for financings of this type, including an event of default relating to a change of control of the Company. Upon the occurrence of an event of default, the Lenders may, among other things, accelerate the Company’s obligations under the Financing Agreement. The obligations of the Company under the Financing Agreement are and will be guaranteed by certain of the Company’s existing and future direct and indirect subsidiaries, subject to certain exceptions (such subsidiaries, collectively, the “Guarantors”).</w:t>
      </w:r>
    </w:p>
    <w:p>
      <w:pPr>
        <w:spacing w:after="0" w:line="15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On July 17, 2025, concurrently with the entry into the Financing Agreement, the Company, the Guarantors and the Administrative Agent entered into a Pledge and Security Agreement. As security for the obligations of the Company and the Guarantors, each of the Company and the Guarantors are required to grant to the Administrative Agent, for the benefit of the Lenders and secured parties, a continuing first priority security interest in substantially all of the assets of the Company and the Guarantors (including all equity interests owned or hereafter acquired by the Company and the Guarantors), subject to certain customary exceptions. On September 4, 2025, the parties amended the Financing Agreement to add certain of the Company’s subsidiaries as Guarantors.</w:t>
      </w:r>
    </w:p>
    <w:p>
      <w:pPr>
        <w:spacing w:after="0" w:line="138"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color w:val="auto"/>
        </w:rPr>
        <w:t>As of March 31, 2026, the outstanding principal amount under the Financing Agreement was $350.0 million. The interest rate during the three months ended March 31, 2026 was 8.42%. Interest expense was $7.8 million and $3.3 million for the three months ended March 31, 2026 and 2025, respectively. As of March 31, 2026, the Company was in compliance with all loan covenants and provisions.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Future minimum payments, including interest and principal, under the loans payable outstanding as of March 31, 2026 were as follows (in thousands):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Period Ending March 31, 2026:</w:t>
            </w:r>
          </w:p>
        </w:tc>
        <w:tc>
          <w:tcPr>
            <w:tcW w:w="320" w:type="dxa"/>
            <w:vAlign w:val="bottom"/>
          </w:tcPr>
          <w:p>
            <w:pPr>
              <w:spacing w:after="0"/>
              <w:rPr>
                <w:sz w:val="11"/>
                <w:szCs w:val="11"/>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1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2026</w:t>
            </w:r>
          </w:p>
        </w:tc>
        <w:tc>
          <w:tcPr>
            <w:tcW w:w="4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22,591</w:t>
            </w:r>
          </w:p>
        </w:tc>
      </w:tr>
      <w:tr>
        <w:trPr>
          <w:trHeight w:val="196"/>
        </w:trPr>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2027</w:t>
            </w:r>
          </w:p>
        </w:tc>
        <w:tc>
          <w:tcPr>
            <w:tcW w:w="4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29,984</w:t>
            </w:r>
          </w:p>
        </w:tc>
      </w:tr>
      <w:tr>
        <w:trPr>
          <w:trHeight w:val="207"/>
        </w:trPr>
        <w:tc>
          <w:tcPr>
            <w:tcW w:w="1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2028</w:t>
            </w:r>
          </w:p>
        </w:tc>
        <w:tc>
          <w:tcPr>
            <w:tcW w:w="4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30,067</w:t>
            </w:r>
          </w:p>
        </w:tc>
      </w:tr>
      <w:tr>
        <w:trPr>
          <w:trHeight w:val="196"/>
        </w:trPr>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2029</w:t>
            </w:r>
          </w:p>
        </w:tc>
        <w:tc>
          <w:tcPr>
            <w:tcW w:w="4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29,984</w:t>
            </w:r>
          </w:p>
        </w:tc>
      </w:tr>
      <w:tr>
        <w:trPr>
          <w:trHeight w:val="202"/>
        </w:trPr>
        <w:tc>
          <w:tcPr>
            <w:tcW w:w="1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2030</w:t>
            </w:r>
          </w:p>
        </w:tc>
        <w:tc>
          <w:tcPr>
            <w:tcW w:w="4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366,266</w:t>
            </w: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478,892</w:t>
            </w:r>
          </w:p>
        </w:tc>
      </w:tr>
      <w:tr>
        <w:trPr>
          <w:trHeight w:val="207"/>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(128,892)</w:t>
            </w:r>
          </w:p>
        </w:tc>
      </w:tr>
      <w:tr>
        <w:trPr>
          <w:trHeight w:val="196"/>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Less unamortized discount</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(9,670)</w:t>
            </w: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payable, net of discount</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right="9860" w:firstLine="5"/>
        <w:spacing w:after="0" w:line="365" w:lineRule="auto"/>
        <w:tabs>
          <w:tab w:leader="none" w:pos="141"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 Common Stock</w:t>
      </w:r>
    </w:p>
    <w:p>
      <w:pPr>
        <w:jc w:val="both"/>
        <w:ind w:right="200" w:firstLine="509"/>
        <w:spacing w:after="0" w:line="262" w:lineRule="auto"/>
        <w:rPr>
          <w:sz w:val="20"/>
          <w:szCs w:val="20"/>
          <w:color w:val="auto"/>
        </w:rPr>
      </w:pPr>
      <w:r>
        <w:rPr>
          <w:rFonts w:ascii="Times New Roman" w:cs="Times New Roman" w:eastAsia="Times New Roman" w:hAnsi="Times New Roman"/>
          <w:sz w:val="14"/>
          <w:szCs w:val="14"/>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6"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 xml:space="preserve">The Company’s Series A Convertible Preferred Stock and Series B Convertible Preferred Stock (together, the “Series A and B Preferred Stock”) have a par value of $0.0001 per share and are convertible into shares of the Company’s common stock at a one-to-one ratio, subject to adjustment as provided in the Certificates of Designation of Preferences, Rights and Limitations of Series A Convertible Preferred Stock and Series B Convertible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or concurrently with shares of any other class or series of capital stock of the Company (other than dividends in the form of the common stock) equal to the dividend payable on each share of the common stock, on an as-converted basis.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Pre-Funded Warrants</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In connection with an underwritten public offering in September 2023, the Company issued pre-funded warrants (the “2023 Pre-Funded Warrants”) to purchase 2,048,098 shares of common stock at a public offering price of $151.6899 per 2023 Pre-Funded Warrant, which represents the per share public offering price for common stock less a $0.0001 per share exercise price for each such 2023 Pre-Funded Warrant. In addition, in connection with an underwritten public offering in March 2024, the Company issued pre-funded warrants (the “2024 Pre-Funded Warrants,” and together with the 2023 Pre-Funded Warrants, the “Pre-Funded Warrants”) to purchase 1,557,692 shares of common stock at a public offering price of $259.9999 per 2024 Pre-Funded Warrant, which represents the per share public offering price for the common stock less a $0.0001 per share exercise price for each such 2024 Pre-Funded Warrant.</w:t>
      </w:r>
    </w:p>
    <w:p>
      <w:pPr>
        <w:spacing w:after="0" w:line="138" w:lineRule="exact"/>
        <w:rPr>
          <w:sz w:val="20"/>
          <w:szCs w:val="20"/>
          <w:color w:val="auto"/>
        </w:rPr>
      </w:pPr>
    </w:p>
    <w:p>
      <w:pPr>
        <w:ind w:right="480" w:firstLine="509"/>
        <w:spacing w:after="0" w:line="271" w:lineRule="auto"/>
        <w:rPr>
          <w:sz w:val="20"/>
          <w:szCs w:val="20"/>
          <w:color w:val="auto"/>
        </w:rPr>
      </w:pPr>
      <w:r>
        <w:rPr>
          <w:rFonts w:ascii="Times New Roman" w:cs="Times New Roman" w:eastAsia="Times New Roman" w:hAnsi="Times New Roman"/>
          <w:sz w:val="14"/>
          <w:szCs w:val="14"/>
          <w:color w:val="auto"/>
        </w:rPr>
        <w:t>The Pre-Funded Warrants are generally exercisable at any time; however, a holder of Pre-Funded Warrants may not exercise the warrant to the extent that the holder, together with its affiliates, would beneficially own more than 9.99% of the number of shares of common stock outstanding immediately after giving effect to such exercise. A holder of Pre-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Funded Warrants may increase or decrease this percentage, but not in excess of 19.99%, by providing at least 61 days’ prior notice to the Company.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At-The-Market Issuance Sales Agreement</w:t>
      </w:r>
    </w:p>
    <w:p>
      <w:pPr>
        <w:spacing w:after="0" w:line="96"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4"/>
          <w:szCs w:val="14"/>
          <w:color w:val="auto"/>
        </w:rPr>
        <w:t>In May 2024, the Company entered into a Sales Agreement (the “Sales Agreement”) with Cowen and Company, LLC (“Cowen”). Pursuant to the Sales Agreement, the Company is authorized to issue and sell up to $300.0 million in shares of the Company’s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 The Company sold no shares in the three months ended March 31, 2026 or 2025 under the Sales Agreement.</w:t>
      </w:r>
    </w:p>
    <w:p>
      <w:pPr>
        <w:spacing w:after="0" w:line="235" w:lineRule="exact"/>
        <w:rPr>
          <w:sz w:val="20"/>
          <w:szCs w:val="20"/>
          <w:color w:val="auto"/>
        </w:rPr>
      </w:pPr>
    </w:p>
    <w:p>
      <w:pPr>
        <w:ind w:right="9360" w:firstLine="5"/>
        <w:spacing w:after="0" w:line="365" w:lineRule="auto"/>
        <w:tabs>
          <w:tab w:leader="none" w:pos="212"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Compensation 2015 Stock Plan</w:t>
      </w:r>
    </w:p>
    <w:p>
      <w:pPr>
        <w:ind w:right="40" w:firstLine="509"/>
        <w:spacing w:after="0" w:line="250" w:lineRule="auto"/>
        <w:rPr>
          <w:sz w:val="20"/>
          <w:szCs w:val="20"/>
          <w:color w:val="auto"/>
        </w:rPr>
      </w:pPr>
      <w:r>
        <w:rPr>
          <w:rFonts w:ascii="Times New Roman" w:cs="Times New Roman" w:eastAsia="Times New Roman" w:hAnsi="Times New Roman"/>
          <w:sz w:val="14"/>
          <w:szCs w:val="14"/>
          <w:color w:val="auto"/>
        </w:rPr>
        <w:t>The 2015 Stock Plan, as amended (the “2015 Stock Plan”), is the Company’s stockholder-approved incentive plan through which equity based grants are awarded. The 2015 Stock Plan provides for the grant of incentive stock options, non-statutory stock options, restricted stock, restricted stock units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March 31, 2026, 211,145 shares were available for future issuance under the 2015 Stock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 Inducement Plan</w:t>
      </w:r>
    </w:p>
    <w:p>
      <w:pPr>
        <w:spacing w:after="0" w:line="9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4"/>
          <w:szCs w:val="14"/>
          <w:color w:val="auto"/>
        </w:rPr>
        <w:t>In September 2023, the Company adopted the 2023 Inducement Plan (the “2023 Inducement Plan”), pursuant to which the Company from time to time was permitted to make equity grants to new employees as a material inducement to their employment. The 2023 Inducement Plan was adopted without stockholder approval, pursuant to Nasdaq Listing Rule 5635(c)(4), and was administered by the Compensation Committee of the Board. The 2023 Inducement Plan provided for the granting of non-statutory stock options, restricted stock, restricted stock units, performance stock units and other stock-based compensation awards to new employees, but did not allow for the granting of incentive stock options. The terms of the stock options under the 2023 Inducement Plan, in general, were determined by the Compensation Committee, provided the exercise price per share generally would not be set at less than the fair market value of a share of the common stock on the date of grant and the term would not be greater than ten years from the date the option or award was granted. A total of 500,000 shares of the Company’s common stock were reserved for issuance under the 2023 Inducement Plan. In June 2025, the Company terminated the 2023 Inducement Plan, and therefore no additional awards may be made from the 2023 Inducement Plan. Any awards outstanding under the 2023 Inducement Plan will continue to be governed by the terms thereof.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Inducement Plan</w:t>
      </w:r>
    </w:p>
    <w:p>
      <w:pPr>
        <w:spacing w:after="0" w:line="9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In June 2025, the Company adopted the 2025 Inducement Plan (the “2025 Inducement Plan”), pursuant to which the Company may from time to time make equity grants to new employees as a material inducement to their employment. The 2025 Inducement Plan was adopted without stockholder approval, pursuant to Nasdaq Listing Rule 5635(c)(4), and is administered by the Compensation Committee of the Board. The 2025 Inducement Plan provides for the granting of non-statutory stock options, restricted stock, restricted stock units, performance stock units and other stock-based compensation awards to new employees, but does not allow for the granting of incentive stock options. The terms of the stock options under the 2025 Inducement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or award is granted. A total of 100,000 shares of the Company’s common stock were initially reserved for issuance under the 2025 Inducement Plan. In September 2025, the 2025 Inducement Plan was amended to increase the aggregate number of shares reserved for issuance by an additional 300,000 shares. A total of 230,287 shares were available for future issuance as of March 31, 2026.</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stock option activity during the three months ended March 31, 2026:</w:t>
      </w:r>
    </w:p>
    <w:p>
      <w:pPr>
        <w:spacing w:after="0" w:line="216" w:lineRule="exact"/>
        <w:rPr>
          <w:sz w:val="20"/>
          <w:szCs w:val="20"/>
          <w:color w:val="auto"/>
        </w:rPr>
      </w:pPr>
    </w:p>
    <w:tbl>
      <w:tblPr>
        <w:tblLayout w:type="fixed"/>
        <w:tblInd w:w="1280" w:type="dxa"/>
        <w:tblCellMar>
          <w:top w:w="0" w:type="dxa"/>
          <w:left w:w="0" w:type="dxa"/>
          <w:bottom w:w="0" w:type="dxa"/>
          <w:right w:w="0" w:type="dxa"/>
        </w:tblCellMar>
      </w:tblPr>
      <w:tr>
        <w:trPr>
          <w:trHeight w:val="127"/>
        </w:trPr>
        <w:tc>
          <w:tcPr>
            <w:tcW w:w="5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27"/>
        </w:trPr>
        <w:tc>
          <w:tcPr>
            <w:tcW w:w="5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average exercise</w:t>
            </w:r>
          </w:p>
        </w:tc>
        <w:tc>
          <w:tcPr>
            <w:tcW w:w="0" w:type="dxa"/>
            <w:vAlign w:val="bottom"/>
          </w:tcPr>
          <w:p>
            <w:pPr>
              <w:spacing w:after="0"/>
              <w:rPr>
                <w:sz w:val="1"/>
                <w:szCs w:val="1"/>
                <w:color w:val="auto"/>
              </w:rPr>
            </w:pPr>
          </w:p>
        </w:tc>
      </w:tr>
      <w:tr>
        <w:trPr>
          <w:trHeight w:val="169"/>
        </w:trPr>
        <w:tc>
          <w:tcPr>
            <w:tcW w:w="56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155.25</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 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437.68</w:t>
            </w:r>
          </w:p>
        </w:tc>
        <w:tc>
          <w:tcPr>
            <w:tcW w:w="0" w:type="dxa"/>
            <w:vAlign w:val="bottom"/>
          </w:tcPr>
          <w:p>
            <w:pPr>
              <w:spacing w:after="0"/>
              <w:rPr>
                <w:sz w:val="1"/>
                <w:szCs w:val="1"/>
                <w:color w:val="auto"/>
              </w:rPr>
            </w:pPr>
          </w:p>
        </w:tc>
      </w:tr>
      <w:tr>
        <w:trPr>
          <w:trHeight w:val="207"/>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 cancelled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231.67</w:t>
            </w:r>
          </w:p>
        </w:tc>
        <w:tc>
          <w:tcPr>
            <w:tcW w:w="0" w:type="dxa"/>
            <w:vAlign w:val="bottom"/>
          </w:tcPr>
          <w:p>
            <w:pPr>
              <w:spacing w:after="0"/>
              <w:rPr>
                <w:sz w:val="1"/>
                <w:szCs w:val="1"/>
                <w:color w:val="auto"/>
              </w:rPr>
            </w:pPr>
          </w:p>
        </w:tc>
      </w:tr>
      <w:tr>
        <w:trPr>
          <w:trHeight w:val="217"/>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2026</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1,018,345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March 31, 2026</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6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716,129</w:t>
            </w:r>
          </w:p>
        </w:tc>
        <w:tc>
          <w:tcPr>
            <w:tcW w:w="100" w:type="dxa"/>
            <w:vAlign w:val="bottom"/>
          </w:tcPr>
          <w:p>
            <w:pPr>
              <w:spacing w:after="0"/>
              <w:rPr>
                <w:sz w:val="13"/>
                <w:szCs w:val="13"/>
                <w:color w:val="auto"/>
              </w:rPr>
            </w:pPr>
          </w:p>
        </w:tc>
        <w:tc>
          <w:tcPr>
            <w:tcW w:w="220" w:type="dxa"/>
            <w:vAlign w:val="bottom"/>
          </w:tcPr>
          <w:p>
            <w:pPr>
              <w:jc w:val="right"/>
              <w:ind w:right="6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126.50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total cash received by the Company as a result of stock option exercises was $2.3 million and $8.6 million for the three months ended March 31, 2026 and 2025, respectively. The total intrinsic value of options exercised was $27.6 million and $25.7 million for the three months ended March 31, 2026 and 2025, respectively.</w:t>
      </w:r>
    </w:p>
    <w:p>
      <w:pPr>
        <w:spacing w:after="0" w:line="114" w:lineRule="exact"/>
        <w:rPr>
          <w:sz w:val="20"/>
          <w:szCs w:val="20"/>
          <w:color w:val="auto"/>
        </w:rPr>
      </w:pPr>
    </w:p>
    <w:p>
      <w:pPr>
        <w:ind w:right="360" w:firstLine="509"/>
        <w:spacing w:after="0" w:line="271" w:lineRule="auto"/>
        <w:rPr>
          <w:sz w:val="20"/>
          <w:szCs w:val="20"/>
          <w:color w:val="auto"/>
        </w:rPr>
      </w:pPr>
      <w:r>
        <w:rPr>
          <w:rFonts w:ascii="Times New Roman" w:cs="Times New Roman" w:eastAsia="Times New Roman" w:hAnsi="Times New Roman"/>
          <w:sz w:val="14"/>
          <w:szCs w:val="14"/>
          <w:color w:val="auto"/>
        </w:rPr>
        <w:t>The Company awards restricted stock units (“RSUs”) to employees, officers and directors of the Company. RSUs vest annually and are subject to forfeiture if employment or service terminates before vesting.</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RSU activity, excluding performance-based RSUs, during the three months ended March 31, 2026:</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36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Weighted average grant date fair value</w:t>
            </w:r>
          </w:p>
        </w:tc>
      </w:tr>
      <w:tr>
        <w:trPr>
          <w:trHeight w:val="18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798,422</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307.85</w:t>
            </w:r>
          </w:p>
        </w:tc>
      </w:tr>
      <w:tr>
        <w:trPr>
          <w:trHeight w:val="201"/>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 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315,641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439.07</w:t>
            </w:r>
          </w:p>
        </w:tc>
      </w:tr>
      <w:tr>
        <w:trPr>
          <w:trHeight w:val="202"/>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RSUs vested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(141,030)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299.16</w:t>
            </w:r>
          </w:p>
        </w:tc>
      </w:tr>
      <w:tr>
        <w:trPr>
          <w:trHeight w:val="201"/>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RSUs forfeited</w:t>
            </w:r>
          </w:p>
        </w:tc>
        <w:tc>
          <w:tcPr>
            <w:tcW w:w="1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304.20</w:t>
            </w:r>
          </w:p>
        </w:tc>
      </w:tr>
      <w:tr>
        <w:trPr>
          <w:trHeight w:val="212"/>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March 31, 2026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three months ended March 31, 2026 and 2025, the total fair value of RSUs vested was $65.3 million and $25.0 million, respectively.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Performance-Based Restricted Stock Units</w:t>
      </w:r>
    </w:p>
    <w:p>
      <w:pPr>
        <w:spacing w:after="0" w:line="85"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The Company has granted various performance-based restricted stock units (“PSUs”) to certain senior members of leadership. Depending on the terms of the PSUs and the outcome of the pre-established performance criteria, which may include a market or performance condition, a recipient may ultimately earn the target number of PSUs granted or a specified multiple thereof at the end of the vesting period. The Company granted PSUs to the Company’s Chief Executive Officer (“CEO”) in connection with his hiring in September 2023. Such PSUs may be earned based on the achievement of three significant sustained stock price appreciation hurdles over a five-year period. The Company’s CEO achieved the first two hurdles in 2025 and earned 50,000 shares for each hurdle. The Company’s CEO is eligible to earn an additional 50,000 shares upon the achievement of the final hurdle. Earned PSUs are settled on a delayed basis notwithstanding the date of achievement of the stock price hurdle. Beginning in 2024, the Company issued PSUs to certain executives that may be earned based on the Company’s total shareholder return relative to a defined peer group over a three year period. Accordingly, any PSUs granted in 2024, 2025 and 2026 will vest, to the extent earned, in the first quarter of 2027, 2028 and 2029, respectively.</w:t>
      </w: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3"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PSU activity during the three months ended March 31, 2026:</w:t>
      </w:r>
    </w:p>
    <w:p>
      <w:pPr>
        <w:spacing w:after="0" w:line="185" w:lineRule="exact"/>
        <w:rPr>
          <w:sz w:val="20"/>
          <w:szCs w:val="20"/>
          <w:color w:val="auto"/>
        </w:rPr>
      </w:pPr>
    </w:p>
    <w:tbl>
      <w:tblPr>
        <w:tblLayout w:type="fixed"/>
        <w:tblInd w:w="52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080" w:type="dxa"/>
            <w:vAlign w:val="bottom"/>
            <w:vMerge w:val="restart"/>
          </w:tcPr>
          <w:p>
            <w:pPr>
              <w:ind w:left="720"/>
              <w:spacing w:after="0"/>
              <w:rPr>
                <w:sz w:val="20"/>
                <w:szCs w:val="20"/>
                <w:color w:val="auto"/>
              </w:rPr>
            </w:pPr>
            <w:r>
              <w:rPr>
                <w:rFonts w:ascii="Times New Roman" w:cs="Times New Roman" w:eastAsia="Times New Roman" w:hAnsi="Times New Roman"/>
                <w:sz w:val="11"/>
                <w:szCs w:val="11"/>
                <w:b w:val="1"/>
                <w:bCs w:val="1"/>
                <w:color w:val="auto"/>
              </w:rPr>
              <w:t>PSUs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Eligible to Earn PSUs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 grant date fair</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5"/>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PSUs at December 31, 2025</w:t>
            </w:r>
          </w:p>
        </w:tc>
        <w:tc>
          <w:tcPr>
            <w:tcW w:w="10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103,244</w:t>
            </w:r>
          </w:p>
        </w:tc>
        <w:tc>
          <w:tcPr>
            <w:tcW w:w="8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256,488</w:t>
            </w: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500.55</w:t>
            </w:r>
          </w:p>
        </w:tc>
        <w:tc>
          <w:tcPr>
            <w:tcW w:w="0" w:type="dxa"/>
            <w:vAlign w:val="bottom"/>
          </w:tcPr>
          <w:p>
            <w:pPr>
              <w:spacing w:after="0"/>
              <w:rPr>
                <w:sz w:val="1"/>
                <w:szCs w:val="1"/>
                <w:color w:val="auto"/>
              </w:rPr>
            </w:pPr>
          </w:p>
        </w:tc>
      </w:tr>
      <w:tr>
        <w:trPr>
          <w:trHeight w:val="201"/>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PSUs 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38,803</w:t>
            </w:r>
          </w:p>
        </w:tc>
        <w:tc>
          <w:tcPr>
            <w:tcW w:w="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77,606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616.19</w:t>
            </w:r>
          </w:p>
        </w:tc>
        <w:tc>
          <w:tcPr>
            <w:tcW w:w="0" w:type="dxa"/>
            <w:vAlign w:val="bottom"/>
          </w:tcPr>
          <w:p>
            <w:pPr>
              <w:spacing w:after="0"/>
              <w:rPr>
                <w:sz w:val="1"/>
                <w:szCs w:val="1"/>
                <w:color w:val="auto"/>
              </w:rPr>
            </w:pPr>
          </w:p>
        </w:tc>
      </w:tr>
      <w:tr>
        <w:trPr>
          <w:trHeight w:val="202"/>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PSUs earned</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PSUs forfeited</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593.93</w:t>
            </w:r>
          </w:p>
        </w:tc>
        <w:tc>
          <w:tcPr>
            <w:tcW w:w="0" w:type="dxa"/>
            <w:vAlign w:val="bottom"/>
          </w:tcPr>
          <w:p>
            <w:pPr>
              <w:spacing w:after="0"/>
              <w:rPr>
                <w:sz w:val="1"/>
                <w:szCs w:val="1"/>
                <w:color w:val="auto"/>
              </w:rPr>
            </w:pPr>
          </w:p>
        </w:tc>
      </w:tr>
      <w:tr>
        <w:trPr>
          <w:trHeight w:val="171"/>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March 31, 2026</w:t>
            </w:r>
          </w:p>
        </w:tc>
        <w:tc>
          <w:tcPr>
            <w:tcW w:w="10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141,874</w:t>
            </w: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333,748</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Outstanding PSUs excludes 100,000 shares underlying PSU awards that have been earned but are subject to delayed settlement as there is no longer a risk of forfeiture with respect to these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awards.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Awards</w:t>
      </w:r>
    </w:p>
    <w:p>
      <w:pPr>
        <w:spacing w:after="0" w:line="85"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4"/>
          <w:szCs w:val="14"/>
          <w:color w:val="auto"/>
        </w:rPr>
        <w:t>As of March 31, 2026, the Company had RSUs, PSUs, and options outstanding pursuant to which an aggregate of 2,312,991 shares of its common stock may be issued pursuant to the terms of all awards granted under the 2015 Stock Plan, 2023 Inducement Plan and 2025 Inducement Plan. Shares underlying PSU awards that have been earned but are subject to delayed settlement have been excluded from this amount as there is no longer a risk of forfeiture with respect to these awards.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Stock-based compensation expense during the three months ended March 31, 2026 and 2025 was as follows (in thousands):</w:t>
      </w: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158"/>
        </w:trPr>
        <w:tc>
          <w:tcPr>
            <w:tcW w:w="572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7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by type of award:</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options</w:t>
            </w: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80" w:type="dxa"/>
            <w:vAlign w:val="bottom"/>
          </w:tcPr>
          <w:p>
            <w:pPr>
              <w:spacing w:after="0"/>
              <w:rPr>
                <w:sz w:val="17"/>
                <w:szCs w:val="17"/>
                <w:color w:val="auto"/>
              </w:rPr>
            </w:pPr>
          </w:p>
        </w:tc>
        <w:tc>
          <w:tcPr>
            <w:tcW w:w="96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w:t>
            </w: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stock units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11,788</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Performance-based restricted stock units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4,365</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34,018</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Effect of stock-based compensation expense by line item:</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26,057</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15,716</w:t>
            </w:r>
          </w:p>
        </w:tc>
        <w:tc>
          <w:tcPr>
            <w:tcW w:w="0" w:type="dxa"/>
            <w:vAlign w:val="bottom"/>
          </w:tcPr>
          <w:p>
            <w:pPr>
              <w:spacing w:after="0"/>
              <w:rPr>
                <w:sz w:val="1"/>
                <w:szCs w:val="1"/>
                <w:color w:val="auto"/>
              </w:rPr>
            </w:pPr>
          </w:p>
        </w:tc>
      </w:tr>
      <w:tr>
        <w:trPr>
          <w:trHeight w:val="187"/>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 included in net loss</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34,018</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Unrecognized stock-based compensation expense as of March 31, 2026 was $377.1 million with a weighted average remaining period of 3.13 years.</w:t>
      </w:r>
    </w:p>
    <w:p>
      <w:pPr>
        <w:spacing w:after="0" w:line="261" w:lineRule="exact"/>
        <w:rPr>
          <w:sz w:val="20"/>
          <w:szCs w:val="20"/>
          <w:color w:val="auto"/>
        </w:rPr>
      </w:pPr>
    </w:p>
    <w:p>
      <w:pPr>
        <w:ind w:right="9040" w:firstLine="5"/>
        <w:spacing w:after="0" w:line="365" w:lineRule="auto"/>
        <w:tabs>
          <w:tab w:leader="none" w:pos="204"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Licenses and Other Commitments</w:t>
      </w: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The Company has entered into customary contractual arrangements and letters of intent in preparation for and in support of operations in the normal course of business. As of March 31, 2026, the Company had approximately $222.9 million of obligations under these agreements related to active pharmaceutical ingredient, which is expected to be paid through 2029.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Roche Agreement</w:t>
      </w:r>
    </w:p>
    <w:p>
      <w:pPr>
        <w:spacing w:after="0" w:line="8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has a Research, Development and Commercialization Agreement (as amended, the “Roche Agreement”) with Roche which grants the Company a sole and exclusive license to develop, use, sell, offer for sale and</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import any Licensed Product (as defined in the Roche Agreement). In January 2026, the Company entered into an amendment to the Roche Agreement to provide the Company the full and exclusive right and discretion to control all patent term adjustments and patent term extensions applicable to Rezdiffra, including patents owned by Roche and jointly owned between the parties. In consideration of the foregoing, the royalty payable to Roche based on net sales of Rezdiffra will not be reduced until the expiration of certain patent term extensions that have been, or could have been, filed.</w:t>
      </w:r>
    </w:p>
    <w:p>
      <w:pPr>
        <w:spacing w:after="0" w:line="30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The Roche Agreement required certain milestone payments to Roche. In March 2024, upon receiving FDA approval of Rezdiffra, a milestone was achieved and $5.0 million was paid to Roche. In August 2025, upon receiving conditional marketing authorization from the EC, a milestone was achieved and $3.0 million was paid to Roche. Furthermore, a tiered single-digit royalty is payable on net sales of resmetirom or a product developed from resmetirom, subject to certain reductions. The Company began incurring royalty expense following its commercial launch of Rezdiffra in April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CSPC License (MGL-2086)</w:t>
      </w:r>
    </w:p>
    <w:p>
      <w:pPr>
        <w:spacing w:after="0" w:line="8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In July 2025, the Company entered into an exclusive global license agreement (the “CSPC License Agreement”) with CSPC Pharmaceutical Group Limited (“CSPC”) for MGL-2086 (formerly known as SYH2086), an oral small molecule GLP-1 receptor agonist. Pursuant to the CSPC License Agreement, CSPC has granted the Company an exclusive global license to develop, manufacture, and commercialize MGL-2086. The transaction closed in September 2025. The Company paid CSPC an upfront payment of $120.0 million in October 2025. CSPC is eligible to receive up to $2.0 billion in development, regulatory and commercial milestone payments, as well as royalties on net sales ranging from mid-single digits to low-double digits.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Pfizer License (ervogastat)</w:t>
      </w:r>
    </w:p>
    <w:p>
      <w:pPr>
        <w:spacing w:after="0" w:line="96" w:lineRule="exact"/>
        <w:rPr>
          <w:sz w:val="20"/>
          <w:szCs w:val="20"/>
          <w:color w:val="auto"/>
        </w:rPr>
      </w:pPr>
    </w:p>
    <w:p>
      <w:pPr>
        <w:ind w:right="240" w:firstLine="509"/>
        <w:spacing w:after="0" w:line="253" w:lineRule="auto"/>
        <w:rPr>
          <w:sz w:val="20"/>
          <w:szCs w:val="20"/>
          <w:color w:val="auto"/>
        </w:rPr>
      </w:pPr>
      <w:r>
        <w:rPr>
          <w:rFonts w:ascii="Times New Roman" w:cs="Times New Roman" w:eastAsia="Times New Roman" w:hAnsi="Times New Roman"/>
          <w:sz w:val="14"/>
          <w:szCs w:val="14"/>
          <w:color w:val="auto"/>
        </w:rPr>
        <w:t>In December 2025, the Company entered into an exclusive global license agreement with Pfizer Inc. (the “Pfizer License Agreement”) to develop, manufacture and commercialize ervogastat, a Phase 2 oral DGAT-2 inhibitor, and two additional early-stage MASH assets. The Company paid Pfizer an upfront payment of $50.0 million in December 2025. In addition, Pfizer is eligible to receive up to $70.0 million in development and regulatory milestone payments related to ervogastat and low-double digit royalties on net sales of ervogastat. Pfizer is eligible to receive additional development, regulatory and commercial milestone payments and royalty payments on net sales of the two licensed early stage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Ribocure License (siRNA programs)</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In February 2026, the Company entered into an exclusive global license agreement (the “Ribocure License Agreement”) with Suzhou Ribo Life Science Co. Ltd. and Ribocure Pharmaceuticals AB (together, “Ribocure”) granting the Company exclusive global rights to develop, manufacture and commercialize six small interfering RNA (“siRNA”) programs. Pursuant to the Ribocure License Agreement, the Company paid Ribocure an upfront payment of $60.0 million. In addition, Ribocure is eligible to receive up to $4.4 billion in development, regulatory and commercial milestone payments across all programs, as well as royalties on net sales ranging from mid-single digits to low-double digits.</w:t>
      </w:r>
    </w:p>
    <w:p>
      <w:pPr>
        <w:spacing w:after="0" w:line="149"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As of March 31, 2026, $48.3 million of the upfront payment was recorded to R&amp;D expense and $11.7 million was capitalized as a prepaid asset and other asset to be recorded as research and development services are performed by Ribocure.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Arrowhead License (PNPLA3)</w:t>
      </w:r>
    </w:p>
    <w:p>
      <w:pPr>
        <w:spacing w:after="0" w:line="96" w:lineRule="exact"/>
        <w:rPr>
          <w:sz w:val="20"/>
          <w:szCs w:val="20"/>
          <w:color w:val="auto"/>
        </w:rPr>
      </w:pPr>
    </w:p>
    <w:p>
      <w:pPr>
        <w:ind w:right="300" w:firstLine="509"/>
        <w:spacing w:after="0" w:line="253" w:lineRule="auto"/>
        <w:rPr>
          <w:sz w:val="20"/>
          <w:szCs w:val="20"/>
          <w:color w:val="auto"/>
        </w:rPr>
      </w:pPr>
      <w:r>
        <w:rPr>
          <w:rFonts w:ascii="Times New Roman" w:cs="Times New Roman" w:eastAsia="Times New Roman" w:hAnsi="Times New Roman"/>
          <w:sz w:val="14"/>
          <w:szCs w:val="14"/>
          <w:color w:val="auto"/>
        </w:rPr>
        <w:t>In May 2026, the Company entered into an exclusive global license agreement (the “Arrowhead License Agreement”) with Arrowhead Pharmaceuticals Inc. (“Arrowhead”) granting the Company an exclusive global license to ARO-PNPLA3. Pursuant to the Arrowhead License Agreement, the Company will pay Arrowhead an upfront payment of $25.0 million. In addition, Arrowhead is eligible to receive up to $975.0 million in development, regulatory and commercial milestone payments, as well as royalties on net sales ranging from high-single digits to the mid-teens.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85"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4"/>
          <w:szCs w:val="14"/>
          <w:color w:val="auto"/>
        </w:rPr>
        <w:t>In 2019, the Company entered into an operating lease for office space located in West Conshohocken, Pennsylvania (the “Office Lease”), which was further amended by four amendments entered into from 2019 to May 2023. In August 2023, the Company entered into the Fifth Amendment to the Office Lease (the “Fifth Lease Amendment”). The Fifth Lease Amendment extended the term of the Office Lease through November 2026. As a result of the Fifth Lease Amendment, an incremental $1.6 million right-of-use asset and lease liabilities were recorded during the year ended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December 31, 2023. In 2024, we entered into the Sixth, Seventh, Eighth, and Ninth Amendments to the Office Lease, leasing additional office space available in the same premises under the Office Lease, which resulted in an incremental $1.3 million right-of-use asset and lease liability recorded.</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April 2025, the Company entered into an operating lease for additional office space in West Conshohocken, Pennsylvania. The lease commenced in May 2025 and resulted in a</w:t>
      </w:r>
    </w:p>
    <w:p>
      <w:pPr>
        <w:spacing w:after="0" w:line="1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$4.0 million right-of-use asset and lease liability. In March 2026, the Company entered into an amendment to this lease, which modified the lease term and payment schedule. As a result, the right-of-use asset and lease liability balances were remeasured, resulting in balances of $4.0 million and $4.6 million as of March 31, 2026, respectively.</w:t>
      </w:r>
    </w:p>
    <w:p>
      <w:pPr>
        <w:spacing w:after="0" w:line="1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4"/>
          <w:szCs w:val="14"/>
          <w:color w:val="auto"/>
        </w:rPr>
        <w:t>In September 2025, the Company entered into an operating lease for office space in Waltham, Massachusetts. The commencement date had not occurred as of March 31, 2026. Upon lease commencement, the Company expects to make total lease payments of $9.9 million over an 84-month lease term. As of March 31, 2026, the Company has recorded a $1.2 million prepaid lease payment related to approved change orders, which will be included in the measurement of the right-of-use asset upon commencement.</w:t>
      </w:r>
    </w:p>
    <w:p>
      <w:pPr>
        <w:spacing w:after="0" w:line="147"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In February 2026, the Company entered into an operating lease for office space in Baar, Switzerland. The lease commenced on March 1, 2026 and has a term of 24 months. As a result, the Company recognized a right-of-use asset and corresponding lease liability of approximately $1.4 million upon commencement.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Segment Information</w:t>
      </w:r>
    </w:p>
    <w:p>
      <w:pPr>
        <w:spacing w:after="0" w:line="16" w:lineRule="exact"/>
        <w:rPr>
          <w:sz w:val="20"/>
          <w:szCs w:val="20"/>
          <w:color w:val="auto"/>
        </w:rPr>
      </w:pPr>
    </w:p>
    <w:p>
      <w:pPr>
        <w:ind w:right="40" w:firstLine="509"/>
        <w:spacing w:after="0" w:line="236" w:lineRule="auto"/>
        <w:rPr>
          <w:sz w:val="20"/>
          <w:szCs w:val="20"/>
          <w:color w:val="auto"/>
        </w:rPr>
      </w:pPr>
      <w:r>
        <w:rPr>
          <w:rFonts w:ascii="Times New Roman" w:cs="Times New Roman" w:eastAsia="Times New Roman" w:hAnsi="Times New Roman"/>
          <w:sz w:val="14"/>
          <w:szCs w:val="14"/>
          <w:color w:val="auto"/>
        </w:rPr>
        <w:t>The Company operates as one reportable segment focused on delivering novel therapeutics for MASH. The Company's Chief Executive Officer, as the chief operating decision maker (“CODM”), leads the Company in support of four core values—focus on the patient, having an owner mindset, the relentless pursuit of innovation and commitment to collaboration. To best align the Company with these values, the CODM reviews consolidated financials, along with qualitative information, to evaluate performance, manage and allocate resources, make operating decisions, and assess planning and forecasting on a total company basis. Assets, liabilities and equity are reviewed and presented on the same level as the Company's consolidated balance sheet. Starting in the first quarter of 2026, the Company has further disaggregated its significant expense categories within research and development into four categories and selling, general and administrative into four categories. Prior periods have been recast to conform to the current period presentation.</w:t>
      </w:r>
    </w:p>
    <w:p>
      <w:pPr>
        <w:spacing w:after="0" w:line="159"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Management does not segment business operations for internal reporting or decision making purposes. As the Company has a single reporting segment, the segment accounting policies are the same as those at the Company level, as described in Note 2 “Summary of Significant Accounting Policies.”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net loss reported at the segment measure of profit and loss:</w:t>
      </w:r>
    </w:p>
    <w:p>
      <w:pPr>
        <w:spacing w:after="0" w:line="11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4"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1580" w:type="dxa"/>
        <w:tblCellMar>
          <w:top w:w="0" w:type="dxa"/>
          <w:left w:w="0" w:type="dxa"/>
          <w:bottom w:w="0" w:type="dxa"/>
          <w:right w:w="0" w:type="dxa"/>
        </w:tblCellMar>
      </w:tblPr>
      <w:tr>
        <w:trPr>
          <w:trHeight w:val="159"/>
        </w:trPr>
        <w:tc>
          <w:tcPr>
            <w:tcW w:w="566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202"/>
        </w:trPr>
        <w:tc>
          <w:tcPr>
            <w:tcW w:w="5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 revenue, net</w:t>
            </w: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311,337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137,250</w:t>
            </w:r>
          </w:p>
        </w:tc>
      </w:tr>
      <w:tr>
        <w:trPr>
          <w:trHeight w:val="196"/>
        </w:trPr>
        <w:tc>
          <w:tcPr>
            <w:tcW w:w="5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sales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w:t>
            </w:r>
          </w:p>
        </w:tc>
      </w:tr>
      <w:tr>
        <w:trPr>
          <w:trHeight w:val="207"/>
        </w:trPr>
        <w:tc>
          <w:tcPr>
            <w:tcW w:w="5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6"/>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Compensation and benefit-related expenses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(9,035)</w:t>
            </w:r>
          </w:p>
        </w:tc>
      </w:tr>
      <w:tr>
        <w:trPr>
          <w:trHeight w:val="207"/>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(5,215)</w:t>
            </w:r>
          </w:p>
        </w:tc>
      </w:tr>
      <w:tr>
        <w:trPr>
          <w:trHeight w:val="196"/>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Professional fees and other external expenses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(84,547)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(28,797)</w:t>
            </w:r>
          </w:p>
        </w:tc>
      </w:tr>
      <w:tr>
        <w:trPr>
          <w:trHeight w:val="207"/>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Facility related and other internal expenses</w:t>
            </w:r>
            <w:r>
              <w:rPr>
                <w:rFonts w:ascii="Times New Roman" w:cs="Times New Roman" w:eastAsia="Times New Roman" w:hAnsi="Times New Roman"/>
                <w:sz w:val="18"/>
                <w:szCs w:val="18"/>
                <w:color w:val="auto"/>
                <w:vertAlign w:val="superscript"/>
              </w:rPr>
              <w:t>(1)</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r>
      <w:tr>
        <w:trPr>
          <w:trHeight w:val="196"/>
        </w:trPr>
        <w:tc>
          <w:tcPr>
            <w:tcW w:w="5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and benefit-related expenses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(48,361)</w:t>
            </w:r>
          </w:p>
        </w:tc>
      </w:tr>
      <w:tr>
        <w:trPr>
          <w:trHeight w:val="196"/>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(15,716)</w:t>
            </w:r>
          </w:p>
        </w:tc>
      </w:tr>
      <w:tr>
        <w:trPr>
          <w:trHeight w:val="207"/>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Professional fees and other external expenses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(131,252)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(88,014)</w:t>
            </w:r>
          </w:p>
        </w:tc>
      </w:tr>
      <w:tr>
        <w:trPr>
          <w:trHeight w:val="202"/>
        </w:trPr>
        <w:tc>
          <w:tcPr>
            <w:tcW w:w="5660" w:type="dxa"/>
            <w:vAlign w:val="bottom"/>
          </w:tcPr>
          <w:p>
            <w:pPr>
              <w:ind w:left="360"/>
              <w:spacing w:after="0" w:line="201" w:lineRule="exact"/>
              <w:rPr>
                <w:sz w:val="20"/>
                <w:szCs w:val="20"/>
                <w:color w:val="auto"/>
              </w:rPr>
            </w:pPr>
            <w:r>
              <w:rPr>
                <w:rFonts w:ascii="Times New Roman" w:cs="Times New Roman" w:eastAsia="Times New Roman" w:hAnsi="Times New Roman"/>
                <w:sz w:val="14"/>
                <w:szCs w:val="14"/>
                <w:color w:val="auto"/>
              </w:rPr>
              <w:t>Facility related and other internal expenses</w:t>
            </w:r>
            <w:r>
              <w:rPr>
                <w:rFonts w:ascii="Times New Roman" w:cs="Times New Roman" w:eastAsia="Times New Roman" w:hAnsi="Times New Roman"/>
                <w:sz w:val="18"/>
                <w:szCs w:val="18"/>
                <w:color w:val="auto"/>
                <w:vertAlign w:val="superscript"/>
              </w:rPr>
              <w:t>(1)</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(15,785)</w:t>
            </w:r>
          </w:p>
        </w:tc>
      </w:tr>
      <w:tr>
        <w:trPr>
          <w:trHeight w:val="202"/>
        </w:trPr>
        <w:tc>
          <w:tcPr>
            <w:tcW w:w="5660" w:type="dxa"/>
            <w:vAlign w:val="bottom"/>
            <w:shd w:val="clear" w:color="auto" w:fill="CCEEFF"/>
          </w:tcPr>
          <w:p>
            <w:pPr>
              <w:ind w:left="280"/>
              <w:spacing w:after="0" w:line="201" w:lineRule="exact"/>
              <w:rPr>
                <w:sz w:val="20"/>
                <w:szCs w:val="20"/>
                <w:color w:val="auto"/>
              </w:rPr>
            </w:pPr>
            <w:r>
              <w:rPr>
                <w:rFonts w:ascii="Times New Roman" w:cs="Times New Roman" w:eastAsia="Times New Roman" w:hAnsi="Times New Roman"/>
                <w:sz w:val="14"/>
                <w:szCs w:val="14"/>
                <w:color w:val="auto"/>
              </w:rPr>
              <w:t>Other segment (expense) income</w:t>
            </w:r>
            <w:r>
              <w:rPr>
                <w:rFonts w:ascii="Times New Roman" w:cs="Times New Roman" w:eastAsia="Times New Roman" w:hAnsi="Times New Roman"/>
                <w:sz w:val="18"/>
                <w:szCs w:val="18"/>
                <w:color w:val="auto"/>
                <w:vertAlign w:val="superscript"/>
              </w:rPr>
              <w:t>(2)</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6,073</w:t>
            </w:r>
          </w:p>
        </w:tc>
      </w:tr>
      <w:tr>
        <w:trPr>
          <w:trHeight w:val="187"/>
        </w:trPr>
        <w:tc>
          <w:tcPr>
            <w:tcW w:w="5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(94,391)</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(73,238)</w:t>
            </w:r>
          </w:p>
        </w:tc>
      </w:tr>
      <w:tr>
        <w:trPr>
          <w:trHeight w:val="20"/>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640" w:hanging="126"/>
        <w:spacing w:after="0"/>
        <w:tabs>
          <w:tab w:leader="none" w:pos="640" w:val="left"/>
        </w:tabs>
        <w:numPr>
          <w:ilvl w:val="1"/>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Facility and other internal expenses includes occupancy, information technology, and other internal costs.</w:t>
      </w:r>
    </w:p>
    <w:p>
      <w:pPr>
        <w:spacing w:after="0" w:line="55" w:lineRule="exact"/>
        <w:rPr>
          <w:rFonts w:ascii="Times New Roman" w:cs="Times New Roman" w:eastAsia="Times New Roman" w:hAnsi="Times New Roman"/>
          <w:sz w:val="16"/>
          <w:szCs w:val="16"/>
          <w:color w:val="auto"/>
          <w:vertAlign w:val="superscript"/>
        </w:rPr>
      </w:pPr>
    </w:p>
    <w:p>
      <w:pPr>
        <w:ind w:left="660" w:hanging="146"/>
        <w:spacing w:after="0" w:line="218" w:lineRule="auto"/>
        <w:tabs>
          <w:tab w:leader="none" w:pos="660" w:val="left"/>
        </w:tabs>
        <w:numPr>
          <w:ilvl w:val="1"/>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(expense) income includes interest income, interest expense and other expense, net.</w:t>
      </w:r>
    </w:p>
    <w:p>
      <w:pPr>
        <w:spacing w:after="0" w:line="238" w:lineRule="exact"/>
        <w:rPr>
          <w:rFonts w:ascii="Times New Roman" w:cs="Times New Roman" w:eastAsia="Times New Roman" w:hAnsi="Times New Roman"/>
          <w:sz w:val="18"/>
          <w:szCs w:val="18"/>
          <w:color w:val="auto"/>
          <w:vertAlign w:val="superscript"/>
        </w:rPr>
      </w:pPr>
    </w:p>
    <w:p>
      <w:pPr>
        <w:ind w:left="220" w:hanging="215"/>
        <w:spacing w:after="0"/>
        <w:tabs>
          <w:tab w:leader="none" w:pos="22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Net Loss per Share</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Basic net loss per share is computed using the weighted average number of shares outstanding during the period. Diluted net loss per share is computed using the weighted average number of shares outstanding and the weighted average dilutive potential shares outstanding using the treasury stock method. However, for the three months ended March 31, 2026 and 2025, diluted net loss per share is the same as basic net loss per share because the inclusion of weighted average shares of common stock issuable upon the exercise of stock options and warrants or vesting of restricted stock units would be anti-dilutive.</w:t>
      </w:r>
    </w:p>
    <w:p>
      <w:pPr>
        <w:spacing w:after="0" w:line="53"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4"/>
          <w:szCs w:val="14"/>
          <w:color w:val="auto"/>
        </w:rPr>
        <w:t>Weighted average common shares outstanding includes (i) the Pre-Funded Warrants, as the exercise price is negligible, and (ii) PSUs that have been earned but are subject to a delayed settlement feature, as the vesting conditions have been met but the shares will be settled at a later date. Series A and B Preferred Stock are also included in the calculation of net loss per share under the two-class method. The Series A and B Preferred Stock have no preferential treatment compared to shares of common stock and therefore, the Series A and B Preferred Stock are considered additional classes of common stock for purposes of calculating net loss per share. As the Series A and B Preferred Stock are convertible into shares of common stock at a one-to-one ratio, the basic and diluted net loss per share of the Series A and B Preferred Stock is the same as basic and diluted net loss per common share and, accordingly, the Company has not separately presented the basic and diluted net loss per share for each class, and has calculated the basic and diluted net loss per share by including all shares in the denominator.</w:t>
      </w: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common, Series A, and Series B share (net loss in thousands):</w:t>
      </w:r>
    </w:p>
    <w:p>
      <w:pPr>
        <w:spacing w:after="0" w:line="110" w:lineRule="exact"/>
        <w:rPr>
          <w:sz w:val="20"/>
          <w:szCs w:val="20"/>
          <w:color w:val="auto"/>
        </w:rPr>
      </w:pPr>
    </w:p>
    <w:tbl>
      <w:tblPr>
        <w:tblLayout w:type="fixed"/>
        <w:tblInd w:w="1100" w:type="dxa"/>
        <w:tblCellMar>
          <w:top w:w="0" w:type="dxa"/>
          <w:left w:w="0" w:type="dxa"/>
          <w:bottom w:w="0" w:type="dxa"/>
          <w:right w:w="0" w:type="dxa"/>
        </w:tblCellMar>
      </w:tblPr>
      <w:tr>
        <w:trPr>
          <w:trHeight w:val="158"/>
        </w:trPr>
        <w:tc>
          <w:tcPr>
            <w:tcW w:w="6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29"/>
        </w:trPr>
        <w:tc>
          <w:tcPr>
            <w:tcW w:w="6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58"/>
        </w:trPr>
        <w:tc>
          <w:tcPr>
            <w:tcW w:w="63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01"/>
        </w:trPr>
        <w:tc>
          <w:tcPr>
            <w:tcW w:w="6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(94,391)</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(73,238)</w:t>
            </w:r>
          </w:p>
        </w:tc>
      </w:tr>
      <w:tr>
        <w:trPr>
          <w:trHeight w:val="18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6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22,959,235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22,091,314</w:t>
            </w:r>
          </w:p>
        </w:tc>
      </w:tr>
      <w:tr>
        <w:trPr>
          <w:trHeight w:val="180"/>
        </w:trPr>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Pre-funded warrants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3,605,790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3,605,790</w:t>
            </w:r>
          </w:p>
        </w:tc>
      </w:tr>
      <w:tr>
        <w:trPr>
          <w:trHeight w:val="180"/>
        </w:trPr>
        <w:tc>
          <w:tcPr>
            <w:tcW w:w="6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 average earned PSUs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18,333</w:t>
            </w:r>
          </w:p>
        </w:tc>
      </w:tr>
      <w:tr>
        <w:trPr>
          <w:trHeight w:val="180"/>
        </w:trPr>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Series A preferred stock</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1,969,797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1,969,797</w:t>
            </w:r>
          </w:p>
        </w:tc>
      </w:tr>
      <w:tr>
        <w:trPr>
          <w:trHeight w:val="180"/>
        </w:trPr>
        <w:tc>
          <w:tcPr>
            <w:tcW w:w="6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Series B preferred stock</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400,000</w:t>
            </w:r>
          </w:p>
        </w:tc>
      </w:tr>
      <w:tr>
        <w:trPr>
          <w:trHeight w:val="212"/>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number of shares outstanding</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29,032,422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28,085,234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common, Series A preferred, and Series B preferred share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outstanding securities not included in the computation of diluted net loss per common share, as their inclusion would be anti-dilutive:</w:t>
      </w:r>
    </w:p>
    <w:p>
      <w:pPr>
        <w:spacing w:after="0" w:line="20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1"/>
          <w:szCs w:val="11"/>
          <w:b w:val="1"/>
          <w:bCs w:val="1"/>
          <w:color w:val="auto"/>
        </w:rPr>
        <w:t>Outstanding at March 31,</w:t>
      </w:r>
    </w:p>
    <w:p>
      <w:pPr>
        <w:spacing w:after="0" w:line="22" w:lineRule="exact"/>
        <w:rPr>
          <w:sz w:val="20"/>
          <w:szCs w:val="20"/>
          <w:color w:val="auto"/>
        </w:rPr>
      </w:pPr>
    </w:p>
    <w:tbl>
      <w:tblPr>
        <w:tblLayout w:type="fixed"/>
        <w:tblInd w:w="1280" w:type="dxa"/>
        <w:tblCellMar>
          <w:top w:w="0" w:type="dxa"/>
          <w:left w:w="0" w:type="dxa"/>
          <w:bottom w:w="0" w:type="dxa"/>
          <w:right w:w="0" w:type="dxa"/>
        </w:tblCellMar>
      </w:tblPr>
      <w:tr>
        <w:trPr>
          <w:trHeight w:val="170"/>
        </w:trPr>
        <w:tc>
          <w:tcPr>
            <w:tcW w:w="566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202"/>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options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1,018,345</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1,526,018</w:t>
            </w:r>
          </w:p>
        </w:tc>
      </w:tr>
      <w:tr>
        <w:trPr>
          <w:trHeight w:val="196"/>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960,898</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694,995</w:t>
            </w:r>
          </w:p>
        </w:tc>
      </w:tr>
      <w:tr>
        <w:trPr>
          <w:trHeight w:val="207"/>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Unearned performance-based restricted stock units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333,748</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292,970</w:t>
            </w:r>
          </w:p>
        </w:tc>
      </w:tr>
      <w:tr>
        <w:trPr>
          <w:trHeight w:val="191"/>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19,454</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19,454</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Revision to previously issued financial statements</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The Company previously concluded that its Pre-Funded Warrants and Series A and B Preferred Stock should be excluded from the calculation of basic and diluted net loss per share pursuant to the two-class method. In preparation of the financial statements for the three months ended March 31, 2026, the Company determined that the exercise of the Pre-Funded Warrants was not subject to a contingency, as previously concluded, and have a negligible exercise price of $0.0001. The Company also determined that the Series A and B Preferred Stock do not have preferential rights over the Company’s common stock and should therefore be considered additional classes of the Company’s common stock for the earnings per share calculations. As a result of the correction, the Pre-Funded Warrants and the Series A and B Preferred Stock should be included in basic and diluted net loss per share calculation.</w:t>
      </w:r>
    </w:p>
    <w:p>
      <w:pPr>
        <w:spacing w:after="0" w:line="13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4"/>
          <w:szCs w:val="14"/>
          <w:color w:val="auto"/>
        </w:rPr>
        <w:t>The Company assessed the materiality of the change in the calculation of net loss per share, considering both quantitative and qualitative factors, and concluded that the effects of the change to the calculation and presentation of net loss per share are not material, individually or in the aggregate, to any previously reported quarterly or annual period and are not expected to be material to the current period annual financial statements. However, the Company has revised its presentation of net loss per share previously included in the Company’s consolidated financial statements to reflect the inclusion of the Pre-Funded Warrants and Series A and B Preferred Stock in basic and diluted weighted average shares outstanding for the three months ended March 31, 2025 and these revisions are reflected in this Form 10-Q. All related amounts have been updated to reflect the effects of the revision throughout the financial statements and related footnotes, as applicable. The Company will also revise its presentation of net loss per share consistent with the foregoing in its future filings, as applicable.</w:t>
      </w:r>
    </w:p>
    <w:p>
      <w:pPr>
        <w:spacing w:after="0" w:line="140"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color w:val="auto"/>
        </w:rPr>
        <w:t>As the Series A and B Preferred Stock are convertible into shares of common stock at a one-to-one ratio, the basic and diluted net loss per share of the Series A and Series B Preferred Stock is the same as basic and diluted net loss per</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4"/>
          <w:szCs w:val="14"/>
          <w:color w:val="auto"/>
        </w:rPr>
        <w:t>common share and accordingly, the Company has not separately presented the basic and diluted net loss per share for each class, and has calculated the basic and diluted net loss per share by including all shares in the denominator.</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summarize the impact of the revision on both the weighted average shares outstanding and net loss per share calculations for each of the relevant periods: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tcBorders>
              <w:bottom w:val="single" w:sz="8" w:color="auto"/>
            </w:tcBorders>
            <w:gridSpan w:val="3"/>
          </w:tcPr>
          <w:p>
            <w:pPr>
              <w:jc w:val="right"/>
              <w:ind w:right="751"/>
              <w:spacing w:after="0"/>
              <w:rPr>
                <w:sz w:val="20"/>
                <w:szCs w:val="20"/>
                <w:color w:val="auto"/>
              </w:rPr>
            </w:pPr>
            <w:r>
              <w:rPr>
                <w:rFonts w:ascii="Times New Roman" w:cs="Times New Roman" w:eastAsia="Times New Roman" w:hAnsi="Times New Roman"/>
                <w:sz w:val="11"/>
                <w:szCs w:val="11"/>
                <w:b w:val="1"/>
                <w:bCs w:val="1"/>
                <w:color w:val="auto"/>
              </w:rPr>
              <w:t>Weighted Average Shares Outstanding</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Net Loss per Share</w:t>
            </w:r>
          </w:p>
        </w:tc>
        <w:tc>
          <w:tcPr>
            <w:tcW w:w="12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Period Impacted</w:t>
            </w: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184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As Revised</w:t>
            </w:r>
          </w:p>
        </w:tc>
        <w:tc>
          <w:tcPr>
            <w:tcW w:w="320" w:type="dxa"/>
            <w:vAlign w:val="bottom"/>
          </w:tcPr>
          <w:p>
            <w:pPr>
              <w:spacing w:after="0"/>
              <w:rPr>
                <w:sz w:val="13"/>
                <w:szCs w:val="13"/>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500" w:type="dxa"/>
            <w:vAlign w:val="bottom"/>
          </w:tcPr>
          <w:p>
            <w:pPr>
              <w:spacing w:after="0"/>
              <w:rPr>
                <w:sz w:val="13"/>
                <w:szCs w:val="13"/>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80"/>
        </w:trPr>
        <w:tc>
          <w:tcPr>
            <w:tcW w:w="580" w:type="dxa"/>
            <w:vAlign w:val="bottom"/>
          </w:tcPr>
          <w:p>
            <w:pPr>
              <w:spacing w:after="0"/>
              <w:rPr>
                <w:sz w:val="15"/>
                <w:szCs w:val="15"/>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Year-ended 12/31/2025</w:t>
            </w:r>
          </w:p>
        </w:tc>
        <w:tc>
          <w:tcPr>
            <w:tcW w:w="8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22,434,310</w:t>
            </w:r>
          </w:p>
        </w:tc>
        <w:tc>
          <w:tcPr>
            <w:tcW w:w="8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28,409,706</w:t>
            </w: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56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Year-ended 12/31/2024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21,272,962</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26,908,070</w:t>
            </w:r>
          </w:p>
        </w:tc>
        <w:tc>
          <w:tcPr>
            <w:tcW w:w="14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56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Year-ended 12/31/2023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18,687,774</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21,562,581</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560" w:type="dxa"/>
            <w:vAlign w:val="bottom"/>
          </w:tcPr>
          <w:p>
            <w:pPr>
              <w:spacing w:after="0"/>
              <w:rPr>
                <w:sz w:val="15"/>
                <w:szCs w:val="15"/>
                <w:color w:val="auto"/>
              </w:rPr>
            </w:pPr>
          </w:p>
        </w:tc>
      </w:tr>
      <w:tr>
        <w:trPr>
          <w:trHeight w:val="212"/>
        </w:trPr>
        <w:tc>
          <w:tcPr>
            <w:tcW w:w="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0"/>
        </w:trPr>
        <w:tc>
          <w:tcPr>
            <w:tcW w:w="580" w:type="dxa"/>
            <w:vAlign w:val="bottom"/>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Three months ended 3/31/25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22,091,314</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28,085,234</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56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Three months ended 6/30/25</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22,207,017</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28,232,604</w:t>
            </w:r>
          </w:p>
        </w:tc>
        <w:tc>
          <w:tcPr>
            <w:tcW w:w="14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56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Six months ended 6/30/25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22,149,492</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28,159,333</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56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Three months ended 9/30/25</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22,482,502</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28,508,089</w:t>
            </w:r>
          </w:p>
        </w:tc>
        <w:tc>
          <w:tcPr>
            <w:tcW w:w="14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56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Nine months ended 9/30/25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22,261,718</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28,276,865</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560" w:type="dxa"/>
            <w:vAlign w:val="bottom"/>
          </w:tcPr>
          <w:p>
            <w:pPr>
              <w:spacing w:after="0"/>
              <w:rPr>
                <w:sz w:val="15"/>
                <w:szCs w:val="15"/>
                <w:color w:val="auto"/>
              </w:rPr>
            </w:pPr>
          </w:p>
        </w:tc>
      </w:tr>
      <w:tr>
        <w:trPr>
          <w:trHeight w:val="710"/>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jc w:val="right"/>
              <w:ind w:right="1311"/>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7"/>
        </w:trPr>
        <w:tc>
          <w:tcPr>
            <w:tcW w:w="58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83" w:lineRule="exact"/>
        <w:rPr>
          <w:sz w:val="20"/>
          <w:szCs w:val="20"/>
          <w:color w:val="auto"/>
        </w:rPr>
      </w:pPr>
    </w:p>
    <w:p>
      <w:pPr>
        <w:jc w:val="both"/>
        <w:ind w:right="440" w:firstLine="509"/>
        <w:spacing w:after="0" w:line="263" w:lineRule="auto"/>
        <w:rPr>
          <w:sz w:val="20"/>
          <w:szCs w:val="20"/>
          <w:color w:val="auto"/>
        </w:rPr>
      </w:pPr>
      <w:r>
        <w:rPr>
          <w:rFonts w:ascii="Times New Roman" w:cs="Times New Roman" w:eastAsia="Times New Roman" w:hAnsi="Times New Roman"/>
          <w:sz w:val="14"/>
          <w:szCs w:val="14"/>
          <w:i w:val="1"/>
          <w:iCs w:val="1"/>
          <w:color w:val="auto"/>
        </w:rPr>
        <w:t>The following Management’s Discussion and Analysis of Financial Condition and Results of Operations should be read together with our unaudited consolidated financial statements included elsewhere in this Quarterly Report on Form 10-Q and our audited financial statements and accompanying notes for the year ended December 31, 2025 and the related Management’s Discussion and Analysis of Financial Condition and Results of Operations, both of which are included in our Annual Report on Form 10-K for the fiscal year ended December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Madrigal Pharmaceuticals, Inc.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8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We are a biopharmaceutical company focused on delivering novel therapeutics for metabolic dysfunction-associated steatohepatitis (“MASH”), a serious liver disease with high unmet medical need that can lead to cirrhosis, liver failure, liver cancer, need for liver transplantation and premature mortality. MASH was previously known as nonalcoholic steatohepatitis (“NASH”). MASH is the leading cause of liver transplantation in women, the second leading cause of all liver transplantation in the United States and the fastest-growing indication for liver transplantation in Europe. Our medication, Rezdiffra (resmetirom), is a once-daily, oral, liver-directed thyroid hormone receptor beta (“THR-β”) agonist designed to target key underlying causes of MASH. In March 2024, Rezdiffra became the first therapy approved by the U.S. Food and Drug Administration (“FDA”) for patients with MASH and was commercially available in the United States beginning in April 2024. Following receipt of conditional marketing authorization (“CMA”) from the European Commission (“EC”), we launched Rezdiffra in Germany in September 2025. Rezdiffra was the first medication approved by both the FDA and EC for the treatment of adults with noncirrhotic MASH with moderate to advanced liver fibrosis (F2 to F3 fibrosis). We are also evaluating Rezdiffra in patients with compensated MASH cirrhosis (consistent with F4c fibrosis) in our MAESTRO-NASH OUTCOMES trial, that, if successful, could expand the eligible patient population for Rezdiffra.</w:t>
      </w:r>
    </w:p>
    <w:p>
      <w:pPr>
        <w:spacing w:after="0" w:line="15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4"/>
          <w:szCs w:val="14"/>
          <w:color w:val="auto"/>
        </w:rPr>
        <w:t>In addition, we are advancing a focused pipeline to lead the evolution of MASH treatment for patients for decades to come. Through our business development efforts, we have acquired rights to MGL-2086, an oral glucagon-like peptide-1 (“GLP-1”) receptor agonist, ervogastat, an oral diacylglycerol O-acyltransferase 2 (“DGAT-2”) inhibitor, six small interfering RNA (“siRNA”) programs and additional preclinical MASH candidates. We plan to evaluate these candidates with the goal of delivering best-in-disease therapies for the treatment of MASH. As we continue to build our pipeline, we will evaluate mechanisms that fit scientifically, strategically and commercially to enhance our leading position in MASH care.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Approval of Rezdiffra</w:t>
      </w:r>
    </w:p>
    <w:p>
      <w:pPr>
        <w:spacing w:after="0" w:line="74"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The FDA’s accelerated approval and the EC’s conditional marketing authorization, as well as Rezdiffra’s approved prescribing information, were supported by 52-week data from our Phase 3 MAESTRO-NASH trial in which both 100 mg and 80 mg doses of Rezdiffra demonstrated statistically significant improvement compared to placebo on (i) MASH resolution with no worsening of fibrosis and (ii) an improvement in fibrosis by at least one stage with no worsening of the nonalcoholic fatty liver disease (“NAFLD”) activity score. MAESTRO-NASH remains ongoing as an outcomes trial where we are generating confirmatory outcomes data to 54-months that, if positive, is expected to verify a clinical benefit and support the full FDA approval of Rezdiffra to treat noncirrhotic MASH. We expect outcomes data from this trial in 2028. In addition, full FDA approval of Rezdiffra to treat noncirrhotic MASH could also be based on results from our Phase 3 MAESTRO-NASH OUTCOMES trial. In this trial, we are assessing progression to liver decompensation events in patients with compensated MASH cirrhosis treated with Rezdiffra versus placebo. A positive outcome in this trial is also expected to support the full FDA approval of Rezdiffra for noncirrhotic MASH, and expand the eligible patient population for Rezdiffra with an additional indication in patients with compensated MASH cirrhosis. We expect results from the MAESTRO-NASH OUTCOMES trial in 2027. We have agreed to submit results from these trials to the European Medicines Agency (“EMA”) in support of full approval of Rezdiffra in the European Union.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Opportunity for Rezdiffra in MASH</w:t>
      </w:r>
    </w:p>
    <w:p>
      <w:pPr>
        <w:spacing w:after="0" w:line="85"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color w:val="auto"/>
        </w:rPr>
        <w:t>MASH is a more advanced form of metabolic dysfunction-associated steatotic liver disease (“MASLD”). MASLD has become the most common liver disease in the United States and other developed countries and is characterized by an accumulation of fat in the liver with no other apparent causes. MASH can progress to cirrhosis or liver failure, can require liver transplantation and can also result in liver cancer. Patients with MASH, especially those with more advanced metabolic risk factors (hypertension, concomitant type 2 diabetes), are at increased risk for adverse cardiovascular events and increased morbidity and mortality. In addition, MASH patients with moderate to advanced fibrosis (consistent with fibrosis stages F2 and F3) have a 10-to-17 times higher risk of liver-related mortality. MASH is also an independent driver of cardiovascular disease, which is the leading cause of mortality for patients.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60" w:firstLine="509"/>
        <w:spacing w:after="0" w:line="249" w:lineRule="auto"/>
        <w:rPr>
          <w:sz w:val="20"/>
          <w:szCs w:val="20"/>
          <w:color w:val="auto"/>
        </w:rPr>
      </w:pPr>
      <w:r>
        <w:rPr>
          <w:rFonts w:ascii="Times New Roman" w:cs="Times New Roman" w:eastAsia="Times New Roman" w:hAnsi="Times New Roman"/>
          <w:sz w:val="14"/>
          <w:szCs w:val="14"/>
          <w:color w:val="auto"/>
        </w:rPr>
        <w:t>Based on published epidemiology data and an analysis of medical claims using ICD-10 disease diagnosis codes as of 2023, we estimate that 315,000 patients diagnosed with MASH with moderate to advanced fibrosis (stages F2 to F3) were under the care of specialist prescribers which we are targeting during the launch of Rezdiffra in the U.S. Through 2025, we estimate that the number of patients under specialist care in the U.S. has grown nearly 50% to approximately 460,000 patients with moderate to advanced fibrosis, and as disease awareness improves and disease prevalence increases, we expect the number of identified MASH patients with moderate to advanced fibrosis eligible for treatment to grow significantly going forward. In addition, we estimate that approximately 370,000 patients with MASH with moderate to advanced fibrosis are currently diagnosed and under the care of specialists across Europe.</w:t>
      </w:r>
    </w:p>
    <w:p>
      <w:pPr>
        <w:spacing w:after="0" w:line="152" w:lineRule="exact"/>
        <w:rPr>
          <w:sz w:val="20"/>
          <w:szCs w:val="20"/>
          <w:color w:val="auto"/>
        </w:rPr>
      </w:pPr>
    </w:p>
    <w:p>
      <w:pPr>
        <w:jc w:val="both"/>
        <w:ind w:right="120" w:firstLine="509"/>
        <w:spacing w:after="0" w:line="253" w:lineRule="auto"/>
        <w:rPr>
          <w:sz w:val="20"/>
          <w:szCs w:val="20"/>
          <w:color w:val="auto"/>
        </w:rPr>
      </w:pPr>
      <w:r>
        <w:rPr>
          <w:rFonts w:ascii="Times New Roman" w:cs="Times New Roman" w:eastAsia="Times New Roman" w:hAnsi="Times New Roman"/>
          <w:sz w:val="14"/>
          <w:szCs w:val="14"/>
          <w:color w:val="auto"/>
        </w:rPr>
        <w:t>With a growing body of real-world supportive data, we continue to educate healthcare providers and patients on the risks of MASH and the potential clinical benefits and appropriate use of Rezdiffra. During our first six quarters of launch in the United States, we focused our efforts on hepatologists and gastroenterologists. Beginning in the fourth quarter of 2025, we expanded our field team to further target select endocrinologists that provide care to MASH patients. We are also supporting the creation of care pathways for patients at physician offices, driving breadth and depth of Rezdiffra prescribers and engaging with payers to support patient access to therapy.</w:t>
      </w:r>
    </w:p>
    <w:p>
      <w:pPr>
        <w:spacing w:after="0" w:line="138"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Beyond Germany, we expect to launch Rezdiffra on a country-by-country basis in Europe dependent on multiple factors, including the completion of reimbursement procedures and regulatory approval where required. In addition, we may enter into distribution agreements with third parties to distribute Rezdiffra in smaller European countries and in other jurisdictions globally.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Developments</w:t>
      </w:r>
    </w:p>
    <w:p>
      <w:pPr>
        <w:spacing w:after="0" w:line="8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In January 2026, we announced the expansion of our pipeline with an exclusive global license with Pfizer Inc. (the “Pfizer License Agreement”) for ervogastat, an oral DGAT-2 inhibitor. DGAT-2 inhibitors work by blocking the final step in triglyceride assembly and storage, resulting in lower hepatic triglycerides, reduced lipotoxic fat and decreased inflammation. In the fourth quarter of 2026, we plan to initiate a drug-to-drug interaction study with resmetirom and consult with the FDA on the design of a Phase 2 combination trial.</w:t>
      </w:r>
    </w:p>
    <w:p>
      <w:pPr>
        <w:spacing w:after="0" w:line="46" w:lineRule="exact"/>
        <w:rPr>
          <w:sz w:val="20"/>
          <w:szCs w:val="20"/>
          <w:color w:val="auto"/>
        </w:rPr>
      </w:pPr>
    </w:p>
    <w:p>
      <w:pPr>
        <w:jc w:val="both"/>
        <w:ind w:right="260" w:firstLine="509"/>
        <w:spacing w:after="0" w:line="262" w:lineRule="auto"/>
        <w:rPr>
          <w:sz w:val="20"/>
          <w:szCs w:val="20"/>
          <w:color w:val="auto"/>
        </w:rPr>
      </w:pPr>
      <w:r>
        <w:rPr>
          <w:rFonts w:ascii="Times New Roman" w:cs="Times New Roman" w:eastAsia="Times New Roman" w:hAnsi="Times New Roman"/>
          <w:sz w:val="14"/>
          <w:szCs w:val="14"/>
          <w:color w:val="auto"/>
        </w:rPr>
        <w:t>In February 2026, we announced an exclusive global license agreement (the “Ribocure License Agreement”) with Suzhou Ribo Life Science Co. Ltd. and Ribocure Pharmaceuticals AB (together, “Ribocure”) for six novel siRNA programs designed to silence certain genes implicated in MASH disease progression. By pairing the precision of gene-silencing with Rezdiffra, we are exploring whether reducing drivers of disease at the genetic level can complement Rezdiffra’s therapeutic effects. Preclinical development activities have commenced.</w:t>
      </w:r>
    </w:p>
    <w:p>
      <w:pPr>
        <w:spacing w:after="0" w:line="35"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In May 2026, we announced an exclusive global license agreement (the “Arrowhead License Agreement”) with Arrowhead Pharmaceuticals Inc. (“Arrowhead”) for ARO-PNPLA3, a clinical-stage siRNA asset targeting a mutation in the patatin-like phospholipase domain-containing protein 3 (PNPLA3) gene, a genetically validated driver of MASH. ARO-PNPLA3 is a GalNac-conjugated siRNA designed to reduce expression of PNPLA3. Mutations in the PNPLA3 gene have been shown to disrupt the liver’s ability to properly process fat. This leads to increased fat accumulation in hepatocytes, and is strongly associated with MASH progression and a high risk of developing hepatocellular carcinoma (HCC). The results of two Phase 1 trials suggested that a single dose of ARO-PNPLA3 reduced liver fat content in homozygous carriers of the PNPLA3 I148M variant, providing proof-of-concept for ARO-PNPLA3 as a precision-medicine approach in this patient population. We will consult with the FDA on design of a Phase 2 combination trial with Rezdiffra.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Revenue, Net</w:t>
      </w:r>
    </w:p>
    <w:p>
      <w:pPr>
        <w:spacing w:after="0" w:line="85"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In March 2024, the FDA approved Rezdiffra for the treatment of noncirrhotic MASH with moderate to advanced liver fibrosis (consistent with stages F2 to F3 fibrosis). We began generating revenue from sales of Rezdiffra in the United States in April 2024. In addition, we launched Rezdiffra in Germany in September 2025. Revenue is recorded net of variable consideration, which includes prompt pay discounts, returns, chargebacks, rebates, and co-payment assistance.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85"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4"/>
          <w:szCs w:val="14"/>
          <w:color w:val="auto"/>
        </w:rPr>
        <w:t>Cost of sales includes the cost of manufacturing and distribution of inventory related to sales of Rezdiffra, including salaries, benefits and stock-based compensation expense for employees dedicated to the production of Rezdiffra. We expect cost of sales to increase in the future, as manufacturing costs incurred prior to regulatory approval were expensed to research and development rather than capitalized as inventory, as approval was considered uncertain. Cost of sales also includes royalties payable to F. Hoffmann-La Roche AG (“Roche”) based on net sales of Rezdiffra. Each</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quarterly period, we estimate our total royalty obligation for the full year and recognize our cost of sales at an even rate over the year, based on an estimated blended royalty rate.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6"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4"/>
          <w:szCs w:val="14"/>
          <w:color w:val="auto"/>
        </w:rPr>
        <w:t>Research and development expenses primarily consist of costs associated with our research activities, including the clinical development of our product candidates. We expense our research and development expenses as incurred. We contract with clinical research organizations to manage our clinical trials under agreed upon budgets for each trial,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research and development expenses consist primarily of:</w:t>
      </w:r>
    </w:p>
    <w:p>
      <w:pPr>
        <w:spacing w:after="0" w:line="83" w:lineRule="exact"/>
        <w:rPr>
          <w:sz w:val="20"/>
          <w:szCs w:val="20"/>
          <w:color w:val="auto"/>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and related expense, including stock-based compensation, paid to our employees engaged in research and development activities;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expenses paid to clinical trial sites, contract research organizations, laboratories, database software and consultants that conduct clinical trials;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development and the production of non-clinical and clinical trial supplies, including fees paid to contract manufacturers;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preclinical activities;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compliance with drug development regulatory requirements;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allocated expenses, which include direct and allocated expenses for depreciation of equipment and other supplies; and</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upfront and milestone payments payable pursuant to our license agreements.</w:t>
      </w:r>
    </w:p>
    <w:p>
      <w:pPr>
        <w:spacing w:after="0" w:line="1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We expect to continue to incur substantial expenses related to our development activities for the foreseeable future as we conduct our clinical trial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w:t>
      </w:r>
    </w:p>
    <w:p>
      <w:pPr>
        <w:spacing w:after="0" w:line="138" w:lineRule="exact"/>
        <w:rPr>
          <w:sz w:val="20"/>
          <w:szCs w:val="20"/>
          <w:color w:val="auto"/>
        </w:rPr>
      </w:pPr>
    </w:p>
    <w:p>
      <w:pPr>
        <w:ind w:right="20" w:firstLine="509"/>
        <w:spacing w:after="0" w:line="249" w:lineRule="auto"/>
        <w:rPr>
          <w:sz w:val="20"/>
          <w:szCs w:val="20"/>
          <w:color w:val="auto"/>
        </w:rPr>
      </w:pPr>
      <w:r>
        <w:rPr>
          <w:rFonts w:ascii="Times New Roman" w:cs="Times New Roman" w:eastAsia="Times New Roman" w:hAnsi="Times New Roman"/>
          <w:sz w:val="14"/>
          <w:szCs w:val="14"/>
          <w:color w:val="auto"/>
        </w:rPr>
        <w:t>Completion dates and costs for our clinical development programs as well as our research program can vary significantly for any future product candidate and are difficult to predict. As a result, we cannot estimate with any degree of certainty the costs we will incur in connection with the development of product candidates at this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and ongoing assessments as to each product candidate’s commercial potential.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85" w:lineRule="exact"/>
        <w:rPr>
          <w:sz w:val="20"/>
          <w:szCs w:val="20"/>
          <w:color w:val="auto"/>
        </w:rPr>
      </w:pPr>
    </w:p>
    <w:p>
      <w:pPr>
        <w:jc w:val="both"/>
        <w:ind w:right="80" w:firstLine="509"/>
        <w:spacing w:after="0" w:line="262"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salaries, benefits and stock-based compensation expenses, paid to employees engaged in selling, general and administrative activities, management costs, costs associated with commercial activities, costs associated with obtaining and maintaining our patent portfolio, commercial and marketing activities, professional fees for accounting, auditing, consulting and legal services, and allocated overhead expenses.</w:t>
      </w:r>
    </w:p>
    <w:p>
      <w:pPr>
        <w:spacing w:after="0" w:line="13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We expect that our selling, general and administrative expenses will increase in the future as we expand our operating activities, continue commercialization efforts, including extending operations into new geographies (if approved), maintain and expand our patent portfolio and incur additional costs associated with being a public company and maintaining compliance with exchange listing and U.S. Securities and Exchange Commission (“SEC”) requirements.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income consists primarily of interest and dividend income earned on cash equivalents and marketable securities.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8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Interest expense consists primarily of interest accrued on principal balances outstanding under our Financing Agreement (as amended from time to time, the “Financing Agreement”) with the guarantors thereunder, certain funds managed by Blue Owl Capital Corporation, as the lenders (the “Lenders”), and LSI Financing LLC, as the administrative agent for the Lenders (the “Administrative Agent”).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expense, net consists primarily of realized and unrealized gains and losses on foreign currency transactions.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85"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revenue, and expenses and the disclosure of contingent assets and liabilities at the date of the financial statements. On an ongoing basis, we evaluate our estimates and judgments, including those related to gross to net expenses, inventory valuation, accrued research and development expenses and stock-based compensation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as compared to those disclosed in “Part II, Item 7—Management’s Discussion and Analysis of Financial Condition and Results of Operations” in our Annual Report on Form 10-K for the fiscal year ended December 31, 2025 filed with the SEC on February 19, 2026. Refer to Note 2 to the unaudited condensed consolidated financial statements in this Quarterly Report on Form 10-Q for details of accounting policies over revenue and inventory.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2026 and 2025</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comparative unaudited results of operations for the three months ended March 31, 2026 and 2025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02"/>
        </w:trPr>
        <w:tc>
          <w:tcPr>
            <w:tcW w:w="4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Product revenue, net</w:t>
            </w:r>
          </w:p>
        </w:tc>
        <w:tc>
          <w:tcPr>
            <w:tcW w:w="90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311,337</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137,250</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174,087</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42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7"/>
        </w:trPr>
        <w:tc>
          <w:tcPr>
            <w:tcW w:w="420" w:type="dxa"/>
            <w:vAlign w:val="bottom"/>
          </w:tcPr>
          <w:p>
            <w:pPr>
              <w:spacing w:after="0"/>
              <w:rPr>
                <w:sz w:val="18"/>
                <w:szCs w:val="18"/>
                <w:color w:val="auto"/>
              </w:rPr>
            </w:pPr>
          </w:p>
        </w:tc>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sales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22,334</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420" w:type="dxa"/>
            <w:vAlign w:val="bottom"/>
          </w:tcPr>
          <w:p>
            <w:pPr>
              <w:spacing w:after="0"/>
              <w:rPr>
                <w:sz w:val="18"/>
                <w:szCs w:val="18"/>
                <w:color w:val="auto"/>
              </w:rPr>
            </w:pPr>
          </w:p>
        </w:tc>
      </w:tr>
      <w:tr>
        <w:trPr>
          <w:trHeight w:val="201"/>
        </w:trPr>
        <w:tc>
          <w:tcPr>
            <w:tcW w:w="420" w:type="dxa"/>
            <w:vAlign w:val="bottom"/>
          </w:tcPr>
          <w:p>
            <w:pPr>
              <w:spacing w:after="0"/>
              <w:rPr>
                <w:sz w:val="17"/>
                <w:szCs w:val="17"/>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108,692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44,172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64,520</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420" w:type="dxa"/>
            <w:vAlign w:val="bottom"/>
          </w:tcPr>
          <w:p>
            <w:pPr>
              <w:spacing w:after="0"/>
              <w:rPr>
                <w:sz w:val="17"/>
                <w:szCs w:val="17"/>
                <w:color w:val="auto"/>
              </w:rPr>
            </w:pPr>
          </w:p>
        </w:tc>
      </w:tr>
      <w:tr>
        <w:trPr>
          <w:trHeight w:val="202"/>
        </w:trPr>
        <w:tc>
          <w:tcPr>
            <w:tcW w:w="420" w:type="dxa"/>
            <w:vAlign w:val="bottom"/>
          </w:tcPr>
          <w:p>
            <w:pPr>
              <w:spacing w:after="0"/>
              <w:rPr>
                <w:sz w:val="17"/>
                <w:szCs w:val="17"/>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268,521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167,876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100,645</w:t>
            </w:r>
          </w:p>
        </w:tc>
        <w:tc>
          <w:tcPr>
            <w:tcW w:w="8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420" w:type="dxa"/>
            <w:vAlign w:val="bottom"/>
          </w:tcPr>
          <w:p>
            <w:pPr>
              <w:spacing w:after="0"/>
              <w:rPr>
                <w:sz w:val="17"/>
                <w:szCs w:val="17"/>
                <w:color w:val="auto"/>
              </w:rPr>
            </w:pPr>
          </w:p>
        </w:tc>
      </w:tr>
      <w:tr>
        <w:trPr>
          <w:trHeight w:val="192"/>
        </w:trPr>
        <w:tc>
          <w:tcPr>
            <w:tcW w:w="420" w:type="dxa"/>
            <w:vAlign w:val="bottom"/>
          </w:tcPr>
          <w:p>
            <w:pPr>
              <w:spacing w:after="0"/>
              <w:rPr>
                <w:sz w:val="16"/>
                <w:szCs w:val="16"/>
                <w:color w:val="auto"/>
              </w:rPr>
            </w:pPr>
          </w:p>
        </w:tc>
        <w:tc>
          <w:tcPr>
            <w:tcW w:w="4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404,060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216,561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187,499</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420" w:type="dxa"/>
            <w:vAlign w:val="bottom"/>
          </w:tcPr>
          <w:p>
            <w:pPr>
              <w:spacing w:after="0"/>
              <w:rPr>
                <w:sz w:val="16"/>
                <w:szCs w:val="16"/>
                <w:color w:val="auto"/>
              </w:rPr>
            </w:pPr>
          </w:p>
        </w:tc>
      </w:tr>
      <w:tr>
        <w:trPr>
          <w:trHeight w:val="192"/>
        </w:trPr>
        <w:tc>
          <w:tcPr>
            <w:tcW w:w="420" w:type="dxa"/>
            <w:vAlign w:val="bottom"/>
          </w:tcPr>
          <w:p>
            <w:pPr>
              <w:spacing w:after="0"/>
              <w:rPr>
                <w:sz w:val="16"/>
                <w:szCs w:val="16"/>
                <w:color w:val="auto"/>
              </w:rPr>
            </w:pPr>
          </w:p>
        </w:tc>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from operations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(92,723)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(79,311)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420" w:type="dxa"/>
            <w:vAlign w:val="bottom"/>
          </w:tcPr>
          <w:p>
            <w:pPr>
              <w:spacing w:after="0"/>
              <w:rPr>
                <w:sz w:val="16"/>
                <w:szCs w:val="16"/>
                <w:color w:val="auto"/>
              </w:rPr>
            </w:pPr>
          </w:p>
        </w:tc>
      </w:tr>
      <w:tr>
        <w:trPr>
          <w:trHeight w:val="201"/>
        </w:trPr>
        <w:tc>
          <w:tcPr>
            <w:tcW w:w="420" w:type="dxa"/>
            <w:vAlign w:val="bottom"/>
          </w:tcPr>
          <w:p>
            <w:pPr>
              <w:spacing w:after="0"/>
              <w:rPr>
                <w:sz w:val="17"/>
                <w:szCs w:val="17"/>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20" w:type="dxa"/>
            <w:vAlign w:val="bottom"/>
          </w:tcPr>
          <w:p>
            <w:pPr>
              <w:spacing w:after="0"/>
              <w:rPr>
                <w:sz w:val="17"/>
                <w:szCs w:val="17"/>
                <w:color w:val="auto"/>
              </w:rPr>
            </w:pPr>
          </w:p>
        </w:tc>
      </w:tr>
      <w:tr>
        <w:trPr>
          <w:trHeight w:val="202"/>
        </w:trPr>
        <w:tc>
          <w:tcPr>
            <w:tcW w:w="420" w:type="dxa"/>
            <w:vAlign w:val="bottom"/>
          </w:tcPr>
          <w:p>
            <w:pPr>
              <w:spacing w:after="0"/>
              <w:rPr>
                <w:sz w:val="17"/>
                <w:szCs w:val="17"/>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420" w:type="dxa"/>
            <w:vAlign w:val="bottom"/>
          </w:tcPr>
          <w:p>
            <w:pPr>
              <w:spacing w:after="0"/>
              <w:rPr>
                <w:sz w:val="17"/>
                <w:szCs w:val="17"/>
                <w:color w:val="auto"/>
              </w:rPr>
            </w:pPr>
          </w:p>
        </w:tc>
      </w:tr>
      <w:tr>
        <w:trPr>
          <w:trHeight w:val="201"/>
        </w:trPr>
        <w:tc>
          <w:tcPr>
            <w:tcW w:w="420" w:type="dxa"/>
            <w:vAlign w:val="bottom"/>
          </w:tcPr>
          <w:p>
            <w:pPr>
              <w:spacing w:after="0"/>
              <w:rPr>
                <w:sz w:val="17"/>
                <w:szCs w:val="17"/>
                <w:color w:val="auto"/>
              </w:rPr>
            </w:pPr>
          </w:p>
        </w:tc>
        <w:tc>
          <w:tcPr>
            <w:tcW w:w="4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expense, net</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420" w:type="dxa"/>
            <w:vAlign w:val="bottom"/>
          </w:tcPr>
          <w:p>
            <w:pPr>
              <w:spacing w:after="0"/>
              <w:rPr>
                <w:sz w:val="17"/>
                <w:szCs w:val="17"/>
                <w:color w:val="auto"/>
              </w:rPr>
            </w:pPr>
          </w:p>
        </w:tc>
      </w:tr>
      <w:tr>
        <w:trPr>
          <w:trHeight w:val="212"/>
        </w:trPr>
        <w:tc>
          <w:tcPr>
            <w:tcW w:w="420" w:type="dxa"/>
            <w:vAlign w:val="bottom"/>
          </w:tcPr>
          <w:p>
            <w:pPr>
              <w:spacing w:after="0"/>
              <w:rPr>
                <w:sz w:val="17"/>
                <w:szCs w:val="17"/>
                <w:color w:val="auto"/>
              </w:rPr>
            </w:pPr>
          </w:p>
        </w:tc>
        <w:tc>
          <w:tcPr>
            <w:tcW w:w="4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(94,391)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(73,238)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(21,153)</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4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668"/>
        </w:trPr>
        <w:tc>
          <w:tcPr>
            <w:tcW w:w="4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32</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76"/>
        </w:trPr>
        <w:tc>
          <w:tcPr>
            <w:tcW w:w="420" w:type="dxa"/>
            <w:vAlign w:val="bottom"/>
            <w:tcBorders>
              <w:bottom w:val="single" w:sz="8" w:color="9A9A9A"/>
            </w:tcBorders>
          </w:tcPr>
          <w:p>
            <w:pPr>
              <w:spacing w:after="0"/>
              <w:rPr>
                <w:sz w:val="6"/>
                <w:szCs w:val="6"/>
                <w:color w:val="auto"/>
              </w:rPr>
            </w:pPr>
          </w:p>
        </w:tc>
        <w:tc>
          <w:tcPr>
            <w:tcW w:w="46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Revenue, net</w:t>
      </w:r>
    </w:p>
    <w:p>
      <w:pPr>
        <w:spacing w:after="0" w:line="85"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We recorded $311.3 million of product revenue, net for the three months ended March 31, 2026, compared to $137.3 million in the corresponding period in 2025. The increase was driven by increased demand for Rezdiffra in the United States in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Sales</w:t>
      </w:r>
    </w:p>
    <w:p>
      <w:pPr>
        <w:spacing w:after="0" w:line="85"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4"/>
          <w:szCs w:val="14"/>
          <w:color w:val="auto"/>
        </w:rPr>
        <w:t>Cost of sales were incurred as a result of sales of Rezdiffra and includes non-cash stock-based compensation expense for employees dedicated to the production of Rezdiffra. For the three months ended March 31, 2026, we recorded $26.8 million of cost of sales compared to $4.5 million in the corresponding period in 2025. The increase in cost of sales was primarily driven by an increase in royalties payable to Roche as a result of an increase in net sales of Rezdiffra in 2026.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represents our research and development expenses for the three months ended March 31, 2026 and 2025 (in thousands):</w:t>
      </w:r>
    </w:p>
    <w:p>
      <w:pPr>
        <w:spacing w:after="0" w:line="270" w:lineRule="exact"/>
        <w:rPr>
          <w:sz w:val="20"/>
          <w:szCs w:val="20"/>
          <w:color w:val="auto"/>
        </w:rPr>
      </w:pPr>
    </w:p>
    <w:tbl>
      <w:tblPr>
        <w:tblLayout w:type="fixed"/>
        <w:tblInd w:w="500" w:type="dxa"/>
        <w:tblCellMar>
          <w:top w:w="0" w:type="dxa"/>
          <w:left w:w="0" w:type="dxa"/>
          <w:bottom w:w="0" w:type="dxa"/>
          <w:right w:w="0" w:type="dxa"/>
        </w:tblCellMar>
      </w:tblPr>
      <w:tr>
        <w:trPr>
          <w:trHeight w:val="126"/>
        </w:trPr>
        <w:tc>
          <w:tcPr>
            <w:tcW w:w="3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00" w:type="dxa"/>
            <w:vAlign w:val="bottom"/>
            <w:gridSpan w:val="3"/>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53"/>
        </w:trPr>
        <w:tc>
          <w:tcPr>
            <w:tcW w:w="35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r>
      <w:tr>
        <w:trPr>
          <w:trHeight w:val="155"/>
        </w:trPr>
        <w:tc>
          <w:tcPr>
            <w:tcW w:w="352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and benefit-related expenses</w:t>
            </w:r>
          </w:p>
        </w:tc>
        <w:tc>
          <w:tcPr>
            <w:tcW w:w="100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15,097</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9,035</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6,062</w:t>
            </w:r>
          </w:p>
        </w:tc>
        <w:tc>
          <w:tcPr>
            <w:tcW w:w="8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r>
      <w:tr>
        <w:trPr>
          <w:trHeight w:val="18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8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fees and other external expenses</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84,547</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55,750</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194 %</w:t>
            </w:r>
          </w:p>
        </w:tc>
      </w:tr>
      <w:tr>
        <w:trPr>
          <w:trHeight w:val="180"/>
        </w:trPr>
        <w:tc>
          <w:tcPr>
            <w:tcW w:w="352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4"/>
                <w:szCs w:val="14"/>
                <w:color w:val="auto"/>
              </w:rPr>
              <w:t>Facility related and other internal expenses</w:t>
            </w:r>
            <w:r>
              <w:rPr>
                <w:rFonts w:ascii="Times New Roman" w:cs="Times New Roman" w:eastAsia="Times New Roman" w:hAnsi="Times New Roman"/>
                <w:sz w:val="18"/>
                <w:szCs w:val="18"/>
                <w:color w:val="auto"/>
                <w:vertAlign w:val="superscript"/>
              </w:rPr>
              <w:t>(1)</w:t>
            </w: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6"/>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108,692</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44,172</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64,520</w:t>
            </w: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146 %</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40" w:hanging="126"/>
        <w:spacing w:after="0"/>
        <w:tabs>
          <w:tab w:leader="none" w:pos="6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Facility and other internal expenses includes occupancy, information technology, and other internal costs.</w:t>
      </w:r>
    </w:p>
    <w:p>
      <w:pPr>
        <w:spacing w:after="0" w:line="14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Our research and development expenses were $108.7 million for the three months ended March 31, 2026, compared to $44.2 million in the corresponding period in 2025. Research and development expenses include non-cash stock-based compensation expense associated with employees engaged in research and development activities. Research and development expenses increased by $64.5 million in the 2026 period, primarily due to one-time upfront payments of $54.3 million related to business development transactions during the three months ended March 31, 2026 and an $8.7 million increase in compensation and benefit-related expenses and stock-based compensation expense as a result of increased headcount in connection with pipeline expansion activities.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represents our selling, general and administrative expenses for the three months ended March 31, 2026 and 2025 (in thousands):</w:t>
      </w:r>
    </w:p>
    <w:p>
      <w:pPr>
        <w:spacing w:after="0" w:line="121" w:lineRule="exact"/>
        <w:rPr>
          <w:sz w:val="20"/>
          <w:szCs w:val="20"/>
          <w:color w:val="auto"/>
        </w:rPr>
      </w:pPr>
    </w:p>
    <w:tbl>
      <w:tblPr>
        <w:tblLayout w:type="fixed"/>
        <w:tblInd w:w="720" w:type="dxa"/>
        <w:tblCellMar>
          <w:top w:w="0" w:type="dxa"/>
          <w:left w:w="0" w:type="dxa"/>
          <w:bottom w:w="0" w:type="dxa"/>
          <w:right w:w="0" w:type="dxa"/>
        </w:tblCellMar>
      </w:tblPr>
      <w:tr>
        <w:trPr>
          <w:trHeight w:val="158"/>
        </w:trPr>
        <w:tc>
          <w:tcPr>
            <w:tcW w:w="33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640" w:type="dxa"/>
            <w:vAlign w:val="bottom"/>
            <w:tcBorders>
              <w:bottom w:val="single" w:sz="8" w:color="auto"/>
            </w:tcBorders>
          </w:tcPr>
          <w:p>
            <w:pPr>
              <w:spacing w:after="0"/>
              <w:rPr>
                <w:sz w:val="13"/>
                <w:szCs w:val="13"/>
                <w:color w:val="auto"/>
              </w:rPr>
            </w:pPr>
          </w:p>
        </w:tc>
      </w:tr>
      <w:tr>
        <w:trPr>
          <w:trHeight w:val="154"/>
        </w:trPr>
        <w:tc>
          <w:tcPr>
            <w:tcW w:w="33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640" w:type="dxa"/>
            <w:vAlign w:val="bottom"/>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6"/>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benefit-related expenses</w:t>
            </w:r>
          </w:p>
        </w:tc>
        <w:tc>
          <w:tcPr>
            <w:tcW w:w="940" w:type="dxa"/>
            <w:vAlign w:val="bottom"/>
            <w:tcBorders>
              <w:top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83,605</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48,361</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35,244</w:t>
            </w: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r>
      <w:tr>
        <w:trPr>
          <w:trHeight w:val="201"/>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10,341</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r>
      <w:tr>
        <w:trPr>
          <w:trHeight w:val="181"/>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 and other external expenses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88,014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43,238</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180"/>
        </w:trPr>
        <w:tc>
          <w:tcPr>
            <w:tcW w:w="33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Facility related and other internal expenses</w:t>
            </w:r>
            <w:r>
              <w:rPr>
                <w:rFonts w:ascii="Times New Roman" w:cs="Times New Roman" w:eastAsia="Times New Roman" w:hAnsi="Times New Roman"/>
                <w:sz w:val="18"/>
                <w:szCs w:val="18"/>
                <w:color w:val="auto"/>
                <w:vertAlign w:val="superscript"/>
              </w:rPr>
              <w:t>(1)</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11,822</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96"/>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268,521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167,876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100,645</w:t>
            </w: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40" w:hanging="126"/>
        <w:spacing w:after="0"/>
        <w:tabs>
          <w:tab w:leader="none" w:pos="64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Facility and other internal expenses includes occupancy, information technology, and other internal costs.</w:t>
      </w:r>
    </w:p>
    <w:p>
      <w:pPr>
        <w:spacing w:after="0" w:line="156" w:lineRule="exact"/>
        <w:rPr>
          <w:sz w:val="20"/>
          <w:szCs w:val="20"/>
          <w:color w:val="auto"/>
        </w:rPr>
      </w:pPr>
    </w:p>
    <w:p>
      <w:pPr>
        <w:ind w:right="60" w:firstLine="509"/>
        <w:spacing w:after="0" w:line="249" w:lineRule="auto"/>
        <w:rPr>
          <w:sz w:val="20"/>
          <w:szCs w:val="20"/>
          <w:color w:val="auto"/>
        </w:rPr>
      </w:pPr>
      <w:r>
        <w:rPr>
          <w:rFonts w:ascii="Times New Roman" w:cs="Times New Roman" w:eastAsia="Times New Roman" w:hAnsi="Times New Roman"/>
          <w:sz w:val="14"/>
          <w:szCs w:val="14"/>
          <w:color w:val="auto"/>
        </w:rPr>
        <w:t>Our selling, general and administrative expenses were $268.5 million for the three months ended March 31, 2026, compared to $167.9 million in the corresponding period in 2025. Selling, general and administrative expenses includes non-cash stock-based compensation expense. Selling, general and administrative expenses increased by $100.6 million in the 2026 period, primarily due to a $43.2 million increase in professional fees and other external expenses as a result of continued investment in commercial activities for Rezdiffra, including direct-to-consumer (DTC) marketing efforts, and a $45.6 million increase in compensation and benefit-related expenses and stock-based compensation expense primarily due to headcount for the endocrinology field force expansion that began in the fourth quarter of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6" w:lineRule="exact"/>
        <w:rPr>
          <w:sz w:val="20"/>
          <w:szCs w:val="20"/>
          <w:color w:val="auto"/>
        </w:rPr>
      </w:pPr>
    </w:p>
    <w:p>
      <w:pPr>
        <w:ind w:right="300" w:firstLine="509"/>
        <w:spacing w:after="0" w:line="271" w:lineRule="auto"/>
        <w:rPr>
          <w:sz w:val="20"/>
          <w:szCs w:val="20"/>
          <w:color w:val="auto"/>
        </w:rPr>
      </w:pPr>
      <w:r>
        <w:rPr>
          <w:rFonts w:ascii="Times New Roman" w:cs="Times New Roman" w:eastAsia="Times New Roman" w:hAnsi="Times New Roman"/>
          <w:sz w:val="14"/>
          <w:szCs w:val="14"/>
          <w:color w:val="auto"/>
        </w:rPr>
        <w:t>Our net interest income was $8.2 million for the three months ended March 31, 2026, compared to $9.4 million in the corresponding period in 2025. The decrease in interest income was primarily due to lower interest rates compared to the corresponding period in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8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4"/>
          <w:szCs w:val="14"/>
          <w:color w:val="auto"/>
        </w:rPr>
        <w:t>Our interest expense was $7.8 million for the three months ended March 31, 2026, compared to $3.3 million in the corresponding period in 2025. The increase of $4.5 million was primarily the result of a higher average outstanding principal balance after entering into the Financing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Expense, Net</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expense, net consists primarily of realized and unrealized gains and losses on foreign currency transactions.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Events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Changes in, and uncertainties related to, global trade or other economic policies, including tariffs, pricing policies or other restrictions imposed by the United States government or</w:t>
      </w:r>
    </w:p>
    <w:p>
      <w:pPr>
        <w:spacing w:after="0" w:line="2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governments of other nations, may have an adverse effect on us, our partners and the pharmaceutical industry as a whole. Based on our current manufacturing locations, supply chain operations and inventory, we believe that the current tariff policies will not have a material impact on our business, results of operations or financial condition. Our U.S. commercial and clinical supply of resmetirom is currently manufactured in the United States. In addition, we have engaged a European manufacturer to produce our commercial supply of drug product for European commercialization. Additional changes to the policies of the United States or other nations that affect the geopolitical landscape or global trade, economy or market conditions, and other direct or indirect impacts of such policies, are uncertain and unpredictable, and could, in the future, have an adverse effect on our business, results of operations or financial condition.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right="420" w:firstLine="509"/>
        <w:spacing w:after="0" w:line="271" w:lineRule="auto"/>
        <w:rPr>
          <w:sz w:val="20"/>
          <w:szCs w:val="20"/>
          <w:color w:val="auto"/>
        </w:rPr>
      </w:pPr>
      <w:r>
        <w:rPr>
          <w:rFonts w:ascii="Times New Roman" w:cs="Times New Roman" w:eastAsia="Times New Roman" w:hAnsi="Times New Roman"/>
          <w:sz w:val="14"/>
          <w:szCs w:val="14"/>
          <w:color w:val="auto"/>
        </w:rPr>
        <w:t>As of March 31, 2026, we had cash, cash equivalents, restricted cash, and marketable securities totaling $817.9 million compared to $988.6 million as of December 31, 2025. We have historically funded our operations primarily through proceeds from sales of our capital stock and debt financings. In July 2025, we entered into a senior secured credit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facility that provides up to $500.0 million. See Note 8 “Long Term Debt” for additional details. We began receiving revenue from sales of Rezdiffra following the receipt of accelerated FDA approval in March 2024 and CMA from the EC in August 2025.</w:t>
      </w:r>
    </w:p>
    <w:p>
      <w:pPr>
        <w:spacing w:after="0" w:line="135"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Until we are able to generate sufficient revenue from Rezdiffra and any other future approved products, we anticipate that we will continue to incur losses. While our rate of cash usage will likely increase in the future, in particular to support our product development and clinical trial efforts, our commercialization efforts and geographic expansion activities and our business development goals, we believe our available cash resources are sufficient to fund our operations past one year from the issuance of the financial statements contained herein. Our future long-term liquidity requirements will be substantial and will depend on many factors, including our ability to effectively commercialize Rezdiffra, our decisions regarding future geographic expansion, the conduct of any future preclinical studies and clinical trials, our entry into any strategic transactions, our ability to maintain compliance with the liquidity covenant in the Financing Agreement and potential milestone payments payable pursuant to our license agreements. To meet future long-term liquidity requirements, we may need to raise additional capital to fund our operations through equity or debt financings, collaborations, partnerships or other strategic transactions. Additional capital, if needed, may not be available on terms acceptable to us, or at all. If adequate funds are not available, or if the terms of potential funding sources are unfavorable, this could have a material adverse effect on our business, results of operations and financial condition. We have the ability to delay certain commercial activities, geographic expansion activities and certain research activities and related clinical expenses, if necessary, due to liquidity concerns until a date when those concerns are relieved.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At-the-Market Sales Agreement</w:t>
      </w:r>
    </w:p>
    <w:p>
      <w:pPr>
        <w:spacing w:after="0" w:line="8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4"/>
          <w:szCs w:val="14"/>
          <w:color w:val="auto"/>
        </w:rPr>
        <w:t>In May 2024, we entered into a Sales Agreement (the “Sales Agreement”) with Cowen and Company, LLC, an affiliate of TD Securities (USA) LLC (“Cowen”), replacing and superseding our prior sales agreement. We are authorized to issue and sell up to $300.0 million of shares of our common stock under the Sales Agreement. Sales of our common stock, if any, under the Sales Agreement will be made by any method that is deemed to be an “at the market” offering as defined in Rule 415(a)(4) of the Securities Act of 1933, as amended. We have no obligation to sell any common stock and may at any time suspend offers under the Sales Agreement or terminate the Sales Agreement pursuant to its terms.</w:t>
      </w:r>
    </w:p>
    <w:p>
      <w:pPr>
        <w:spacing w:after="0" w:line="138"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We did not make any sales under the Sales Agreement during the three months ended March 31, 2026 or 2025. As of March 31, 2026, $300.0 million remained available for sale under the Sales Agreement and our related prospectus supplement.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Facilities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Hercules Loan Facility</w:t>
      </w:r>
    </w:p>
    <w:p>
      <w:pPr>
        <w:spacing w:after="0" w:line="96"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color w:val="auto"/>
        </w:rPr>
        <w:t>In May 2022 we entered into a $250.0 million senior secured loan facility with Hercules Capital, Inc. (the “Hercules Loan Facility”). Interest on the Hercules Loan Facility was the greater of (i) the prime rate plus 2.45% and (ii) 8.25%. The Hercules Loan Facility included an end-of-term charge of 5.35% of the aggregate principal amount, which was accounted for in the loan discount.</w:t>
      </w:r>
    </w:p>
    <w:p>
      <w:pPr>
        <w:spacing w:after="0" w:line="13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On July 17, 2025, we used the proceeds received from the Financing Agreement to repay all outstanding obligations under the Hercules Loan Facility, totaling $121.7 million, and upon such repayment, terminated the Hercules Loan Facility. The amount we repaid included $115.0 million of outstanding indebtedness plus accrued and unpaid interest as of the repayment date and exit fees. As a result of the termination, all credit commitments under the Hercules Loan Facility were terminated and all security interests and guarantees in connection with the Hercules Loan Facility were released. The repayment resulted in a $2.8 million loss on extinguishment of debt, primarily due to the write off of unamortized debt issuance costs.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Financing Agreement</w:t>
      </w:r>
    </w:p>
    <w:p>
      <w:pPr>
        <w:spacing w:after="0" w:line="8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4"/>
          <w:szCs w:val="14"/>
          <w:color w:val="auto"/>
        </w:rPr>
        <w:t>On July 17, 2025 (the “Closing Date”), we entered into the Financing Agreement with the Lenders and the Administrative Agent. Under the Financing Agreement, the Lenders have committed up to $500.0 million in senior secured credit facilities, consisting of (a) the initial term loan in an aggregate principal amount equal to $350.0 million (the “Initial Term Loan”) and (b) delayed draw term loans in an aggregate principal amount not to exceed $150.0 million (the “Delayed Draw Term Loans”). In addition, the Financing Agreement includes uncommitted Incremental Term Loans in an aggregate principal amount not to exceed $250.0 million (the “Incremental Term Loans”), subject to the satisfaction of certain terms and conditions set forth in the Financing Agreement. The Initial Term Loan was funded on the Closing Date. Delayed Draw Term Loans are available at our election from time to time until December 31, 2027. Incremental Term Loans 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at our and the Lenders’ mutual consent from time to time. The proceeds from the Financing Agreement are expected to primarily support our business development activities.</w:t>
      </w:r>
    </w:p>
    <w:p>
      <w:pPr>
        <w:spacing w:after="0" w:line="1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Any outstanding principal on the Term Loans will bear interest at a rate per annum on the basis of a 360-day year equal to the sum of (i) the three-month forward-looking term secured overnight financing rate administered by the Federal Reserve Bank of New York (subject to a 1.0% per annum floor) plus (ii) 4.75%. Accrued interest is payable (i) quarterly following the funding of the Initial Term Loan on the Closing Date, (ii) on any date of prepayment or repayment of the Term Loans and (iii) at maturity. The outstanding balance of the Term Loans, if not repaid sooner, shall be due and payable in full on July 17, 2030.</w:t>
      </w:r>
    </w:p>
    <w:p>
      <w:pPr>
        <w:spacing w:after="0" w:line="14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4"/>
          <w:szCs w:val="14"/>
          <w:color w:val="auto"/>
        </w:rPr>
        <w:t>We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If the Term Loans are prepaid on or prior to the one-year anniversary of the original issuance date, we must pay a make-whole amount equal to the greater of (i) 3.00% of the Term Loans being prepaid at such time and (ii) the present value of all remaining interest payments on the amount repaid through the one-year anniversary of the original issuance of such Term Loans, calculated using a discount rate. Thereafter, the amount of any such prepayment fee may vary, but the maximum amount that may be due with any such prepayment would be an amount equal to 3.00% of the Term Loans being prepaid at such time, with such prepayment fee stepping down on each anniversary of the original issuance of such Term Loans.</w:t>
      </w:r>
    </w:p>
    <w:p>
      <w:pPr>
        <w:spacing w:after="0" w:line="152" w:lineRule="exact"/>
        <w:rPr>
          <w:sz w:val="20"/>
          <w:szCs w:val="20"/>
          <w:color w:val="auto"/>
        </w:rPr>
      </w:pPr>
    </w:p>
    <w:p>
      <w:pPr>
        <w:ind w:right="20" w:firstLine="509"/>
        <w:spacing w:after="0" w:line="249" w:lineRule="auto"/>
        <w:rPr>
          <w:sz w:val="20"/>
          <w:szCs w:val="20"/>
          <w:color w:val="auto"/>
        </w:rPr>
      </w:pPr>
      <w:r>
        <w:rPr>
          <w:rFonts w:ascii="Times New Roman" w:cs="Times New Roman" w:eastAsia="Times New Roman" w:hAnsi="Times New Roman"/>
          <w:sz w:val="14"/>
          <w:szCs w:val="14"/>
          <w:color w:val="auto"/>
        </w:rPr>
        <w:t>The Financing Agreement contains affirmative covenants and negative covenants applicable to us and our subsidiaries that are customary for financings of this type. We and the Guarantors (as defined below) are also required to maintain a minimum unrestricted cash balance of $100.0 million at all times. The Financing Agreement also includes representations, warranties, indemnities and events of default that are customary for financings of this type, including an event of default relating to us experiencing a change of control. Upon the occurrence of an event of default, the Lenders may, among other things, accelerate our obligations under the Financing Agreement. Our obligations under the Financing Agreement are and will be guaranteed by certain of our existing and future direct and indirect subsidiaries, subject to certain exceptions (such subsidiaries, collectively, the “Guarantors”).</w:t>
      </w:r>
    </w:p>
    <w:p>
      <w:pPr>
        <w:spacing w:after="0" w:line="14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On July 17, 2025, concurrently with the entry into the Financing Agreement, we, the Guarantors and the Administrative Agent entered into a Pledge and Security Agreement. As security for our obligations under the Financing Agreement, we and the Guarantors granted to the Administrative Agent, for the benefit of the Lenders and secured parties, a continuing first priority security interest in substantially all of our and the Guarantors’ assets (including all equity interests owned or hereafter acquired by us and the Guarantors), subject to certain customary exceptions. On September 4, 2025, the parties amended the Financing Agreement to add certain of our subsidiaries as Guarantors.</w:t>
      </w:r>
    </w:p>
    <w:p>
      <w:pPr>
        <w:spacing w:after="0" w:line="64"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4"/>
          <w:szCs w:val="14"/>
          <w:color w:val="auto"/>
        </w:rPr>
        <w:t>As of March 31, 2026, the outstanding principal amount under the Financing Agreement was $350.0 million. The interest rate during the three months ended March 31, 2026 was 8.42%. Interest expense was $7.8 million and $3.3 million for the three months ended March 31, 2026 and 2025, respectively. As of March 31, 2026, we were in compliance with all loan covenants and provisions.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a summary of our net cash flow activity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64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235"/>
        </w:trPr>
        <w:tc>
          <w:tcPr>
            <w:tcW w:w="64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202"/>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(167,435)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(88,891)</w:t>
            </w:r>
          </w:p>
        </w:tc>
      </w:tr>
      <w:tr>
        <w:trPr>
          <w:trHeight w:val="196"/>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192,191</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163,878</w:t>
            </w:r>
          </w:p>
        </w:tc>
      </w:tr>
      <w:tr>
        <w:trPr>
          <w:trHeight w:val="20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8,640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Net cash used in operating activities was $167.4 million for the three months ended March 31, 2026, compared to $88.9 million for the corresponding period in 2025. The use of cash in these periods resulted primarily from our losses from operations, driven by commercialization efforts, including purchases of API, one-time upfront payments related to business development transactions and higher annual incentive bonus payouts, partially offset by cash receipts from sales of Rezdiffra, as adjusted for non-cash charges for stock-based compensation, and changes in our working capital accounts.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6" w:lineRule="exact"/>
        <w:rPr>
          <w:sz w:val="20"/>
          <w:szCs w:val="20"/>
          <w:color w:val="auto"/>
        </w:rPr>
      </w:pPr>
    </w:p>
    <w:p>
      <w:pPr>
        <w:ind w:right="240" w:firstLine="509"/>
        <w:spacing w:after="0" w:line="249" w:lineRule="auto"/>
        <w:rPr>
          <w:sz w:val="20"/>
          <w:szCs w:val="20"/>
          <w:color w:val="auto"/>
        </w:rPr>
      </w:pPr>
      <w:r>
        <w:rPr>
          <w:rFonts w:ascii="Times New Roman" w:cs="Times New Roman" w:eastAsia="Times New Roman" w:hAnsi="Times New Roman"/>
          <w:sz w:val="14"/>
          <w:szCs w:val="14"/>
          <w:color w:val="auto"/>
        </w:rPr>
        <w:t>Net cash provided by investing activities was $192.2 million for the three months ended March 31, 2026, compared to net cash provided by investing activities of $163.9 million for the corresponding period in 2025. Net cash provided by investing activities for the three months ended March 31, 2026 primarily consisted of $353.9 million from sales and maturities of marketable securities, partially offset by $157.8 million of purchases of marketable securities for our investment portfolio and $3.8 million of purchases of property and equipment. Net cash provided by investing activities for the corresponding period in 2025 primarily consisted of $294.7 million from sales and maturities of marketable securities, partially offset by $130.8 million of purchases of marketable securities in our investment portfolio.</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6" w:lineRule="exact"/>
        <w:rPr>
          <w:sz w:val="20"/>
          <w:szCs w:val="20"/>
          <w:color w:val="auto"/>
        </w:rPr>
      </w:pPr>
    </w:p>
    <w:p>
      <w:pPr>
        <w:jc w:val="both"/>
        <w:ind w:right="60" w:firstLine="509"/>
        <w:spacing w:after="0" w:line="262" w:lineRule="auto"/>
        <w:rPr>
          <w:sz w:val="20"/>
          <w:szCs w:val="20"/>
          <w:color w:val="auto"/>
        </w:rPr>
      </w:pPr>
      <w:r>
        <w:rPr>
          <w:rFonts w:ascii="Times New Roman" w:cs="Times New Roman" w:eastAsia="Times New Roman" w:hAnsi="Times New Roman"/>
          <w:sz w:val="14"/>
          <w:szCs w:val="14"/>
          <w:color w:val="auto"/>
        </w:rPr>
        <w:t>Net cash provided by financing activities was $2.3 million for the three months ended March 31, 2026, compared to $8.6 million for the corresponding period in 2025. Net cash provided by financing activities for the three months ended March 31, 2026 consisted of $2.3 million from the exercise of stock options. Net cash provided by financing activities for the corresponding period in 2025 consisted of $8.6 million from the exercise of stock options.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Commercial Commitments</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In 2019, we entered into an operating lease for office space in certain premises located in West Conshohocken, Pennsylvania (the “Office Lease”), which was further amended by four amendments entered into from 2019 to May 2023. In August 2023, we entered into the Fifth Amendment to the Office Lease (the “Fifth Lease Amendment”) pursuant to which the term of the Office Lease was extended through November 2026. As a result of the Fifth Lease Amendment, an incremental $1.6 million right-of-use asset and lease liability were recorded during the year ended December 31, 2023. In 2024, we entered into the Sixth, Seventh, Eighth, and Ninth Amendments to the Office Lease, leasing additional office space available in the same premises under the Office Lease, which resulted in an incremental $1.3 million right-of-use asset and lease liability recorded.</w:t>
      </w:r>
    </w:p>
    <w:p>
      <w:pPr>
        <w:spacing w:after="0" w:line="138"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In April 2025, we entered into an operating lease for additional office space in West Conshohocken, Pennsylvania. The lease commenced in May 2025 and resulted in a $4.0 million right-of-use asset and lease liability. In March 2026, we entered into an amendment to this lease, which modified the lease term and payment schedule. As a result, the right-of-use asset and lease liability balances were remeasured, resulting in balances of $4.0 million and $4.6 million as of March 31, 2026, respectively.</w:t>
      </w:r>
    </w:p>
    <w:p>
      <w:pPr>
        <w:spacing w:after="0" w:line="131"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4"/>
          <w:szCs w:val="14"/>
          <w:color w:val="auto"/>
        </w:rPr>
        <w:t>In September 2025, we entered into an operating lease for office space in Waltham, Massachusetts. The commencement date had not occurred as of March 31, 2026. Upon lease commencement, we expect to make total lease payments of $9.9 million over an 84-month lease term. As of March 31, 2026, we recorded a $1.2 million prepaid lease payment related to approved change orders, which will be included in the measurement of the right-of-use asset upon commencement.</w:t>
      </w:r>
    </w:p>
    <w:p>
      <w:pPr>
        <w:spacing w:after="0" w:line="13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 February 2026, we entered into an operating lease for office space in Baar, Switzerland. The lease commenced on March 1, 2026 and has a term of 24 months. As a result, we recognized a right-of-use asset and corresponding lease liability of approximately $1.4 million upon commencement.</w:t>
      </w:r>
    </w:p>
    <w:p>
      <w:pPr>
        <w:spacing w:after="0" w:line="135"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4"/>
          <w:szCs w:val="14"/>
          <w:color w:val="auto"/>
        </w:rPr>
        <w:t>In May 2022, we entered into the $250.0 million Hercules Loan Facility. On July 17, 2025, we entered into the Financing Agreement and used the proceeds to repay all outstanding obligations under the Hercules Loan Facility, totaling $121.7 million, and upon such repayment, terminated the Hercules Loan Facility. The amount we repaid included $115.0 million of outstanding indebtedness plus accrued and unpaid interest as of the repayment date and exit fees. The Initial Term Loan of $350.0 million under the Financing Agreement was funded on July 17, 2025. Accrued interest under the Financing Agreement is payable quarterly, on any date of prepayment or repayment of the term loans outstanding thereunder and at maturity. We are not required to repay any principal amounts outstanding under the Financing Agreement until maturity in July 2030, subject to certain prepayment events set forth in the Financing Agreement. See Note 8 “Long Term Debt” to the unaudited condensed consolidated financial statements included in this Quarterly Report on Form 10-Q for additional information regarding the Financing Agreement.</w:t>
      </w:r>
    </w:p>
    <w:p>
      <w:pPr>
        <w:spacing w:after="0" w:line="15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4"/>
          <w:szCs w:val="14"/>
          <w:color w:val="auto"/>
        </w:rPr>
        <w:t>Pursuant to the Research, Development and Commercialization Agreement with Roche (as amended, the “Roche Agreement”), Roche granted us a sole and exclusive license to develop, use, sell, offer for sale and import any Licensed Product (as defined in the Roche Agreement). We received FDA approval for Rezdiffra in March 2024 and EC approval for Rezdiffra in August 2025. A tiered single-digit royalty is payable to Roche on net sales of Rezdiffra, subject to certain reductions.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In July 2025, we entered into the CSPC License Agreement with CSPC for MGL-2086 (formerly known as SYH2086), a preclinical oral small molecule GLP-1 receptor agonist. Pursuant to the CSPC License Agreement, CSPC has granted us an exclusive global license to develop, manufacture, and commercialize MGL-2086. The transaction closed in September 2025. We paid CSPC an upfront payment of $120.0 million in October 2025. CSPC is eligible to receive up to $2.0 billion in development, regulatory and commercial milestone payments, as well as royalties on net sales ranging from mid-single digits to low-double digits.</w:t>
      </w:r>
    </w:p>
    <w:p>
      <w:pPr>
        <w:spacing w:after="0" w:line="13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In December 2025, we entered into the Pfizer License Agreement with Pfizer Inc. (“Pfizer”) to develop, manufacture and commercialize ervogastat, a Phase 2 oral DGAT-2 inhibitor, and two additional early-stage MASH assets. We paid Pfizer an upfront payment of $50.0 million in December 2025. In addition, Pfizer is eligible to receive up to $70.0 million in development and regulatory milestone payments related to ervogastat and low-double digit royalties on net sales of ervogastat. Pfizer is eligible to receive additional development, regulatory and commercial milestone payments and royalty payments on net sales of the two licensed early stage assets.</w:t>
      </w:r>
    </w:p>
    <w:p>
      <w:pPr>
        <w:spacing w:after="0" w:line="149"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14"/>
          <w:szCs w:val="14"/>
          <w:color w:val="auto"/>
        </w:rPr>
        <w:t>In February 2026, we entered into the Ribocure License Agreement granting us exclusive global rights to develop, manufacture and commercialize six siRNA programs. Pursuant to the Ribocure License Agreement, we paid Ribocure an upfront payment of $60.0 million. In addition, Ribocure is eligible to receive up to $4.4 billion in development, regulatory and commercial milestone payments across all programs, as well as royalties on net sales ranging from mid-single digits to low-double digits.</w:t>
      </w:r>
    </w:p>
    <w:p>
      <w:pPr>
        <w:spacing w:after="0" w:line="14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In May 2026, we entered into the Arrowhead License Agreement with Arrowhead granting us an exclusive global license to ARO-PNPLA3. Pursuant to the Arrowhead License Agreement, we will pay Arrowhead an upfront payment of $25.0 million. In addition, Arrowhead is eligible to receive up to $975.0 million in development, regulatory and commercial milestone payments, as well as royalties on net sales ranging from high-single digits to the mid-teens.</w:t>
      </w:r>
    </w:p>
    <w:p>
      <w:pPr>
        <w:spacing w:after="0" w:line="147"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We have entered into customary contractual agreements in support of the Phase 3 clinical trials and in connection with manufacturing Rezdiffra. As of March 31, 2026, we had approximately $222.9 million of obligations under these agreements related to active pharmaceutical ingredient, which is expected to be paid through December 2029.</w:t>
      </w:r>
    </w:p>
    <w:p>
      <w:pPr>
        <w:spacing w:after="0" w:line="124"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Except as noted above, no significant changes to contractual obligations and commitments occurred during the three months ended March 31, 2026, as compared to those disclosed in our Annual Report on Form 10-K for the fiscal year ended December 31, 2025 filed with the SEC on February 19, 2026.</w:t>
      </w:r>
    </w:p>
    <w:p>
      <w:pPr>
        <w:spacing w:after="0" w:line="19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Agreement</w:t>
      </w:r>
    </w:p>
    <w:p>
      <w:pPr>
        <w:spacing w:after="0" w:line="8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As of March 31, 2026, our primary exposure to interest rate risk was associated with our variable rate borrowings under the Financing Agreement. Any outstanding principal on the Term Loans will bear interest at a rate per annum on the basis of a 360-day year equal to the sum of (i) the three-month forward-looking term secured overnight financing rate administered by the Federal Reserve Bank of New York (subject to a 1.0% per annum floor) plus (ii) 4.75%. See Note 8 “Long Term Debt” to the unaudited condensed consolidated financial statements included in this Quarterly Report on Form 10-Q. Interest rates are sensitive to a variety of factors, including changes in fiscal and monetary policies, geopolitical events, changes in global economic conditions and other factors beyond our control. For the quarter ended March 31, 2026, the interest rate associated with the $350.0 million of borrowings outstanding under the Financing Agreement was 8.42%. For the three months ended March 31, 2026, the effect of a hypothetical 100 basis point increase or decrease in the interest rate would have changed our interest expense under the Financing Agreement by approximately $0.9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Portfolio</w:t>
      </w:r>
    </w:p>
    <w:p>
      <w:pPr>
        <w:spacing w:after="0" w:line="96"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We are exposed to market risk with respect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12 months and no security with an effective duration in excess of 24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Exchange Exposure</w:t>
      </w:r>
    </w:p>
    <w:p>
      <w:pPr>
        <w:spacing w:after="0" w:line="7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As we expand our operations into Europe, we are exposed to risks related to changes in foreign currency exchange rates, primarily between the U.S. dollar, euro and Swiss franc. The majority of our expenses are generally denominated in the currencies in which they are incurred, which is primarily the U.S. dollar. As we endeavor to expand our presence in international markets, to the extent we are required to enter into agreements denominated in a currency other than the U.S. dollar, results of operations and cash flows may increasingly be subject to fluctuations due to changes in foreign currency exchange rates and may be adversely affected in the future due to changes in foreign currency exchange rates. To date, we have not entered into any hedging arrangements with respect to foreign currency risk. As our international operations grow, we will continue to reassess our approach to manage our risk relating to fluctuations in currency rates.</w:t>
      </w:r>
    </w:p>
    <w:p>
      <w:pPr>
        <w:spacing w:after="0" w:line="23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Disclosure Controls and Procedures</w:t>
      </w:r>
    </w:p>
    <w:p>
      <w:pPr>
        <w:spacing w:after="0" w:line="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8" w:lineRule="exact"/>
        <w:rPr>
          <w:sz w:val="20"/>
          <w:szCs w:val="20"/>
          <w:color w:val="auto"/>
        </w:rPr>
      </w:pPr>
    </w:p>
    <w:p>
      <w:pPr>
        <w:jc w:val="both"/>
        <w:ind w:right="220" w:firstLine="509"/>
        <w:spacing w:after="0" w:line="262" w:lineRule="auto"/>
        <w:rPr>
          <w:sz w:val="20"/>
          <w:szCs w:val="20"/>
          <w:color w:val="auto"/>
        </w:rPr>
      </w:pPr>
      <w:r>
        <w:rPr>
          <w:rFonts w:ascii="Times New Roman" w:cs="Times New Roman" w:eastAsia="Times New Roman" w:hAnsi="Times New Roman"/>
          <w:sz w:val="14"/>
          <w:szCs w:val="14"/>
          <w:color w:val="auto"/>
        </w:rPr>
        <w:t>Under the supervision of our principal executive officer and principal financial officer, we evaluated the effectiveness of our disclosure controls and procedures as of the end of the period covered by this Quarterly Report on Form 10-Q. Based on that evaluation, our principal executive officer and principal financial officer have concluded that our disclosure controls and procedures were effective to provide such reasonable assurance described above as of March 31,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the Effectiveness of Controls and Procedures</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85"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4"/>
          <w:szCs w:val="14"/>
          <w:color w:val="auto"/>
        </w:rPr>
        <w:t>During the three months ended March 31, 2026, we implemented a new Enterprise Resource Planning (“ERP”) system. We updated our internal controls over financial reporting, as necessary, to accommodate related changes in our business processes. There were no other changes to our internal control over financial reporting (as defined in Rule 13a-15(f)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5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not party to any material legal proceedings.</w:t>
      </w:r>
    </w:p>
    <w:p>
      <w:pPr>
        <w:spacing w:after="0" w:line="25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85"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to the risk factors included in detail in the “Risk Factors” sections appearing in Part I, Item 1A of our Annual Report on Form 10-K for the year ended December 31, 2025, filed with the SEC on February 19, 2026.</w:t>
      </w:r>
    </w:p>
    <w:p>
      <w:pPr>
        <w:spacing w:after="0" w:line="19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3.</w:t>
        <w:tab/>
        <w:t>Defaults Upon Senior Securities.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5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5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5.</w:t>
        <w:tab/>
        <w:t>Other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and Executive Officer 10b5-1 Plans</w:t>
      </w:r>
    </w:p>
    <w:p>
      <w:pPr>
        <w:spacing w:after="0" w:line="85"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4"/>
          <w:szCs w:val="14"/>
          <w:color w:val="auto"/>
        </w:rPr>
        <w:t>Our policy governing transactions in our securities by our directors, officers and employees permits our directors, officers and employees to enter into trading plans complying with Rule 10b5-1 under the Exchange Act. The following table describes the written plans for the sale of our securities that were adopted by our executive officers and directors during the quarter ended March 31, 2026. Each plan was entered into during an open trading window and is intended to satisfy the affirmative defense conditions of Rule 10b5-1(c) (each a “Trading Plan”).</w:t>
      </w:r>
    </w:p>
    <w:p>
      <w:pPr>
        <w:spacing w:after="0" w:line="3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Scheduled Start Date of</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Scheduled Expiration Date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r>
      <w:tr>
        <w:trPr>
          <w:trHeight w:val="186"/>
        </w:trPr>
        <w:tc>
          <w:tcPr>
            <w:tcW w:w="22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Action Taken (Date)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Plan</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 Plan</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Trading Plan</w:t>
            </w:r>
          </w:p>
        </w:tc>
      </w:tr>
      <w:tr>
        <w:trPr>
          <w:trHeight w:val="22"/>
        </w:trPr>
        <w:tc>
          <w:tcPr>
            <w:tcW w:w="2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146"/>
        </w:trPr>
        <w:tc>
          <w:tcPr>
            <w:tcW w:w="21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Richard Levy, M.D., Director</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Modification (February 20,</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449"/>
              <w:spacing w:after="0" w:line="146" w:lineRule="exact"/>
              <w:rPr>
                <w:sz w:val="20"/>
                <w:szCs w:val="20"/>
                <w:color w:val="auto"/>
              </w:rPr>
            </w:pPr>
            <w:r>
              <w:rPr>
                <w:rFonts w:ascii="Times New Roman" w:cs="Times New Roman" w:eastAsia="Times New Roman" w:hAnsi="Times New Roman"/>
                <w:sz w:val="14"/>
                <w:szCs w:val="14"/>
                <w:color w:val="auto"/>
              </w:rPr>
              <w:t>5/22/2026</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12/31/2026</w:t>
            </w: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jc w:val="right"/>
              <w:ind w:right="910"/>
              <w:spacing w:after="0" w:line="146" w:lineRule="exact"/>
              <w:rPr>
                <w:sz w:val="20"/>
                <w:szCs w:val="20"/>
                <w:color w:val="auto"/>
              </w:rPr>
            </w:pPr>
            <w:r>
              <w:rPr>
                <w:rFonts w:ascii="Times New Roman" w:cs="Times New Roman" w:eastAsia="Times New Roman" w:hAnsi="Times New Roman"/>
                <w:sz w:val="14"/>
                <w:szCs w:val="14"/>
                <w:color w:val="auto"/>
              </w:rPr>
              <w:t>5,682</w:t>
            </w:r>
          </w:p>
        </w:tc>
      </w:tr>
      <w:tr>
        <w:trPr>
          <w:trHeight w:val="186"/>
        </w:trPr>
        <w:tc>
          <w:tcPr>
            <w:tcW w:w="2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r>
      <w:tr>
        <w:trPr>
          <w:trHeight w:val="155"/>
        </w:trPr>
        <w:tc>
          <w:tcPr>
            <w:tcW w:w="22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David Soergel, M.D., Chief Medical</w:t>
            </w:r>
          </w:p>
        </w:tc>
        <w:tc>
          <w:tcPr>
            <w:tcW w:w="168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color w:val="auto"/>
              </w:rPr>
              <w:t>Adoption (March 02,</w:t>
            </w:r>
          </w:p>
        </w:tc>
        <w:tc>
          <w:tcPr>
            <w:tcW w:w="1580" w:type="dxa"/>
            <w:vAlign w:val="bottom"/>
          </w:tcPr>
          <w:p>
            <w:pPr>
              <w:jc w:val="right"/>
              <w:ind w:right="469"/>
              <w:spacing w:after="0" w:line="155" w:lineRule="exact"/>
              <w:rPr>
                <w:sz w:val="20"/>
                <w:szCs w:val="20"/>
                <w:color w:val="auto"/>
              </w:rPr>
            </w:pPr>
            <w:r>
              <w:rPr>
                <w:rFonts w:ascii="Times New Roman" w:cs="Times New Roman" w:eastAsia="Times New Roman" w:hAnsi="Times New Roman"/>
                <w:sz w:val="14"/>
                <w:szCs w:val="14"/>
                <w:color w:val="auto"/>
              </w:rPr>
              <w:t>6/1/2026</w:t>
            </w:r>
          </w:p>
        </w:tc>
        <w:tc>
          <w:tcPr>
            <w:tcW w:w="80" w:type="dxa"/>
            <w:vAlign w:val="bottom"/>
          </w:tcPr>
          <w:p>
            <w:pPr>
              <w:spacing w:after="0"/>
              <w:rPr>
                <w:sz w:val="13"/>
                <w:szCs w:val="13"/>
                <w:color w:val="auto"/>
              </w:rPr>
            </w:pPr>
          </w:p>
        </w:tc>
        <w:tc>
          <w:tcPr>
            <w:tcW w:w="19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12/31/2026</w:t>
            </w:r>
          </w:p>
        </w:tc>
        <w:tc>
          <w:tcPr>
            <w:tcW w:w="100" w:type="dxa"/>
            <w:vAlign w:val="bottom"/>
          </w:tcPr>
          <w:p>
            <w:pPr>
              <w:spacing w:after="0"/>
              <w:rPr>
                <w:sz w:val="13"/>
                <w:szCs w:val="13"/>
                <w:color w:val="auto"/>
              </w:rPr>
            </w:pPr>
          </w:p>
        </w:tc>
        <w:tc>
          <w:tcPr>
            <w:tcW w:w="2240" w:type="dxa"/>
            <w:vAlign w:val="bottom"/>
          </w:tcPr>
          <w:p>
            <w:pPr>
              <w:jc w:val="center"/>
              <w:ind w:right="850"/>
              <w:spacing w:after="0" w:line="155" w:lineRule="exact"/>
              <w:rPr>
                <w:sz w:val="20"/>
                <w:szCs w:val="20"/>
                <w:color w:val="auto"/>
              </w:rPr>
            </w:pPr>
            <w:r>
              <w:rPr>
                <w:rFonts w:ascii="Times New Roman" w:cs="Times New Roman" w:eastAsia="Times New Roman" w:hAnsi="Times New Roman"/>
                <w:sz w:val="13"/>
                <w:szCs w:val="13"/>
                <w:color w:val="auto"/>
              </w:rPr>
              <w:t>4,293</w:t>
            </w:r>
            <w:r>
              <w:rPr>
                <w:rFonts w:ascii="Times New Roman" w:cs="Times New Roman" w:eastAsia="Times New Roman" w:hAnsi="Times New Roman"/>
                <w:sz w:val="17"/>
                <w:szCs w:val="17"/>
                <w:color w:val="auto"/>
                <w:vertAlign w:val="superscript"/>
              </w:rPr>
              <w:t>1</w:t>
            </w:r>
          </w:p>
        </w:tc>
      </w:tr>
      <w:tr>
        <w:trPr>
          <w:trHeight w:val="184"/>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bl>
    <w:p>
      <w:pPr>
        <w:spacing w:after="0" w:line="240" w:lineRule="exact"/>
        <w:rPr>
          <w:sz w:val="20"/>
          <w:szCs w:val="20"/>
          <w:color w:val="auto"/>
        </w:rPr>
      </w:pPr>
    </w:p>
    <w:p>
      <w:pPr>
        <w:ind w:firstLine="351"/>
        <w:spacing w:after="0" w:line="246" w:lineRule="auto"/>
        <w:tabs>
          <w:tab w:leader="none" w:pos="54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Trading Plan provides for the sale of shares to be received upon future vesting of certain outstanding restricted stock unit awards, net of any shares sold to satisfy applicable taxes. The number of shares to be sold to satisfy taxes, and thus the exact number of shares to be sold pursuant to this Trading Plan, can only be determined upon the occurrence of future vesting events. For purposes of this disclosure, we have reported the maximum aggregate number of shares to be sold without subtracting any shares to be sold to satisfy tax obligations.</w:t>
      </w:r>
    </w:p>
    <w:p>
      <w:pPr>
        <w:spacing w:after="0" w:line="23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exhibits filed or furnished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20" w:type="dxa"/>
            <w:vAlign w:val="bottom"/>
          </w:tcPr>
          <w:p>
            <w:pPr>
              <w:spacing w:after="0"/>
              <w:rPr>
                <w:sz w:val="11"/>
                <w:szCs w:val="11"/>
                <w:color w:val="auto"/>
              </w:rPr>
            </w:pPr>
          </w:p>
        </w:tc>
        <w:tc>
          <w:tcPr>
            <w:tcW w:w="3680" w:type="dxa"/>
            <w:vAlign w:val="bottom"/>
            <w:gridSpan w:val="17"/>
            <w:vMerge w:val="restart"/>
          </w:tcPr>
          <w:p>
            <w:pPr>
              <w:ind w:left="100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3380" w:type="dxa"/>
            <w:vAlign w:val="bottom"/>
            <w:gridSpan w:val="2"/>
            <w:vMerge w:val="restart"/>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49"/>
        </w:trPr>
        <w:tc>
          <w:tcPr>
            <w:tcW w:w="1120" w:type="dxa"/>
            <w:vAlign w:val="bottom"/>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20" w:type="dxa"/>
            <w:vAlign w:val="bottom"/>
          </w:tcPr>
          <w:p>
            <w:pPr>
              <w:spacing w:after="0"/>
              <w:rPr>
                <w:sz w:val="12"/>
                <w:szCs w:val="12"/>
                <w:color w:val="auto"/>
              </w:rPr>
            </w:pPr>
          </w:p>
        </w:tc>
        <w:tc>
          <w:tcPr>
            <w:tcW w:w="3680" w:type="dxa"/>
            <w:vAlign w:val="bottom"/>
            <w:gridSpan w:val="17"/>
            <w:vMerge w:val="continue"/>
          </w:tcPr>
          <w:p>
            <w:pPr>
              <w:spacing w:after="0"/>
              <w:rPr>
                <w:sz w:val="12"/>
                <w:szCs w:val="12"/>
                <w:color w:val="auto"/>
              </w:rPr>
            </w:pPr>
          </w:p>
        </w:tc>
        <w:tc>
          <w:tcPr>
            <w:tcW w:w="3380" w:type="dxa"/>
            <w:vAlign w:val="bottom"/>
            <w:gridSpan w:val="2"/>
            <w:vMerge w:val="continue"/>
          </w:tcPr>
          <w:p>
            <w:pPr>
              <w:spacing w:after="0"/>
              <w:rPr>
                <w:sz w:val="12"/>
                <w:szCs w:val="12"/>
                <w:color w:val="auto"/>
              </w:rPr>
            </w:pP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157"/>
        </w:trPr>
        <w:tc>
          <w:tcPr>
            <w:tcW w:w="1120" w:type="dxa"/>
            <w:vAlign w:val="bottom"/>
          </w:tcPr>
          <w:p>
            <w:pPr>
              <w:jc w:val="center"/>
              <w:ind w:right="51"/>
              <w:spacing w:after="0" w:line="157" w:lineRule="exact"/>
              <w:rPr>
                <w:sz w:val="20"/>
                <w:szCs w:val="20"/>
                <w:color w:val="auto"/>
              </w:rPr>
            </w:pPr>
            <w:r>
              <w:rPr>
                <w:rFonts w:ascii="Times New Roman" w:cs="Times New Roman" w:eastAsia="Times New Roman" w:hAnsi="Times New Roman"/>
                <w:sz w:val="14"/>
                <w:szCs w:val="14"/>
                <w:color w:val="auto"/>
              </w:rPr>
              <w:t>10.1#</w:t>
            </w:r>
          </w:p>
        </w:tc>
        <w:tc>
          <w:tcPr>
            <w:tcW w:w="4300" w:type="dxa"/>
            <w:vAlign w:val="bottom"/>
            <w:gridSpan w:val="18"/>
          </w:tcPr>
          <w:p>
            <w:pPr>
              <w:spacing w:after="0" w:line="157" w:lineRule="exact"/>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First Amendment to the Research, Development and Commercialization</w:t>
              </w:r>
            </w:hyperlink>
          </w:p>
        </w:tc>
        <w:tc>
          <w:tcPr>
            <w:tcW w:w="1980" w:type="dxa"/>
            <w:vAlign w:val="bottom"/>
          </w:tcPr>
          <w:p>
            <w:pPr>
              <w:jc w:val="center"/>
              <w:ind w:left="410"/>
              <w:spacing w:after="0" w:line="157" w:lineRule="exact"/>
              <w:rPr>
                <w:sz w:val="20"/>
                <w:szCs w:val="20"/>
                <w:color w:val="auto"/>
              </w:rPr>
            </w:pPr>
            <w:r>
              <w:rPr>
                <w:rFonts w:ascii="Times New Roman" w:cs="Times New Roman" w:eastAsia="Times New Roman" w:hAnsi="Times New Roman"/>
                <w:sz w:val="14"/>
                <w:szCs w:val="14"/>
                <w:color w:val="auto"/>
              </w:rPr>
              <w:t>Form 8-K (Exhibit</w:t>
            </w:r>
          </w:p>
        </w:tc>
        <w:tc>
          <w:tcPr>
            <w:tcW w:w="1400" w:type="dxa"/>
            <w:vAlign w:val="bottom"/>
          </w:tcPr>
          <w:p>
            <w:pPr>
              <w:jc w:val="right"/>
              <w:ind w:right="569"/>
              <w:spacing w:after="0" w:line="157" w:lineRule="exact"/>
              <w:rPr>
                <w:sz w:val="20"/>
                <w:szCs w:val="20"/>
                <w:color w:val="auto"/>
              </w:rPr>
            </w:pPr>
            <w:r>
              <w:rPr>
                <w:rFonts w:ascii="Times New Roman" w:cs="Times New Roman" w:eastAsia="Times New Roman" w:hAnsi="Times New Roman"/>
                <w:sz w:val="14"/>
                <w:szCs w:val="14"/>
                <w:color w:val="auto"/>
              </w:rPr>
              <w:t>1/30/2026</w:t>
            </w:r>
          </w:p>
        </w:tc>
        <w:tc>
          <w:tcPr>
            <w:tcW w:w="2480" w:type="dxa"/>
            <w:vAlign w:val="bottom"/>
          </w:tcPr>
          <w:p>
            <w:pPr>
              <w:jc w:val="right"/>
              <w:ind w:right="1491"/>
              <w:spacing w:after="0" w:line="157" w:lineRule="exact"/>
              <w:rPr>
                <w:sz w:val="20"/>
                <w:szCs w:val="20"/>
                <w:color w:val="auto"/>
              </w:rPr>
            </w:pPr>
            <w:r>
              <w:rPr>
                <w:rFonts w:ascii="Times New Roman" w:cs="Times New Roman" w:eastAsia="Times New Roman" w:hAnsi="Times New Roman"/>
                <w:sz w:val="14"/>
                <w:szCs w:val="14"/>
                <w:color w:val="auto"/>
              </w:rPr>
              <w:t>001-33277</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080" w:type="dxa"/>
            <w:vAlign w:val="bottom"/>
            <w:tcBorders>
              <w:top w:val="single" w:sz="8" w:color="0000FF"/>
              <w:bottom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Agreement, dated as of January 29, 2026, by and between the Registrant</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Pr>
          <w:p>
            <w:pPr>
              <w:jc w:val="center"/>
              <w:ind w:left="410"/>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4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20" w:type="dxa"/>
            <w:vAlign w:val="bottom"/>
          </w:tcPr>
          <w:p>
            <w:pPr>
              <w:spacing w:after="0"/>
              <w:rPr>
                <w:sz w:val="10"/>
                <w:szCs w:val="10"/>
                <w:color w:val="auto"/>
              </w:rPr>
            </w:pPr>
          </w:p>
        </w:tc>
        <w:tc>
          <w:tcPr>
            <w:tcW w:w="4100" w:type="dxa"/>
            <w:vAlign w:val="bottom"/>
            <w:gridSpan w:val="15"/>
          </w:tcPr>
          <w:p>
            <w:pPr>
              <w:spacing w:after="0" w:line="118" w:lineRule="exact"/>
              <w:rPr>
                <w:rFonts w:ascii="Times New Roman" w:cs="Times New Roman" w:eastAsia="Times New Roman" w:hAnsi="Times New Roman"/>
                <w:sz w:val="13"/>
                <w:szCs w:val="13"/>
                <w:color w:val="0000FF"/>
              </w:rPr>
            </w:pPr>
            <w:hyperlink r:id="rId64">
              <w:r>
                <w:rPr>
                  <w:rFonts w:ascii="Times New Roman" w:cs="Times New Roman" w:eastAsia="Times New Roman" w:hAnsi="Times New Roman"/>
                  <w:sz w:val="13"/>
                  <w:szCs w:val="13"/>
                  <w:color w:val="0000FF"/>
                </w:rPr>
                <w:t>and Roche.</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2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rPr>
              <w:t>10.2*</w:t>
            </w:r>
          </w:p>
        </w:tc>
        <w:tc>
          <w:tcPr>
            <w:tcW w:w="4300" w:type="dxa"/>
            <w:vAlign w:val="bottom"/>
            <w:gridSpan w:val="18"/>
          </w:tcPr>
          <w:p>
            <w:pPr>
              <w:spacing w:after="0"/>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Severance and Change of Control Agreement, dated as of February 18,</w:t>
              </w:r>
            </w:hyperlink>
          </w:p>
        </w:tc>
        <w:tc>
          <w:tcPr>
            <w:tcW w:w="1980" w:type="dxa"/>
            <w:vAlign w:val="bottom"/>
          </w:tcPr>
          <w:p>
            <w:pPr>
              <w:jc w:val="center"/>
              <w:ind w:left="410"/>
              <w:spacing w:after="0"/>
              <w:rPr>
                <w:sz w:val="20"/>
                <w:szCs w:val="20"/>
                <w:color w:val="auto"/>
              </w:rPr>
            </w:pPr>
            <w:r>
              <w:rPr>
                <w:rFonts w:ascii="Times New Roman" w:cs="Times New Roman" w:eastAsia="Times New Roman" w:hAnsi="Times New Roman"/>
                <w:sz w:val="14"/>
                <w:szCs w:val="14"/>
                <w:color w:val="auto"/>
              </w:rPr>
              <w:t>Form 10-K (Exhibit</w:t>
            </w:r>
          </w:p>
        </w:tc>
        <w:tc>
          <w:tcPr>
            <w:tcW w:w="14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2/19/2026</w:t>
            </w:r>
          </w:p>
        </w:tc>
        <w:tc>
          <w:tcPr>
            <w:tcW w:w="2480" w:type="dxa"/>
            <w:vAlign w:val="bottom"/>
          </w:tcPr>
          <w:p>
            <w:pPr>
              <w:jc w:val="right"/>
              <w:ind w:right="1491"/>
              <w:spacing w:after="0"/>
              <w:rPr>
                <w:sz w:val="20"/>
                <w:szCs w:val="20"/>
                <w:color w:val="auto"/>
              </w:rPr>
            </w:pPr>
            <w:r>
              <w:rPr>
                <w:rFonts w:ascii="Times New Roman" w:cs="Times New Roman" w:eastAsia="Times New Roman" w:hAnsi="Times New Roman"/>
                <w:sz w:val="14"/>
                <w:szCs w:val="14"/>
                <w:color w:val="auto"/>
              </w:rPr>
              <w:t>001-33277</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00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2026, by and between the Registrant and Carole Huntsman.</w:t>
              </w:r>
            </w:hyperlink>
          </w:p>
        </w:tc>
        <w:tc>
          <w:tcPr>
            <w:tcW w:w="12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Pr>
          <w:p>
            <w:pPr>
              <w:jc w:val="center"/>
              <w:ind w:left="390"/>
              <w:spacing w:after="0" w:line="129" w:lineRule="exact"/>
              <w:rPr>
                <w:sz w:val="20"/>
                <w:szCs w:val="20"/>
                <w:color w:val="auto"/>
              </w:rPr>
            </w:pPr>
            <w:r>
              <w:rPr>
                <w:rFonts w:ascii="Times New Roman" w:cs="Times New Roman" w:eastAsia="Times New Roman" w:hAnsi="Times New Roman"/>
                <w:sz w:val="14"/>
                <w:szCs w:val="14"/>
                <w:color w:val="auto"/>
                <w:w w:val="99"/>
              </w:rPr>
              <w:t>10.31)</w:t>
            </w:r>
          </w:p>
        </w:tc>
        <w:tc>
          <w:tcPr>
            <w:tcW w:w="14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2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rPr>
              <w:t>10.3*</w:t>
            </w:r>
          </w:p>
        </w:tc>
        <w:tc>
          <w:tcPr>
            <w:tcW w:w="4300" w:type="dxa"/>
            <w:vAlign w:val="bottom"/>
            <w:gridSpan w:val="18"/>
          </w:tcPr>
          <w:p>
            <w:pPr>
              <w:spacing w:after="0"/>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Severance and Change of Control Agreement, dated as of February 18,</w:t>
              </w:r>
            </w:hyperlink>
          </w:p>
        </w:tc>
        <w:tc>
          <w:tcPr>
            <w:tcW w:w="1980" w:type="dxa"/>
            <w:vAlign w:val="bottom"/>
          </w:tcPr>
          <w:p>
            <w:pPr>
              <w:jc w:val="center"/>
              <w:ind w:left="410"/>
              <w:spacing w:after="0"/>
              <w:rPr>
                <w:sz w:val="20"/>
                <w:szCs w:val="20"/>
                <w:color w:val="auto"/>
              </w:rPr>
            </w:pPr>
            <w:r>
              <w:rPr>
                <w:rFonts w:ascii="Times New Roman" w:cs="Times New Roman" w:eastAsia="Times New Roman" w:hAnsi="Times New Roman"/>
                <w:sz w:val="14"/>
                <w:szCs w:val="14"/>
                <w:color w:val="auto"/>
              </w:rPr>
              <w:t>Form 10-K (Exhibit</w:t>
            </w:r>
          </w:p>
        </w:tc>
        <w:tc>
          <w:tcPr>
            <w:tcW w:w="14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2/19/2026</w:t>
            </w:r>
          </w:p>
        </w:tc>
        <w:tc>
          <w:tcPr>
            <w:tcW w:w="2480" w:type="dxa"/>
            <w:vAlign w:val="bottom"/>
          </w:tcPr>
          <w:p>
            <w:pPr>
              <w:jc w:val="right"/>
              <w:ind w:right="1491"/>
              <w:spacing w:after="0"/>
              <w:rPr>
                <w:sz w:val="20"/>
                <w:szCs w:val="20"/>
                <w:color w:val="auto"/>
              </w:rPr>
            </w:pPr>
            <w:r>
              <w:rPr>
                <w:rFonts w:ascii="Times New Roman" w:cs="Times New Roman" w:eastAsia="Times New Roman" w:hAnsi="Times New Roman"/>
                <w:sz w:val="14"/>
                <w:szCs w:val="14"/>
                <w:color w:val="auto"/>
              </w:rPr>
              <w:t>001-33277</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2026, by and between the Registrant and Mardi Dier.</w:t>
              </w:r>
            </w:hyperlink>
          </w:p>
        </w:tc>
        <w:tc>
          <w:tcPr>
            <w:tcW w:w="1000" w:type="dxa"/>
            <w:vAlign w:val="bottom"/>
            <w:tcBorders>
              <w:top w:val="single" w:sz="8" w:color="0000FF"/>
            </w:tcBorders>
            <w:gridSpan w:val="9"/>
          </w:tcPr>
          <w:p>
            <w:pPr>
              <w:spacing w:after="0"/>
              <w:rPr>
                <w:sz w:val="11"/>
                <w:szCs w:val="11"/>
                <w:color w:val="auto"/>
              </w:rPr>
            </w:pPr>
          </w:p>
        </w:tc>
        <w:tc>
          <w:tcPr>
            <w:tcW w:w="12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Pr>
          <w:p>
            <w:pPr>
              <w:jc w:val="center"/>
              <w:ind w:left="390"/>
              <w:spacing w:after="0" w:line="129" w:lineRule="exact"/>
              <w:rPr>
                <w:sz w:val="20"/>
                <w:szCs w:val="20"/>
                <w:color w:val="auto"/>
              </w:rPr>
            </w:pPr>
            <w:r>
              <w:rPr>
                <w:rFonts w:ascii="Times New Roman" w:cs="Times New Roman" w:eastAsia="Times New Roman" w:hAnsi="Times New Roman"/>
                <w:sz w:val="14"/>
                <w:szCs w:val="14"/>
                <w:color w:val="auto"/>
                <w:w w:val="99"/>
              </w:rPr>
              <w:t>10.33)</w:t>
            </w:r>
          </w:p>
        </w:tc>
        <w:tc>
          <w:tcPr>
            <w:tcW w:w="14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12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rPr>
              <w:t>10.4*</w:t>
            </w:r>
          </w:p>
        </w:tc>
        <w:tc>
          <w:tcPr>
            <w:tcW w:w="4300" w:type="dxa"/>
            <w:vAlign w:val="bottom"/>
            <w:gridSpan w:val="18"/>
          </w:tcPr>
          <w:p>
            <w:pPr>
              <w:spacing w:after="0"/>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Severance and Change of Control Agreement, dated as of February 18,</w:t>
              </w:r>
            </w:hyperlink>
          </w:p>
        </w:tc>
        <w:tc>
          <w:tcPr>
            <w:tcW w:w="1980" w:type="dxa"/>
            <w:vAlign w:val="bottom"/>
          </w:tcPr>
          <w:p>
            <w:pPr>
              <w:jc w:val="center"/>
              <w:ind w:left="410"/>
              <w:spacing w:after="0"/>
              <w:rPr>
                <w:sz w:val="20"/>
                <w:szCs w:val="20"/>
                <w:color w:val="auto"/>
              </w:rPr>
            </w:pPr>
            <w:r>
              <w:rPr>
                <w:rFonts w:ascii="Times New Roman" w:cs="Times New Roman" w:eastAsia="Times New Roman" w:hAnsi="Times New Roman"/>
                <w:sz w:val="14"/>
                <w:szCs w:val="14"/>
                <w:color w:val="auto"/>
              </w:rPr>
              <w:t>Form 10-K (Exhibit</w:t>
            </w:r>
          </w:p>
        </w:tc>
        <w:tc>
          <w:tcPr>
            <w:tcW w:w="14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2/19/2026</w:t>
            </w:r>
          </w:p>
        </w:tc>
        <w:tc>
          <w:tcPr>
            <w:tcW w:w="2480" w:type="dxa"/>
            <w:vAlign w:val="bottom"/>
          </w:tcPr>
          <w:p>
            <w:pPr>
              <w:jc w:val="right"/>
              <w:ind w:right="1491"/>
              <w:spacing w:after="0"/>
              <w:rPr>
                <w:sz w:val="20"/>
                <w:szCs w:val="20"/>
                <w:color w:val="auto"/>
              </w:rPr>
            </w:pPr>
            <w:r>
              <w:rPr>
                <w:rFonts w:ascii="Times New Roman" w:cs="Times New Roman" w:eastAsia="Times New Roman" w:hAnsi="Times New Roman"/>
                <w:sz w:val="14"/>
                <w:szCs w:val="14"/>
                <w:color w:val="auto"/>
              </w:rPr>
              <w:t>001-33277</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00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2026, by and between the Registrant and Shannon Kelley.</w:t>
              </w:r>
            </w:hyperlink>
          </w:p>
        </w:tc>
        <w:tc>
          <w:tcPr>
            <w:tcW w:w="12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Pr>
          <w:p>
            <w:pPr>
              <w:jc w:val="center"/>
              <w:ind w:left="390"/>
              <w:spacing w:after="0" w:line="129" w:lineRule="exact"/>
              <w:rPr>
                <w:sz w:val="20"/>
                <w:szCs w:val="20"/>
                <w:color w:val="auto"/>
              </w:rPr>
            </w:pPr>
            <w:r>
              <w:rPr>
                <w:rFonts w:ascii="Times New Roman" w:cs="Times New Roman" w:eastAsia="Times New Roman" w:hAnsi="Times New Roman"/>
                <w:sz w:val="14"/>
                <w:szCs w:val="14"/>
                <w:color w:val="auto"/>
                <w:w w:val="99"/>
              </w:rPr>
              <w:t>10.35)</w:t>
            </w:r>
          </w:p>
        </w:tc>
        <w:tc>
          <w:tcPr>
            <w:tcW w:w="14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2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rPr>
              <w:t>10.5*</w:t>
            </w:r>
          </w:p>
        </w:tc>
        <w:tc>
          <w:tcPr>
            <w:tcW w:w="4300" w:type="dxa"/>
            <w:vAlign w:val="bottom"/>
            <w:gridSpan w:val="18"/>
          </w:tcPr>
          <w:p>
            <w:pPr>
              <w:spacing w:after="0"/>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Severance and Change of Control Agreement, dated as of February 18,</w:t>
              </w:r>
            </w:hyperlink>
          </w:p>
        </w:tc>
        <w:tc>
          <w:tcPr>
            <w:tcW w:w="1980" w:type="dxa"/>
            <w:vAlign w:val="bottom"/>
          </w:tcPr>
          <w:p>
            <w:pPr>
              <w:jc w:val="center"/>
              <w:ind w:left="410"/>
              <w:spacing w:after="0"/>
              <w:rPr>
                <w:sz w:val="20"/>
                <w:szCs w:val="20"/>
                <w:color w:val="auto"/>
              </w:rPr>
            </w:pPr>
            <w:r>
              <w:rPr>
                <w:rFonts w:ascii="Times New Roman" w:cs="Times New Roman" w:eastAsia="Times New Roman" w:hAnsi="Times New Roman"/>
                <w:sz w:val="14"/>
                <w:szCs w:val="14"/>
                <w:color w:val="auto"/>
              </w:rPr>
              <w:t>Form 10-K (Exhibit</w:t>
            </w:r>
          </w:p>
        </w:tc>
        <w:tc>
          <w:tcPr>
            <w:tcW w:w="14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2/19/2026</w:t>
            </w:r>
          </w:p>
        </w:tc>
        <w:tc>
          <w:tcPr>
            <w:tcW w:w="2480" w:type="dxa"/>
            <w:vAlign w:val="bottom"/>
          </w:tcPr>
          <w:p>
            <w:pPr>
              <w:jc w:val="right"/>
              <w:ind w:right="1491"/>
              <w:spacing w:after="0"/>
              <w:rPr>
                <w:sz w:val="20"/>
                <w:szCs w:val="20"/>
                <w:color w:val="auto"/>
              </w:rPr>
            </w:pPr>
            <w:r>
              <w:rPr>
                <w:rFonts w:ascii="Times New Roman" w:cs="Times New Roman" w:eastAsia="Times New Roman" w:hAnsi="Times New Roman"/>
                <w:sz w:val="14"/>
                <w:szCs w:val="14"/>
                <w:color w:val="auto"/>
              </w:rPr>
              <w:t>001-33277</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352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2026, by and between the Registrant and David Soergel, M.D.</w:t>
              </w:r>
            </w:hyperlink>
          </w:p>
        </w:tc>
        <w:tc>
          <w:tcPr>
            <w:tcW w:w="480" w:type="dxa"/>
            <w:vAlign w:val="bottom"/>
            <w:tcBorders>
              <w:top w:val="single" w:sz="8" w:color="0000FF"/>
            </w:tcBorders>
            <w:gridSpan w:val="5"/>
          </w:tcPr>
          <w:p>
            <w:pPr>
              <w:spacing w:after="0"/>
              <w:rPr>
                <w:sz w:val="11"/>
                <w:szCs w:val="11"/>
                <w:color w:val="auto"/>
              </w:rPr>
            </w:pPr>
          </w:p>
        </w:tc>
        <w:tc>
          <w:tcPr>
            <w:tcW w:w="12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Pr>
          <w:p>
            <w:pPr>
              <w:jc w:val="center"/>
              <w:ind w:left="390"/>
              <w:spacing w:after="0" w:line="129" w:lineRule="exact"/>
              <w:rPr>
                <w:sz w:val="20"/>
                <w:szCs w:val="20"/>
                <w:color w:val="auto"/>
              </w:rPr>
            </w:pPr>
            <w:r>
              <w:rPr>
                <w:rFonts w:ascii="Times New Roman" w:cs="Times New Roman" w:eastAsia="Times New Roman" w:hAnsi="Times New Roman"/>
                <w:sz w:val="14"/>
                <w:szCs w:val="14"/>
                <w:color w:val="auto"/>
                <w:w w:val="99"/>
              </w:rPr>
              <w:t>10.37)</w:t>
            </w:r>
          </w:p>
        </w:tc>
        <w:tc>
          <w:tcPr>
            <w:tcW w:w="14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10.6</w:t>
            </w:r>
          </w:p>
        </w:tc>
        <w:tc>
          <w:tcPr>
            <w:tcW w:w="43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Amendment to Lease, dated March 14, 2026, by and between KPG FF</w:t>
            </w:r>
          </w:p>
        </w:tc>
        <w:tc>
          <w:tcPr>
            <w:tcW w:w="1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3980" w:type="dxa"/>
            <w:vAlign w:val="bottom"/>
            <w:tcBorders>
              <w:top w:val="single" w:sz="8" w:color="0000FF"/>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Owner, L.P. and the Registrant.</w:t>
            </w:r>
          </w:p>
        </w:tc>
        <w:tc>
          <w:tcPr>
            <w:tcW w:w="14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31.1</w:t>
            </w:r>
          </w:p>
        </w:tc>
        <w:tc>
          <w:tcPr>
            <w:tcW w:w="43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 13a-14(a) or</w:t>
            </w:r>
          </w:p>
        </w:tc>
        <w:tc>
          <w:tcPr>
            <w:tcW w:w="1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60" w:type="dxa"/>
            <w:vAlign w:val="bottom"/>
            <w:tcBorders>
              <w:top w:val="single" w:sz="8" w:color="0000FF"/>
            </w:tcBorders>
            <w:gridSpan w:val="17"/>
          </w:tcPr>
          <w:p>
            <w:pPr>
              <w:spacing w:after="0" w:line="129" w:lineRule="exact"/>
              <w:rPr>
                <w:sz w:val="20"/>
                <w:szCs w:val="20"/>
                <w:color w:val="auto"/>
              </w:rPr>
            </w:pPr>
            <w:r>
              <w:rPr>
                <w:rFonts w:ascii="Times New Roman" w:cs="Times New Roman" w:eastAsia="Times New Roman" w:hAnsi="Times New Roman"/>
                <w:sz w:val="14"/>
                <w:szCs w:val="14"/>
                <w:color w:val="0000FF"/>
              </w:rPr>
              <w:t>Rule 15d-14(a) of the Securities Exchange Act of 1934, as adopted</w:t>
            </w:r>
          </w:p>
        </w:tc>
        <w:tc>
          <w:tcPr>
            <w:tcW w:w="1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2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pursuant to Section 302 of the Sarbanes-Oxley Act of 2002.</w:t>
            </w:r>
          </w:p>
        </w:tc>
        <w:tc>
          <w:tcPr>
            <w:tcW w:w="40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gridSpan w:val="5"/>
          </w:tcPr>
          <w:p>
            <w:pPr>
              <w:spacing w:after="0"/>
              <w:rPr>
                <w:sz w:val="10"/>
                <w:szCs w:val="10"/>
                <w:color w:val="auto"/>
              </w:rPr>
            </w:pPr>
          </w:p>
        </w:tc>
        <w:tc>
          <w:tcPr>
            <w:tcW w:w="180" w:type="dxa"/>
            <w:vAlign w:val="bottom"/>
            <w:gridSpan w:val="2"/>
          </w:tcPr>
          <w:p>
            <w:pPr>
              <w:spacing w:after="0"/>
              <w:rPr>
                <w:sz w:val="10"/>
                <w:szCs w:val="10"/>
                <w:color w:val="auto"/>
              </w:rPr>
            </w:pPr>
          </w:p>
        </w:tc>
        <w:tc>
          <w:tcPr>
            <w:tcW w:w="1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31.2</w:t>
            </w:r>
          </w:p>
        </w:tc>
        <w:tc>
          <w:tcPr>
            <w:tcW w:w="43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 13a-14(a) or</w:t>
            </w:r>
          </w:p>
        </w:tc>
        <w:tc>
          <w:tcPr>
            <w:tcW w:w="1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tcBorders>
              <w:top w:val="single" w:sz="8" w:color="0000FF"/>
            </w:tcBorders>
            <w:gridSpan w:val="16"/>
          </w:tcPr>
          <w:p>
            <w:pPr>
              <w:spacing w:after="0" w:line="129" w:lineRule="exact"/>
              <w:rPr>
                <w:sz w:val="20"/>
                <w:szCs w:val="20"/>
                <w:color w:val="auto"/>
              </w:rPr>
            </w:pPr>
            <w:r>
              <w:rPr>
                <w:rFonts w:ascii="Times New Roman" w:cs="Times New Roman" w:eastAsia="Times New Roman" w:hAnsi="Times New Roman"/>
                <w:sz w:val="14"/>
                <w:szCs w:val="14"/>
                <w:color w:val="0000FF"/>
              </w:rPr>
              <w:t>Rule 15d-14(a) of the Securities Exchange Act of 1934, as adopted</w:t>
            </w:r>
          </w:p>
        </w:tc>
        <w:tc>
          <w:tcPr>
            <w:tcW w:w="180" w:type="dxa"/>
            <w:vAlign w:val="bottom"/>
            <w:gridSpan w:val="2"/>
          </w:tcPr>
          <w:p>
            <w:pPr>
              <w:spacing w:after="0"/>
              <w:rPr>
                <w:sz w:val="11"/>
                <w:szCs w:val="11"/>
                <w:color w:val="auto"/>
              </w:rPr>
            </w:pPr>
          </w:p>
        </w:tc>
        <w:tc>
          <w:tcPr>
            <w:tcW w:w="1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2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pursuant to Section 302 of the Sarbanes-Oxley Act of 2002.</w:t>
            </w:r>
          </w:p>
        </w:tc>
        <w:tc>
          <w:tcPr>
            <w:tcW w:w="40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7"/>
          </w:tcPr>
          <w:p>
            <w:pPr>
              <w:spacing w:after="0"/>
              <w:rPr>
                <w:sz w:val="10"/>
                <w:szCs w:val="10"/>
                <w:color w:val="auto"/>
              </w:rPr>
            </w:pPr>
          </w:p>
        </w:tc>
        <w:tc>
          <w:tcPr>
            <w:tcW w:w="1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8"/>
              </w:rPr>
              <w:t>32.1**</w:t>
            </w:r>
          </w:p>
        </w:tc>
        <w:tc>
          <w:tcPr>
            <w:tcW w:w="43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Certifications of Principal Executive Officer and Principal Financial</w:t>
            </w:r>
          </w:p>
        </w:tc>
        <w:tc>
          <w:tcPr>
            <w:tcW w:w="1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3840" w:type="dxa"/>
            <w:vAlign w:val="bottom"/>
            <w:tcBorders>
              <w:top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rPr>
              <w:t>Officer, pursuant to 18 U.S.C. Section 1350, as adopted pursuant to</w:t>
            </w:r>
          </w:p>
        </w:tc>
        <w:tc>
          <w:tcPr>
            <w:tcW w:w="460" w:type="dxa"/>
            <w:vAlign w:val="bottom"/>
            <w:gridSpan w:val="7"/>
          </w:tcPr>
          <w:p>
            <w:pPr>
              <w:spacing w:after="0"/>
              <w:rPr>
                <w:sz w:val="11"/>
                <w:szCs w:val="11"/>
                <w:color w:val="auto"/>
              </w:rPr>
            </w:pPr>
          </w:p>
        </w:tc>
        <w:tc>
          <w:tcPr>
            <w:tcW w:w="1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20" w:type="dxa"/>
            <w:vAlign w:val="bottom"/>
          </w:tcPr>
          <w:p>
            <w:pPr>
              <w:spacing w:after="0"/>
              <w:rPr>
                <w:sz w:val="10"/>
                <w:szCs w:val="10"/>
                <w:color w:val="auto"/>
              </w:rPr>
            </w:pPr>
          </w:p>
        </w:tc>
        <w:tc>
          <w:tcPr>
            <w:tcW w:w="3800" w:type="dxa"/>
            <w:vAlign w:val="bottom"/>
            <w:tcBorders>
              <w:top w:val="single" w:sz="8" w:color="0000FF"/>
            </w:tcBorders>
            <w:gridSpan w:val="10"/>
          </w:tcPr>
          <w:p>
            <w:pPr>
              <w:spacing w:after="0" w:line="118" w:lineRule="exact"/>
              <w:rPr>
                <w:sz w:val="20"/>
                <w:szCs w:val="20"/>
                <w:color w:val="auto"/>
              </w:rPr>
            </w:pPr>
            <w:r>
              <w:rPr>
                <w:rFonts w:ascii="Times New Roman" w:cs="Times New Roman" w:eastAsia="Times New Roman" w:hAnsi="Times New Roman"/>
                <w:sz w:val="13"/>
                <w:szCs w:val="13"/>
                <w:color w:val="0000FF"/>
              </w:rPr>
              <w:t>Section 906 of the Sarbanes-Oxley Act of 2002.</w:t>
            </w:r>
          </w:p>
        </w:tc>
        <w:tc>
          <w:tcPr>
            <w:tcW w:w="500" w:type="dxa"/>
            <w:vAlign w:val="bottom"/>
            <w:gridSpan w:val="8"/>
          </w:tcPr>
          <w:p>
            <w:pPr>
              <w:spacing w:after="0"/>
              <w:rPr>
                <w:sz w:val="10"/>
                <w:szCs w:val="10"/>
                <w:color w:val="auto"/>
              </w:rPr>
            </w:pPr>
          </w:p>
        </w:tc>
        <w:tc>
          <w:tcPr>
            <w:tcW w:w="1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7"/>
              </w:rPr>
              <w:t>101.INS</w:t>
            </w:r>
          </w:p>
        </w:tc>
        <w:tc>
          <w:tcPr>
            <w:tcW w:w="27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1600" w:type="dxa"/>
            <w:vAlign w:val="bottom"/>
            <w:gridSpan w:val="15"/>
          </w:tcPr>
          <w:p>
            <w:pPr>
              <w:spacing w:after="0"/>
              <w:rPr>
                <w:sz w:val="16"/>
                <w:szCs w:val="16"/>
                <w:color w:val="auto"/>
              </w:rPr>
            </w:pPr>
          </w:p>
        </w:tc>
        <w:tc>
          <w:tcPr>
            <w:tcW w:w="1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101.SCH</w:t>
            </w:r>
          </w:p>
        </w:tc>
        <w:tc>
          <w:tcPr>
            <w:tcW w:w="43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101.CAL</w:t>
            </w:r>
          </w:p>
        </w:tc>
        <w:tc>
          <w:tcPr>
            <w:tcW w:w="43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101.LAB</w:t>
            </w:r>
          </w:p>
        </w:tc>
        <w:tc>
          <w:tcPr>
            <w:tcW w:w="43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9"/>
              </w:rPr>
              <w:t>101.PRE</w:t>
            </w:r>
          </w:p>
        </w:tc>
        <w:tc>
          <w:tcPr>
            <w:tcW w:w="43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8"/>
              </w:rPr>
              <w:t>101.DEF</w:t>
            </w:r>
          </w:p>
        </w:tc>
        <w:tc>
          <w:tcPr>
            <w:tcW w:w="43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80" w:type="dxa"/>
            <w:vAlign w:val="bottom"/>
          </w:tcPr>
          <w:p>
            <w:pPr>
              <w:jc w:val="center"/>
              <w:ind w:left="1511"/>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721"/>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jc w:val="right"/>
              <w:ind w:right="1610"/>
              <w:spacing w:after="0"/>
              <w:rPr>
                <w:sz w:val="20"/>
                <w:szCs w:val="20"/>
                <w:color w:val="auto"/>
              </w:rPr>
            </w:pPr>
            <w:r>
              <w:rPr>
                <w:rFonts w:ascii="Times New Roman" w:cs="Times New Roman" w:eastAsia="Times New Roman" w:hAnsi="Times New Roman"/>
                <w:sz w:val="14"/>
                <w:szCs w:val="14"/>
                <w:color w:val="auto"/>
              </w:rPr>
              <w:t>41</w:t>
            </w:r>
          </w:p>
        </w:tc>
        <w:tc>
          <w:tcPr>
            <w:tcW w:w="1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1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24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20" w:right="6060" w:hanging="717"/>
        <w:spacing w:after="0" w:line="239" w:lineRule="auto"/>
        <w:tabs>
          <w:tab w:leader="none" w:pos="11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Inline XBRL for the cover page of this Quarterly Report on Form 10-Q, included in the Exhibit 101 Inline XBRL Document Set.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2" w:lineRule="exact"/>
        <w:rPr>
          <w:rFonts w:ascii="Times New Roman" w:cs="Times New Roman" w:eastAsia="Times New Roman" w:hAnsi="Times New Roman"/>
          <w:sz w:val="14"/>
          <w:szCs w:val="14"/>
          <w:color w:val="auto"/>
        </w:rPr>
      </w:pPr>
    </w:p>
    <w:p>
      <w:pPr>
        <w:ind w:right="5300" w:firstLine="5"/>
        <w:spacing w:after="0" w:line="490" w:lineRule="auto"/>
        <w:tabs>
          <w:tab w:leader="none" w:pos="2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have been omitted pursuant to Item 601(b)(10)(iv) of Regulation S-K. * Indicates a management contract, compensatory plan or arrangement.</w:t>
      </w:r>
    </w:p>
    <w:p>
      <w:pPr>
        <w:ind w:left="260" w:hanging="255"/>
        <w:spacing w:after="0" w:line="262" w:lineRule="auto"/>
        <w:tabs>
          <w:tab w:leader="none" w:pos="25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7960" w:type="dxa"/>
            <w:vAlign w:val="bottom"/>
            <w:gridSpan w:val="2"/>
          </w:tcPr>
          <w:p>
            <w:pPr>
              <w:ind w:left="2380"/>
              <w:spacing w:after="0"/>
              <w:rPr>
                <w:sz w:val="20"/>
                <w:szCs w:val="20"/>
                <w:color w:val="auto"/>
              </w:rPr>
            </w:pPr>
            <w:r>
              <w:rPr>
                <w:rFonts w:ascii="Times New Roman" w:cs="Times New Roman" w:eastAsia="Times New Roman" w:hAnsi="Times New Roman"/>
                <w:sz w:val="14"/>
                <w:szCs w:val="14"/>
                <w:color w:val="auto"/>
              </w:rPr>
              <w:t>MADRIGAL PHARMACEUTICALS, INC.</w:t>
            </w:r>
          </w:p>
        </w:tc>
      </w:tr>
      <w:tr>
        <w:trPr>
          <w:trHeight w:val="419"/>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May 6, 2026</w:t>
            </w:r>
          </w:p>
        </w:tc>
        <w:tc>
          <w:tcPr>
            <w:tcW w:w="292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J. Sibold</w:t>
            </w:r>
          </w:p>
        </w:tc>
      </w:tr>
      <w:tr>
        <w:trPr>
          <w:trHeight w:val="187"/>
        </w:trPr>
        <w:tc>
          <w:tcPr>
            <w:tcW w:w="3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J. Sibold</w:t>
            </w:r>
          </w:p>
        </w:tc>
      </w:tr>
      <w:tr>
        <w:trPr>
          <w:trHeight w:val="202"/>
        </w:trPr>
        <w:tc>
          <w:tcPr>
            <w:tcW w:w="33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02"/>
        </w:trPr>
        <w:tc>
          <w:tcPr>
            <w:tcW w:w="33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419"/>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May 6, 2026</w:t>
            </w:r>
          </w:p>
        </w:tc>
        <w:tc>
          <w:tcPr>
            <w:tcW w:w="292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Rita Thakkar</w:t>
            </w:r>
          </w:p>
        </w:tc>
      </w:tr>
      <w:tr>
        <w:trPr>
          <w:trHeight w:val="187"/>
        </w:trPr>
        <w:tc>
          <w:tcPr>
            <w:tcW w:w="3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Rita Thakkar</w:t>
            </w:r>
          </w:p>
        </w:tc>
      </w:tr>
      <w:tr>
        <w:trPr>
          <w:trHeight w:val="202"/>
        </w:trPr>
        <w:tc>
          <w:tcPr>
            <w:tcW w:w="33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Accounting Officer</w:t>
            </w:r>
          </w:p>
        </w:tc>
      </w:tr>
      <w:tr>
        <w:trPr>
          <w:trHeight w:val="202"/>
        </w:trPr>
        <w:tc>
          <w:tcPr>
            <w:tcW w:w="33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721"/>
        </w:trPr>
        <w:tc>
          <w:tcPr>
            <w:tcW w:w="3300" w:type="dxa"/>
            <w:vAlign w:val="bottom"/>
          </w:tcPr>
          <w:p>
            <w:pPr>
              <w:spacing w:after="0"/>
              <w:rPr>
                <w:sz w:val="24"/>
                <w:szCs w:val="24"/>
                <w:color w:val="auto"/>
              </w:rPr>
            </w:pPr>
          </w:p>
        </w:tc>
        <w:tc>
          <w:tcPr>
            <w:tcW w:w="29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43</w:t>
            </w:r>
          </w:p>
        </w:tc>
        <w:tc>
          <w:tcPr>
            <w:tcW w:w="5040" w:type="dxa"/>
            <w:vAlign w:val="bottom"/>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1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05650" cy="560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43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0565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ind w:left="10560"/>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7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EXCHANGE ACT RULES 13a-14(a) AND 15d-14(a) AS ADOPTED PURSUANT TO SECTION 302 OF THE SARBANES-OXLEY ACT OF 2002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William J. Sibold, certify that:</w:t>
      </w:r>
    </w:p>
    <w:p>
      <w:pPr>
        <w:spacing w:after="0" w:line="83" w:lineRule="exact"/>
        <w:rPr>
          <w:sz w:val="20"/>
          <w:szCs w:val="20"/>
          <w:color w:val="auto"/>
        </w:rPr>
      </w:pPr>
    </w:p>
    <w:p>
      <w:pPr>
        <w:ind w:left="760" w:hanging="373"/>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Madrigal Pharmaceuticals, Inc.;</w:t>
      </w:r>
    </w:p>
    <w:p>
      <w:pPr>
        <w:spacing w:after="0" w:line="93" w:lineRule="exact"/>
        <w:rPr>
          <w:rFonts w:ascii="Times New Roman" w:cs="Times New Roman" w:eastAsia="Times New Roman" w:hAnsi="Times New Roman"/>
          <w:sz w:val="14"/>
          <w:szCs w:val="14"/>
          <w:color w:val="auto"/>
        </w:rPr>
      </w:pPr>
    </w:p>
    <w:p>
      <w:pPr>
        <w:ind w:left="760" w:right="480" w:hanging="373"/>
        <w:spacing w:after="0" w:line="271"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760" w:right="560" w:hanging="373"/>
        <w:spacing w:after="0" w:line="287"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14"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78" w:lineRule="exact"/>
        <w:rPr>
          <w:sz w:val="20"/>
          <w:szCs w:val="20"/>
          <w:color w:val="auto"/>
        </w:rPr>
      </w:pPr>
    </w:p>
    <w:p>
      <w:pPr>
        <w:ind w:left="760" w:right="20" w:hanging="373"/>
        <w:spacing w:after="0" w:line="271" w:lineRule="auto"/>
        <w:tabs>
          <w:tab w:leader="none" w:pos="75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5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760" w:right="420" w:hanging="373"/>
        <w:spacing w:after="0" w:line="271" w:lineRule="auto"/>
        <w:tabs>
          <w:tab w:leader="none" w:pos="75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4"/>
          <w:szCs w:val="14"/>
          <w:color w:val="auto"/>
        </w:rPr>
      </w:pPr>
    </w:p>
    <w:p>
      <w:pPr>
        <w:ind w:left="760" w:right="80" w:hanging="373"/>
        <w:spacing w:after="0" w:line="271" w:lineRule="auto"/>
        <w:tabs>
          <w:tab w:leader="none" w:pos="75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sz w:val="20"/>
          <w:szCs w:val="20"/>
          <w:color w:val="auto"/>
        </w:rPr>
      </w:pPr>
    </w:p>
    <w:p>
      <w:pPr>
        <w:ind w:left="760" w:right="120" w:hanging="373"/>
        <w:spacing w:after="0" w:line="287" w:lineRule="auto"/>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sz w:val="20"/>
          <w:szCs w:val="20"/>
          <w:color w:val="auto"/>
        </w:rPr>
      </w:pPr>
    </w:p>
    <w:p>
      <w:pPr>
        <w:ind w:left="760" w:right="100" w:hanging="373"/>
        <w:spacing w:after="0" w:line="271" w:lineRule="auto"/>
        <w:tabs>
          <w:tab w:leader="none" w:pos="75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18008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18008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William J. Sibold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759" w:right="319" w:bottom="1440" w:gutter="0" w:footer="0" w:header="0"/>
        </w:sectPr>
      </w:pPr>
    </w:p>
    <w:bookmarkStart w:id="51" w:name="page52"/>
    <w:bookmarkEnd w:id="51"/>
    <w:p>
      <w:pPr>
        <w:ind w:left="10560"/>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7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EXCHANGE ACT RULES 13a-14(a) AND 15d-14(a) AS ADOPTED PURSUANT TO SECTION 302 OF THE SARBANES-OXLEY ACT OF 2002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Mardi C. Dier, certify that:</w:t>
      </w:r>
    </w:p>
    <w:p>
      <w:pPr>
        <w:spacing w:after="0" w:line="83" w:lineRule="exact"/>
        <w:rPr>
          <w:sz w:val="20"/>
          <w:szCs w:val="20"/>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Madrigal Pharmaceuticals, Inc.;</w:t>
      </w:r>
    </w:p>
    <w:p>
      <w:pPr>
        <w:spacing w:after="0" w:line="93" w:lineRule="exact"/>
        <w:rPr>
          <w:rFonts w:ascii="Times New Roman" w:cs="Times New Roman" w:eastAsia="Times New Roman" w:hAnsi="Times New Roman"/>
          <w:sz w:val="14"/>
          <w:szCs w:val="14"/>
          <w:color w:val="auto"/>
        </w:rPr>
      </w:pPr>
    </w:p>
    <w:p>
      <w:pPr>
        <w:ind w:left="760" w:right="480" w:hanging="373"/>
        <w:spacing w:after="0" w:line="271" w:lineRule="auto"/>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760" w:right="560" w:hanging="373"/>
        <w:spacing w:after="0" w:line="287" w:lineRule="auto"/>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14"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78" w:lineRule="exact"/>
        <w:rPr>
          <w:sz w:val="20"/>
          <w:szCs w:val="20"/>
          <w:color w:val="auto"/>
        </w:rPr>
      </w:pPr>
    </w:p>
    <w:p>
      <w:pPr>
        <w:ind w:left="760" w:right="20" w:hanging="373"/>
        <w:spacing w:after="0" w:line="271" w:lineRule="auto"/>
        <w:tabs>
          <w:tab w:leader="none" w:pos="75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5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760" w:right="420" w:hanging="373"/>
        <w:spacing w:after="0" w:line="271" w:lineRule="auto"/>
        <w:tabs>
          <w:tab w:leader="none" w:pos="75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4"/>
          <w:szCs w:val="14"/>
          <w:color w:val="auto"/>
        </w:rPr>
      </w:pPr>
    </w:p>
    <w:p>
      <w:pPr>
        <w:ind w:left="760" w:right="80" w:hanging="373"/>
        <w:spacing w:after="0" w:line="271" w:lineRule="auto"/>
        <w:tabs>
          <w:tab w:leader="none" w:pos="75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sz w:val="20"/>
          <w:szCs w:val="20"/>
          <w:color w:val="auto"/>
        </w:rPr>
      </w:pPr>
    </w:p>
    <w:p>
      <w:pPr>
        <w:ind w:left="760" w:right="120" w:hanging="373"/>
        <w:spacing w:after="0" w:line="287"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sz w:val="20"/>
          <w:szCs w:val="20"/>
          <w:color w:val="auto"/>
        </w:rPr>
      </w:pPr>
    </w:p>
    <w:p>
      <w:pPr>
        <w:ind w:left="760" w:right="100" w:hanging="373"/>
        <w:spacing w:after="0" w:line="271" w:lineRule="auto"/>
        <w:tabs>
          <w:tab w:leader="none" w:pos="75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18008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18008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Mardi C. Dier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759" w:right="3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CERTIFICATIONS PURSUANT TO 18 U.S.C. SECTION 1350,</w:t>
      </w:r>
    </w:p>
    <w:p>
      <w:pPr>
        <w:spacing w:after="0" w:line="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5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1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Quarterly Report on Form 10-Q for the quarterly period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8"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4"/>
          <w:szCs w:val="14"/>
          <w:color w:val="auto"/>
        </w:rPr>
        <w:t>Dated: May 6, 2026</w:t>
      </w:r>
      <w:r>
        <w:rPr>
          <w:sz w:val="20"/>
          <w:szCs w:val="20"/>
          <w:color w:val="auto"/>
        </w:rPr>
        <w:tab/>
      </w:r>
      <w:r>
        <w:rPr>
          <w:rFonts w:ascii="Times New Roman" w:cs="Times New Roman" w:eastAsia="Times New Roman" w:hAnsi="Times New Roman"/>
          <w:sz w:val="14"/>
          <w:szCs w:val="14"/>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21590</wp:posOffset>
            </wp:positionV>
            <wp:extent cx="346265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462655" cy="6985"/>
                    </a:xfrm>
                    <a:prstGeom prst="rect">
                      <a:avLst/>
                    </a:prstGeom>
                    <a:noFill/>
                  </pic:spPr>
                </pic:pic>
              </a:graphicData>
            </a:graphic>
          </wp:anchor>
        </w:drawing>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William J. Sibold</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53"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4"/>
          <w:szCs w:val="14"/>
          <w:color w:val="auto"/>
        </w:rPr>
        <w:t>Dated: May 6, 2026</w:t>
      </w:r>
      <w:r>
        <w:rPr>
          <w:sz w:val="20"/>
          <w:szCs w:val="20"/>
          <w:color w:val="auto"/>
        </w:rPr>
        <w:tab/>
      </w:r>
      <w:r>
        <w:rPr>
          <w:rFonts w:ascii="Times New Roman" w:cs="Times New Roman" w:eastAsia="Times New Roman" w:hAnsi="Times New Roman"/>
          <w:sz w:val="14"/>
          <w:szCs w:val="14"/>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21590</wp:posOffset>
            </wp:positionV>
            <wp:extent cx="346265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462655" cy="6985"/>
                    </a:xfrm>
                    <a:prstGeom prst="rect">
                      <a:avLst/>
                    </a:prstGeom>
                    <a:noFill/>
                  </pic:spPr>
                </pic:pic>
              </a:graphicData>
            </a:graphic>
          </wp:anchor>
        </w:drawing>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Mardi C. Dier</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5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80"/>
      </w:cols>
      <w:pgMar w:left="300" w:top="7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lowerRoman"/>
      <w:start w:val="3"/>
    </w:lvl>
  </w:abstractNum>
  <w:abstractNum w:abstractNumId="6">
    <w:nsid w:val="4E6AFB66"/>
    <w:multiLevelType w:val="hybridMultilevel"/>
    <w:lvl w:ilvl="0">
      <w:lvlJc w:val="left"/>
      <w:lvlText w:val="%1."/>
      <w:numFmt w:val="decimal"/>
      <w:start w:val="8"/>
    </w:lvl>
  </w:abstractNum>
  <w:abstractNum w:abstractNumId="7">
    <w:nsid w:val="25E45D32"/>
    <w:multiLevelType w:val="hybridMultilevel"/>
    <w:lvl w:ilvl="0">
      <w:lvlJc w:val="left"/>
      <w:lvlText w:val="%1."/>
      <w:numFmt w:val="decimal"/>
      <w:start w:val="9"/>
    </w:lvl>
  </w:abstractNum>
  <w:abstractNum w:abstractNumId="8">
    <w:nsid w:val="519B500D"/>
    <w:multiLevelType w:val="hybridMultilevel"/>
    <w:lvl w:ilvl="0">
      <w:lvlJc w:val="left"/>
      <w:lvlText w:val="%1."/>
      <w:numFmt w:val="decimal"/>
      <w:start w:val="10"/>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1"/>
      <w:numFmt w:val="decimal"/>
      <w:start w:val="1"/>
    </w:lvl>
    <w:lvl w:ilvl="1">
      <w:lvlJc w:val="left"/>
      <w:lvlText w:val="(%2)"/>
      <w:numFmt w:val="decimal"/>
      <w:start w:val="1"/>
    </w:lvl>
  </w:abstractNum>
  <w:abstractNum w:abstractNumId="11">
    <w:nsid w:val="7C83E458"/>
    <w:multiLevelType w:val="hybridMultilevel"/>
    <w:lvl w:ilvl="0">
      <w:lvlJc w:val="left"/>
      <w:lvlText w:val="%1."/>
      <w:numFmt w:val="decimal"/>
      <w:start w:val="13"/>
    </w:lvl>
    <w:lvl w:ilvl="1">
      <w:lvlJc w:val="left"/>
      <w:lvlText w:val="%2"/>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lvl w:ilvl="1">
      <w:lvlJc w:val="left"/>
      <w:lvlText w:val="%2"/>
      <w:numFmt w:val="decimal"/>
      <w:start w:val="104"/>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5"/>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5"/>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jpeg"/><Relationship Id="rId73" Type="http://schemas.openxmlformats.org/officeDocument/2006/relationships/image" Target="media/image61.jpeg"/><Relationship Id="rId74" Type="http://schemas.openxmlformats.org/officeDocument/2006/relationships/image" Target="media/image62.jpeg"/><Relationship Id="rId75" Type="http://schemas.openxmlformats.org/officeDocument/2006/relationships/image" Target="media/image63.png"/><Relationship Id="rId76" Type="http://schemas.openxmlformats.org/officeDocument/2006/relationships/image" Target="media/image64.jpe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64" Type="http://schemas.openxmlformats.org/officeDocument/2006/relationships/hyperlink" Target="https://www.sec.gov/Archives/edgar/data/1157601/000110465926008698/tm264540d1_ex10-1.htm" TargetMode="External"/><Relationship Id="rId65" Type="http://schemas.openxmlformats.org/officeDocument/2006/relationships/hyperlink" Target="https://www.sec.gov/Archives/edgar/data/1157601/000162828026009514/exhibit1031-evpseverance.htm" TargetMode="External"/><Relationship Id="rId66" Type="http://schemas.openxmlformats.org/officeDocument/2006/relationships/hyperlink" Target="https://www.sec.gov/Archives/edgar/data/1157601/000162828026009514/exhibit1033-evpseverance.htm" TargetMode="External"/><Relationship Id="rId67" Type="http://schemas.openxmlformats.org/officeDocument/2006/relationships/hyperlink" Target="https://www.sec.gov/Archives/edgar/data/1157601/000162828026009514/exhibit1035-evpseverance.htm" TargetMode="External"/><Relationship Id="rId68" Type="http://schemas.openxmlformats.org/officeDocument/2006/relationships/hyperlink" Target="https://www.sec.gov/Archives/edgar/data/1157601/000162828026009514/exhibit1037-evpsevera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2026-05-06T08:07:27Z</dcterms:created>
  <dcterms:modified xsi:type="dcterms:W3CDTF">2026-05-06T08:07:27Z</dcterms:modified>
</cp:coreProperties>
</file>