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41" w:before="0" w:after="0"/>
        <w:ind w:left="0" w:right="0" w:hanging="0"/>
        <w:jc w:val="left"/>
        <w:rPr>
          <w:spacing w:val="0"/>
        </w:rPr>
      </w:pPr>
      <w:bookmarkStart w:id="0" w:name="d431523d10q.htm"/>
      <w:bookmarkStart w:id="1" w:name="ksd431523d10q"/>
      <w:bookmarkEnd w:id="0"/>
      <w:bookmarkEnd w:id="1"/>
      <w:r>
        <w:rPr>
          <w:spacing w:val="0"/>
        </w:rPr>
        <w:t> </w:t>
      </w:r>
    </w:p>
    <w:p>
      <w:pPr>
        <w:pStyle w:val="TextBody"/>
        <w:spacing w:lineRule="atLeast" w:line="141" w:before="0" w:after="40"/>
        <w:ind w:left="0" w:right="0" w:hanging="0"/>
        <w:jc w:val="left"/>
        <w:rPr>
          <w:spacing w:val="0"/>
        </w:rPr>
      </w:pPr>
      <w:r>
        <w:rPr>
          <w:spacing w:val="0"/>
        </w:rPr>
        <w:t> </w:t>
      </w:r>
    </w:p>
    <w:p>
      <w:pPr>
        <w:pStyle w:val="TextBody"/>
        <w:spacing w:before="80" w:after="0"/>
        <w:ind w:left="0" w:right="0" w:hanging="0"/>
        <w:jc w:val="center"/>
        <w:rPr>
          <w:rFonts w:ascii="Times New Roman" w:hAnsi="Times New Roman"/>
          <w:b/>
          <w:spacing w:val="0"/>
          <w:sz w:val="36"/>
        </w:rPr>
      </w:pPr>
      <w:r>
        <w:rPr>
          <w:rFonts w:ascii="Times New Roman" w:hAnsi="Times New Roman"/>
          <w:b/>
          <w:spacing w:val="0"/>
          <w:sz w:val="36"/>
        </w:rPr>
        <w:t xml:space="preserve">UNITED STATES </w:t>
      </w:r>
    </w:p>
    <w:p>
      <w:pPr>
        <w:pStyle w:val="TextBody"/>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spacing w:before="0" w:after="0"/>
        <w:ind w:left="0" w:right="0" w:hanging="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ind w:left="0" w:right="0" w:hanging="0"/>
        <w:jc w:val="center"/>
        <w:rPr>
          <w:rFonts w:ascii="Times New Roman" w:hAnsi="Times New Roman"/>
          <w:b/>
          <w:sz w:val="36"/>
        </w:rPr>
      </w:pPr>
      <w:r>
        <w:rPr>
          <w:rFonts w:ascii="Times New Roman" w:hAnsi="Times New Roman"/>
          <w:b/>
          <w:sz w:val="36"/>
        </w:rPr>
        <w:t xml:space="preserve">FORM </w:t>
      </w:r>
    </w:p>
    <w:p>
      <w:pPr>
        <w:pStyle w:val="TextBody"/>
        <w:spacing w:before="240" w:after="0"/>
        <w:jc w:val="center"/>
        <w:rPr>
          <w:rFonts w:ascii="Times New Roman" w:hAnsi="Times New Roman"/>
          <w:b/>
          <w:spacing w:val="0"/>
          <w:sz w:val="36"/>
        </w:rPr>
      </w:pPr>
      <w:r>
        <w:rPr>
          <w:rFonts w:ascii="Times New Roman" w:hAnsi="Times New Roman"/>
          <w:b/>
          <w:spacing w:val="0"/>
          <w:sz w:val="36"/>
        </w:rPr>
        <w:t>10-Q</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(Mark One)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0"/>
              <w:jc w:val="left"/>
              <w:rPr/>
            </w:pPr>
            <w:r>
              <w:rPr/>
              <w:t>☒</w:t>
            </w:r>
          </w:p>
        </w:tc>
        <w:tc>
          <w:tcPr>
            <w:tcW w:w="9960" w:type="dxa"/>
            <w:tcBorders/>
            <w:shd w:fill="auto" w:val="clear"/>
            <w:vAlign w:val="center"/>
          </w:tcPr>
          <w:p>
            <w:pPr>
              <w:pStyle w:val="TableContents"/>
              <w:spacing w:before="0" w:after="0"/>
              <w:jc w:val="left"/>
              <w:rPr>
                <w:rFonts w:ascii="Times New Roman" w:hAnsi="Times New Roman"/>
                <w:b/>
                <w:spacing w:val="0"/>
                <w:sz w:val="24"/>
              </w:rPr>
            </w:pPr>
            <w:r>
              <w:rPr>
                <w:rFonts w:ascii="Times New Roman" w:hAnsi="Times New Roman"/>
                <w:b/>
                <w:spacing w:val="0"/>
                <w:sz w:val="24"/>
              </w:rPr>
              <w:t xml:space="preserve">QUARTERLY REPORT PURSUANT TO SECTION 13 OR 15(d) OF THE SECURITIES EXCHANGE ACT OF 1934 </w:t>
            </w:r>
          </w:p>
        </w:tc>
      </w:tr>
    </w:tbl>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For the quarterly period ended March 31, 2023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OR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0"/>
              <w:jc w:val="left"/>
              <w:rPr/>
            </w:pPr>
            <w:r>
              <w:rPr/>
              <w:t>☐</w:t>
            </w:r>
          </w:p>
        </w:tc>
        <w:tc>
          <w:tcPr>
            <w:tcW w:w="9960" w:type="dxa"/>
            <w:tcBorders/>
            <w:shd w:fill="auto" w:val="clear"/>
            <w:vAlign w:val="center"/>
          </w:tcPr>
          <w:p>
            <w:pPr>
              <w:pStyle w:val="TableContents"/>
              <w:spacing w:before="0" w:after="0"/>
              <w:jc w:val="left"/>
              <w:rPr>
                <w:rFonts w:ascii="Times New Roman" w:hAnsi="Times New Roman"/>
                <w:b/>
                <w:spacing w:val="0"/>
                <w:sz w:val="24"/>
              </w:rPr>
            </w:pPr>
            <w:r>
              <w:rPr>
                <w:rFonts w:ascii="Times New Roman" w:hAnsi="Times New Roman"/>
                <w:b/>
                <w:spacing w:val="0"/>
                <w:sz w:val="24"/>
              </w:rPr>
              <w:t xml:space="preserve">TRANSITION REPORT PURSUANT TO SECTION 13 OR 15(d) OF THE SECURITIES EXCHANGE ACT OF 1934 </w:t>
            </w:r>
          </w:p>
        </w:tc>
      </w:tr>
    </w:tbl>
    <w:p>
      <w:pPr>
        <w:pStyle w:val="TextBody"/>
        <w:spacing w:before="240" w:after="0"/>
        <w:ind w:left="0" w:right="0" w:hanging="0"/>
        <w:jc w:val="center"/>
        <w:rPr>
          <w:rFonts w:ascii="Times New Roman" w:hAnsi="Times New Roman"/>
          <w:b/>
          <w:sz w:val="20"/>
        </w:rPr>
      </w:pPr>
      <w:r>
        <w:rPr>
          <w:rFonts w:ascii="Times New Roman" w:hAnsi="Times New Roman"/>
          <w:b/>
          <w:sz w:val="20"/>
        </w:rPr>
        <w:t xml:space="preserve">For the transition period from </w:t>
      </w:r>
    </w:p>
    <w:p>
      <w:pPr>
        <w:pStyle w:val="TextBody"/>
        <w:spacing w:before="240" w:after="0"/>
        <w:jc w:val="center"/>
        <w:rPr>
          <w:spacing w:val="0"/>
          <w:u w:val="single"/>
        </w:rPr>
      </w:pPr>
      <w:r>
        <w:rPr>
          <w:spacing w:val="0"/>
          <w:u w:val="single"/>
        </w:rPr>
        <w:t>    </w:t>
      </w:r>
    </w:p>
    <w:p>
      <w:pPr>
        <w:pStyle w:val="TextBody"/>
        <w:spacing w:before="240" w:after="0"/>
        <w:jc w:val="center"/>
        <w:rPr>
          <w:spacing w:val="0"/>
          <w:u w:val="single"/>
        </w:rPr>
      </w:pPr>
      <w:r>
        <w:rPr>
          <w:spacing w:val="0"/>
          <w:u w:val="single"/>
        </w:rPr>
        <w:t>        </w:t>
      </w:r>
    </w:p>
    <w:p>
      <w:pPr>
        <w:pStyle w:val="TextBody"/>
        <w:spacing w:before="240" w:after="0"/>
        <w:jc w:val="center"/>
        <w:rPr>
          <w:spacing w:val="0"/>
          <w:u w:val="single"/>
        </w:rPr>
      </w:pPr>
      <w:r>
        <w:rPr>
          <w:spacing w:val="0"/>
          <w:u w:val="single"/>
        </w:rPr>
        <w:t>    </w:t>
      </w:r>
    </w:p>
    <w:p>
      <w:pPr>
        <w:pStyle w:val="TextBody"/>
        <w:spacing w:before="240" w:after="0"/>
        <w:jc w:val="center"/>
        <w:rPr>
          <w:spacing w:val="0"/>
          <w:u w:val="single"/>
        </w:rPr>
      </w:pPr>
      <w:r>
        <w:rPr>
          <w:spacing w:val="0"/>
          <w:u w:val="single"/>
        </w:rPr>
        <w:t>    </w:t>
      </w:r>
    </w:p>
    <w:p>
      <w:pPr>
        <w:pStyle w:val="TextBody"/>
        <w:spacing w:before="240" w:after="0"/>
        <w:jc w:val="center"/>
        <w:rPr>
          <w:rFonts w:ascii="Times New Roman" w:hAnsi="Times New Roman"/>
          <w:b/>
          <w:sz w:val="20"/>
        </w:rPr>
      </w:pPr>
      <w:r>
        <w:rPr>
          <w:rFonts w:ascii="Times New Roman" w:hAnsi="Times New Roman"/>
          <w:b/>
          <w:sz w:val="20"/>
        </w:rPr>
        <w:t xml:space="preserve">to </w:t>
      </w:r>
    </w:p>
    <w:p>
      <w:pPr>
        <w:pStyle w:val="TextBody"/>
        <w:spacing w:before="240" w:after="0"/>
        <w:jc w:val="center"/>
        <w:rPr>
          <w:spacing w:val="0"/>
          <w:u w:val="single"/>
        </w:rPr>
      </w:pPr>
      <w:r>
        <w:rPr>
          <w:spacing w:val="0"/>
          <w:u w:val="single"/>
        </w:rPr>
        <w:t>    </w:t>
      </w:r>
    </w:p>
    <w:p>
      <w:pPr>
        <w:pStyle w:val="TextBody"/>
        <w:spacing w:before="240" w:after="0"/>
        <w:jc w:val="center"/>
        <w:rPr>
          <w:spacing w:val="0"/>
          <w:u w:val="single"/>
        </w:rPr>
      </w:pPr>
      <w:r>
        <w:rPr>
          <w:spacing w:val="0"/>
          <w:u w:val="single"/>
        </w:rPr>
        <w:t>        </w:t>
      </w:r>
    </w:p>
    <w:p>
      <w:pPr>
        <w:pStyle w:val="TextBody"/>
        <w:spacing w:before="240" w:after="0"/>
        <w:jc w:val="center"/>
        <w:rPr>
          <w:spacing w:val="0"/>
          <w:u w:val="single"/>
        </w:rPr>
      </w:pPr>
      <w:r>
        <w:rPr>
          <w:spacing w:val="0"/>
          <w:u w:val="single"/>
        </w:rPr>
        <w:t>    </w:t>
      </w:r>
    </w:p>
    <w:p>
      <w:pPr>
        <w:pStyle w:val="TextBody"/>
        <w:spacing w:before="240" w:after="0"/>
        <w:jc w:val="center"/>
        <w:rPr>
          <w:spacing w:val="0"/>
          <w:u w:val="single"/>
        </w:rPr>
      </w:pPr>
      <w:r>
        <w:rPr>
          <w:spacing w:val="0"/>
          <w:u w:val="single"/>
        </w:rPr>
        <w:t>    </w:t>
      </w:r>
    </w:p>
    <w:p>
      <w:pPr>
        <w:pStyle w:val="TextBody"/>
        <w:spacing w:before="240" w:after="0"/>
        <w:ind w:left="0" w:right="0" w:hanging="0"/>
        <w:jc w:val="center"/>
        <w:rPr>
          <w:rFonts w:ascii="Times New Roman" w:hAnsi="Times New Roman"/>
          <w:b/>
          <w:sz w:val="20"/>
        </w:rPr>
      </w:pPr>
      <w:r>
        <w:rPr>
          <w:rFonts w:ascii="Times New Roman" w:hAnsi="Times New Roman"/>
          <w:b/>
          <w:sz w:val="20"/>
        </w:rPr>
        <w:t xml:space="preserve">Commission file number: </w:t>
      </w:r>
    </w:p>
    <w:p>
      <w:pPr>
        <w:pStyle w:val="TextBody"/>
        <w:spacing w:before="240" w:after="0"/>
        <w:jc w:val="center"/>
        <w:rPr>
          <w:rFonts w:ascii="Times New Roman" w:hAnsi="Times New Roman"/>
          <w:b/>
          <w:spacing w:val="0"/>
          <w:sz w:val="20"/>
        </w:rPr>
      </w:pPr>
      <w:r>
        <w:rPr>
          <w:rFonts w:ascii="Times New Roman" w:hAnsi="Times New Roman"/>
          <w:b/>
          <w:spacing w:val="0"/>
          <w:sz w:val="20"/>
        </w:rPr>
        <w:t>001-33277</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ind w:left="0" w:right="0" w:hanging="0"/>
        <w:jc w:val="center"/>
        <w:rPr>
          <w:rFonts w:ascii="Times New Roman" w:hAnsi="Times New Roman"/>
          <w:b/>
          <w:spacing w:val="0"/>
          <w:sz w:val="48"/>
        </w:rPr>
      </w:pPr>
      <w:r>
        <w:rPr>
          <w:rFonts w:ascii="Times New Roman" w:hAnsi="Times New Roman"/>
          <w:b/>
          <w:spacing w:val="0"/>
          <w:sz w:val="48"/>
        </w:rPr>
        <w:t xml:space="preserve">MADRIGAL PHARMACEUTICALS, INC.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0" w:after="0"/>
        <w:ind w:left="0" w:right="0" w:hanging="0"/>
        <w:jc w:val="left"/>
        <w:rPr>
          <w:spacing w:val="0"/>
        </w:rPr>
      </w:pPr>
      <w:r>
        <w:rPr>
          <w:spacing w:val="0"/>
        </w:rPr>
        <w:t> </w:t>
      </w:r>
    </w:p>
    <w:tbl>
      <w:tblPr>
        <w:tblW w:w="5365" w:type="dxa"/>
        <w:jc w:val="left"/>
        <w:tblInd w:w="0" w:type="dxa"/>
        <w:tblCellMar>
          <w:top w:w="0" w:type="dxa"/>
          <w:left w:w="0" w:type="dxa"/>
          <w:bottom w:w="0" w:type="dxa"/>
          <w:right w:w="0" w:type="dxa"/>
        </w:tblCellMar>
      </w:tblPr>
      <w:tblGrid>
        <w:gridCol w:w="3935"/>
        <w:gridCol w:w="60"/>
        <w:gridCol w:w="1370"/>
      </w:tblGrid>
      <w:tr>
        <w:trPr/>
        <w:tc>
          <w:tcPr>
            <w:tcW w:w="3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0"/>
              <w:jc w:val="center"/>
              <w:rPr>
                <w:b/>
                <w:spacing w:val="0"/>
              </w:rPr>
            </w:pPr>
            <w:r>
              <w:rPr>
                <w:b/>
                <w:spacing w:val="0"/>
              </w:rPr>
              <w:t>Delaware</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b/>
                <w:spacing w:val="0"/>
              </w:rPr>
            </w:pPr>
            <w:r>
              <w:rPr>
                <w:b/>
                <w:spacing w:val="0"/>
              </w:rPr>
              <w:t>04-3508648</w:t>
            </w:r>
          </w:p>
        </w:tc>
      </w:tr>
      <w:tr>
        <w:trPr/>
        <w:tc>
          <w:tcPr>
            <w:tcW w:w="393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(State or other jurisdiction of</w:t>
            </w:r>
          </w:p>
          <w:p>
            <w:pPr>
              <w:pStyle w:val="TableContents"/>
              <w:spacing w:before="0" w:after="20"/>
              <w:jc w:val="center"/>
              <w:rPr>
                <w:rFonts w:ascii="Times New Roman" w:hAnsi="Times New Roman"/>
                <w:b/>
                <w:spacing w:val="0"/>
                <w:sz w:val="16"/>
              </w:rPr>
            </w:pPr>
            <w:r>
              <w:rPr>
                <w:rFonts w:ascii="Times New Roman" w:hAnsi="Times New Roman"/>
                <w:b/>
                <w:spacing w:val="0"/>
                <w:sz w:val="16"/>
              </w:rPr>
              <w:t>incorporation or organization)</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(I.R.S. Employer</w:t>
            </w:r>
          </w:p>
          <w:p>
            <w:pPr>
              <w:pStyle w:val="TableContents"/>
              <w:spacing w:before="0" w:after="20"/>
              <w:jc w:val="center"/>
              <w:rPr>
                <w:rFonts w:ascii="Times New Roman" w:hAnsi="Times New Roman"/>
                <w:b/>
                <w:spacing w:val="0"/>
                <w:sz w:val="16"/>
              </w:rPr>
            </w:pPr>
            <w:r>
              <w:rPr>
                <w:rFonts w:ascii="Times New Roman" w:hAnsi="Times New Roman"/>
                <w:b/>
                <w:spacing w:val="0"/>
                <w:sz w:val="16"/>
              </w:rPr>
              <w:t>Identification No.)</w:t>
            </w:r>
          </w:p>
        </w:tc>
      </w:tr>
      <w:tr>
        <w:trPr/>
        <w:tc>
          <w:tcPr>
            <w:tcW w:w="3935" w:type="dxa"/>
            <w:tcBorders/>
            <w:shd w:fill="auto" w:val="clear"/>
            <w:vAlign w:val="center"/>
          </w:tcPr>
          <w:p>
            <w:pPr>
              <w:pStyle w:val="TableContents"/>
              <w:spacing w:before="0" w:after="283"/>
              <w:rPr>
                <w:sz w:val="4"/>
                <w:szCs w:val="4"/>
              </w:rPr>
            </w:pPr>
            <w:r>
              <w:rPr>
                <w:sz w:val="4"/>
                <w:szCs w:val="4"/>
              </w:rPr>
            </w:r>
          </w:p>
        </w:tc>
        <w:tc>
          <w:tcPr>
            <w:tcW w:w="1430" w:type="dxa"/>
            <w:gridSpan w:val="2"/>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0"/>
              <w:jc w:val="center"/>
              <w:rPr>
                <w:rFonts w:ascii="Times New Roman" w:hAnsi="Times New Roman"/>
                <w:b/>
                <w:spacing w:val="0"/>
                <w:sz w:val="20"/>
              </w:rPr>
            </w:pPr>
            <w:r>
              <w:rPr>
                <w:rFonts w:ascii="Times New Roman" w:hAnsi="Times New Roman"/>
                <w:b/>
                <w:spacing w:val="0"/>
                <w:sz w:val="20"/>
              </w:rPr>
              <w:t>Four Tower Bridge</w:t>
            </w:r>
          </w:p>
          <w:p>
            <w:pPr>
              <w:pStyle w:val="TableContents"/>
              <w:spacing w:before="0" w:after="0"/>
              <w:jc w:val="center"/>
              <w:rPr>
                <w:rFonts w:ascii="Times New Roman" w:hAnsi="Times New Roman"/>
                <w:b/>
                <w:spacing w:val="0"/>
                <w:sz w:val="20"/>
              </w:rPr>
            </w:pPr>
            <w:r>
              <w:rPr>
                <w:rFonts w:ascii="Times New Roman" w:hAnsi="Times New Roman"/>
                <w:b/>
                <w:spacing w:val="0"/>
                <w:sz w:val="20"/>
              </w:rPr>
              <w:t>200 Barr Harbor Drive, Suite 200</w:t>
            </w:r>
          </w:p>
          <w:p>
            <w:pPr>
              <w:pStyle w:val="TableContents"/>
              <w:spacing w:before="0" w:after="20"/>
              <w:jc w:val="center"/>
              <w:rPr>
                <w:rFonts w:ascii="Times New Roman" w:hAnsi="Times New Roman"/>
                <w:b/>
                <w:spacing w:val="0"/>
                <w:sz w:val="20"/>
              </w:rPr>
            </w:pPr>
            <w:r>
              <w:rPr>
                <w:rFonts w:ascii="Times New Roman" w:hAnsi="Times New Roman"/>
                <w:b/>
                <w:spacing w:val="0"/>
                <w:sz w:val="20"/>
              </w:rPr>
              <w:t>West Conshohocken, Pennsylvania</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b/>
                <w:spacing w:val="0"/>
              </w:rPr>
            </w:pPr>
            <w:r>
              <w:rPr>
                <w:b/>
                <w:spacing w:val="0"/>
              </w:rPr>
              <w:t>19428</w:t>
            </w:r>
          </w:p>
        </w:tc>
      </w:tr>
      <w:tr>
        <w:trPr/>
        <w:tc>
          <w:tcPr>
            <w:tcW w:w="3935" w:type="dxa"/>
            <w:tcBorders/>
            <w:shd w:fill="auto" w:val="clear"/>
            <w:vAlign w:val="center"/>
          </w:tcPr>
          <w:p>
            <w:pPr>
              <w:pStyle w:val="TableContents"/>
              <w:spacing w:before="0" w:after="0"/>
              <w:jc w:val="center"/>
              <w:rPr>
                <w:b/>
                <w:spacing w:val="0"/>
              </w:rPr>
            </w:pPr>
            <w:r>
              <w:rPr>
                <w:b/>
                <w:spacing w:val="0"/>
              </w:rPr>
              <w:t>(Address of principal executive offices)</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b/>
                <w:spacing w:val="0"/>
              </w:rPr>
            </w:pPr>
            <w:r>
              <w:rPr>
                <w:b/>
                <w:spacing w:val="0"/>
              </w:rPr>
              <w:t>(Zip Code)</w:t>
            </w:r>
          </w:p>
        </w:tc>
      </w:tr>
    </w:tbl>
    <w:p>
      <w:pPr>
        <w:pStyle w:val="TextBody"/>
        <w:spacing w:before="240" w:after="0"/>
        <w:ind w:left="0" w:right="0" w:hanging="0"/>
        <w:jc w:val="center"/>
        <w:rPr>
          <w:rFonts w:ascii="Times New Roman" w:hAnsi="Times New Roman"/>
          <w:b/>
          <w:sz w:val="20"/>
        </w:rPr>
      </w:pPr>
      <w:r>
        <w:rPr>
          <w:rFonts w:ascii="Times New Roman" w:hAnsi="Times New Roman"/>
          <w:b/>
          <w:sz w:val="20"/>
        </w:rPr>
        <w:t xml:space="preserve">Registrant’s telephone number, including area code: (267) </w:t>
      </w:r>
    </w:p>
    <w:p>
      <w:pPr>
        <w:pStyle w:val="TextBody"/>
        <w:spacing w:before="240" w:after="0"/>
        <w:jc w:val="center"/>
        <w:rPr>
          <w:rFonts w:ascii="Times New Roman" w:hAnsi="Times New Roman"/>
          <w:b/>
          <w:spacing w:val="0"/>
          <w:sz w:val="20"/>
        </w:rPr>
      </w:pPr>
      <w:r>
        <w:rPr>
          <w:rFonts w:ascii="Times New Roman" w:hAnsi="Times New Roman"/>
          <w:b/>
          <w:spacing w:val="0"/>
          <w:sz w:val="20"/>
        </w:rPr>
        <w:t>824-2827</w:t>
      </w:r>
    </w:p>
    <w:p>
      <w:pPr>
        <w:pStyle w:val="TextBody"/>
        <w:spacing w:before="0" w:after="0"/>
        <w:ind w:left="0" w:right="0" w:hanging="0"/>
        <w:jc w:val="left"/>
        <w:rPr>
          <w:spacing w:val="0"/>
        </w:rPr>
      </w:pPr>
      <w:r>
        <w:rPr>
          <w:spacing w:val="0"/>
        </w:rPr>
        <w:t> </w:t>
      </w:r>
    </w:p>
    <w:p>
      <w:pPr>
        <w:pStyle w:val="TextBody"/>
        <w:spacing w:before="240" w:after="0"/>
        <w:ind w:left="0" w:right="0" w:hanging="0"/>
        <w:jc w:val="center"/>
        <w:rPr>
          <w:spacing w:val="0"/>
        </w:rPr>
      </w:pPr>
      <w:r>
        <w:rPr>
          <w:spacing w:val="0"/>
        </w:rPr>
        <w:t xml:space="preserve">     </w:t>
      </w:r>
    </w:p>
    <w:p>
      <w:pPr>
        <w:pStyle w:val="TextBody"/>
        <w:spacing w:before="0" w:after="0"/>
        <w:ind w:left="0" w:right="0" w:hanging="0"/>
        <w:jc w:val="center"/>
        <w:rPr>
          <w:rFonts w:ascii="Times New Roman" w:hAnsi="Times New Roman"/>
          <w:b/>
          <w:spacing w:val="0"/>
          <w:sz w:val="16"/>
        </w:rPr>
      </w:pPr>
      <w:r>
        <w:rPr>
          <w:rFonts w:ascii="Times New Roman" w:hAnsi="Times New Roman"/>
          <w:b/>
          <w:spacing w:val="0"/>
          <w:sz w:val="16"/>
        </w:rPr>
        <w:t xml:space="preserve">Former name, former address and former fiscal year, if changed since last report: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0" w:after="0"/>
        <w:ind w:left="0" w:right="0" w:hanging="0"/>
        <w:jc w:val="left"/>
        <w:rPr>
          <w:spacing w:val="0"/>
        </w:rPr>
      </w:pPr>
      <w:r>
        <w:rPr>
          <w:spacing w:val="0"/>
        </w:rPr>
        <w:t> </w:t>
      </w:r>
    </w:p>
    <w:tbl>
      <w:tblPr>
        <w:tblW w:w="9135" w:type="dxa"/>
        <w:jc w:val="left"/>
        <w:tblInd w:w="0" w:type="dxa"/>
        <w:tblCellMar>
          <w:top w:w="0" w:type="dxa"/>
          <w:left w:w="0" w:type="dxa"/>
          <w:bottom w:w="0" w:type="dxa"/>
          <w:right w:w="0" w:type="dxa"/>
        </w:tblCellMar>
      </w:tblPr>
      <w:tblGrid>
        <w:gridCol w:w="4685"/>
        <w:gridCol w:w="60"/>
        <w:gridCol w:w="770"/>
        <w:gridCol w:w="60"/>
        <w:gridCol w:w="3560"/>
      </w:tblGrid>
      <w:tr>
        <w:trPr/>
        <w:tc>
          <w:tcPr>
            <w:tcW w:w="46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60" w:type="dxa"/>
            <w:tcBorders/>
            <w:shd w:fill="auto" w:val="clear"/>
            <w:vAlign w:val="center"/>
          </w:tcPr>
          <w:p>
            <w:pPr>
              <w:pStyle w:val="TableContents"/>
              <w:spacing w:before="0" w:after="283"/>
              <w:rPr>
                <w:sz w:val="4"/>
                <w:szCs w:val="4"/>
              </w:rPr>
            </w:pPr>
            <w:r>
              <w:rPr>
                <w:sz w:val="4"/>
                <w:szCs w:val="4"/>
              </w:rPr>
            </w:r>
          </w:p>
        </w:tc>
      </w:tr>
      <w:tr>
        <w:trPr/>
        <w:tc>
          <w:tcPr>
            <w:tcW w:w="4685" w:type="dxa"/>
            <w:tcBorders/>
            <w:shd w:fill="auto" w:val="clear"/>
            <w:vAlign w:val="center"/>
          </w:tcPr>
          <w:p>
            <w:pPr>
              <w:pStyle w:val="TableContents"/>
              <w:spacing w:before="0" w:after="20"/>
              <w:jc w:val="center"/>
              <w:rPr>
                <w:rFonts w:ascii="Times New Roman" w:hAnsi="Times New Roman"/>
                <w:b/>
                <w:spacing w:val="0"/>
                <w:sz w:val="16"/>
              </w:rPr>
            </w:pPr>
            <w:r>
              <w:rPr>
                <w:rFonts w:ascii="Times New Roman" w:hAnsi="Times New Roman"/>
                <w:b/>
                <w:spacing w:val="0"/>
                <w:sz w:val="16"/>
              </w:rPr>
              <w:t>Title of each class</w:t>
            </w:r>
          </w:p>
        </w:tc>
        <w:tc>
          <w:tcPr>
            <w:tcW w:w="6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Trading</w:t>
            </w:r>
          </w:p>
          <w:p>
            <w:pPr>
              <w:pStyle w:val="TableContents"/>
              <w:spacing w:before="0" w:after="20"/>
              <w:jc w:val="center"/>
              <w:rPr>
                <w:rFonts w:ascii="Times New Roman" w:hAnsi="Times New Roman"/>
                <w:b/>
                <w:spacing w:val="0"/>
                <w:sz w:val="16"/>
              </w:rPr>
            </w:pPr>
            <w:r>
              <w:rPr>
                <w:rFonts w:ascii="Times New Roman" w:hAnsi="Times New Roman"/>
                <w:b/>
                <w:spacing w:val="0"/>
                <w:sz w:val="16"/>
              </w:rPr>
              <w:t>Symbol(s)</w:t>
            </w:r>
          </w:p>
        </w:tc>
        <w:tc>
          <w:tcPr>
            <w:tcW w:w="6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Name of each exchange</w:t>
            </w:r>
          </w:p>
          <w:p>
            <w:pPr>
              <w:pStyle w:val="TableContents"/>
              <w:spacing w:before="0" w:after="20"/>
              <w:jc w:val="center"/>
              <w:rPr>
                <w:rFonts w:ascii="Times New Roman" w:hAnsi="Times New Roman"/>
                <w:b/>
                <w:spacing w:val="0"/>
                <w:sz w:val="16"/>
              </w:rPr>
            </w:pPr>
            <w:r>
              <w:rPr>
                <w:rFonts w:ascii="Times New Roman" w:hAnsi="Times New Roman"/>
                <w:b/>
                <w:spacing w:val="0"/>
                <w:sz w:val="16"/>
              </w:rPr>
              <w:t>on which registered</w:t>
            </w:r>
          </w:p>
        </w:tc>
      </w:tr>
      <w:tr>
        <w:trPr/>
        <w:tc>
          <w:tcPr>
            <w:tcW w:w="4685" w:type="dxa"/>
            <w:tcBorders/>
            <w:shd w:fill="auto" w:val="clear"/>
            <w:vAlign w:val="center"/>
          </w:tcPr>
          <w:p>
            <w:pPr>
              <w:pStyle w:val="TableContents"/>
              <w:spacing w:before="0" w:after="0"/>
              <w:jc w:val="center"/>
              <w:rPr>
                <w:b/>
                <w:spacing w:val="0"/>
              </w:rPr>
            </w:pPr>
            <w:r>
              <w:rPr>
                <w:b/>
                <w:spacing w:val="0"/>
              </w:rPr>
              <w:t>Common Stock, $0.0001 Par Value Per Share</w:t>
            </w:r>
          </w:p>
        </w:tc>
        <w:tc>
          <w:tcPr>
            <w:tcW w:w="6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0"/>
              <w:jc w:val="center"/>
              <w:rPr>
                <w:b/>
                <w:spacing w:val="0"/>
              </w:rPr>
            </w:pPr>
            <w:r>
              <w:rPr>
                <w:b/>
                <w:spacing w:val="0"/>
              </w:rPr>
              <w:t>MDGL</w:t>
            </w:r>
          </w:p>
        </w:tc>
        <w:tc>
          <w:tcPr>
            <w:tcW w:w="6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spacing w:before="0" w:after="0"/>
              <w:jc w:val="center"/>
              <w:rPr>
                <w:b/>
                <w:spacing w:val="0"/>
              </w:rPr>
            </w:pPr>
            <w:r>
              <w:rPr>
                <w:b/>
                <w:spacing w:val="0"/>
              </w:rPr>
              <w:t>The NASDAQ Stock Market LLC</w:t>
            </w:r>
          </w:p>
        </w:tc>
      </w:tr>
    </w:tbl>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Securities registered pursuant to Section 12(g) of the Exchange Act: None.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spacing w:before="240" w:after="0"/>
        <w:jc w:val="left"/>
        <w:rPr>
          <w:rFonts w:ascii="Times New Roman" w:hAnsi="Times New Roman"/>
          <w:spacing w:val="0"/>
          <w:sz w:val="20"/>
        </w:rPr>
      </w:pPr>
      <w:r>
        <w:rPr>
          <w:rFonts w:ascii="Times New Roman" w:hAnsi="Times New Roman"/>
          <w:spacing w:val="0"/>
          <w:sz w:val="20"/>
        </w:rPr>
        <w:t>S-T</w:t>
      </w:r>
    </w:p>
    <w:p>
      <w:pPr>
        <w:pStyle w:val="TextBody"/>
        <w:spacing w:before="24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  Yes    ☐  No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spacing w:before="24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Rule </w:t>
      </w:r>
    </w:p>
    <w:p>
      <w:pPr>
        <w:pStyle w:val="TextBody"/>
        <w:spacing w:before="240" w:after="0"/>
        <w:jc w:val="left"/>
        <w:rPr>
          <w:rFonts w:ascii="Times New Roman" w:hAnsi="Times New Roman"/>
          <w:spacing w:val="0"/>
          <w:sz w:val="20"/>
        </w:rPr>
      </w:pPr>
      <w:r>
        <w:rPr>
          <w:rFonts w:ascii="Times New Roman" w:hAnsi="Times New Roman"/>
          <w:spacing w:val="0"/>
          <w:sz w:val="20"/>
        </w:rPr>
        <w:t>12b-2</w:t>
      </w:r>
    </w:p>
    <w:p>
      <w:pPr>
        <w:pStyle w:val="TextBody"/>
        <w:spacing w:before="240" w:after="0"/>
        <w:jc w:val="left"/>
        <w:rPr>
          <w:rFonts w:ascii="Times New Roman" w:hAnsi="Times New Roman"/>
          <w:sz w:val="20"/>
        </w:rPr>
      </w:pPr>
      <w:r>
        <w:rPr>
          <w:rFonts w:ascii="Times New Roman" w:hAnsi="Times New Roman"/>
          <w:sz w:val="20"/>
        </w:rPr>
        <w:t xml:space="preserve">of the Exchange Act. </w:t>
      </w:r>
    </w:p>
    <w:p>
      <w:pPr>
        <w:pStyle w:val="TextBody"/>
        <w:spacing w:before="0" w:after="0"/>
        <w:ind w:left="0" w:right="0" w:hanging="0"/>
        <w:jc w:val="left"/>
        <w:rPr>
          <w:spacing w:val="0"/>
        </w:rPr>
      </w:pPr>
      <w:r>
        <w:rPr>
          <w:spacing w:val="0"/>
        </w:rPr>
        <w:t> </w:t>
      </w:r>
    </w:p>
    <w:tbl>
      <w:tblPr>
        <w:tblW w:w="5465" w:type="dxa"/>
        <w:jc w:val="left"/>
        <w:tblInd w:w="0" w:type="dxa"/>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135" w:type="dxa"/>
            <w:tcBorders/>
            <w:shd w:fill="auto" w:val="clear"/>
            <w:vAlign w:val="center"/>
          </w:tcPr>
          <w:p>
            <w:pPr>
              <w:pStyle w:val="TableContents"/>
              <w:spacing w:before="0" w:after="283"/>
              <w:rPr/>
            </w:pPr>
            <w:r>
              <w:rPr/>
              <w:t>Large 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Accelerated filer</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13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5"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2135" w:type="dxa"/>
            <w:tcBorders/>
            <w:shd w:fill="auto" w:val="clear"/>
            <w:vAlign w:val="center"/>
          </w:tcPr>
          <w:p>
            <w:pPr>
              <w:pStyle w:val="TableContents"/>
              <w:spacing w:before="0" w:after="0"/>
              <w:rPr>
                <w:spacing w:val="0"/>
              </w:rPr>
            </w:pPr>
            <w:r>
              <w:rPr>
                <w:spacing w:val="0"/>
              </w:rPr>
              <w:t>Non-accelerated</w:t>
            </w:r>
          </w:p>
          <w:p>
            <w:pPr>
              <w:pStyle w:val="TableContents"/>
              <w:spacing w:before="0" w:after="0"/>
              <w:rPr/>
            </w:pPr>
            <w:r>
              <w:rPr/>
              <w:t>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Smaller reporting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13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5"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2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Emerging growth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spacing w:before="240" w:after="0"/>
        <w:jc w:val="left"/>
        <w:rPr>
          <w:rFonts w:ascii="Times New Roman" w:hAnsi="Times New Roman"/>
          <w:spacing w:val="0"/>
          <w:sz w:val="20"/>
        </w:rPr>
      </w:pPr>
      <w:r>
        <w:rPr>
          <w:rFonts w:ascii="Times New Roman" w:hAnsi="Times New Roman"/>
          <w:spacing w:val="0"/>
          <w:sz w:val="20"/>
        </w:rPr>
        <w:t>12b-2</w:t>
      </w:r>
    </w:p>
    <w:p>
      <w:pPr>
        <w:pStyle w:val="TextBody"/>
        <w:spacing w:before="240" w:after="0"/>
        <w:jc w:val="left"/>
        <w:rPr>
          <w:rFonts w:ascii="Times New Roman" w:hAnsi="Times New Roman"/>
          <w:sz w:val="20"/>
        </w:rPr>
      </w:pPr>
      <w:r>
        <w:rPr>
          <w:rFonts w:ascii="Times New Roman" w:hAnsi="Times New Roman"/>
          <w:sz w:val="20"/>
        </w:rPr>
        <w:t xml:space="preserve">of the Exchange Act).    Yes  ☐    No  ☒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As of May 5, 2023, the registrant had 18,289,173 shares of common stock outstanding. </w:t>
      </w:r>
    </w:p>
    <w:p>
      <w:pPr>
        <w:pStyle w:val="TextBody"/>
        <w:spacing w:before="0" w:after="0"/>
        <w:ind w:left="0" w:right="0" w:hanging="0"/>
        <w:jc w:val="left"/>
        <w:rPr>
          <w:spacing w:val="0"/>
        </w:rPr>
      </w:pPr>
      <w:r>
        <w:rPr>
          <w:spacing w:val="0"/>
        </w:rPr>
        <w:t> </w:t>
      </w:r>
    </w:p>
    <w:p>
      <w:pPr>
        <w:pStyle w:val="TextBody"/>
        <w:spacing w:lineRule="atLeast" w:line="141" w:before="0" w:after="0"/>
        <w:ind w:left="0" w:right="0" w:hanging="0"/>
        <w:jc w:val="left"/>
        <w:rPr>
          <w:spacing w:val="0"/>
        </w:rPr>
      </w:pPr>
      <w:r>
        <w:rPr>
          <w:spacing w:val="0"/>
        </w:rPr>
        <w:t> </w:t>
      </w:r>
    </w:p>
    <w:p>
      <w:pPr>
        <w:pStyle w:val="TextBody"/>
        <w:spacing w:lineRule="atLeast" w:line="141" w:before="0" w:after="40"/>
        <w:ind w:left="0" w:right="0" w:hanging="0"/>
        <w:jc w:val="left"/>
        <w:rPr>
          <w:spacing w:val="0"/>
        </w:rPr>
      </w:pPr>
      <w:r>
        <w:rPr>
          <w:spacing w:val="0"/>
        </w:rPr>
        <w:t> </w:t>
      </w:r>
      <w:r>
        <w:br w:type="page"/>
      </w:r>
    </w:p>
    <w:p>
      <w:pPr>
        <w:pStyle w:val="HorizontalLine"/>
        <w:rPr/>
      </w:pPr>
      <w:r>
        <w:rPr/>
      </w:r>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25"/>
        <w:gridCol w:w="60"/>
        <w:gridCol w:w="8710"/>
        <w:gridCol w:w="120"/>
        <w:gridCol w:w="96"/>
        <w:gridCol w:w="419"/>
        <w:gridCol w:w="75"/>
      </w:tblGrid>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Item</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283"/>
              <w:jc w:val="center"/>
              <w:rPr>
                <w:b/>
              </w:rPr>
            </w:pPr>
            <w:r>
              <w:rPr>
                <w:b/>
              </w:rPr>
              <w:t>Description</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283"/>
              <w:jc w:val="center"/>
              <w:rPr>
                <w:b/>
              </w:rPr>
            </w:pPr>
            <w:r>
              <w:rPr>
                <w:b/>
              </w:rPr>
              <w:t>Page</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1">
              <w:r>
                <w:rPr>
                  <w:rStyle w:val="InternetLink"/>
                  <w:rFonts w:ascii="Times New Roman" w:hAnsi="Times New Roman"/>
                  <w:sz w:val="20"/>
                </w:rPr>
                <w:t>Part I. Financial Information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2">
              <w:r>
                <w:rPr>
                  <w:rStyle w:val="InternetLink"/>
                  <w:rFonts w:ascii="Times New Roman" w:hAnsi="Times New Roman"/>
                  <w:sz w:val="20"/>
                </w:rPr>
                <w:t>Financial Statements (Unaudited):</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3">
              <w:r>
                <w:rPr>
                  <w:rStyle w:val="InternetLink"/>
                  <w:rFonts w:ascii="Times New Roman" w:hAnsi="Times New Roman"/>
                  <w:sz w:val="20"/>
                </w:rPr>
                <w:t>Condensed Consolidated Balance Sheets at March 31, 2023 and December 31, 2022</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4">
              <w:r>
                <w:rPr>
                  <w:rStyle w:val="InternetLink"/>
                  <w:rFonts w:ascii="Times New Roman" w:hAnsi="Times New Roman"/>
                  <w:sz w:val="20"/>
                </w:rPr>
                <w:t>Condensed Consolidated Statements of Operations for the Three Months Ended March 31, 2023 and 2022</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5">
              <w:r>
                <w:rPr>
                  <w:rStyle w:val="InternetLink"/>
                  <w:rFonts w:ascii="Times New Roman" w:hAnsi="Times New Roman"/>
                  <w:sz w:val="20"/>
                </w:rPr>
                <w:t>Condensed Consolidated Statements of Comprehensive Loss for the Three Months Ended March 31, 2023 and 2022</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6">
              <w:r>
                <w:rPr>
                  <w:rStyle w:val="InternetLink"/>
                  <w:rFonts w:ascii="Times New Roman" w:hAnsi="Times New Roman"/>
                  <w:sz w:val="20"/>
                </w:rPr>
                <w:t>Condensed Consolidated Statements of Stockholders’ Equity for the Three Months Ended March 31, 2023 and 2022</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6</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7">
              <w:r>
                <w:rPr>
                  <w:rStyle w:val="InternetLink"/>
                  <w:rFonts w:ascii="Times New Roman" w:hAnsi="Times New Roman"/>
                  <w:sz w:val="20"/>
                </w:rPr>
                <w:t>Condensed Consolidated Statements of Cash Flows for the Three Months Ended March 31, 2023 and 2022</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8">
              <w:r>
                <w:rPr>
                  <w:rStyle w:val="InternetLink"/>
                  <w:rFonts w:ascii="Times New Roman" w:hAnsi="Times New Roman"/>
                  <w:sz w:val="20"/>
                </w:rPr>
                <w:t>Notes to Condensed Consolidated Financial Statements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2.</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9">
              <w:r>
                <w:rPr>
                  <w:rStyle w:val="InternetLink"/>
                  <w:rFonts w:ascii="Times New Roman" w:hAnsi="Times New Roman"/>
                  <w:sz w:val="20"/>
                </w:rPr>
                <w:t>Management’s Discussion and Analysis of Financial Condition and Results of Operations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19</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3.</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10">
              <w:r>
                <w:rPr>
                  <w:rStyle w:val="InternetLink"/>
                  <w:rFonts w:ascii="Times New Roman" w:hAnsi="Times New Roman"/>
                  <w:sz w:val="20"/>
                </w:rPr>
                <w:t>Quantitative and Qualitative Disclosures About Market Risk</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24</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4.</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11">
              <w:r>
                <w:rPr>
                  <w:rStyle w:val="InternetLink"/>
                  <w:rFonts w:ascii="Times New Roman" w:hAnsi="Times New Roman"/>
                  <w:sz w:val="20"/>
                </w:rPr>
                <w:t>Controls and Procedures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24</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12">
              <w:r>
                <w:rPr>
                  <w:rStyle w:val="InternetLink"/>
                  <w:rFonts w:ascii="Times New Roman" w:hAnsi="Times New Roman"/>
                  <w:sz w:val="20"/>
                </w:rPr>
                <w:t>Part II. Other Information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25</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13">
              <w:r>
                <w:rPr>
                  <w:rStyle w:val="InternetLink"/>
                  <w:rFonts w:ascii="Times New Roman" w:hAnsi="Times New Roman"/>
                  <w:sz w:val="20"/>
                </w:rPr>
                <w:t>Legal Proceedings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25</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1A.</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14">
              <w:r>
                <w:rPr>
                  <w:rStyle w:val="InternetLink"/>
                  <w:rFonts w:ascii="Times New Roman" w:hAnsi="Times New Roman"/>
                  <w:sz w:val="20"/>
                </w:rPr>
                <w:t>Risk Factors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25</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2.</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15">
              <w:r>
                <w:rPr>
                  <w:rStyle w:val="InternetLink"/>
                  <w:rFonts w:ascii="Times New Roman" w:hAnsi="Times New Roman"/>
                  <w:sz w:val="20"/>
                </w:rPr>
                <w:t>Unregistered Sales of Equity Securities and Use of Proceeds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25</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3.</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16">
              <w:r>
                <w:rPr>
                  <w:rStyle w:val="InternetLink"/>
                  <w:rFonts w:ascii="Times New Roman" w:hAnsi="Times New Roman"/>
                  <w:sz w:val="20"/>
                </w:rPr>
                <w:t>Defaults Upon Senior Securities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25</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4.</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17">
              <w:r>
                <w:rPr>
                  <w:rStyle w:val="InternetLink"/>
                  <w:rFonts w:ascii="Times New Roman" w:hAnsi="Times New Roman"/>
                  <w:sz w:val="20"/>
                </w:rPr>
                <w:t>Mine Safety Disclosures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25</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5.</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18">
              <w:r>
                <w:rPr>
                  <w:rStyle w:val="InternetLink"/>
                  <w:rFonts w:ascii="Times New Roman" w:hAnsi="Times New Roman"/>
                  <w:sz w:val="20"/>
                </w:rPr>
                <w:t>Other Information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25</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6.</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19">
              <w:r>
                <w:rPr>
                  <w:rStyle w:val="InternetLink"/>
                  <w:rFonts w:ascii="Times New Roman" w:hAnsi="Times New Roman"/>
                  <w:sz w:val="20"/>
                </w:rPr>
                <w:t>Exhibits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25</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431523_20">
              <w:r>
                <w:rPr>
                  <w:rStyle w:val="InternetLink"/>
                  <w:rFonts w:ascii="Times New Roman" w:hAnsi="Times New Roman"/>
                  <w:sz w:val="20"/>
                </w:rPr>
                <w:t>Signatures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27</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PART I—FINANCIAL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highlight w:val="white"/>
        </w:rPr>
      </w:pPr>
      <w:r>
        <w:rPr>
          <w:highlight w:val="white"/>
        </w:rPr>
        <w:t> </w:t>
      </w:r>
    </w:p>
    <w:tbl>
      <w:tblPr>
        <w:tblW w:w="2635" w:type="dxa"/>
        <w:jc w:val="left"/>
        <w:tblInd w:w="0" w:type="dxa"/>
        <w:tblCellMar>
          <w:top w:w="0" w:type="dxa"/>
          <w:left w:w="0" w:type="dxa"/>
          <w:bottom w:w="0" w:type="dxa"/>
          <w:right w:w="0" w:type="dxa"/>
        </w:tblCellMar>
      </w:tblPr>
      <w:tblGrid>
        <w:gridCol w:w="740"/>
        <w:gridCol w:w="1895"/>
      </w:tblGrid>
      <w:tr>
        <w:trPr/>
        <w:tc>
          <w:tcPr>
            <w:tcW w:w="740" w:type="dxa"/>
            <w:tcBorders/>
            <w:shd w:fill="auto" w:val="clear"/>
            <w:vAlign w:val="center"/>
          </w:tcPr>
          <w:p>
            <w:pPr>
              <w:pStyle w:val="TableContents"/>
              <w:spacing w:before="0" w:after="0"/>
              <w:jc w:val="left"/>
              <w:rPr>
                <w:b/>
                <w:spacing w:val="0"/>
              </w:rPr>
            </w:pPr>
            <w:bookmarkStart w:id="3" w:name="tx431523_2"/>
            <w:bookmarkEnd w:id="3"/>
            <w:r>
              <w:rPr>
                <w:b/>
                <w:spacing w:val="0"/>
              </w:rPr>
              <w:t>Item 1.</w:t>
            </w:r>
          </w:p>
        </w:tc>
        <w:tc>
          <w:tcPr>
            <w:tcW w:w="189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spacing w:before="480" w:after="0"/>
        <w:jc w:val="center"/>
        <w:rPr>
          <w:rFonts w:ascii="Times New Roman" w:hAnsi="Times New Roman"/>
          <w:b/>
          <w:sz w:val="20"/>
          <w:highlight w:val="white"/>
        </w:rPr>
      </w:pPr>
      <w:r>
        <w:rPr>
          <w:rFonts w:ascii="Times New Roman" w:hAnsi="Times New Roman"/>
          <w:b/>
          <w:sz w:val="20"/>
          <w:highlight w:val="white"/>
        </w:rPr>
        <w:t xml:space="preserve">MADRIGAL PHARMACEUTICALS,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CONDENSED CONSOLIDATED BALANCE SHEETS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(Unaudited; in thousands, except share and per share amounts)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090"/>
        <w:gridCol w:w="120"/>
        <w:gridCol w:w="140"/>
        <w:gridCol w:w="1055"/>
        <w:gridCol w:w="155"/>
        <w:gridCol w:w="60"/>
        <w:gridCol w:w="176"/>
        <w:gridCol w:w="1239"/>
        <w:gridCol w:w="170"/>
      </w:tblGrid>
      <w:tr>
        <w:trPr/>
        <w:tc>
          <w:tcPr>
            <w:tcW w:w="70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March 31,</w:t>
              <w:br/>
              <w:t>2023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br/>
              <w:t>2022</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9"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9"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113,308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w:t>
            </w:r>
          </w:p>
        </w:tc>
        <w:tc>
          <w:tcPr>
            <w:tcW w:w="1239" w:type="dxa"/>
            <w:tcBorders/>
            <w:shd w:fill="CCEEFF" w:val="clear"/>
            <w:vAlign w:val="center"/>
          </w:tcPr>
          <w:p>
            <w:pPr>
              <w:pStyle w:val="TableContents"/>
              <w:spacing w:before="0" w:after="283"/>
              <w:jc w:val="right"/>
              <w:rPr/>
            </w:pPr>
            <w:r>
              <w:rPr/>
              <w:t>331,549</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Marketable securities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216,169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9" w:type="dxa"/>
            <w:tcBorders/>
            <w:shd w:fill="auto" w:val="clear"/>
            <w:vAlign w:val="center"/>
          </w:tcPr>
          <w:p>
            <w:pPr>
              <w:pStyle w:val="TableContents"/>
              <w:spacing w:before="0" w:after="283"/>
              <w:jc w:val="right"/>
              <w:rPr/>
            </w:pPr>
            <w:r>
              <w:rPr/>
              <w:t>27,225</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1,807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9" w:type="dxa"/>
            <w:tcBorders/>
            <w:shd w:fill="CCEEFF" w:val="clear"/>
            <w:vAlign w:val="center"/>
          </w:tcPr>
          <w:p>
            <w:pPr>
              <w:pStyle w:val="TableContents"/>
              <w:spacing w:before="0" w:after="283"/>
              <w:jc w:val="right"/>
              <w:rPr/>
            </w:pPr>
            <w:r>
              <w:rPr/>
              <w:t>2,595</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239"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331,284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9" w:type="dxa"/>
            <w:tcBorders/>
            <w:shd w:fill="auto" w:val="clear"/>
            <w:vAlign w:val="center"/>
          </w:tcPr>
          <w:p>
            <w:pPr>
              <w:pStyle w:val="TableContents"/>
              <w:spacing w:before="0" w:after="283"/>
              <w:jc w:val="right"/>
              <w:rPr/>
            </w:pPr>
            <w:r>
              <w:rPr/>
              <w:t>361,369</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9" w:type="dxa"/>
            <w:tcBorders/>
            <w:shd w:fill="CCEEFF" w:val="clear"/>
            <w:vAlign w:val="center"/>
          </w:tcPr>
          <w:p>
            <w:pPr>
              <w:pStyle w:val="TableContents"/>
              <w:spacing w:before="0" w:after="283"/>
              <w:jc w:val="right"/>
              <w:rPr/>
            </w:pPr>
            <w:r>
              <w:rPr/>
              <w:t>601</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653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9" w:type="dxa"/>
            <w:tcBorders/>
            <w:shd w:fill="auto" w:val="clear"/>
            <w:vAlign w:val="center"/>
          </w:tcPr>
          <w:p>
            <w:pPr>
              <w:pStyle w:val="TableContents"/>
              <w:spacing w:before="0" w:after="283"/>
              <w:jc w:val="right"/>
              <w:rPr/>
            </w:pPr>
            <w:r>
              <w:rPr/>
              <w:t>602</w:t>
            </w:r>
          </w:p>
        </w:tc>
        <w:tc>
          <w:tcPr>
            <w:tcW w:w="170" w:type="dxa"/>
            <w:tcBorders/>
            <w:shd w:fill="auto"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239"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332,449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w:t>
            </w:r>
          </w:p>
        </w:tc>
        <w:tc>
          <w:tcPr>
            <w:tcW w:w="1239" w:type="dxa"/>
            <w:tcBorders/>
            <w:shd w:fill="CCEEFF" w:val="clear"/>
            <w:vAlign w:val="center"/>
          </w:tcPr>
          <w:p>
            <w:pPr>
              <w:pStyle w:val="TableContents"/>
              <w:spacing w:before="0" w:after="283"/>
              <w:jc w:val="right"/>
              <w:rPr/>
            </w:pPr>
            <w:r>
              <w:rPr/>
              <w:t>362,572</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0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double" w:sz="6" w:space="1" w:color="000000"/>
              </w:rPr>
            </w:pPr>
            <w:r>
              <w:rPr>
                <w:bdr w:val="double" w:sz="6" w:space="1" w:color="000000"/>
              </w:rPr>
              <w:t> </w:t>
            </w:r>
          </w:p>
        </w:tc>
        <w:tc>
          <w:tcPr>
            <w:tcW w:w="1239"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Liabilities and Stockholders’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9"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9"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Accounts payable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12,128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w:t>
            </w:r>
          </w:p>
        </w:tc>
        <w:tc>
          <w:tcPr>
            <w:tcW w:w="1239" w:type="dxa"/>
            <w:tcBorders/>
            <w:shd w:fill="auto" w:val="clear"/>
            <w:vAlign w:val="center"/>
          </w:tcPr>
          <w:p>
            <w:pPr>
              <w:pStyle w:val="TableContents"/>
              <w:spacing w:before="0" w:after="283"/>
              <w:jc w:val="right"/>
              <w:rPr/>
            </w:pPr>
            <w:r>
              <w:rPr/>
              <w:t>23,831</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85,567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9" w:type="dxa"/>
            <w:tcBorders/>
            <w:shd w:fill="CCEEFF" w:val="clear"/>
            <w:vAlign w:val="center"/>
          </w:tcPr>
          <w:p>
            <w:pPr>
              <w:pStyle w:val="TableContents"/>
              <w:spacing w:before="0" w:after="283"/>
              <w:jc w:val="right"/>
              <w:rPr/>
            </w:pPr>
            <w:r>
              <w:rPr/>
              <w:t>91,461</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 liability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653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9" w:type="dxa"/>
            <w:tcBorders/>
            <w:shd w:fill="auto" w:val="clear"/>
            <w:vAlign w:val="center"/>
          </w:tcPr>
          <w:p>
            <w:pPr>
              <w:pStyle w:val="TableContents"/>
              <w:spacing w:before="0" w:after="283"/>
              <w:jc w:val="right"/>
              <w:rPr/>
            </w:pPr>
            <w:r>
              <w:rPr/>
              <w:t>602</w:t>
            </w:r>
          </w:p>
        </w:tc>
        <w:tc>
          <w:tcPr>
            <w:tcW w:w="170" w:type="dxa"/>
            <w:tcBorders/>
            <w:shd w:fill="auto"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239"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98,348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9" w:type="dxa"/>
            <w:tcBorders/>
            <w:shd w:fill="CCEEFF" w:val="clear"/>
            <w:vAlign w:val="center"/>
          </w:tcPr>
          <w:p>
            <w:pPr>
              <w:pStyle w:val="TableContents"/>
              <w:spacing w:before="0" w:after="283"/>
              <w:jc w:val="right"/>
              <w:rPr/>
            </w:pPr>
            <w:r>
              <w:rPr/>
              <w:t>115,894</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Long term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9"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Loan payable, net of discount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83,965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9" w:type="dxa"/>
            <w:tcBorders/>
            <w:shd w:fill="CCEEFF" w:val="clear"/>
            <w:vAlign w:val="center"/>
          </w:tcPr>
          <w:p>
            <w:pPr>
              <w:pStyle w:val="TableContents"/>
              <w:spacing w:before="0" w:after="283"/>
              <w:jc w:val="right"/>
              <w:rPr/>
            </w:pPr>
            <w:r>
              <w:rPr/>
              <w:t>49,289</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239"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long term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83,965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9" w:type="dxa"/>
            <w:tcBorders/>
            <w:shd w:fill="auto" w:val="clear"/>
            <w:vAlign w:val="center"/>
          </w:tcPr>
          <w:p>
            <w:pPr>
              <w:pStyle w:val="TableContents"/>
              <w:spacing w:before="0" w:after="283"/>
              <w:jc w:val="right"/>
              <w:rPr/>
            </w:pPr>
            <w:r>
              <w:rPr/>
              <w:t>49,289</w:t>
            </w:r>
          </w:p>
        </w:tc>
        <w:tc>
          <w:tcPr>
            <w:tcW w:w="170" w:type="dxa"/>
            <w:tcBorders/>
            <w:shd w:fill="auto"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239"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182,313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9" w:type="dxa"/>
            <w:tcBorders/>
            <w:shd w:fill="CCEEFF" w:val="clear"/>
            <w:vAlign w:val="center"/>
          </w:tcPr>
          <w:p>
            <w:pPr>
              <w:pStyle w:val="TableContents"/>
              <w:spacing w:before="0" w:after="283"/>
              <w:jc w:val="right"/>
              <w:rPr/>
            </w:pPr>
            <w:r>
              <w:rPr/>
              <w:t>165,183</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239"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Stockholders’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9"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Preferred stock, par value $0.0001 per share authorized: 5,000,000 shares at March 31, 2023 and December 31, 2022; 2,369,797 and 2,369,797 shares issued and outstanding at March 31, 2023 and December 31, 2022,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9"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Common stock, par value $0.0001 per share authorized: 200,000,000 at March 31, 2023 and December 31, 2022; 18,283,074 and 18,102,523 shares issued and outstanding at March 31, 2023 and December 31, 2022,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9" w:type="dxa"/>
            <w:tcBorders/>
            <w:shd w:fill="auto" w:val="clear"/>
            <w:vAlign w:val="center"/>
          </w:tcPr>
          <w:p>
            <w:pPr>
              <w:pStyle w:val="TableContents"/>
              <w:spacing w:before="0" w:after="283"/>
              <w:jc w:val="right"/>
              <w:rPr/>
            </w:pPr>
            <w:r>
              <w:rPr/>
              <w:t>2</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Additional </w:t>
            </w:r>
          </w:p>
          <w:p>
            <w:pPr>
              <w:pStyle w:val="TableContents"/>
              <w:spacing w:before="0" w:after="0"/>
              <w:rPr>
                <w:rFonts w:ascii="Times New Roman" w:hAnsi="Times New Roman"/>
                <w:spacing w:val="0"/>
                <w:sz w:val="20"/>
              </w:rPr>
            </w:pPr>
            <w:r>
              <w:rPr>
                <w:rFonts w:ascii="Times New Roman" w:hAnsi="Times New Roman"/>
                <w:spacing w:val="0"/>
                <w:sz w:val="20"/>
              </w:rPr>
              <w:t>paid-in-capital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1,189,776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9" w:type="dxa"/>
            <w:tcBorders/>
            <w:shd w:fill="CCEEFF" w:val="clear"/>
            <w:vAlign w:val="center"/>
          </w:tcPr>
          <w:p>
            <w:pPr>
              <w:pStyle w:val="TableContents"/>
              <w:spacing w:before="0" w:after="283"/>
              <w:jc w:val="right"/>
              <w:rPr/>
            </w:pPr>
            <w:r>
              <w:rPr/>
              <w:t>1,160,079</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Accumulated other comprehensive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(86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9" w:type="dxa"/>
            <w:tcBorders/>
            <w:shd w:fill="auto" w:val="clear"/>
            <w:vAlign w:val="center"/>
          </w:tcPr>
          <w:p>
            <w:pPr>
              <w:pStyle w:val="TableContents"/>
              <w:spacing w:before="0" w:after="283"/>
              <w:jc w:val="right"/>
              <w:rPr/>
            </w:pPr>
            <w:r>
              <w:rPr/>
              <w:t>(32</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(1,039,556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9" w:type="dxa"/>
            <w:tcBorders/>
            <w:shd w:fill="CCEEFF" w:val="clear"/>
            <w:vAlign w:val="center"/>
          </w:tcPr>
          <w:p>
            <w:pPr>
              <w:pStyle w:val="TableContents"/>
              <w:spacing w:before="0" w:after="283"/>
              <w:jc w:val="right"/>
              <w:rPr/>
            </w:pPr>
            <w:r>
              <w:rPr/>
              <w:t>(962,660</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239"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stockholders’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150,136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9" w:type="dxa"/>
            <w:tcBorders/>
            <w:shd w:fill="auto" w:val="clear"/>
            <w:vAlign w:val="center"/>
          </w:tcPr>
          <w:p>
            <w:pPr>
              <w:pStyle w:val="TableContents"/>
              <w:spacing w:before="0" w:after="283"/>
              <w:jc w:val="right"/>
              <w:rPr/>
            </w:pPr>
            <w:r>
              <w:rPr/>
              <w:t>197,389</w:t>
            </w:r>
          </w:p>
        </w:tc>
        <w:tc>
          <w:tcPr>
            <w:tcW w:w="170" w:type="dxa"/>
            <w:tcBorders/>
            <w:shd w:fill="auto"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239"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0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liabilities and stockholders’ 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332,449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w:t>
            </w:r>
          </w:p>
        </w:tc>
        <w:tc>
          <w:tcPr>
            <w:tcW w:w="1239" w:type="dxa"/>
            <w:tcBorders/>
            <w:shd w:fill="CCEEFF" w:val="clear"/>
            <w:vAlign w:val="center"/>
          </w:tcPr>
          <w:p>
            <w:pPr>
              <w:pStyle w:val="TableContents"/>
              <w:spacing w:before="0" w:after="283"/>
              <w:jc w:val="right"/>
              <w:rPr/>
            </w:pPr>
            <w:r>
              <w:rPr/>
              <w:t>362,572</w:t>
            </w:r>
          </w:p>
        </w:tc>
        <w:tc>
          <w:tcPr>
            <w:tcW w:w="170" w:type="dxa"/>
            <w:tcBorders/>
            <w:shd w:fill="CCEEFF" w:val="clear"/>
            <w:vAlign w:val="center"/>
          </w:tcPr>
          <w:p>
            <w:pPr>
              <w:pStyle w:val="TableContents"/>
              <w:spacing w:before="0" w:after="283"/>
              <w:rPr/>
            </w:pPr>
            <w:r>
              <w:rPr/>
              <w:t> </w:t>
            </w:r>
          </w:p>
        </w:tc>
      </w:tr>
      <w:tr>
        <w:trPr/>
        <w:tc>
          <w:tcPr>
            <w:tcW w:w="7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0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double" w:sz="6" w:space="1" w:color="000000"/>
              </w:rPr>
            </w:pPr>
            <w:r>
              <w:rPr>
                <w:bdr w:val="double" w:sz="6" w:space="1" w:color="000000"/>
              </w:rPr>
              <w:t> </w:t>
            </w:r>
          </w:p>
        </w:tc>
        <w:tc>
          <w:tcPr>
            <w:tcW w:w="1239"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highlight w:val="white"/>
        </w:rPr>
      </w:pPr>
      <w:r>
        <w:rPr>
          <w:rFonts w:ascii="Times New Roman" w:hAnsi="Times New Roman"/>
          <w:sz w:val="20"/>
          <w:highlight w:val="white"/>
        </w:rPr>
        <w:t xml:space="preserve">See accompanying notes to condensed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3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MADRIGAL PHARMACEUTICALS,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(Unaudited; in thousands, except share and per share amounts) </w:t>
      </w:r>
    </w:p>
    <w:p>
      <w:pPr>
        <w:pStyle w:val="TextBody"/>
        <w:spacing w:before="0" w:after="0"/>
        <w:jc w:val="left"/>
        <w:rPr>
          <w:highlight w:val="white"/>
        </w:rPr>
      </w:pPr>
      <w:r>
        <w:rPr>
          <w:highlight w:val="white"/>
        </w:rPr>
        <w:t> </w:t>
      </w:r>
    </w:p>
    <w:tbl>
      <w:tblPr>
        <w:tblW w:w="9777" w:type="dxa"/>
        <w:jc w:val="left"/>
        <w:tblInd w:w="0" w:type="dxa"/>
        <w:tblCellMar>
          <w:top w:w="0" w:type="dxa"/>
          <w:left w:w="0" w:type="dxa"/>
          <w:bottom w:w="0" w:type="dxa"/>
          <w:right w:w="0" w:type="dxa"/>
        </w:tblCellMar>
      </w:tblPr>
      <w:tblGrid>
        <w:gridCol w:w="6110"/>
        <w:gridCol w:w="120"/>
        <w:gridCol w:w="172"/>
        <w:gridCol w:w="1355"/>
        <w:gridCol w:w="190"/>
        <w:gridCol w:w="73"/>
        <w:gridCol w:w="172"/>
        <w:gridCol w:w="1355"/>
        <w:gridCol w:w="155"/>
        <w:gridCol w:w="75"/>
      </w:tblGrid>
      <w:tr>
        <w:trPr/>
        <w:tc>
          <w:tcPr>
            <w:tcW w:w="61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17"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Three Months Ended March 31,</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6110" w:type="dxa"/>
            <w:vMerge w:val="restart"/>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527"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2023</w:t>
            </w:r>
          </w:p>
        </w:tc>
        <w:tc>
          <w:tcPr>
            <w:tcW w:w="190" w:type="dxa"/>
            <w:vMerge w:val="restart"/>
            <w:tcBorders/>
            <w:shd w:fill="auto" w:val="clear"/>
            <w:vAlign w:val="center"/>
          </w:tcPr>
          <w:p>
            <w:pPr>
              <w:pStyle w:val="TableContents"/>
              <w:spacing w:before="0" w:after="283"/>
              <w:rPr/>
            </w:pPr>
            <w:r>
              <w:rPr/>
              <w:t> </w:t>
            </w:r>
          </w:p>
        </w:tc>
        <w:tc>
          <w:tcPr>
            <w:tcW w:w="73" w:type="dxa"/>
            <w:vMerge w:val="restart"/>
            <w:tcBorders/>
            <w:shd w:fill="auto" w:val="clear"/>
            <w:vAlign w:val="center"/>
          </w:tcPr>
          <w:p>
            <w:pPr>
              <w:pStyle w:val="TableContents"/>
              <w:spacing w:before="0" w:after="283"/>
              <w:rPr/>
            </w:pPr>
            <w:r>
              <w:rPr/>
              <w:t> </w:t>
            </w:r>
          </w:p>
        </w:tc>
        <w:tc>
          <w:tcPr>
            <w:tcW w:w="1527"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55" w:type="dxa"/>
            <w:vMerge w:val="restart"/>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6110"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527" w:type="dxa"/>
            <w:gridSpan w:val="2"/>
            <w:vMerge w:val="continue"/>
            <w:tcBorders>
              <w:bottom w:val="single" w:sz="8" w:space="0" w:color="000000"/>
            </w:tcBorders>
            <w:shd w:fill="auto" w:val="clear"/>
            <w:tcMar>
              <w:bottom w:w="28" w:type="dxa"/>
            </w:tcMar>
            <w:vAlign w:val="center"/>
          </w:tcPr>
          <w:p>
            <w:pPr>
              <w:pStyle w:val="Normal"/>
              <w:rPr/>
            </w:pPr>
            <w:r>
              <w:rPr/>
            </w:r>
          </w:p>
        </w:tc>
        <w:tc>
          <w:tcPr>
            <w:tcW w:w="190" w:type="dxa"/>
            <w:vMerge w:val="continue"/>
            <w:tcBorders/>
            <w:shd w:fill="auto" w:val="clear"/>
            <w:vAlign w:val="center"/>
          </w:tcPr>
          <w:p>
            <w:pPr>
              <w:pStyle w:val="Normal"/>
              <w:rPr/>
            </w:pPr>
            <w:r>
              <w:rPr/>
            </w:r>
          </w:p>
        </w:tc>
        <w:tc>
          <w:tcPr>
            <w:tcW w:w="73" w:type="dxa"/>
            <w:vMerge w:val="continue"/>
            <w:tcBorders/>
            <w:shd w:fill="auto" w:val="clear"/>
            <w:vAlign w:val="center"/>
          </w:tcPr>
          <w:p>
            <w:pPr>
              <w:pStyle w:val="Normal"/>
              <w:rPr/>
            </w:pPr>
            <w:r>
              <w:rPr/>
            </w:r>
          </w:p>
        </w:tc>
        <w:tc>
          <w:tcPr>
            <w:tcW w:w="1527"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75"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revenues</w:t>
            </w:r>
          </w:p>
        </w:tc>
        <w:tc>
          <w:tcPr>
            <w:tcW w:w="12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w:t>
            </w:r>
          </w:p>
        </w:tc>
        <w:tc>
          <w:tcPr>
            <w:tcW w:w="1355" w:type="dxa"/>
            <w:tcBorders/>
            <w:shd w:fill="auto" w:val="cle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w:t>
            </w:r>
          </w:p>
        </w:tc>
        <w:tc>
          <w:tcPr>
            <w:tcW w:w="13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Research and development</w:t>
            </w:r>
          </w:p>
        </w:tc>
        <w:tc>
          <w:tcPr>
            <w:tcW w:w="12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jc w:val="right"/>
              <w:rPr/>
            </w:pPr>
            <w:r>
              <w:rPr/>
              <w:t>62,154</w:t>
            </w:r>
          </w:p>
        </w:tc>
        <w:tc>
          <w:tcPr>
            <w:tcW w:w="19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jc w:val="right"/>
              <w:rPr/>
            </w:pPr>
            <w:r>
              <w:rPr/>
              <w:t>47,929</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right"/>
              <w:rPr/>
            </w:pPr>
            <w:r>
              <w:rPr/>
              <w:t>16,182</w:t>
            </w:r>
          </w:p>
        </w:tc>
        <w:tc>
          <w:tcPr>
            <w:tcW w:w="19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right"/>
              <w:rPr/>
            </w:pPr>
            <w:r>
              <w:rPr/>
              <w:t>9,658</w:t>
            </w:r>
          </w:p>
        </w:tc>
        <w:tc>
          <w:tcPr>
            <w:tcW w:w="155" w:type="dxa"/>
            <w:tcBorders/>
            <w:shd w:fill="CCEEFF" w:val="clear"/>
            <w:vAlign w:val="center"/>
          </w:tcPr>
          <w:p>
            <w:pPr>
              <w:pStyle w:val="TableContents"/>
              <w:spacing w:before="0" w:after="283"/>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0"/>
              <w:rPr>
                <w:bdr w:val="single" w:sz="2" w:space="1" w:color="000000"/>
              </w:rPr>
            </w:pPr>
            <w:r>
              <w:rPr>
                <w:bdr w:val="single" w:sz="2" w:space="1" w:color="000000"/>
              </w:rPr>
              <w:t> </w:t>
            </w:r>
          </w:p>
        </w:tc>
        <w:tc>
          <w:tcPr>
            <w:tcW w:w="1355" w:type="dxa"/>
            <w:tcBorders/>
            <w:shd w:fill="auto" w:val="clear"/>
            <w:vAlign w:val="center"/>
          </w:tcPr>
          <w:p>
            <w:pPr>
              <w:pStyle w:val="TableContents"/>
              <w:spacing w:before="0" w:after="0"/>
              <w:rPr>
                <w:bdr w:val="single" w:sz="2" w:space="1" w:color="000000"/>
              </w:rPr>
            </w:pPr>
            <w:r>
              <w:rPr>
                <w:bdr w:val="single" w:sz="2" w:space="1" w:color="000000"/>
              </w:rPr>
              <w:t> </w:t>
            </w:r>
          </w:p>
        </w:tc>
        <w:tc>
          <w:tcPr>
            <w:tcW w:w="19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0"/>
              <w:rPr>
                <w:bdr w:val="single" w:sz="2" w:space="1" w:color="000000"/>
              </w:rPr>
            </w:pPr>
            <w:r>
              <w:rPr>
                <w:bdr w:val="single" w:sz="2" w:space="1" w:color="000000"/>
              </w:rPr>
              <w:t> </w:t>
            </w:r>
          </w:p>
        </w:tc>
        <w:tc>
          <w:tcPr>
            <w:tcW w:w="13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operating expenses</w:t>
            </w:r>
          </w:p>
        </w:tc>
        <w:tc>
          <w:tcPr>
            <w:tcW w:w="12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jc w:val="right"/>
              <w:rPr/>
            </w:pPr>
            <w:r>
              <w:rPr/>
              <w:t>78,336</w:t>
            </w:r>
          </w:p>
        </w:tc>
        <w:tc>
          <w:tcPr>
            <w:tcW w:w="19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jc w:val="right"/>
              <w:rPr/>
            </w:pPr>
            <w:r>
              <w:rPr/>
              <w:t>57,587</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0"/>
              <w:rPr>
                <w:bdr w:val="single" w:sz="2" w:space="1" w:color="000000"/>
              </w:rPr>
            </w:pPr>
            <w:r>
              <w:rPr>
                <w:bdr w:val="single" w:sz="2" w:space="1" w:color="000000"/>
              </w:rPr>
              <w:t> </w:t>
            </w:r>
          </w:p>
        </w:tc>
        <w:tc>
          <w:tcPr>
            <w:tcW w:w="1355" w:type="dxa"/>
            <w:tcBorders/>
            <w:shd w:fill="auto" w:val="clear"/>
            <w:vAlign w:val="center"/>
          </w:tcPr>
          <w:p>
            <w:pPr>
              <w:pStyle w:val="TableContents"/>
              <w:spacing w:before="0" w:after="0"/>
              <w:rPr>
                <w:bdr w:val="single" w:sz="2" w:space="1" w:color="000000"/>
              </w:rPr>
            </w:pPr>
            <w:r>
              <w:rPr>
                <w:bdr w:val="single" w:sz="2" w:space="1" w:color="000000"/>
              </w:rPr>
              <w:t> </w:t>
            </w:r>
          </w:p>
        </w:tc>
        <w:tc>
          <w:tcPr>
            <w:tcW w:w="19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0"/>
              <w:rPr>
                <w:bdr w:val="single" w:sz="2" w:space="1" w:color="000000"/>
              </w:rPr>
            </w:pPr>
            <w:r>
              <w:rPr>
                <w:bdr w:val="single" w:sz="2" w:space="1" w:color="000000"/>
              </w:rPr>
              <w:t> </w:t>
            </w:r>
          </w:p>
        </w:tc>
        <w:tc>
          <w:tcPr>
            <w:tcW w:w="13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right"/>
              <w:rPr/>
            </w:pPr>
            <w:r>
              <w:rPr/>
              <w:t>(78,336</w:t>
            </w:r>
          </w:p>
        </w:tc>
        <w:tc>
          <w:tcPr>
            <w:tcW w:w="19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right"/>
              <w:rPr/>
            </w:pPr>
            <w:r>
              <w:rPr/>
              <w:t>(57,587</w:t>
            </w:r>
          </w:p>
        </w:tc>
        <w:tc>
          <w:tcPr>
            <w:tcW w:w="155" w:type="dxa"/>
            <w:tcBorders/>
            <w:shd w:fill="CCEEFF" w:val="clear"/>
            <w:vAlign w:val="center"/>
          </w:tcPr>
          <w:p>
            <w:pPr>
              <w:pStyle w:val="TableContents"/>
              <w:spacing w:before="0" w:after="283"/>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income</w:t>
            </w:r>
          </w:p>
        </w:tc>
        <w:tc>
          <w:tcPr>
            <w:tcW w:w="12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jc w:val="right"/>
              <w:rPr/>
            </w:pPr>
            <w:r>
              <w:rPr/>
              <w:t>3,776</w:t>
            </w:r>
          </w:p>
        </w:tc>
        <w:tc>
          <w:tcPr>
            <w:tcW w:w="19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jc w:val="right"/>
              <w:rPr/>
            </w:pPr>
            <w:r>
              <w:rPr/>
              <w:t>69</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right"/>
              <w:rPr/>
            </w:pPr>
            <w:r>
              <w:rPr/>
              <w:t>(2,336</w:t>
            </w:r>
          </w:p>
        </w:tc>
        <w:tc>
          <w:tcPr>
            <w:tcW w:w="19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0"/>
              <w:rPr>
                <w:bdr w:val="single" w:sz="2" w:space="1" w:color="000000"/>
              </w:rPr>
            </w:pPr>
            <w:r>
              <w:rPr>
                <w:bdr w:val="single" w:sz="2" w:space="1" w:color="000000"/>
              </w:rPr>
              <w:t> </w:t>
            </w:r>
          </w:p>
        </w:tc>
        <w:tc>
          <w:tcPr>
            <w:tcW w:w="1355" w:type="dxa"/>
            <w:tcBorders/>
            <w:shd w:fill="auto" w:val="clear"/>
            <w:vAlign w:val="center"/>
          </w:tcPr>
          <w:p>
            <w:pPr>
              <w:pStyle w:val="TableContents"/>
              <w:spacing w:before="0" w:after="0"/>
              <w:rPr>
                <w:bdr w:val="single" w:sz="2" w:space="1" w:color="000000"/>
              </w:rPr>
            </w:pPr>
            <w:r>
              <w:rPr>
                <w:bdr w:val="single" w:sz="2" w:space="1" w:color="000000"/>
              </w:rPr>
              <w:t> </w:t>
            </w:r>
          </w:p>
        </w:tc>
        <w:tc>
          <w:tcPr>
            <w:tcW w:w="19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0"/>
              <w:rPr>
                <w:bdr w:val="single" w:sz="2" w:space="1" w:color="000000"/>
              </w:rPr>
            </w:pPr>
            <w:r>
              <w:rPr>
                <w:bdr w:val="single" w:sz="2" w:space="1" w:color="000000"/>
              </w:rPr>
              <w:t> </w:t>
            </w:r>
          </w:p>
        </w:tc>
        <w:tc>
          <w:tcPr>
            <w:tcW w:w="13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w:t>
            </w:r>
          </w:p>
        </w:tc>
        <w:tc>
          <w:tcPr>
            <w:tcW w:w="1355" w:type="dxa"/>
            <w:tcBorders/>
            <w:shd w:fill="auto" w:val="clear"/>
            <w:vAlign w:val="center"/>
          </w:tcPr>
          <w:p>
            <w:pPr>
              <w:pStyle w:val="TableContents"/>
              <w:spacing w:before="0" w:after="283"/>
              <w:jc w:val="right"/>
              <w:rPr/>
            </w:pPr>
            <w:r>
              <w:rPr/>
              <w:t>(76,896</w:t>
            </w:r>
          </w:p>
        </w:tc>
        <w:tc>
          <w:tcPr>
            <w:tcW w:w="19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w:t>
            </w:r>
          </w:p>
        </w:tc>
        <w:tc>
          <w:tcPr>
            <w:tcW w:w="1355" w:type="dxa"/>
            <w:tcBorders/>
            <w:shd w:fill="auto" w:val="clear"/>
            <w:vAlign w:val="center"/>
          </w:tcPr>
          <w:p>
            <w:pPr>
              <w:pStyle w:val="TableContents"/>
              <w:spacing w:before="0" w:after="283"/>
              <w:jc w:val="right"/>
              <w:rPr/>
            </w:pPr>
            <w:r>
              <w:rPr/>
              <w:t>(57,518</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0"/>
              <w:rPr>
                <w:bdr w:val="double" w:sz="6" w:space="1" w:color="000000"/>
              </w:rPr>
            </w:pPr>
            <w:r>
              <w:rPr>
                <w:bdr w:val="double" w:sz="6" w:space="1" w:color="000000"/>
              </w:rPr>
              <w:t> </w:t>
            </w:r>
          </w:p>
        </w:tc>
        <w:tc>
          <w:tcPr>
            <w:tcW w:w="1355" w:type="dxa"/>
            <w:tcBorders/>
            <w:shd w:fill="auto" w:val="clear"/>
            <w:vAlign w:val="center"/>
          </w:tcPr>
          <w:p>
            <w:pPr>
              <w:pStyle w:val="TableContents"/>
              <w:spacing w:before="0" w:after="0"/>
              <w:rPr>
                <w:bdr w:val="double" w:sz="6" w:space="1" w:color="000000"/>
              </w:rPr>
            </w:pPr>
            <w:r>
              <w:rPr>
                <w:bdr w:val="double" w:sz="6" w:space="1" w:color="000000"/>
              </w:rPr>
              <w:t> </w:t>
            </w:r>
          </w:p>
        </w:tc>
        <w:tc>
          <w:tcPr>
            <w:tcW w:w="19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0"/>
              <w:rPr>
                <w:bdr w:val="double" w:sz="6" w:space="1" w:color="000000"/>
              </w:rPr>
            </w:pPr>
            <w:r>
              <w:rPr>
                <w:bdr w:val="double" w:sz="6" w:space="1" w:color="000000"/>
              </w:rPr>
              <w:t> </w:t>
            </w:r>
          </w:p>
        </w:tc>
        <w:tc>
          <w:tcPr>
            <w:tcW w:w="13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 per common share:</w:t>
            </w:r>
          </w:p>
        </w:tc>
        <w:tc>
          <w:tcPr>
            <w:tcW w:w="12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Basic and diluted net loss per common share</w:t>
            </w:r>
          </w:p>
        </w:tc>
        <w:tc>
          <w:tcPr>
            <w:tcW w:w="12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w:t>
            </w:r>
          </w:p>
        </w:tc>
        <w:tc>
          <w:tcPr>
            <w:tcW w:w="1355" w:type="dxa"/>
            <w:tcBorders/>
            <w:shd w:fill="auto" w:val="clear"/>
            <w:vAlign w:val="center"/>
          </w:tcPr>
          <w:p>
            <w:pPr>
              <w:pStyle w:val="TableContents"/>
              <w:spacing w:before="0" w:after="283"/>
              <w:jc w:val="right"/>
              <w:rPr/>
            </w:pPr>
            <w:r>
              <w:rPr/>
              <w:t>(4.23</w:t>
            </w:r>
          </w:p>
        </w:tc>
        <w:tc>
          <w:tcPr>
            <w:tcW w:w="19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w:t>
            </w:r>
          </w:p>
        </w:tc>
        <w:tc>
          <w:tcPr>
            <w:tcW w:w="1355" w:type="dxa"/>
            <w:tcBorders/>
            <w:shd w:fill="auto" w:val="clear"/>
            <w:vAlign w:val="center"/>
          </w:tcPr>
          <w:p>
            <w:pPr>
              <w:pStyle w:val="TableContents"/>
              <w:spacing w:before="0" w:after="283"/>
              <w:jc w:val="right"/>
              <w:rPr/>
            </w:pPr>
            <w:r>
              <w:rPr/>
              <w:t>(3.36</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Basic and diluted weighted average number of common shares outstanding</w:t>
            </w:r>
          </w:p>
        </w:tc>
        <w:tc>
          <w:tcPr>
            <w:tcW w:w="12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right"/>
              <w:rPr/>
            </w:pPr>
            <w:r>
              <w:rPr/>
              <w:t>18,187,924</w:t>
            </w:r>
          </w:p>
        </w:tc>
        <w:tc>
          <w:tcPr>
            <w:tcW w:w="19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right"/>
              <w:rPr/>
            </w:pPr>
            <w:r>
              <w:rPr/>
              <w:t>17,103,395</w:t>
            </w:r>
          </w:p>
        </w:tc>
        <w:tc>
          <w:tcPr>
            <w:tcW w:w="155" w:type="dxa"/>
            <w:tcBorders/>
            <w:shd w:fill="CCEEFF" w:val="clear"/>
            <w:vAlign w:val="center"/>
          </w:tcPr>
          <w:p>
            <w:pPr>
              <w:pStyle w:val="TableContents"/>
              <w:spacing w:before="0" w:after="283"/>
              <w:rPr/>
            </w:pPr>
            <w:r>
              <w:rPr/>
              <w:t> </w:t>
            </w:r>
          </w:p>
        </w:tc>
        <w:tc>
          <w:tcPr>
            <w:tcW w:w="75" w:type="dxa"/>
            <w:tcBorders/>
            <w:shd w:fill="CCEEFF" w:val="clear"/>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sz w:val="20"/>
          <w:highlight w:val="white"/>
        </w:rPr>
      </w:pPr>
      <w:r>
        <w:rPr>
          <w:rFonts w:ascii="Times New Roman" w:hAnsi="Times New Roman"/>
          <w:sz w:val="20"/>
          <w:highlight w:val="white"/>
        </w:rPr>
        <w:t xml:space="preserve">See accompanying notes to condensed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4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MADRIGAL PHARMACEUTICALS,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CONDENSED CONSOLIDATED STATEMENTS OF COMPREHENSIVE LOSS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(Unaudited; in thousands) </w:t>
      </w:r>
    </w:p>
    <w:p>
      <w:pPr>
        <w:pStyle w:val="TextBody"/>
        <w:spacing w:before="0" w:after="0"/>
        <w:jc w:val="left"/>
        <w:rPr>
          <w:highlight w:val="white"/>
        </w:rPr>
      </w:pPr>
      <w:r>
        <w:rPr>
          <w:highlight w:val="white"/>
        </w:rPr>
        <w:t> </w:t>
      </w:r>
    </w:p>
    <w:tbl>
      <w:tblPr>
        <w:tblW w:w="6612" w:type="dxa"/>
        <w:jc w:val="left"/>
        <w:tblInd w:w="0" w:type="dxa"/>
        <w:tblCellMar>
          <w:top w:w="0" w:type="dxa"/>
          <w:left w:w="0" w:type="dxa"/>
          <w:bottom w:w="0" w:type="dxa"/>
          <w:right w:w="0" w:type="dxa"/>
        </w:tblCellMar>
      </w:tblPr>
      <w:tblGrid>
        <w:gridCol w:w="2945"/>
        <w:gridCol w:w="120"/>
        <w:gridCol w:w="231"/>
        <w:gridCol w:w="1249"/>
        <w:gridCol w:w="256"/>
        <w:gridCol w:w="98"/>
        <w:gridCol w:w="231"/>
        <w:gridCol w:w="1252"/>
        <w:gridCol w:w="155"/>
        <w:gridCol w:w="75"/>
      </w:tblGrid>
      <w:tr>
        <w:trPr/>
        <w:tc>
          <w:tcPr>
            <w:tcW w:w="29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17"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Three Months Ended March 31,</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2945" w:type="dxa"/>
            <w:vMerge w:val="restart"/>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48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2023</w:t>
            </w:r>
          </w:p>
        </w:tc>
        <w:tc>
          <w:tcPr>
            <w:tcW w:w="256" w:type="dxa"/>
            <w:vMerge w:val="restart"/>
            <w:tcBorders/>
            <w:shd w:fill="auto" w:val="clear"/>
            <w:vAlign w:val="center"/>
          </w:tcPr>
          <w:p>
            <w:pPr>
              <w:pStyle w:val="TableContents"/>
              <w:spacing w:before="0" w:after="283"/>
              <w:rPr/>
            </w:pPr>
            <w:r>
              <w:rPr/>
              <w:t> </w:t>
            </w:r>
          </w:p>
        </w:tc>
        <w:tc>
          <w:tcPr>
            <w:tcW w:w="98" w:type="dxa"/>
            <w:vMerge w:val="restart"/>
            <w:tcBorders/>
            <w:shd w:fill="auto" w:val="clear"/>
            <w:vAlign w:val="center"/>
          </w:tcPr>
          <w:p>
            <w:pPr>
              <w:pStyle w:val="TableContents"/>
              <w:spacing w:before="0" w:after="283"/>
              <w:rPr/>
            </w:pPr>
            <w:r>
              <w:rPr/>
              <w:t> </w:t>
            </w:r>
          </w:p>
        </w:tc>
        <w:tc>
          <w:tcPr>
            <w:tcW w:w="1483"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55" w:type="dxa"/>
            <w:vMerge w:val="restart"/>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2945"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480" w:type="dxa"/>
            <w:gridSpan w:val="2"/>
            <w:vMerge w:val="continue"/>
            <w:tcBorders>
              <w:bottom w:val="single" w:sz="8" w:space="0" w:color="000000"/>
            </w:tcBorders>
            <w:shd w:fill="auto" w:val="clear"/>
            <w:tcMar>
              <w:bottom w:w="28" w:type="dxa"/>
            </w:tcMar>
            <w:vAlign w:val="center"/>
          </w:tcPr>
          <w:p>
            <w:pPr>
              <w:pStyle w:val="Normal"/>
              <w:rPr/>
            </w:pPr>
            <w:r>
              <w:rPr/>
            </w:r>
          </w:p>
        </w:tc>
        <w:tc>
          <w:tcPr>
            <w:tcW w:w="256" w:type="dxa"/>
            <w:vMerge w:val="continue"/>
            <w:tcBorders/>
            <w:shd w:fill="auto" w:val="clear"/>
            <w:vAlign w:val="center"/>
          </w:tcPr>
          <w:p>
            <w:pPr>
              <w:pStyle w:val="Normal"/>
              <w:rPr/>
            </w:pPr>
            <w:r>
              <w:rPr/>
            </w:r>
          </w:p>
        </w:tc>
        <w:tc>
          <w:tcPr>
            <w:tcW w:w="98" w:type="dxa"/>
            <w:vMerge w:val="continue"/>
            <w:tcBorders/>
            <w:shd w:fill="auto" w:val="clear"/>
            <w:vAlign w:val="center"/>
          </w:tcPr>
          <w:p>
            <w:pPr>
              <w:pStyle w:val="Normal"/>
              <w:rPr/>
            </w:pPr>
            <w:r>
              <w:rPr/>
            </w:r>
          </w:p>
        </w:tc>
        <w:tc>
          <w:tcPr>
            <w:tcW w:w="1483"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75"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w:t>
            </w:r>
          </w:p>
        </w:tc>
        <w:tc>
          <w:tcPr>
            <w:tcW w:w="1249" w:type="dxa"/>
            <w:tcBorders/>
            <w:shd w:fill="CCEEFF" w:val="clear"/>
            <w:vAlign w:val="center"/>
          </w:tcPr>
          <w:p>
            <w:pPr>
              <w:pStyle w:val="TableContents"/>
              <w:spacing w:before="0" w:after="283"/>
              <w:jc w:val="right"/>
              <w:rPr/>
            </w:pPr>
            <w:r>
              <w:rPr/>
              <w:t>(76,896</w:t>
            </w:r>
          </w:p>
        </w:tc>
        <w:tc>
          <w:tcPr>
            <w:tcW w:w="256"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w:t>
            </w:r>
          </w:p>
        </w:tc>
        <w:tc>
          <w:tcPr>
            <w:tcW w:w="1252" w:type="dxa"/>
            <w:tcBorders/>
            <w:shd w:fill="CCEEFF" w:val="clear"/>
            <w:vAlign w:val="center"/>
          </w:tcPr>
          <w:p>
            <w:pPr>
              <w:pStyle w:val="TableContents"/>
              <w:spacing w:before="0" w:after="283"/>
              <w:jc w:val="right"/>
              <w:rPr/>
            </w:pPr>
            <w:r>
              <w:rPr/>
              <w:t>(57,518</w:t>
            </w:r>
          </w:p>
        </w:tc>
        <w:tc>
          <w:tcPr>
            <w:tcW w:w="155" w:type="dxa"/>
            <w:tcBorders/>
            <w:shd w:fill="CCEEFF" w:val="clear"/>
            <w:vAlign w:val="center"/>
          </w:tcPr>
          <w:p>
            <w:pPr>
              <w:pStyle w:val="TableContents"/>
              <w:spacing w:before="0" w:after="283"/>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comprehensive income (loss):</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1249"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1252"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Unrealized loss on </w:t>
            </w:r>
          </w:p>
          <w:p>
            <w:pPr>
              <w:pStyle w:val="TableContents"/>
              <w:spacing w:before="0" w:after="0"/>
              <w:rPr>
                <w:rFonts w:ascii="Times New Roman" w:hAnsi="Times New Roman"/>
                <w:sz w:val="20"/>
              </w:rPr>
            </w:pPr>
            <w:r>
              <w:rPr>
                <w:rFonts w:ascii="Times New Roman" w:hAnsi="Times New Roman"/>
                <w:sz w:val="20"/>
              </w:rPr>
              <w:t>available-for-sale</w:t>
            </w:r>
          </w:p>
          <w:p>
            <w:pPr>
              <w:pStyle w:val="TableContents"/>
              <w:spacing w:before="0" w:after="0"/>
              <w:rPr>
                <w:rFonts w:ascii="Times New Roman" w:hAnsi="Times New Roman"/>
                <w:sz w:val="20"/>
              </w:rPr>
            </w:pPr>
            <w:r>
              <w:rPr>
                <w:rFonts w:ascii="Times New Roman" w:hAnsi="Times New Roman"/>
                <w:sz w:val="20"/>
              </w:rPr>
              <w:t>securities</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1249" w:type="dxa"/>
            <w:tcBorders/>
            <w:shd w:fill="CCEEFF" w:val="clear"/>
            <w:vAlign w:val="center"/>
          </w:tcPr>
          <w:p>
            <w:pPr>
              <w:pStyle w:val="TableContents"/>
              <w:spacing w:before="0" w:after="283"/>
              <w:jc w:val="right"/>
              <w:rPr/>
            </w:pPr>
            <w:r>
              <w:rPr/>
              <w:t>(54</w:t>
            </w:r>
          </w:p>
        </w:tc>
        <w:tc>
          <w:tcPr>
            <w:tcW w:w="256"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right"/>
              <w:rPr/>
            </w:pPr>
            <w:r>
              <w:rPr/>
              <w:t>(322</w:t>
            </w:r>
          </w:p>
        </w:tc>
        <w:tc>
          <w:tcPr>
            <w:tcW w:w="155" w:type="dxa"/>
            <w:tcBorders/>
            <w:shd w:fill="CCEEFF" w:val="clear"/>
            <w:vAlign w:val="center"/>
          </w:tcPr>
          <w:p>
            <w:pPr>
              <w:pStyle w:val="TableContents"/>
              <w:spacing w:before="0" w:after="283"/>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single" w:sz="2" w:space="1" w:color="000000"/>
              </w:rPr>
            </w:pPr>
            <w:r>
              <w:rPr>
                <w:bdr w:val="single" w:sz="2" w:space="1" w:color="000000"/>
              </w:rPr>
              <w:t> </w:t>
            </w:r>
          </w:p>
        </w:tc>
        <w:tc>
          <w:tcPr>
            <w:tcW w:w="1249" w:type="dxa"/>
            <w:tcBorders/>
            <w:shd w:fill="auto" w:val="clear"/>
            <w:vAlign w:val="center"/>
          </w:tcPr>
          <w:p>
            <w:pPr>
              <w:pStyle w:val="TableContents"/>
              <w:spacing w:before="0" w:after="0"/>
              <w:rPr>
                <w:bdr w:val="single" w:sz="2" w:space="1" w:color="000000"/>
              </w:rPr>
            </w:pPr>
            <w:r>
              <w:rPr>
                <w:bdr w:val="single" w:sz="2" w:space="1" w:color="000000"/>
              </w:rPr>
              <w:t> </w:t>
            </w:r>
          </w:p>
        </w:tc>
        <w:tc>
          <w:tcPr>
            <w:tcW w:w="256"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single" w:sz="2" w:space="1" w:color="000000"/>
              </w:rPr>
            </w:pPr>
            <w:r>
              <w:rPr>
                <w:bdr w:val="single" w:sz="2" w:space="1" w:color="000000"/>
              </w:rPr>
              <w:t> </w:t>
            </w:r>
          </w:p>
        </w:tc>
        <w:tc>
          <w:tcPr>
            <w:tcW w:w="125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Comprehensive loss</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w:t>
            </w:r>
          </w:p>
        </w:tc>
        <w:tc>
          <w:tcPr>
            <w:tcW w:w="1249" w:type="dxa"/>
            <w:tcBorders/>
            <w:shd w:fill="auto" w:val="clear"/>
            <w:vAlign w:val="center"/>
          </w:tcPr>
          <w:p>
            <w:pPr>
              <w:pStyle w:val="TableContents"/>
              <w:spacing w:before="0" w:after="283"/>
              <w:jc w:val="right"/>
              <w:rPr/>
            </w:pPr>
            <w:r>
              <w:rPr/>
              <w:t>(76,950</w:t>
            </w:r>
          </w:p>
        </w:tc>
        <w:tc>
          <w:tcPr>
            <w:tcW w:w="256"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w:t>
            </w:r>
          </w:p>
        </w:tc>
        <w:tc>
          <w:tcPr>
            <w:tcW w:w="1252" w:type="dxa"/>
            <w:tcBorders/>
            <w:shd w:fill="auto" w:val="clear"/>
            <w:vAlign w:val="center"/>
          </w:tcPr>
          <w:p>
            <w:pPr>
              <w:pStyle w:val="TableContents"/>
              <w:spacing w:before="0" w:after="283"/>
              <w:jc w:val="right"/>
              <w:rPr/>
            </w:pPr>
            <w:r>
              <w:rPr/>
              <w:t>(57,840</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double" w:sz="6" w:space="1" w:color="000000"/>
              </w:rPr>
            </w:pPr>
            <w:r>
              <w:rPr>
                <w:bdr w:val="double" w:sz="6" w:space="1" w:color="000000"/>
              </w:rPr>
              <w:t> </w:t>
            </w:r>
          </w:p>
        </w:tc>
        <w:tc>
          <w:tcPr>
            <w:tcW w:w="1249" w:type="dxa"/>
            <w:tcBorders/>
            <w:shd w:fill="auto" w:val="clear"/>
            <w:vAlign w:val="center"/>
          </w:tcPr>
          <w:p>
            <w:pPr>
              <w:pStyle w:val="TableContents"/>
              <w:spacing w:before="0" w:after="0"/>
              <w:rPr>
                <w:bdr w:val="double" w:sz="6" w:space="1" w:color="000000"/>
              </w:rPr>
            </w:pPr>
            <w:r>
              <w:rPr>
                <w:bdr w:val="double" w:sz="6" w:space="1" w:color="000000"/>
              </w:rPr>
              <w:t> </w:t>
            </w:r>
          </w:p>
        </w:tc>
        <w:tc>
          <w:tcPr>
            <w:tcW w:w="256"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double" w:sz="6" w:space="1" w:color="000000"/>
              </w:rPr>
            </w:pPr>
            <w:r>
              <w:rPr>
                <w:bdr w:val="double" w:sz="6" w:space="1" w:color="000000"/>
              </w:rPr>
              <w:t> </w:t>
            </w:r>
          </w:p>
        </w:tc>
        <w:tc>
          <w:tcPr>
            <w:tcW w:w="1252"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75" w:type="dxa"/>
            <w:tcBorders/>
            <w:shd w:fill="auto" w:val="clear"/>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sz w:val="20"/>
          <w:highlight w:val="white"/>
        </w:rPr>
      </w:pPr>
      <w:r>
        <w:rPr>
          <w:rFonts w:ascii="Times New Roman" w:hAnsi="Times New Roman"/>
          <w:sz w:val="20"/>
          <w:highlight w:val="white"/>
        </w:rPr>
        <w:t xml:space="preserve">See accompanying notes to condensed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5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MADRIGAL PHARMACEUTICALS,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CONDENSED CONSOLIDATED STATEMENTS OF STOCKHOLDERS’ EQUITY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(Unaudited; in thousands, except share and per share amounts) </w:t>
      </w:r>
    </w:p>
    <w:p>
      <w:pPr>
        <w:pStyle w:val="TextBody"/>
        <w:spacing w:before="0" w:after="0"/>
        <w:jc w:val="left"/>
        <w:rPr>
          <w:highlight w:val="white"/>
        </w:rPr>
      </w:pPr>
      <w:r>
        <w:rPr>
          <w:highlight w:val="white"/>
        </w:rPr>
        <w:t> </w:t>
      </w:r>
    </w:p>
    <w:tbl>
      <w:tblPr>
        <w:tblW w:w="12155" w:type="dxa"/>
        <w:jc w:val="left"/>
        <w:tblInd w:w="0" w:type="dxa"/>
        <w:tblCellMar>
          <w:top w:w="0" w:type="dxa"/>
          <w:left w:w="0" w:type="dxa"/>
          <w:bottom w:w="0" w:type="dxa"/>
          <w:right w:w="0" w:type="dxa"/>
        </w:tblCellMar>
      </w:tblPr>
      <w:tblGrid>
        <w:gridCol w:w="1220"/>
        <w:gridCol w:w="120"/>
        <w:gridCol w:w="60"/>
        <w:gridCol w:w="980"/>
        <w:gridCol w:w="60"/>
        <w:gridCol w:w="120"/>
        <w:gridCol w:w="231"/>
        <w:gridCol w:w="629"/>
        <w:gridCol w:w="60"/>
        <w:gridCol w:w="120"/>
        <w:gridCol w:w="60"/>
        <w:gridCol w:w="1100"/>
        <w:gridCol w:w="60"/>
        <w:gridCol w:w="120"/>
        <w:gridCol w:w="231"/>
        <w:gridCol w:w="629"/>
        <w:gridCol w:w="60"/>
        <w:gridCol w:w="120"/>
        <w:gridCol w:w="140"/>
        <w:gridCol w:w="980"/>
        <w:gridCol w:w="60"/>
        <w:gridCol w:w="120"/>
        <w:gridCol w:w="361"/>
        <w:gridCol w:w="1174"/>
        <w:gridCol w:w="155"/>
        <w:gridCol w:w="60"/>
        <w:gridCol w:w="160"/>
        <w:gridCol w:w="1210"/>
        <w:gridCol w:w="155"/>
        <w:gridCol w:w="60"/>
        <w:gridCol w:w="204"/>
        <w:gridCol w:w="1166"/>
        <w:gridCol w:w="170"/>
      </w:tblGrid>
      <w:tr>
        <w:trPr/>
        <w:tc>
          <w:tcPr>
            <w:tcW w:w="12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2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12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Additional</w:t>
            </w:r>
          </w:p>
          <w:p>
            <w:pPr>
              <w:pStyle w:val="TableContents"/>
              <w:spacing w:before="0" w:after="0"/>
              <w:jc w:val="center"/>
              <w:rPr>
                <w:b/>
                <w:spacing w:val="0"/>
              </w:rPr>
            </w:pPr>
            <w:r>
              <w:rPr>
                <w:b/>
                <w:spacing w:val="0"/>
              </w:rPr>
              <w:t>paid-in</w:t>
            </w:r>
          </w:p>
          <w:p>
            <w:pPr>
              <w:pStyle w:val="TableContents"/>
              <w:spacing w:before="0" w:after="0"/>
              <w:jc w:val="center"/>
              <w:rPr>
                <w:b/>
                <w:spacing w:val="0"/>
              </w:rPr>
            </w:pPr>
            <w:r>
              <w:rPr>
                <w:b/>
                <w:spacing w:val="0"/>
              </w:rPr>
              <w:br/>
              <w:t>Capital</w:t>
            </w:r>
          </w:p>
        </w:tc>
        <w:tc>
          <w:tcPr>
            <w:tcW w:w="60" w:type="dxa"/>
            <w:vMerge w:val="restart"/>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535"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Accumulated</w:t>
              <w:br/>
              <w:t>other</w:t>
              <w:br/>
              <w:t>comprehensive</w:t>
              <w:br/>
              <w:t>income (loss)</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37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Accumulated</w:t>
              <w:br/>
              <w:t>deficit</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37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br/>
              <w:t>stockholders’</w:t>
              <w:br/>
              <w:t>equity</w:t>
            </w:r>
          </w:p>
        </w:tc>
        <w:tc>
          <w:tcPr>
            <w:tcW w:w="170" w:type="dxa"/>
            <w:vMerge w:val="restart"/>
            <w:tcBorders/>
            <w:shd w:fill="auto"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Preferred stock</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Common stock</w:t>
            </w:r>
          </w:p>
        </w:tc>
        <w:tc>
          <w:tcPr>
            <w:tcW w:w="60" w:type="dxa"/>
            <w:tcBorders/>
            <w:shd w:fill="auto" w:val="clear"/>
            <w:vAlign w:val="center"/>
          </w:tcPr>
          <w:p>
            <w:pPr>
              <w:pStyle w:val="TableContents"/>
              <w:spacing w:before="0" w:after="283"/>
              <w:rPr/>
            </w:pPr>
            <w:r>
              <w:rPr/>
              <w:t> </w:t>
            </w:r>
          </w:p>
        </w:tc>
        <w:tc>
          <w:tcPr>
            <w:tcW w:w="120" w:type="dxa"/>
            <w:vMerge w:val="continue"/>
            <w:tcBorders/>
            <w:shd w:fill="auto" w:val="clear"/>
            <w:vAlign w:val="center"/>
          </w:tcPr>
          <w:p>
            <w:pPr>
              <w:pStyle w:val="Normal"/>
              <w:rPr/>
            </w:pPr>
            <w:r>
              <w:rPr/>
            </w:r>
          </w:p>
        </w:tc>
        <w:tc>
          <w:tcPr>
            <w:tcW w:w="1120"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535"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bottom w:val="single" w:sz="8" w:space="0" w:color="000000"/>
            </w:tcBorders>
            <w:shd w:fill="auto" w:val="clear"/>
            <w:tcMar>
              <w:bottom w:w="28" w:type="dxa"/>
            </w:tcM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12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283"/>
              <w:rPr/>
            </w:pPr>
            <w:r>
              <w:rPr/>
              <w:t> </w:t>
            </w:r>
          </w:p>
        </w:tc>
        <w:tc>
          <w:tcPr>
            <w:tcW w:w="120" w:type="dxa"/>
            <w:vMerge w:val="continue"/>
            <w:tcBorders/>
            <w:shd w:fill="auto" w:val="clear"/>
            <w:vAlign w:val="center"/>
          </w:tcPr>
          <w:p>
            <w:pPr>
              <w:pStyle w:val="Normal"/>
              <w:rPr/>
            </w:pPr>
            <w:r>
              <w:rPr/>
            </w:r>
          </w:p>
        </w:tc>
        <w:tc>
          <w:tcPr>
            <w:tcW w:w="1120"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535"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bottom w:val="single" w:sz="8" w:space="0" w:color="000000"/>
            </w:tcBorders>
            <w:shd w:fill="auto" w:val="clear"/>
            <w:tcMar>
              <w:bottom w:w="28" w:type="dxa"/>
            </w:tcM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12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at December 31,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2,369,797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18,102,523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w:t>
            </w:r>
          </w:p>
        </w:tc>
        <w:tc>
          <w:tcPr>
            <w:tcW w:w="629" w:type="dxa"/>
            <w:tcBorders/>
            <w:shd w:fill="CCEEFF" w:val="clear"/>
            <w:vAlign w:val="center"/>
          </w:tcPr>
          <w:p>
            <w:pPr>
              <w:pStyle w:val="TableContents"/>
              <w:spacing w:before="0" w:after="283"/>
              <w:jc w:val="right"/>
              <w:rPr/>
            </w:pPr>
            <w:r>
              <w:rPr/>
              <w:t>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1,160,079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61" w:type="dxa"/>
            <w:tcBorders/>
            <w:shd w:fill="CCEEFF" w:val="clear"/>
            <w:vAlign w:val="center"/>
          </w:tcPr>
          <w:p>
            <w:pPr>
              <w:pStyle w:val="TableContents"/>
              <w:spacing w:before="0" w:after="283"/>
              <w:rPr/>
            </w:pPr>
            <w:r>
              <w:rPr/>
              <w:t>$</w:t>
            </w:r>
          </w:p>
        </w:tc>
        <w:tc>
          <w:tcPr>
            <w:tcW w:w="1174" w:type="dxa"/>
            <w:tcBorders/>
            <w:shd w:fill="CCEEFF" w:val="clear"/>
            <w:vAlign w:val="center"/>
          </w:tcPr>
          <w:p>
            <w:pPr>
              <w:pStyle w:val="TableContents"/>
              <w:spacing w:before="0" w:after="283"/>
              <w:jc w:val="right"/>
              <w:rPr/>
            </w:pPr>
            <w:r>
              <w:rPr/>
              <w:t>(32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w:t>
            </w:r>
          </w:p>
        </w:tc>
        <w:tc>
          <w:tcPr>
            <w:tcW w:w="1210" w:type="dxa"/>
            <w:tcBorders/>
            <w:shd w:fill="CCEEFF" w:val="clear"/>
            <w:vAlign w:val="center"/>
          </w:tcPr>
          <w:p>
            <w:pPr>
              <w:pStyle w:val="TableContents"/>
              <w:spacing w:before="0" w:after="283"/>
              <w:jc w:val="right"/>
              <w:rPr/>
            </w:pPr>
            <w:r>
              <w:rPr/>
              <w:t>(962,660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w:t>
            </w:r>
          </w:p>
        </w:tc>
        <w:tc>
          <w:tcPr>
            <w:tcW w:w="1166" w:type="dxa"/>
            <w:tcBorders/>
            <w:shd w:fill="CCEEFF" w:val="clear"/>
            <w:vAlign w:val="center"/>
          </w:tcPr>
          <w:p>
            <w:pPr>
              <w:pStyle w:val="TableContents"/>
              <w:spacing w:before="0" w:after="283"/>
              <w:jc w:val="right"/>
              <w:rPr/>
            </w:pPr>
            <w:r>
              <w:rPr/>
              <w:t>197,389</w:t>
            </w:r>
          </w:p>
        </w:tc>
        <w:tc>
          <w:tcPr>
            <w:tcW w:w="170" w:type="dxa"/>
            <w:tcBorders/>
            <w:shd w:fill="CCEEFF"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Sale of common shares to related parties and exercise of common stock options, net of transaction costs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180,551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17,903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11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1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17,903</w:t>
            </w:r>
          </w:p>
        </w:tc>
        <w:tc>
          <w:tcPr>
            <w:tcW w:w="170" w:type="dxa"/>
            <w:tcBorders/>
            <w:shd w:fill="auto" w:val="clear"/>
            <w:vAlign w:val="center"/>
          </w:tcPr>
          <w:p>
            <w:pPr>
              <w:pStyle w:val="TableContents"/>
              <w:spacing w:before="0" w:after="283"/>
              <w:rPr/>
            </w:pPr>
            <w:r>
              <w:rPr/>
              <w:t> </w:t>
            </w:r>
          </w:p>
        </w:tc>
      </w:tr>
      <w:tr>
        <w:trPr/>
        <w:tc>
          <w:tcPr>
            <w:tcW w:w="12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Compensation expense related to stock options for services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11,250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61" w:type="dxa"/>
            <w:tcBorders/>
            <w:shd w:fill="CCEEFF" w:val="clear"/>
            <w:vAlign w:val="center"/>
          </w:tcPr>
          <w:p>
            <w:pPr>
              <w:pStyle w:val="TableContents"/>
              <w:spacing w:before="0" w:after="283"/>
              <w:rPr/>
            </w:pPr>
            <w:r>
              <w:rPr/>
              <w:t> </w:t>
            </w:r>
          </w:p>
        </w:tc>
        <w:tc>
          <w:tcPr>
            <w:tcW w:w="11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11,250</w:t>
            </w:r>
          </w:p>
        </w:tc>
        <w:tc>
          <w:tcPr>
            <w:tcW w:w="170" w:type="dxa"/>
            <w:tcBorders/>
            <w:shd w:fill="CCEEFF"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Unrealized loss on marketable securities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1174" w:type="dxa"/>
            <w:tcBorders/>
            <w:shd w:fill="auto" w:val="clear"/>
            <w:vAlign w:val="center"/>
          </w:tcPr>
          <w:p>
            <w:pPr>
              <w:pStyle w:val="TableContents"/>
              <w:spacing w:before="0" w:after="283"/>
              <w:jc w:val="right"/>
              <w:rPr/>
            </w:pPr>
            <w:r>
              <w:rPr/>
              <w:t>(54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1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(54</w:t>
            </w:r>
          </w:p>
        </w:tc>
        <w:tc>
          <w:tcPr>
            <w:tcW w:w="170" w:type="dxa"/>
            <w:tcBorders/>
            <w:shd w:fill="auto" w:val="clear"/>
            <w:vAlign w:val="center"/>
          </w:tcPr>
          <w:p>
            <w:pPr>
              <w:pStyle w:val="TableContents"/>
              <w:spacing w:before="0" w:after="283"/>
              <w:rPr/>
            </w:pPr>
            <w:r>
              <w:rPr/>
              <w:t>) </w:t>
            </w:r>
          </w:p>
        </w:tc>
      </w:tr>
      <w:tr>
        <w:trPr/>
        <w:tc>
          <w:tcPr>
            <w:tcW w:w="12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Hercules warrant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544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61" w:type="dxa"/>
            <w:tcBorders/>
            <w:shd w:fill="CCEEFF" w:val="clear"/>
            <w:vAlign w:val="center"/>
          </w:tcPr>
          <w:p>
            <w:pPr>
              <w:pStyle w:val="TableContents"/>
              <w:spacing w:before="0" w:after="283"/>
              <w:rPr/>
            </w:pPr>
            <w:r>
              <w:rPr/>
              <w:t> </w:t>
            </w:r>
          </w:p>
        </w:tc>
        <w:tc>
          <w:tcPr>
            <w:tcW w:w="11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544</w:t>
            </w:r>
          </w:p>
        </w:tc>
        <w:tc>
          <w:tcPr>
            <w:tcW w:w="170" w:type="dxa"/>
            <w:tcBorders/>
            <w:shd w:fill="CCEEFF"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117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10" w:type="dxa"/>
            <w:tcBorders/>
            <w:shd w:fill="auto" w:val="clear"/>
            <w:vAlign w:val="center"/>
          </w:tcPr>
          <w:p>
            <w:pPr>
              <w:pStyle w:val="TableContents"/>
              <w:spacing w:before="0" w:after="283"/>
              <w:jc w:val="right"/>
              <w:rPr/>
            </w:pPr>
            <w:r>
              <w:rPr/>
              <w:t>(76,896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(76,896</w:t>
            </w:r>
          </w:p>
        </w:tc>
        <w:tc>
          <w:tcPr>
            <w:tcW w:w="170" w:type="dxa"/>
            <w:tcBorders/>
            <w:shd w:fill="auto"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single" w:sz="2" w:space="1" w:color="000000"/>
              </w:rPr>
            </w:pPr>
            <w:r>
              <w:rPr>
                <w:bdr w:val="single" w:sz="2" w:space="1" w:color="000000"/>
              </w:rPr>
              <w:t> </w:t>
            </w:r>
          </w:p>
        </w:tc>
        <w:tc>
          <w:tcPr>
            <w:tcW w:w="629"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single" w:sz="2" w:space="1" w:color="000000"/>
              </w:rPr>
            </w:pPr>
            <w:r>
              <w:rPr>
                <w:bdr w:val="single" w:sz="2" w:space="1" w:color="000000"/>
              </w:rPr>
              <w:t> </w:t>
            </w:r>
          </w:p>
        </w:tc>
        <w:tc>
          <w:tcPr>
            <w:tcW w:w="629"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0"/>
              <w:rPr>
                <w:bdr w:val="single" w:sz="2" w:space="1" w:color="000000"/>
              </w:rPr>
            </w:pPr>
            <w:r>
              <w:rPr>
                <w:bdr w:val="single" w:sz="2" w:space="1" w:color="000000"/>
              </w:rPr>
              <w:t> </w:t>
            </w:r>
          </w:p>
        </w:tc>
        <w:tc>
          <w:tcPr>
            <w:tcW w:w="117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1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rPr>
                <w:bdr w:val="single" w:sz="2" w:space="1" w:color="000000"/>
              </w:rPr>
            </w:pPr>
            <w:r>
              <w:rPr>
                <w:bdr w:val="single" w:sz="2" w:space="1" w:color="000000"/>
              </w:rPr>
              <w:t> </w:t>
            </w:r>
          </w:p>
        </w:tc>
        <w:tc>
          <w:tcPr>
            <w:tcW w:w="1166"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2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at March 31, 2023</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2,369,797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18,283,074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w:t>
            </w:r>
          </w:p>
        </w:tc>
        <w:tc>
          <w:tcPr>
            <w:tcW w:w="629" w:type="dxa"/>
            <w:tcBorders/>
            <w:shd w:fill="CCEEFF" w:val="clear"/>
            <w:vAlign w:val="center"/>
          </w:tcPr>
          <w:p>
            <w:pPr>
              <w:pStyle w:val="TableContents"/>
              <w:spacing w:before="0" w:after="283"/>
              <w:jc w:val="right"/>
              <w:rPr/>
            </w:pPr>
            <w:r>
              <w:rPr/>
              <w:t>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1,189,776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61" w:type="dxa"/>
            <w:tcBorders/>
            <w:shd w:fill="CCEEFF" w:val="clear"/>
            <w:vAlign w:val="center"/>
          </w:tcPr>
          <w:p>
            <w:pPr>
              <w:pStyle w:val="TableContents"/>
              <w:spacing w:before="0" w:after="283"/>
              <w:rPr/>
            </w:pPr>
            <w:r>
              <w:rPr/>
              <w:t>$</w:t>
            </w:r>
          </w:p>
        </w:tc>
        <w:tc>
          <w:tcPr>
            <w:tcW w:w="1174" w:type="dxa"/>
            <w:tcBorders/>
            <w:shd w:fill="CCEEFF" w:val="clear"/>
            <w:vAlign w:val="center"/>
          </w:tcPr>
          <w:p>
            <w:pPr>
              <w:pStyle w:val="TableContents"/>
              <w:spacing w:before="0" w:after="283"/>
              <w:jc w:val="right"/>
              <w:rPr/>
            </w:pPr>
            <w:r>
              <w:rPr/>
              <w:t>(86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w:t>
            </w:r>
          </w:p>
        </w:tc>
        <w:tc>
          <w:tcPr>
            <w:tcW w:w="1210" w:type="dxa"/>
            <w:tcBorders/>
            <w:shd w:fill="CCEEFF" w:val="clear"/>
            <w:vAlign w:val="center"/>
          </w:tcPr>
          <w:p>
            <w:pPr>
              <w:pStyle w:val="TableContents"/>
              <w:spacing w:before="0" w:after="283"/>
              <w:jc w:val="right"/>
              <w:rPr/>
            </w:pPr>
            <w:r>
              <w:rPr/>
              <w:t>(1,039,556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w:t>
            </w:r>
          </w:p>
        </w:tc>
        <w:tc>
          <w:tcPr>
            <w:tcW w:w="1166" w:type="dxa"/>
            <w:tcBorders/>
            <w:shd w:fill="CCEEFF" w:val="clear"/>
            <w:vAlign w:val="center"/>
          </w:tcPr>
          <w:p>
            <w:pPr>
              <w:pStyle w:val="TableContents"/>
              <w:spacing w:before="0" w:after="283"/>
              <w:jc w:val="right"/>
              <w:rPr/>
            </w:pPr>
            <w:r>
              <w:rPr/>
              <w:t>150,136</w:t>
            </w:r>
          </w:p>
        </w:tc>
        <w:tc>
          <w:tcPr>
            <w:tcW w:w="170" w:type="dxa"/>
            <w:tcBorders/>
            <w:shd w:fill="CCEEFF"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double" w:sz="6" w:space="1" w:color="000000"/>
              </w:rPr>
            </w:pPr>
            <w:r>
              <w:rPr>
                <w:bdr w:val="double" w:sz="6" w:space="1" w:color="000000"/>
              </w:rPr>
              <w:t> </w:t>
            </w:r>
          </w:p>
        </w:tc>
        <w:tc>
          <w:tcPr>
            <w:tcW w:w="629"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double" w:sz="6" w:space="1" w:color="000000"/>
              </w:rPr>
            </w:pPr>
            <w:r>
              <w:rPr>
                <w:bdr w:val="double" w:sz="6" w:space="1" w:color="000000"/>
              </w:rPr>
              <w:t> </w:t>
            </w:r>
          </w:p>
        </w:tc>
        <w:tc>
          <w:tcPr>
            <w:tcW w:w="629"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0"/>
              <w:rPr>
                <w:bdr w:val="double" w:sz="6" w:space="1" w:color="000000"/>
              </w:rPr>
            </w:pPr>
            <w:r>
              <w:rPr>
                <w:bdr w:val="double" w:sz="6" w:space="1" w:color="000000"/>
              </w:rPr>
              <w:t> </w:t>
            </w:r>
          </w:p>
        </w:tc>
        <w:tc>
          <w:tcPr>
            <w:tcW w:w="1174"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bdr w:val="double" w:sz="6" w:space="1" w:color="000000"/>
              </w:rPr>
            </w:pPr>
            <w:r>
              <w:rPr>
                <w:bdr w:val="double" w:sz="6" w:space="1" w:color="000000"/>
              </w:rPr>
              <w:t> </w:t>
            </w:r>
          </w:p>
        </w:tc>
        <w:tc>
          <w:tcPr>
            <w:tcW w:w="121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rPr>
                <w:bdr w:val="double" w:sz="6" w:space="1" w:color="000000"/>
              </w:rPr>
            </w:pPr>
            <w:r>
              <w:rPr>
                <w:bdr w:val="double" w:sz="6" w:space="1" w:color="000000"/>
              </w:rPr>
              <w:t> </w:t>
            </w:r>
          </w:p>
        </w:tc>
        <w:tc>
          <w:tcPr>
            <w:tcW w:w="1166"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283"/>
              <w:rPr/>
            </w:pPr>
            <w:r>
              <w:rPr/>
              <w:t> </w:t>
            </w:r>
          </w:p>
        </w:tc>
        <w:tc>
          <w:tcPr>
            <w:tcW w:w="1220" w:type="dxa"/>
            <w:gridSpan w:val="4"/>
            <w:tcBorders/>
            <w:shd w:fill="auto" w:val="clear"/>
            <w:vAlign w:val="center"/>
          </w:tcPr>
          <w:p>
            <w:pPr>
              <w:pStyle w:val="TableContents"/>
              <w:spacing w:before="0" w:after="283"/>
              <w:rPr/>
            </w:pPr>
            <w:r>
              <w:rPr/>
              <w:t> </w:t>
            </w:r>
          </w:p>
        </w:tc>
        <w:tc>
          <w:tcPr>
            <w:tcW w:w="1040" w:type="dxa"/>
            <w:gridSpan w:val="4"/>
            <w:tcBorders/>
            <w:shd w:fill="auto" w:val="clear"/>
            <w:vAlign w:val="center"/>
          </w:tcPr>
          <w:p>
            <w:pPr>
              <w:pStyle w:val="TableContents"/>
              <w:spacing w:before="0" w:after="283"/>
              <w:rPr/>
            </w:pPr>
            <w:r>
              <w:rPr/>
              <w:t> </w:t>
            </w:r>
          </w:p>
        </w:tc>
        <w:tc>
          <w:tcPr>
            <w:tcW w:w="1340" w:type="dxa"/>
            <w:gridSpan w:val="4"/>
            <w:tcBorders/>
            <w:shd w:fill="auto" w:val="clear"/>
            <w:vAlign w:val="center"/>
          </w:tcPr>
          <w:p>
            <w:pPr>
              <w:pStyle w:val="TableContents"/>
              <w:spacing w:before="0" w:after="283"/>
              <w:rPr/>
            </w:pPr>
            <w:r>
              <w:rPr/>
              <w:t> </w:t>
            </w:r>
          </w:p>
        </w:tc>
        <w:tc>
          <w:tcPr>
            <w:tcW w:w="1040" w:type="dxa"/>
            <w:gridSpan w:val="4"/>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810" w:type="dxa"/>
            <w:gridSpan w:val="4"/>
            <w:tcBorders/>
            <w:shd w:fill="auto" w:val="clear"/>
            <w:vAlign w:val="center"/>
          </w:tcPr>
          <w:p>
            <w:pPr>
              <w:pStyle w:val="TableContents"/>
              <w:spacing w:before="0" w:after="283"/>
              <w:rPr/>
            </w:pPr>
            <w:r>
              <w:rPr/>
              <w:t> </w:t>
            </w:r>
          </w:p>
        </w:tc>
        <w:tc>
          <w:tcPr>
            <w:tcW w:w="1585" w:type="dxa"/>
            <w:gridSpan w:val="4"/>
            <w:tcBorders/>
            <w:shd w:fill="auto" w:val="clear"/>
            <w:vAlign w:val="center"/>
          </w:tcPr>
          <w:p>
            <w:pPr>
              <w:pStyle w:val="TableContents"/>
              <w:spacing w:before="0" w:after="283"/>
              <w:rPr/>
            </w:pPr>
            <w:r>
              <w:rPr/>
              <w:t> </w:t>
            </w:r>
          </w:p>
        </w:tc>
        <w:tc>
          <w:tcPr>
            <w:tcW w:w="1600" w:type="dxa"/>
            <w:gridSpan w:val="4"/>
            <w:tcBorders/>
            <w:shd w:fill="auto"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at December 31, 2021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1,969,797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17,103,395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w:t>
            </w:r>
          </w:p>
        </w:tc>
        <w:tc>
          <w:tcPr>
            <w:tcW w:w="629" w:type="dxa"/>
            <w:tcBorders/>
            <w:shd w:fill="auto" w:val="clear"/>
            <w:vAlign w:val="center"/>
          </w:tcPr>
          <w:p>
            <w:pPr>
              <w:pStyle w:val="TableContents"/>
              <w:spacing w:before="0" w:after="283"/>
              <w:jc w:val="right"/>
              <w:rPr/>
            </w:pPr>
            <w:r>
              <w:rP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863,495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w:t>
            </w:r>
          </w:p>
        </w:tc>
        <w:tc>
          <w:tcPr>
            <w:tcW w:w="1174" w:type="dxa"/>
            <w:tcBorders/>
            <w:shd w:fill="auto" w:val="clear"/>
            <w:vAlign w:val="center"/>
          </w:tcPr>
          <w:p>
            <w:pPr>
              <w:pStyle w:val="TableContents"/>
              <w:spacing w:before="0" w:after="283"/>
              <w:jc w:val="right"/>
              <w:rPr/>
            </w:pPr>
            <w:r>
              <w:rPr/>
              <w:t>(80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w:t>
            </w:r>
          </w:p>
        </w:tc>
        <w:tc>
          <w:tcPr>
            <w:tcW w:w="1210" w:type="dxa"/>
            <w:tcBorders/>
            <w:shd w:fill="auto" w:val="clear"/>
            <w:vAlign w:val="center"/>
          </w:tcPr>
          <w:p>
            <w:pPr>
              <w:pStyle w:val="TableContents"/>
              <w:spacing w:before="0" w:after="283"/>
              <w:jc w:val="right"/>
              <w:rPr/>
            </w:pPr>
            <w:r>
              <w:rPr/>
              <w:t>(667,310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w:t>
            </w:r>
          </w:p>
        </w:tc>
        <w:tc>
          <w:tcPr>
            <w:tcW w:w="1166" w:type="dxa"/>
            <w:tcBorders/>
            <w:shd w:fill="auto" w:val="clear"/>
            <w:vAlign w:val="center"/>
          </w:tcPr>
          <w:p>
            <w:pPr>
              <w:pStyle w:val="TableContents"/>
              <w:spacing w:before="0" w:after="283"/>
              <w:jc w:val="right"/>
              <w:rPr/>
            </w:pPr>
            <w:r>
              <w:rPr/>
              <w:t>196,107</w:t>
            </w:r>
          </w:p>
        </w:tc>
        <w:tc>
          <w:tcPr>
            <w:tcW w:w="170" w:type="dxa"/>
            <w:tcBorders/>
            <w:shd w:fill="auto" w:val="clear"/>
            <w:vAlign w:val="center"/>
          </w:tcPr>
          <w:p>
            <w:pPr>
              <w:pStyle w:val="TableContents"/>
              <w:spacing w:before="0" w:after="283"/>
              <w:rPr/>
            </w:pPr>
            <w:r>
              <w:rPr/>
              <w:t> </w:t>
            </w:r>
          </w:p>
        </w:tc>
      </w:tr>
      <w:tr>
        <w:trPr/>
        <w:tc>
          <w:tcPr>
            <w:tcW w:w="12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Compensation expense related to stock options for services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7,477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61" w:type="dxa"/>
            <w:tcBorders/>
            <w:shd w:fill="CCEEFF" w:val="clear"/>
            <w:vAlign w:val="center"/>
          </w:tcPr>
          <w:p>
            <w:pPr>
              <w:pStyle w:val="TableContents"/>
              <w:spacing w:before="0" w:after="283"/>
              <w:rPr/>
            </w:pPr>
            <w:r>
              <w:rPr/>
              <w:t> </w:t>
            </w:r>
          </w:p>
        </w:tc>
        <w:tc>
          <w:tcPr>
            <w:tcW w:w="11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7,477</w:t>
            </w:r>
          </w:p>
        </w:tc>
        <w:tc>
          <w:tcPr>
            <w:tcW w:w="170" w:type="dxa"/>
            <w:tcBorders/>
            <w:shd w:fill="CCEEFF"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Unrealized loss on marketable securities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1174" w:type="dxa"/>
            <w:tcBorders/>
            <w:shd w:fill="auto" w:val="clear"/>
            <w:vAlign w:val="center"/>
          </w:tcPr>
          <w:p>
            <w:pPr>
              <w:pStyle w:val="TableContents"/>
              <w:spacing w:before="0" w:after="283"/>
              <w:jc w:val="right"/>
              <w:rPr/>
            </w:pPr>
            <w:r>
              <w:rPr/>
              <w:t>(322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1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(322</w:t>
            </w:r>
          </w:p>
        </w:tc>
        <w:tc>
          <w:tcPr>
            <w:tcW w:w="170" w:type="dxa"/>
            <w:tcBorders/>
            <w:shd w:fill="auto" w:val="clear"/>
            <w:vAlign w:val="center"/>
          </w:tcPr>
          <w:p>
            <w:pPr>
              <w:pStyle w:val="TableContents"/>
              <w:spacing w:before="0" w:after="283"/>
              <w:rPr/>
            </w:pPr>
            <w:r>
              <w:rPr/>
              <w:t>) </w:t>
            </w:r>
          </w:p>
        </w:tc>
      </w:tr>
      <w:tr>
        <w:trPr/>
        <w:tc>
          <w:tcPr>
            <w:tcW w:w="12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61" w:type="dxa"/>
            <w:tcBorders/>
            <w:shd w:fill="CCEEFF" w:val="clear"/>
            <w:vAlign w:val="center"/>
          </w:tcPr>
          <w:p>
            <w:pPr>
              <w:pStyle w:val="TableContents"/>
              <w:spacing w:before="0" w:after="283"/>
              <w:rPr/>
            </w:pPr>
            <w:r>
              <w:rPr/>
              <w:t> </w:t>
            </w:r>
          </w:p>
        </w:tc>
        <w:tc>
          <w:tcPr>
            <w:tcW w:w="117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(57,518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(57,518</w:t>
            </w:r>
          </w:p>
        </w:tc>
        <w:tc>
          <w:tcPr>
            <w:tcW w:w="170" w:type="dxa"/>
            <w:tcBorders/>
            <w:shd w:fill="CCEEFF"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single" w:sz="2" w:space="1" w:color="000000"/>
              </w:rPr>
            </w:pPr>
            <w:r>
              <w:rPr>
                <w:bdr w:val="single" w:sz="2" w:space="1" w:color="000000"/>
              </w:rPr>
              <w:t> </w:t>
            </w:r>
          </w:p>
        </w:tc>
        <w:tc>
          <w:tcPr>
            <w:tcW w:w="629"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single" w:sz="2" w:space="1" w:color="000000"/>
              </w:rPr>
            </w:pPr>
            <w:r>
              <w:rPr>
                <w:bdr w:val="single" w:sz="2" w:space="1" w:color="000000"/>
              </w:rPr>
              <w:t> </w:t>
            </w:r>
          </w:p>
        </w:tc>
        <w:tc>
          <w:tcPr>
            <w:tcW w:w="629"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0"/>
              <w:rPr>
                <w:bdr w:val="single" w:sz="2" w:space="1" w:color="000000"/>
              </w:rPr>
            </w:pPr>
            <w:r>
              <w:rPr>
                <w:bdr w:val="single" w:sz="2" w:space="1" w:color="000000"/>
              </w:rPr>
              <w:t> </w:t>
            </w:r>
          </w:p>
        </w:tc>
        <w:tc>
          <w:tcPr>
            <w:tcW w:w="117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1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rPr>
                <w:bdr w:val="single" w:sz="2" w:space="1" w:color="000000"/>
              </w:rPr>
            </w:pPr>
            <w:r>
              <w:rPr>
                <w:bdr w:val="single" w:sz="2" w:space="1" w:color="000000"/>
              </w:rPr>
              <w:t> </w:t>
            </w:r>
          </w:p>
        </w:tc>
        <w:tc>
          <w:tcPr>
            <w:tcW w:w="1166"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at March 31,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1,969,797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17,103,395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w:t>
            </w:r>
          </w:p>
        </w:tc>
        <w:tc>
          <w:tcPr>
            <w:tcW w:w="629" w:type="dxa"/>
            <w:tcBorders/>
            <w:shd w:fill="auto" w:val="clear"/>
            <w:vAlign w:val="center"/>
          </w:tcPr>
          <w:p>
            <w:pPr>
              <w:pStyle w:val="TableContents"/>
              <w:spacing w:before="0" w:after="283"/>
              <w:jc w:val="right"/>
              <w:rPr/>
            </w:pPr>
            <w:r>
              <w:rP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870,972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w:t>
            </w:r>
          </w:p>
        </w:tc>
        <w:tc>
          <w:tcPr>
            <w:tcW w:w="1174" w:type="dxa"/>
            <w:tcBorders/>
            <w:shd w:fill="auto" w:val="clear"/>
            <w:vAlign w:val="center"/>
          </w:tcPr>
          <w:p>
            <w:pPr>
              <w:pStyle w:val="TableContents"/>
              <w:spacing w:before="0" w:after="283"/>
              <w:jc w:val="right"/>
              <w:rPr/>
            </w:pPr>
            <w:r>
              <w:rPr/>
              <w:t>(402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w:t>
            </w:r>
          </w:p>
        </w:tc>
        <w:tc>
          <w:tcPr>
            <w:tcW w:w="1210" w:type="dxa"/>
            <w:tcBorders/>
            <w:shd w:fill="auto" w:val="clear"/>
            <w:vAlign w:val="center"/>
          </w:tcPr>
          <w:p>
            <w:pPr>
              <w:pStyle w:val="TableContents"/>
              <w:spacing w:before="0" w:after="283"/>
              <w:jc w:val="right"/>
              <w:rPr/>
            </w:pPr>
            <w:r>
              <w:rPr/>
              <w:t>(724,828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w:t>
            </w:r>
          </w:p>
        </w:tc>
        <w:tc>
          <w:tcPr>
            <w:tcW w:w="1166" w:type="dxa"/>
            <w:tcBorders/>
            <w:shd w:fill="auto" w:val="clear"/>
            <w:vAlign w:val="center"/>
          </w:tcPr>
          <w:p>
            <w:pPr>
              <w:pStyle w:val="TableContents"/>
              <w:spacing w:before="0" w:after="283"/>
              <w:jc w:val="right"/>
              <w:rPr/>
            </w:pPr>
            <w:r>
              <w:rPr/>
              <w:t>145,744</w:t>
            </w:r>
          </w:p>
        </w:tc>
        <w:tc>
          <w:tcPr>
            <w:tcW w:w="170" w:type="dxa"/>
            <w:tcBorders/>
            <w:shd w:fill="auto"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double" w:sz="6" w:space="1" w:color="000000"/>
              </w:rPr>
            </w:pPr>
            <w:r>
              <w:rPr>
                <w:bdr w:val="double" w:sz="6" w:space="1" w:color="000000"/>
              </w:rPr>
              <w:t> </w:t>
            </w:r>
          </w:p>
        </w:tc>
        <w:tc>
          <w:tcPr>
            <w:tcW w:w="629"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double" w:sz="6" w:space="1" w:color="000000"/>
              </w:rPr>
            </w:pPr>
            <w:r>
              <w:rPr>
                <w:bdr w:val="double" w:sz="6" w:space="1" w:color="000000"/>
              </w:rPr>
              <w:t> </w:t>
            </w:r>
          </w:p>
        </w:tc>
        <w:tc>
          <w:tcPr>
            <w:tcW w:w="629"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0"/>
              <w:rPr>
                <w:bdr w:val="double" w:sz="6" w:space="1" w:color="000000"/>
              </w:rPr>
            </w:pPr>
            <w:r>
              <w:rPr>
                <w:bdr w:val="double" w:sz="6" w:space="1" w:color="000000"/>
              </w:rPr>
              <w:t> </w:t>
            </w:r>
          </w:p>
        </w:tc>
        <w:tc>
          <w:tcPr>
            <w:tcW w:w="1174"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bdr w:val="double" w:sz="6" w:space="1" w:color="000000"/>
              </w:rPr>
            </w:pPr>
            <w:r>
              <w:rPr>
                <w:bdr w:val="double" w:sz="6" w:space="1" w:color="000000"/>
              </w:rPr>
              <w:t> </w:t>
            </w:r>
          </w:p>
        </w:tc>
        <w:tc>
          <w:tcPr>
            <w:tcW w:w="121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rPr>
                <w:bdr w:val="double" w:sz="6" w:space="1" w:color="000000"/>
              </w:rPr>
            </w:pPr>
            <w:r>
              <w:rPr>
                <w:bdr w:val="double" w:sz="6" w:space="1" w:color="000000"/>
              </w:rPr>
              <w:t> </w:t>
            </w:r>
          </w:p>
        </w:tc>
        <w:tc>
          <w:tcPr>
            <w:tcW w:w="1166"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highlight w:val="white"/>
        </w:rPr>
      </w:pPr>
      <w:r>
        <w:rPr>
          <w:rFonts w:ascii="Times New Roman" w:hAnsi="Times New Roman"/>
          <w:sz w:val="20"/>
          <w:highlight w:val="white"/>
        </w:rPr>
        <w:t xml:space="preserve">See accompanying notes to condensed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6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MADRIGAL PHARMACEUTICALS,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(Unaudited; in thousands)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6554"/>
        <w:gridCol w:w="120"/>
        <w:gridCol w:w="216"/>
        <w:gridCol w:w="1359"/>
        <w:gridCol w:w="239"/>
        <w:gridCol w:w="92"/>
        <w:gridCol w:w="216"/>
        <w:gridCol w:w="1176"/>
        <w:gridCol w:w="155"/>
        <w:gridCol w:w="78"/>
      </w:tblGrid>
      <w:tr>
        <w:trPr/>
        <w:tc>
          <w:tcPr>
            <w:tcW w:w="65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98"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Three Months Ended March 31,</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vMerge w:val="restart"/>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575"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2023</w:t>
            </w:r>
          </w:p>
        </w:tc>
        <w:tc>
          <w:tcPr>
            <w:tcW w:w="239" w:type="dxa"/>
            <w:vMerge w:val="restart"/>
            <w:tcBorders/>
            <w:shd w:fill="auto" w:val="clear"/>
            <w:vAlign w:val="center"/>
          </w:tcPr>
          <w:p>
            <w:pPr>
              <w:pStyle w:val="TableContents"/>
              <w:spacing w:before="0" w:after="283"/>
              <w:rPr/>
            </w:pPr>
            <w:r>
              <w:rPr/>
              <w:t> </w:t>
            </w:r>
          </w:p>
        </w:tc>
        <w:tc>
          <w:tcPr>
            <w:tcW w:w="92" w:type="dxa"/>
            <w:vMerge w:val="restart"/>
            <w:tcBorders/>
            <w:shd w:fill="auto" w:val="clear"/>
            <w:vAlign w:val="center"/>
          </w:tcPr>
          <w:p>
            <w:pPr>
              <w:pStyle w:val="TableContents"/>
              <w:spacing w:before="0" w:after="283"/>
              <w:rPr/>
            </w:pPr>
            <w:r>
              <w:rPr/>
              <w:t> </w:t>
            </w:r>
          </w:p>
        </w:tc>
        <w:tc>
          <w:tcPr>
            <w:tcW w:w="1392"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55" w:type="dxa"/>
            <w:vMerge w:val="restart"/>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575" w:type="dxa"/>
            <w:gridSpan w:val="2"/>
            <w:vMerge w:val="continue"/>
            <w:tcBorders>
              <w:bottom w:val="single" w:sz="8" w:space="0" w:color="000000"/>
            </w:tcBorders>
            <w:shd w:fill="auto" w:val="clear"/>
            <w:tcMar>
              <w:bottom w:w="28" w:type="dxa"/>
            </w:tcMar>
            <w:vAlign w:val="center"/>
          </w:tcPr>
          <w:p>
            <w:pPr>
              <w:pStyle w:val="Normal"/>
              <w:rPr/>
            </w:pPr>
            <w:r>
              <w:rPr/>
            </w:r>
          </w:p>
        </w:tc>
        <w:tc>
          <w:tcPr>
            <w:tcW w:w="239" w:type="dxa"/>
            <w:vMerge w:val="continue"/>
            <w:tcBorders/>
            <w:shd w:fill="auto" w:val="clear"/>
            <w:vAlign w:val="center"/>
          </w:tcPr>
          <w:p>
            <w:pPr>
              <w:pStyle w:val="Normal"/>
              <w:rPr/>
            </w:pPr>
            <w:r>
              <w:rPr/>
            </w:r>
          </w:p>
        </w:tc>
        <w:tc>
          <w:tcPr>
            <w:tcW w:w="92" w:type="dxa"/>
            <w:vMerge w:val="continue"/>
            <w:tcBorders/>
            <w:shd w:fill="auto" w:val="clear"/>
            <w:vAlign w:val="center"/>
          </w:tcPr>
          <w:p>
            <w:pPr>
              <w:pStyle w:val="Normal"/>
              <w:rPr/>
            </w:pPr>
            <w:r>
              <w:rPr/>
            </w:r>
          </w:p>
        </w:tc>
        <w:tc>
          <w:tcPr>
            <w:tcW w:w="1392"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78" w:type="dxa"/>
            <w:tcBorders/>
            <w:shd w:fill="auto" w:val="clear"/>
            <w:vAlign w:val="center"/>
          </w:tcPr>
          <w:p>
            <w:pPr>
              <w:pStyle w:val="TableContents"/>
              <w:spacing w:before="0" w:after="283"/>
              <w:rPr/>
            </w:pPr>
            <w:r>
              <w:rPr/>
              <w:t> </w:t>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flows from operating activities:</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w:t>
            </w:r>
          </w:p>
        </w:tc>
        <w:tc>
          <w:tcPr>
            <w:tcW w:w="1359" w:type="dxa"/>
            <w:tcBorders/>
            <w:shd w:fill="auto" w:val="clear"/>
            <w:vAlign w:val="center"/>
          </w:tcPr>
          <w:p>
            <w:pPr>
              <w:pStyle w:val="TableContents"/>
              <w:spacing w:before="0" w:after="283"/>
              <w:jc w:val="right"/>
              <w:rPr/>
            </w:pPr>
            <w:r>
              <w:rPr/>
              <w:t>(76,896</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w:t>
            </w:r>
          </w:p>
        </w:tc>
        <w:tc>
          <w:tcPr>
            <w:tcW w:w="1176" w:type="dxa"/>
            <w:tcBorders/>
            <w:shd w:fill="auto" w:val="clear"/>
            <w:vAlign w:val="center"/>
          </w:tcPr>
          <w:p>
            <w:pPr>
              <w:pStyle w:val="TableContents"/>
              <w:spacing w:before="0" w:after="283"/>
              <w:jc w:val="right"/>
              <w:rPr/>
            </w:pPr>
            <w:r>
              <w:rPr/>
              <w:t>(57,518</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Stock-based compensation expense</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11,250</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jc w:val="right"/>
              <w:rPr/>
            </w:pPr>
            <w:r>
              <w:rPr/>
              <w:t>7,477</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and amortization expense</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jc w:val="right"/>
              <w:rPr/>
            </w:pPr>
            <w:r>
              <w:rPr/>
              <w:t>124</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jc w:val="right"/>
              <w:rPr/>
            </w:pPr>
            <w:r>
              <w:rPr/>
              <w:t>107</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Amortization of debt issuance costs and discount</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433</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Changes in operating assets and liabilities:</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788</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jc w:val="right"/>
              <w:rPr/>
            </w:pPr>
            <w:r>
              <w:rPr/>
              <w:t>121</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jc w:val="right"/>
              <w:rPr/>
            </w:pPr>
            <w:r>
              <w:rPr/>
              <w:t>(11,703</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jc w:val="right"/>
              <w:rPr/>
            </w:pPr>
            <w:r>
              <w:rPr/>
              <w:t>1,400</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Accrued expense</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(5,894</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jc w:val="right"/>
              <w:rPr/>
            </w:pPr>
            <w:r>
              <w:rPr/>
              <w:t>(1,606</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interest, net of interest received on maturity of investments</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jc w:val="right"/>
              <w:rPr/>
            </w:pPr>
            <w:r>
              <w:rPr/>
              <w:t>(2,169</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jc w:val="right"/>
              <w:rPr/>
            </w:pPr>
            <w:r>
              <w:rPr/>
              <w:t>106</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35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(84,067</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jc w:val="right"/>
              <w:rPr/>
            </w:pPr>
            <w:r>
              <w:rPr/>
              <w:t>(49,913</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35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flows from investing activities:</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Purchases of marketable securities</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(198,822</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jc w:val="right"/>
              <w:rPr/>
            </w:pPr>
            <w:r>
              <w:rPr/>
              <w:t>(37,567</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Sales and maturities of marketable securities</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jc w:val="right"/>
              <w:rPr/>
            </w:pPr>
            <w:r>
              <w:rPr/>
              <w:t>11,993</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jc w:val="right"/>
              <w:rPr/>
            </w:pPr>
            <w:r>
              <w:rPr/>
              <w:t>93,545</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Purchases of property and equipment, net of disposals</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(35</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jc w:val="right"/>
              <w:rPr/>
            </w:pPr>
            <w:r>
              <w:rPr/>
              <w:t>(52</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35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cash provided by (used in) investing activities</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jc w:val="right"/>
              <w:rPr/>
            </w:pPr>
            <w:r>
              <w:rPr/>
              <w:t>(186,864</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jc w:val="right"/>
              <w:rPr/>
            </w:pPr>
            <w:r>
              <w:rPr/>
              <w:t>55,926</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35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 flows from financing activities:</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Proceeds from the sale of related party stock and exercise of common stock options, net of transaction costs</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jc w:val="right"/>
              <w:rPr/>
            </w:pPr>
            <w:r>
              <w:rPr/>
              <w:t>17,903</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Proceeds from issuance of loan payable</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35,000</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Payment of debt issuance costs</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jc w:val="right"/>
              <w:rPr/>
            </w:pPr>
            <w:r>
              <w:rPr/>
              <w:t>(213</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35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52,690</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35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increase (decrease) in cash and cash equivalents</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359" w:type="dxa"/>
            <w:tcBorders/>
            <w:shd w:fill="CCEEFF" w:val="clear"/>
            <w:vAlign w:val="center"/>
          </w:tcPr>
          <w:p>
            <w:pPr>
              <w:pStyle w:val="TableContents"/>
              <w:spacing w:before="0" w:after="283"/>
              <w:jc w:val="right"/>
              <w:rPr/>
            </w:pPr>
            <w:r>
              <w:rPr/>
              <w:t>(218,241</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jc w:val="right"/>
              <w:rPr/>
            </w:pPr>
            <w:r>
              <w:rPr/>
              <w:t>6,013</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 and cash equivalents at beginning of period</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331,549</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jc w:val="right"/>
              <w:rPr/>
            </w:pPr>
            <w:r>
              <w:rPr/>
              <w:t>36,269</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35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117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r>
        <w:trPr/>
        <w:tc>
          <w:tcPr>
            <w:tcW w:w="655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 at end of period</w:t>
            </w:r>
          </w:p>
        </w:tc>
        <w:tc>
          <w:tcPr>
            <w:tcW w:w="12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w:t>
            </w:r>
          </w:p>
        </w:tc>
        <w:tc>
          <w:tcPr>
            <w:tcW w:w="1359" w:type="dxa"/>
            <w:tcBorders/>
            <w:shd w:fill="CCEEFF" w:val="clear"/>
            <w:vAlign w:val="center"/>
          </w:tcPr>
          <w:p>
            <w:pPr>
              <w:pStyle w:val="TableContents"/>
              <w:spacing w:before="0" w:after="283"/>
              <w:jc w:val="right"/>
              <w:rPr/>
            </w:pPr>
            <w:r>
              <w:rPr/>
              <w:t>113,308</w:t>
            </w:r>
          </w:p>
        </w:tc>
        <w:tc>
          <w:tcPr>
            <w:tcW w:w="239"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rPr/>
            </w:pPr>
            <w:r>
              <w:rPr/>
              <w:t>$</w:t>
            </w:r>
          </w:p>
        </w:tc>
        <w:tc>
          <w:tcPr>
            <w:tcW w:w="1176" w:type="dxa"/>
            <w:tcBorders/>
            <w:shd w:fill="CCEEFF" w:val="clear"/>
            <w:vAlign w:val="center"/>
          </w:tcPr>
          <w:p>
            <w:pPr>
              <w:pStyle w:val="TableContents"/>
              <w:spacing w:before="0" w:after="283"/>
              <w:jc w:val="right"/>
              <w:rPr/>
            </w:pPr>
            <w:r>
              <w:rPr/>
              <w:t>42,282</w:t>
            </w:r>
          </w:p>
        </w:tc>
        <w:tc>
          <w:tcPr>
            <w:tcW w:w="155" w:type="dxa"/>
            <w:tcBorders/>
            <w:shd w:fill="CCEEFF" w:val="clear"/>
            <w:vAlign w:val="center"/>
          </w:tcPr>
          <w:p>
            <w:pPr>
              <w:pStyle w:val="TableContents"/>
              <w:spacing w:before="0" w:after="283"/>
              <w:rPr/>
            </w:pPr>
            <w:r>
              <w:rPr/>
              <w:t> </w:t>
            </w:r>
          </w:p>
        </w:tc>
        <w:tc>
          <w:tcPr>
            <w:tcW w:w="78" w:type="dxa"/>
            <w:tcBorders/>
            <w:shd w:fill="CCEEFF" w:val="clear"/>
          </w:tcPr>
          <w:p>
            <w:pPr>
              <w:pStyle w:val="TableContents"/>
              <w:spacing w:before="0" w:after="283"/>
              <w:rPr>
                <w:sz w:val="4"/>
                <w:szCs w:val="4"/>
              </w:rPr>
            </w:pPr>
            <w:r>
              <w:rPr>
                <w:sz w:val="4"/>
                <w:szCs w:val="4"/>
              </w:rPr>
            </w:r>
          </w:p>
        </w:tc>
      </w:tr>
      <w:tr>
        <w:trPr/>
        <w:tc>
          <w:tcPr>
            <w:tcW w:w="6554"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double" w:sz="6" w:space="1" w:color="000000"/>
              </w:rPr>
            </w:pPr>
            <w:r>
              <w:rPr>
                <w:bdr w:val="double" w:sz="6" w:space="1" w:color="000000"/>
              </w:rPr>
              <w:t> </w:t>
            </w:r>
          </w:p>
        </w:tc>
        <w:tc>
          <w:tcPr>
            <w:tcW w:w="1359" w:type="dxa"/>
            <w:tcBorders/>
            <w:shd w:fill="auto" w:val="clear"/>
            <w:vAlign w:val="center"/>
          </w:tcPr>
          <w:p>
            <w:pPr>
              <w:pStyle w:val="TableContents"/>
              <w:spacing w:before="0" w:after="0"/>
              <w:rPr>
                <w:bdr w:val="double" w:sz="6" w:space="1" w:color="000000"/>
              </w:rPr>
            </w:pPr>
            <w:r>
              <w:rPr>
                <w:bdr w:val="double" w:sz="6" w:space="1" w:color="000000"/>
              </w:rPr>
              <w:t> </w:t>
            </w:r>
          </w:p>
        </w:tc>
        <w:tc>
          <w:tcPr>
            <w:tcW w:w="239"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double" w:sz="6" w:space="1" w:color="000000"/>
              </w:rPr>
            </w:pPr>
            <w:r>
              <w:rPr>
                <w:bdr w:val="double" w:sz="6" w:space="1" w:color="000000"/>
              </w:rPr>
              <w:t> </w:t>
            </w:r>
          </w:p>
        </w:tc>
        <w:tc>
          <w:tcPr>
            <w:tcW w:w="1176"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78" w:type="dxa"/>
            <w:tcBorders/>
            <w:shd w:fill="auto" w:val="clear"/>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sz w:val="20"/>
          <w:highlight w:val="white"/>
        </w:rPr>
      </w:pPr>
      <w:r>
        <w:rPr>
          <w:rFonts w:ascii="Times New Roman" w:hAnsi="Times New Roman"/>
          <w:sz w:val="20"/>
          <w:highlight w:val="white"/>
        </w:rPr>
        <w:t xml:space="preserve">See accompanying notes to condensed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7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MADRIGAL PHARMACEUTICALS,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(Unaudited) </w:t>
      </w:r>
    </w:p>
    <w:p>
      <w:pPr>
        <w:pStyle w:val="TextBody"/>
        <w:spacing w:before="240" w:after="0"/>
        <w:jc w:val="left"/>
        <w:rPr>
          <w:rFonts w:ascii="Times New Roman" w:hAnsi="Times New Roman"/>
          <w:b/>
          <w:sz w:val="20"/>
          <w:highlight w:val="white"/>
        </w:rPr>
      </w:pPr>
      <w:r>
        <w:rPr>
          <w:rFonts w:ascii="Times New Roman" w:hAnsi="Times New Roman"/>
          <w:b/>
          <w:sz w:val="20"/>
          <w:highlight w:val="white"/>
        </w:rPr>
        <w:t xml:space="preserve">1. Organization, Business, and Basis of Presentation </w:t>
      </w:r>
    </w:p>
    <w:p>
      <w:pPr>
        <w:pStyle w:val="TextBody"/>
        <w:spacing w:before="120" w:after="0"/>
        <w:jc w:val="left"/>
        <w:rPr>
          <w:rFonts w:ascii="Times New Roman" w:hAnsi="Times New Roman"/>
          <w:b/>
          <w:sz w:val="20"/>
          <w:highlight w:val="white"/>
        </w:rPr>
      </w:pPr>
      <w:r>
        <w:rPr>
          <w:rFonts w:ascii="Times New Roman" w:hAnsi="Times New Roman"/>
          <w:b/>
          <w:sz w:val="20"/>
          <w:highlight w:val="white"/>
        </w:rPr>
        <w:t xml:space="preserve">Organization and Business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Madrigal Pharmaceuticals, Inc. (the “Company” or “Madrigal”) is a clinical-stage pharmaceutical company developing novel, high-quality, small-molecule drugs addressing major unmet needs in cardiovascular, metabolic, and liver diseases. The Company’s lead compound, resmetirom, is being advanced for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non-alcoholic</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steatohepatitis (“NASH”), a liver disease that commonly affects people with metabolic diseases such as obesity and diabetes,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non-alcoholic</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fatty liver disease (“NAFLD”). The Company initiated two Phase 3 studies of resmetirom in NASH in 2019 that are ongoing. The Company announced certain topline results from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MAESTRO-NAFLD-1</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safety study of resmetirom in January 2022 and the MAESTRO-NASH study in December 2022. In August 2022, Madrigal initiated a third study, MAESTRO-NASH-OUTCOMES.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Basis of Presentation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2023 or any subsequent period. These unaudited condensed consolidated financial statements should be read in conjunction with the audited consolidated financial statements and the notes to those statements for the year ended December 31, 2022.</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2. Summary of Significant Accounting Policies </w:t>
      </w:r>
    </w:p>
    <w:p>
      <w:pPr>
        <w:pStyle w:val="TextBody"/>
        <w:spacing w:before="120" w:after="0"/>
        <w:jc w:val="left"/>
        <w:rPr>
          <w:rFonts w:ascii="Times New Roman" w:hAnsi="Times New Roman"/>
          <w:b/>
          <w:sz w:val="20"/>
          <w:highlight w:val="white"/>
        </w:rPr>
      </w:pPr>
      <w:r>
        <w:rPr>
          <w:rFonts w:ascii="Times New Roman" w:hAnsi="Times New Roman"/>
          <w:b/>
          <w:sz w:val="20"/>
          <w:highlight w:val="white"/>
        </w:rPr>
        <w:t xml:space="preserve">Principle of Consolidation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consolidated financial statements include the financial statements of the Company and its wholly owned subsidiaries. All significant intercompany balances have been eliminated in consolidation.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Use of Estimates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Cash and Cash Equivalents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Marketable Securities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Marketable securities consist of investments in high-grade corporate obligations and government and government agency obligations that are classified as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available-for-sale.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Since these securities are available to fund current operations, they are classified as current assets on the consolidated balance sheets.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8</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Company adjusts the cost of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available-for-sale</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available-for-sale</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months ended March 31, 2023 and 2022, the Company determined it did not have any securities that were other-than-temporarily impaired.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months ended March 31, 2023 and 2022, the Company did not have any realized gains or losses on marketable securities.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Fair Value of Financial Instruments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Level 1—quoted prices in active markets for identical assets and liabilities.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Level 2—observable inputs other than Level 1 inputs. Examples of Level 2 inputs include quoted prices in active markets for similar assets or liabilities and quoted prices for identical assets or liabilities in markets that are not active.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Level 3—unobservable inputs that reflect the Company’s own assumptions about the assumptions market participants would use in pricing the asset or liability.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 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of March 31, 2023,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three months ended March 31, 2023 and 2022, the Company did not have any transfers of financial assets between Levels 1 and 2. As of March 31, 2023 and December 31, 2022, the Company did not have any financial liabilities that were recorded at fair value on a recurring basis on the balance sheet.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Research and Development Costs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Patents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Costs to secure and defend patents are expensed as incurred and are classified as general and administrative expense in the Company’s consolidated statements of operations.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9</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Stock-Based Compensation </w:t>
      </w:r>
    </w:p>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The Company recognizes stock-based compensation expense based on the grant date fair value of stock options and restricted stock units granted to employees, officers, and directors. Awards that vest as the recipient provides service are expensed on a straight-line basis over the requisite service period. 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re-evaluated</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at least annually and the forfeiture rate is adjusted as necessary.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Income Taxes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Comprehensive Loss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Comprehensive loss is defined as the change in equity of a business enterprise during a period from transactions and other events and circumstances from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non-owner</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sources. Changes in unrealized gains and losses on marketable securities represent the only difference between the Company’s net loss and comprehensive loss.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Basic and Diluted Loss Per Common Share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Basic net loss per share is computed using the weighted average number of common shares outstanding during the period. Diluted net loss per common share is computed using the weighted average number of common shares outstanding and the weighted average dilutive potential common shares outstanding using the treasury stock method. However, for the three months ended March 31, 2023 and 2022, diluted net loss per share is the same as basic net loss per share because the inclusion of weighted average shares of common stock issuable upon the exercise of stock options and warrants or vesting of restricted stock units, and common stock issuable upon the conversion of preferred stock would be anti-dilutive. The following table summarizes outstanding securities not included in the computation of diluted net loss per common share, as their inclusion would be anti-dilutive: </w:t>
      </w:r>
    </w:p>
    <w:p>
      <w:pPr>
        <w:pStyle w:val="TextBody"/>
        <w:spacing w:before="0" w:after="0"/>
        <w:jc w:val="left"/>
        <w:rPr>
          <w:highlight w:val="white"/>
        </w:rPr>
      </w:pPr>
      <w:r>
        <w:rPr>
          <w:highlight w:val="white"/>
        </w:rPr>
        <w:t> </w:t>
      </w:r>
    </w:p>
    <w:tbl>
      <w:tblPr>
        <w:tblW w:w="5438" w:type="dxa"/>
        <w:jc w:val="left"/>
        <w:tblInd w:w="0" w:type="dxa"/>
        <w:tblCellMar>
          <w:top w:w="0" w:type="dxa"/>
          <w:left w:w="0" w:type="dxa"/>
          <w:bottom w:w="0" w:type="dxa"/>
          <w:right w:w="0" w:type="dxa"/>
        </w:tblCellMar>
      </w:tblPr>
      <w:tblGrid>
        <w:gridCol w:w="1925"/>
        <w:gridCol w:w="120"/>
        <w:gridCol w:w="87"/>
        <w:gridCol w:w="1439"/>
        <w:gridCol w:w="87"/>
        <w:gridCol w:w="176"/>
        <w:gridCol w:w="87"/>
        <w:gridCol w:w="1442"/>
        <w:gridCol w:w="75"/>
      </w:tblGrid>
      <w:tr>
        <w:trPr/>
        <w:tc>
          <w:tcPr>
            <w:tcW w:w="19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9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18"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Three Months Ended March 31,</w:t>
            </w:r>
          </w:p>
        </w:tc>
        <w:tc>
          <w:tcPr>
            <w:tcW w:w="75" w:type="dxa"/>
            <w:tcBorders/>
            <w:shd w:fill="auto" w:val="clear"/>
            <w:vAlign w:val="center"/>
          </w:tcPr>
          <w:p>
            <w:pPr>
              <w:pStyle w:val="TableContents"/>
              <w:spacing w:before="0" w:after="283"/>
              <w:rPr/>
            </w:pPr>
            <w:r>
              <w:rPr/>
              <w:t> </w:t>
            </w:r>
          </w:p>
        </w:tc>
      </w:tr>
      <w:tr>
        <w:trPr/>
        <w:tc>
          <w:tcPr>
            <w:tcW w:w="19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2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2023</w:t>
            </w:r>
          </w:p>
        </w:tc>
        <w:tc>
          <w:tcPr>
            <w:tcW w:w="87"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52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75" w:type="dxa"/>
            <w:tcBorders/>
            <w:shd w:fill="auto" w:val="clear"/>
            <w:vAlign w:val="center"/>
          </w:tcPr>
          <w:p>
            <w:pPr>
              <w:pStyle w:val="TableContents"/>
              <w:spacing w:before="0" w:after="283"/>
              <w:rPr/>
            </w:pPr>
            <w:r>
              <w:rPr/>
              <w:t> </w:t>
            </w:r>
          </w:p>
        </w:tc>
      </w:tr>
      <w:tr>
        <w:trPr/>
        <w:tc>
          <w:tcPr>
            <w:tcW w:w="192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1439"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1442"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19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Common stock options</w:t>
            </w:r>
          </w:p>
        </w:tc>
        <w:tc>
          <w:tcPr>
            <w:tcW w:w="12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439" w:type="dxa"/>
            <w:tcBorders/>
            <w:shd w:fill="auto" w:val="clear"/>
            <w:vAlign w:val="center"/>
          </w:tcPr>
          <w:p>
            <w:pPr>
              <w:pStyle w:val="TableContents"/>
              <w:spacing w:before="0" w:after="283"/>
              <w:jc w:val="right"/>
              <w:rPr/>
            </w:pPr>
            <w:r>
              <w:rPr/>
              <w:t>2,676,598</w:t>
            </w:r>
          </w:p>
        </w:tc>
        <w:tc>
          <w:tcPr>
            <w:tcW w:w="87"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442" w:type="dxa"/>
            <w:tcBorders/>
            <w:shd w:fill="auto" w:val="clear"/>
            <w:vAlign w:val="center"/>
          </w:tcPr>
          <w:p>
            <w:pPr>
              <w:pStyle w:val="TableContents"/>
              <w:spacing w:before="0" w:after="283"/>
              <w:jc w:val="right"/>
              <w:rPr/>
            </w:pPr>
            <w:r>
              <w:rPr/>
              <w:t>2,878,399</w:t>
            </w:r>
          </w:p>
        </w:tc>
        <w:tc>
          <w:tcPr>
            <w:tcW w:w="75" w:type="dxa"/>
            <w:tcBorders/>
            <w:shd w:fill="auto" w:val="clear"/>
            <w:vAlign w:val="center"/>
          </w:tcPr>
          <w:p>
            <w:pPr>
              <w:pStyle w:val="TableContents"/>
              <w:spacing w:before="0" w:after="283"/>
              <w:rPr/>
            </w:pPr>
            <w:r>
              <w:rPr/>
              <w:t> </w:t>
            </w:r>
          </w:p>
        </w:tc>
      </w:tr>
      <w:tr>
        <w:trPr/>
        <w:tc>
          <w:tcPr>
            <w:tcW w:w="19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Restricted stock units</w:t>
            </w:r>
          </w:p>
        </w:tc>
        <w:tc>
          <w:tcPr>
            <w:tcW w:w="12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1439" w:type="dxa"/>
            <w:tcBorders/>
            <w:shd w:fill="CCEEFF" w:val="clear"/>
            <w:vAlign w:val="center"/>
          </w:tcPr>
          <w:p>
            <w:pPr>
              <w:pStyle w:val="TableContents"/>
              <w:spacing w:before="0" w:after="283"/>
              <w:jc w:val="right"/>
              <w:rPr/>
            </w:pPr>
            <w:r>
              <w:rPr/>
              <w:t>199,125</w:t>
            </w:r>
          </w:p>
        </w:tc>
        <w:tc>
          <w:tcPr>
            <w:tcW w:w="87"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144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9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Preferred stock</w:t>
            </w:r>
          </w:p>
        </w:tc>
        <w:tc>
          <w:tcPr>
            <w:tcW w:w="12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439" w:type="dxa"/>
            <w:tcBorders/>
            <w:shd w:fill="auto" w:val="clear"/>
            <w:vAlign w:val="center"/>
          </w:tcPr>
          <w:p>
            <w:pPr>
              <w:pStyle w:val="TableContents"/>
              <w:spacing w:before="0" w:after="283"/>
              <w:jc w:val="right"/>
              <w:rPr/>
            </w:pPr>
            <w:r>
              <w:rPr/>
              <w:t>2,369,797</w:t>
            </w:r>
          </w:p>
        </w:tc>
        <w:tc>
          <w:tcPr>
            <w:tcW w:w="87"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442" w:type="dxa"/>
            <w:tcBorders/>
            <w:shd w:fill="auto" w:val="clear"/>
            <w:vAlign w:val="center"/>
          </w:tcPr>
          <w:p>
            <w:pPr>
              <w:pStyle w:val="TableContents"/>
              <w:spacing w:before="0" w:after="283"/>
              <w:jc w:val="right"/>
              <w:rPr/>
            </w:pPr>
            <w:r>
              <w:rPr/>
              <w:t>1,969,797</w:t>
            </w:r>
          </w:p>
        </w:tc>
        <w:tc>
          <w:tcPr>
            <w:tcW w:w="75" w:type="dxa"/>
            <w:tcBorders/>
            <w:shd w:fill="auto" w:val="clear"/>
            <w:vAlign w:val="center"/>
          </w:tcPr>
          <w:p>
            <w:pPr>
              <w:pStyle w:val="TableContents"/>
              <w:spacing w:before="0" w:after="283"/>
              <w:rPr/>
            </w:pPr>
            <w:r>
              <w:rPr/>
              <w:t> </w:t>
            </w:r>
          </w:p>
        </w:tc>
      </w:tr>
      <w:tr>
        <w:trPr/>
        <w:tc>
          <w:tcPr>
            <w:tcW w:w="19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Warrants</w:t>
            </w:r>
          </w:p>
        </w:tc>
        <w:tc>
          <w:tcPr>
            <w:tcW w:w="12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1439" w:type="dxa"/>
            <w:tcBorders/>
            <w:shd w:fill="CCEEFF" w:val="clear"/>
            <w:vAlign w:val="center"/>
          </w:tcPr>
          <w:p>
            <w:pPr>
              <w:pStyle w:val="TableContents"/>
              <w:spacing w:before="0" w:after="283"/>
              <w:jc w:val="right"/>
              <w:rPr/>
            </w:pPr>
            <w:r>
              <w:rPr/>
              <w:t>17,352</w:t>
            </w:r>
          </w:p>
        </w:tc>
        <w:tc>
          <w:tcPr>
            <w:tcW w:w="87"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144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Recent Accounting Pronouncements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None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3. Liquidity and Uncertainties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(FDA) and other government regulations.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10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The Company has incurred losses since inception, including approximately $76.9 million for the three months ended March 31, 2023, resulting in an accumulated deficit of approximately $1,040 million as of March 31, 2023. Management expects to incur losses for the foreseeable future. To date, the Company has funded its operations primarily through proceeds from sales of the Company’s capital stock and debt financings. The Company believes that its cash, cash equivalents and marketable securities at March 31, 2023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4. Cash, Cash Equivalents and Marketable Securities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 summary of cash, cash equivalents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available-for-sale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marketable securities held by the Company as of March 31, 2023 and December 31, 2022 is as follows (in thousands):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5167"/>
        <w:gridCol w:w="120"/>
        <w:gridCol w:w="140"/>
        <w:gridCol w:w="800"/>
        <w:gridCol w:w="60"/>
        <w:gridCol w:w="120"/>
        <w:gridCol w:w="304"/>
        <w:gridCol w:w="826"/>
        <w:gridCol w:w="60"/>
        <w:gridCol w:w="120"/>
        <w:gridCol w:w="304"/>
        <w:gridCol w:w="826"/>
        <w:gridCol w:w="155"/>
        <w:gridCol w:w="120"/>
        <w:gridCol w:w="150"/>
        <w:gridCol w:w="857"/>
        <w:gridCol w:w="76"/>
      </w:tblGrid>
      <w:tr>
        <w:trPr/>
        <w:tc>
          <w:tcPr>
            <w:tcW w:w="51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516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42"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March 31, 2023</w:t>
            </w:r>
          </w:p>
        </w:tc>
        <w:tc>
          <w:tcPr>
            <w:tcW w:w="76" w:type="dxa"/>
            <w:tcBorders/>
            <w:shd w:fill="auto" w:val="clear"/>
            <w:vAlign w:val="center"/>
          </w:tcPr>
          <w:p>
            <w:pPr>
              <w:pStyle w:val="TableContents"/>
              <w:spacing w:before="0" w:after="283"/>
              <w:rPr/>
            </w:pPr>
            <w:r>
              <w:rPr/>
              <w:t> </w:t>
            </w:r>
          </w:p>
        </w:tc>
      </w:tr>
      <w:tr>
        <w:trPr/>
        <w:tc>
          <w:tcPr>
            <w:tcW w:w="516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Cost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Unrealized</w:t>
              <w:br/>
              <w:t>gains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Unrealized</w:t>
              <w:br/>
              <w:t>losses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7"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 value</w:t>
            </w:r>
          </w:p>
        </w:tc>
        <w:tc>
          <w:tcPr>
            <w:tcW w:w="76" w:type="dxa"/>
            <w:tcBorders/>
            <w:shd w:fill="auto" w:val="clear"/>
            <w:vAlign w:val="center"/>
          </w:tcPr>
          <w:p>
            <w:pPr>
              <w:pStyle w:val="TableContents"/>
              <w:spacing w:before="0" w:after="283"/>
              <w:rPr/>
            </w:pPr>
            <w:r>
              <w:rPr/>
              <w:t> </w:t>
            </w:r>
          </w:p>
        </w:tc>
      </w:tr>
      <w:tr>
        <w:trPr/>
        <w:tc>
          <w:tcPr>
            <w:tcW w:w="5167"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857"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r>
      <w:tr>
        <w:trPr/>
        <w:tc>
          <w:tcPr>
            <w:tcW w:w="516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10,094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w:t>
            </w:r>
          </w:p>
        </w:tc>
        <w:tc>
          <w:tcPr>
            <w:tcW w:w="82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w:t>
            </w:r>
          </w:p>
        </w:tc>
        <w:tc>
          <w:tcPr>
            <w:tcW w:w="8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w:t>
            </w:r>
          </w:p>
        </w:tc>
        <w:tc>
          <w:tcPr>
            <w:tcW w:w="857" w:type="dxa"/>
            <w:tcBorders/>
            <w:shd w:fill="auto" w:val="clear"/>
            <w:vAlign w:val="center"/>
          </w:tcPr>
          <w:p>
            <w:pPr>
              <w:pStyle w:val="TableContents"/>
              <w:spacing w:before="0" w:after="283"/>
              <w:jc w:val="right"/>
              <w:rPr/>
            </w:pPr>
            <w:r>
              <w:rPr/>
              <w:t>10,094</w:t>
            </w:r>
          </w:p>
        </w:tc>
        <w:tc>
          <w:tcPr>
            <w:tcW w:w="76" w:type="dxa"/>
            <w:tcBorders/>
            <w:shd w:fill="auto" w:val="clear"/>
            <w:vAlign w:val="center"/>
          </w:tcPr>
          <w:p>
            <w:pPr>
              <w:pStyle w:val="TableContents"/>
              <w:spacing w:before="0" w:after="283"/>
              <w:rPr/>
            </w:pPr>
            <w:r>
              <w:rPr/>
              <w:t> </w:t>
            </w:r>
          </w:p>
        </w:tc>
      </w:tr>
      <w:tr>
        <w:trPr/>
        <w:tc>
          <w:tcPr>
            <w:tcW w:w="5167"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Money market funds (Level 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84,750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857" w:type="dxa"/>
            <w:tcBorders/>
            <w:shd w:fill="CCEEFF" w:val="clear"/>
            <w:vAlign w:val="center"/>
          </w:tcPr>
          <w:p>
            <w:pPr>
              <w:pStyle w:val="TableContents"/>
              <w:spacing w:before="0" w:after="283"/>
              <w:jc w:val="right"/>
              <w:rPr/>
            </w:pPr>
            <w:r>
              <w:rPr/>
              <w:t>84,750</w:t>
            </w:r>
          </w:p>
        </w:tc>
        <w:tc>
          <w:tcPr>
            <w:tcW w:w="76" w:type="dxa"/>
            <w:tcBorders/>
            <w:shd w:fill="CCEEFF" w:val="clear"/>
            <w:vAlign w:val="center"/>
          </w:tcPr>
          <w:p>
            <w:pPr>
              <w:pStyle w:val="TableContents"/>
              <w:spacing w:before="0" w:after="283"/>
              <w:rPr/>
            </w:pPr>
            <w:r>
              <w:rPr/>
              <w:t> </w:t>
            </w:r>
          </w:p>
        </w:tc>
      </w:tr>
      <w:tr>
        <w:trPr/>
        <w:tc>
          <w:tcPr>
            <w:tcW w:w="516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Corporate debt securities due within 3 months of date of purchase (Level 2)</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18,464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right"/>
              <w:rPr/>
            </w:pPr>
            <w:r>
              <w:rPr/>
              <w:t>18,464</w:t>
            </w:r>
          </w:p>
        </w:tc>
        <w:tc>
          <w:tcPr>
            <w:tcW w:w="76" w:type="dxa"/>
            <w:tcBorders/>
            <w:shd w:fill="auto" w:val="clear"/>
            <w:vAlign w:val="center"/>
          </w:tcPr>
          <w:p>
            <w:pPr>
              <w:pStyle w:val="TableContents"/>
              <w:spacing w:before="0" w:after="283"/>
              <w:rPr/>
            </w:pPr>
            <w:r>
              <w:rPr/>
              <w:t> </w:t>
            </w:r>
          </w:p>
        </w:tc>
      </w:tr>
      <w:tr>
        <w:trPr/>
        <w:tc>
          <w:tcPr>
            <w:tcW w:w="516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826"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8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857" w:type="dxa"/>
            <w:tcBorders/>
            <w:shd w:fill="auto" w:val="clear"/>
            <w:vAlign w:val="center"/>
          </w:tcPr>
          <w:p>
            <w:pPr>
              <w:pStyle w:val="TableContents"/>
              <w:spacing w:before="0" w:after="0"/>
              <w:rPr>
                <w:bdr w:val="single" w:sz="2" w:space="1" w:color="000000"/>
              </w:rPr>
            </w:pPr>
            <w:r>
              <w:rPr>
                <w:bdr w:val="single" w:sz="2" w:space="1" w:color="000000"/>
              </w:rPr>
              <w:t> </w:t>
            </w:r>
          </w:p>
        </w:tc>
        <w:tc>
          <w:tcPr>
            <w:tcW w:w="76" w:type="dxa"/>
            <w:tcBorders/>
            <w:shd w:fill="auto" w:val="clear"/>
            <w:vAlign w:val="center"/>
          </w:tcPr>
          <w:p>
            <w:pPr>
              <w:pStyle w:val="TableContents"/>
              <w:spacing w:before="0" w:after="283"/>
              <w:rPr/>
            </w:pPr>
            <w:r>
              <w:rPr/>
              <w:t> </w:t>
            </w:r>
          </w:p>
        </w:tc>
      </w:tr>
      <w:tr>
        <w:trPr/>
        <w:tc>
          <w:tcPr>
            <w:tcW w:w="5167"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113,308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857" w:type="dxa"/>
            <w:tcBorders/>
            <w:shd w:fill="CCEEFF" w:val="clear"/>
            <w:vAlign w:val="center"/>
          </w:tcPr>
          <w:p>
            <w:pPr>
              <w:pStyle w:val="TableContents"/>
              <w:spacing w:before="0" w:after="283"/>
              <w:jc w:val="right"/>
              <w:rPr/>
            </w:pPr>
            <w:r>
              <w:rPr/>
              <w:t>113,308</w:t>
            </w:r>
          </w:p>
        </w:tc>
        <w:tc>
          <w:tcPr>
            <w:tcW w:w="76" w:type="dxa"/>
            <w:tcBorders/>
            <w:shd w:fill="CCEEFF" w:val="clear"/>
            <w:vAlign w:val="center"/>
          </w:tcPr>
          <w:p>
            <w:pPr>
              <w:pStyle w:val="TableContents"/>
              <w:spacing w:before="0" w:after="283"/>
              <w:rPr/>
            </w:pPr>
            <w:r>
              <w:rPr/>
              <w:t> </w:t>
            </w:r>
          </w:p>
        </w:tc>
      </w:tr>
      <w:tr>
        <w:trPr/>
        <w:tc>
          <w:tcPr>
            <w:tcW w:w="516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Marketable securities: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r>
      <w:tr>
        <w:trPr/>
        <w:tc>
          <w:tcPr>
            <w:tcW w:w="5167"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Corporate debt securities due within 1 year of date of purchase (Level 2)</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207,138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(96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857" w:type="dxa"/>
            <w:tcBorders/>
            <w:shd w:fill="CCEEFF" w:val="clear"/>
            <w:vAlign w:val="center"/>
          </w:tcPr>
          <w:p>
            <w:pPr>
              <w:pStyle w:val="TableContents"/>
              <w:spacing w:before="0" w:after="283"/>
              <w:jc w:val="right"/>
              <w:rPr/>
            </w:pPr>
            <w:r>
              <w:rPr/>
              <w:t>207,049</w:t>
            </w:r>
          </w:p>
        </w:tc>
        <w:tc>
          <w:tcPr>
            <w:tcW w:w="76" w:type="dxa"/>
            <w:tcBorders/>
            <w:shd w:fill="CCEEFF" w:val="clear"/>
            <w:vAlign w:val="center"/>
          </w:tcPr>
          <w:p>
            <w:pPr>
              <w:pStyle w:val="TableContents"/>
              <w:spacing w:before="0" w:after="283"/>
              <w:rPr/>
            </w:pPr>
            <w:r>
              <w:rPr/>
              <w:t> </w:t>
            </w:r>
          </w:p>
        </w:tc>
      </w:tr>
      <w:tr>
        <w:trPr/>
        <w:tc>
          <w:tcPr>
            <w:tcW w:w="516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U.S. government and government sponsored entities due within 1 year of date of purchase (Level 2)</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9,117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right"/>
              <w:rPr/>
            </w:pPr>
            <w:r>
              <w:rPr/>
              <w:t>9,120</w:t>
            </w:r>
          </w:p>
        </w:tc>
        <w:tc>
          <w:tcPr>
            <w:tcW w:w="76" w:type="dxa"/>
            <w:tcBorders/>
            <w:shd w:fill="auto" w:val="clear"/>
            <w:vAlign w:val="center"/>
          </w:tcPr>
          <w:p>
            <w:pPr>
              <w:pStyle w:val="TableContents"/>
              <w:spacing w:before="0" w:after="283"/>
              <w:rPr/>
            </w:pPr>
            <w:r>
              <w:rPr/>
              <w:t> </w:t>
            </w:r>
          </w:p>
        </w:tc>
      </w:tr>
      <w:tr>
        <w:trPr/>
        <w:tc>
          <w:tcPr>
            <w:tcW w:w="516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826"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8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857" w:type="dxa"/>
            <w:tcBorders/>
            <w:shd w:fill="auto" w:val="clear"/>
            <w:vAlign w:val="center"/>
          </w:tcPr>
          <w:p>
            <w:pPr>
              <w:pStyle w:val="TableContents"/>
              <w:spacing w:before="0" w:after="0"/>
              <w:rPr>
                <w:bdr w:val="single" w:sz="2" w:space="1" w:color="000000"/>
              </w:rPr>
            </w:pPr>
            <w:r>
              <w:rPr>
                <w:bdr w:val="single" w:sz="2" w:space="1" w:color="000000"/>
              </w:rPr>
              <w:t> </w:t>
            </w:r>
          </w:p>
        </w:tc>
        <w:tc>
          <w:tcPr>
            <w:tcW w:w="76" w:type="dxa"/>
            <w:tcBorders/>
            <w:shd w:fill="auto" w:val="clear"/>
            <w:vAlign w:val="center"/>
          </w:tcPr>
          <w:p>
            <w:pPr>
              <w:pStyle w:val="TableContents"/>
              <w:spacing w:before="0" w:after="283"/>
              <w:rPr/>
            </w:pPr>
            <w:r>
              <w:rPr/>
              <w:t> </w:t>
            </w:r>
          </w:p>
        </w:tc>
      </w:tr>
      <w:tr>
        <w:trPr/>
        <w:tc>
          <w:tcPr>
            <w:tcW w:w="5167"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cash, cash equivalents and marketable securities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329,563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w:t>
            </w:r>
          </w:p>
        </w:tc>
        <w:tc>
          <w:tcPr>
            <w:tcW w:w="826" w:type="dxa"/>
            <w:tcBorders/>
            <w:shd w:fill="CCEEFF" w:val="clear"/>
            <w:vAlign w:val="center"/>
          </w:tcPr>
          <w:p>
            <w:pPr>
              <w:pStyle w:val="TableContents"/>
              <w:spacing w:before="0" w:after="283"/>
              <w:jc w:val="right"/>
              <w:rPr/>
            </w:pPr>
            <w:r>
              <w:rPr/>
              <w:t>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w:t>
            </w:r>
          </w:p>
        </w:tc>
        <w:tc>
          <w:tcPr>
            <w:tcW w:w="826" w:type="dxa"/>
            <w:tcBorders/>
            <w:shd w:fill="CCEEFF" w:val="clear"/>
            <w:vAlign w:val="center"/>
          </w:tcPr>
          <w:p>
            <w:pPr>
              <w:pStyle w:val="TableContents"/>
              <w:spacing w:before="0" w:after="283"/>
              <w:jc w:val="right"/>
              <w:rPr/>
            </w:pPr>
            <w:r>
              <w:rPr/>
              <w:t>(96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w:t>
            </w:r>
          </w:p>
        </w:tc>
        <w:tc>
          <w:tcPr>
            <w:tcW w:w="857" w:type="dxa"/>
            <w:tcBorders/>
            <w:shd w:fill="CCEEFF" w:val="clear"/>
            <w:vAlign w:val="center"/>
          </w:tcPr>
          <w:p>
            <w:pPr>
              <w:pStyle w:val="TableContents"/>
              <w:spacing w:before="0" w:after="283"/>
              <w:jc w:val="right"/>
              <w:rPr/>
            </w:pPr>
            <w:r>
              <w:rPr/>
              <w:t>329,477</w:t>
            </w:r>
          </w:p>
        </w:tc>
        <w:tc>
          <w:tcPr>
            <w:tcW w:w="76" w:type="dxa"/>
            <w:tcBorders/>
            <w:shd w:fill="CCEEFF" w:val="clear"/>
            <w:vAlign w:val="center"/>
          </w:tcPr>
          <w:p>
            <w:pPr>
              <w:pStyle w:val="TableContents"/>
              <w:spacing w:before="0" w:after="283"/>
              <w:rPr/>
            </w:pPr>
            <w:r>
              <w:rPr/>
              <w:t> </w:t>
            </w:r>
          </w:p>
        </w:tc>
      </w:tr>
      <w:tr>
        <w:trPr/>
        <w:tc>
          <w:tcPr>
            <w:tcW w:w="516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double" w:sz="6" w:space="1" w:color="000000"/>
              </w:rPr>
            </w:pPr>
            <w:r>
              <w:rPr>
                <w:bdr w:val="double" w:sz="6" w:space="1" w:color="000000"/>
              </w:rPr>
              <w:t> </w:t>
            </w:r>
          </w:p>
        </w:tc>
        <w:tc>
          <w:tcPr>
            <w:tcW w:w="826"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double" w:sz="6" w:space="1" w:color="000000"/>
              </w:rPr>
            </w:pPr>
            <w:r>
              <w:rPr>
                <w:bdr w:val="double" w:sz="6" w:space="1" w:color="000000"/>
              </w:rPr>
              <w:t> </w:t>
            </w:r>
          </w:p>
        </w:tc>
        <w:tc>
          <w:tcPr>
            <w:tcW w:w="826"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double" w:sz="6" w:space="1" w:color="000000"/>
              </w:rPr>
            </w:pPr>
            <w:r>
              <w:rPr>
                <w:bdr w:val="double" w:sz="6" w:space="1" w:color="000000"/>
              </w:rPr>
              <w:t> </w:t>
            </w:r>
          </w:p>
        </w:tc>
        <w:tc>
          <w:tcPr>
            <w:tcW w:w="857" w:type="dxa"/>
            <w:tcBorders/>
            <w:shd w:fill="auto" w:val="clear"/>
            <w:vAlign w:val="center"/>
          </w:tcPr>
          <w:p>
            <w:pPr>
              <w:pStyle w:val="TableContents"/>
              <w:spacing w:before="0" w:after="0"/>
              <w:rPr>
                <w:bdr w:val="double" w:sz="6" w:space="1" w:color="000000"/>
              </w:rPr>
            </w:pPr>
            <w:r>
              <w:rPr>
                <w:bdr w:val="double" w:sz="6" w:space="1" w:color="000000"/>
              </w:rPr>
              <w:t> </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5138"/>
        <w:gridCol w:w="120"/>
        <w:gridCol w:w="140"/>
        <w:gridCol w:w="800"/>
        <w:gridCol w:w="60"/>
        <w:gridCol w:w="120"/>
        <w:gridCol w:w="304"/>
        <w:gridCol w:w="826"/>
        <w:gridCol w:w="60"/>
        <w:gridCol w:w="120"/>
        <w:gridCol w:w="304"/>
        <w:gridCol w:w="826"/>
        <w:gridCol w:w="155"/>
        <w:gridCol w:w="120"/>
        <w:gridCol w:w="154"/>
        <w:gridCol w:w="882"/>
        <w:gridCol w:w="76"/>
      </w:tblGrid>
      <w:tr>
        <w:trPr/>
        <w:tc>
          <w:tcPr>
            <w:tcW w:w="51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513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71"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 2022</w:t>
            </w:r>
          </w:p>
        </w:tc>
        <w:tc>
          <w:tcPr>
            <w:tcW w:w="76" w:type="dxa"/>
            <w:tcBorders/>
            <w:shd w:fill="auto" w:val="clear"/>
            <w:vAlign w:val="center"/>
          </w:tcPr>
          <w:p>
            <w:pPr>
              <w:pStyle w:val="TableContents"/>
              <w:spacing w:before="0" w:after="283"/>
              <w:rPr/>
            </w:pPr>
            <w:r>
              <w:rPr/>
              <w:t> </w:t>
            </w:r>
          </w:p>
        </w:tc>
      </w:tr>
      <w:tr>
        <w:trPr/>
        <w:tc>
          <w:tcPr>
            <w:tcW w:w="513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Cost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Unrealized</w:t>
              <w:br/>
              <w:t>gains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Unrealized</w:t>
              <w:br/>
              <w:t>losses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 value</w:t>
            </w:r>
          </w:p>
        </w:tc>
        <w:tc>
          <w:tcPr>
            <w:tcW w:w="76" w:type="dxa"/>
            <w:tcBorders/>
            <w:shd w:fill="auto" w:val="clear"/>
            <w:vAlign w:val="center"/>
          </w:tcPr>
          <w:p>
            <w:pPr>
              <w:pStyle w:val="TableContents"/>
              <w:spacing w:before="0" w:after="283"/>
              <w:rPr/>
            </w:pPr>
            <w:r>
              <w:rPr/>
              <w:t> </w:t>
            </w:r>
          </w:p>
        </w:tc>
      </w:tr>
      <w:tr>
        <w:trPr/>
        <w:tc>
          <w:tcPr>
            <w:tcW w:w="513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882"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r>
      <w:tr>
        <w:trPr/>
        <w:tc>
          <w:tcPr>
            <w:tcW w:w="513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15,100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w:t>
            </w:r>
          </w:p>
        </w:tc>
        <w:tc>
          <w:tcPr>
            <w:tcW w:w="82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w:t>
            </w:r>
          </w:p>
        </w:tc>
        <w:tc>
          <w:tcPr>
            <w:tcW w:w="8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w:t>
            </w:r>
          </w:p>
        </w:tc>
        <w:tc>
          <w:tcPr>
            <w:tcW w:w="882" w:type="dxa"/>
            <w:tcBorders/>
            <w:shd w:fill="auto" w:val="clear"/>
            <w:vAlign w:val="center"/>
          </w:tcPr>
          <w:p>
            <w:pPr>
              <w:pStyle w:val="TableContents"/>
              <w:spacing w:before="0" w:after="283"/>
              <w:jc w:val="right"/>
              <w:rPr/>
            </w:pPr>
            <w:r>
              <w:rPr/>
              <w:t>15,100</w:t>
            </w:r>
          </w:p>
        </w:tc>
        <w:tc>
          <w:tcPr>
            <w:tcW w:w="76" w:type="dxa"/>
            <w:tcBorders/>
            <w:shd w:fill="auto" w:val="clear"/>
            <w:vAlign w:val="center"/>
          </w:tcPr>
          <w:p>
            <w:pPr>
              <w:pStyle w:val="TableContents"/>
              <w:spacing w:before="0" w:after="283"/>
              <w:rPr/>
            </w:pPr>
            <w:r>
              <w:rPr/>
              <w:t> </w:t>
            </w:r>
          </w:p>
        </w:tc>
      </w:tr>
      <w:tr>
        <w:trPr/>
        <w:tc>
          <w:tcPr>
            <w:tcW w:w="513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Money market funds (Level 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316,449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882" w:type="dxa"/>
            <w:tcBorders/>
            <w:shd w:fill="CCEEFF" w:val="clear"/>
            <w:vAlign w:val="center"/>
          </w:tcPr>
          <w:p>
            <w:pPr>
              <w:pStyle w:val="TableContents"/>
              <w:spacing w:before="0" w:after="283"/>
              <w:jc w:val="right"/>
              <w:rPr/>
            </w:pPr>
            <w:r>
              <w:rPr/>
              <w:t>316,449</w:t>
            </w:r>
          </w:p>
        </w:tc>
        <w:tc>
          <w:tcPr>
            <w:tcW w:w="76" w:type="dxa"/>
            <w:tcBorders/>
            <w:shd w:fill="CCEEFF" w:val="clear"/>
            <w:vAlign w:val="center"/>
          </w:tcPr>
          <w:p>
            <w:pPr>
              <w:pStyle w:val="TableContents"/>
              <w:spacing w:before="0" w:after="283"/>
              <w:rPr/>
            </w:pPr>
            <w:r>
              <w:rPr/>
              <w:t> </w:t>
            </w:r>
          </w:p>
        </w:tc>
      </w:tr>
      <w:tr>
        <w:trPr/>
        <w:tc>
          <w:tcPr>
            <w:tcW w:w="513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826"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8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0"/>
              <w:rPr>
                <w:bdr w:val="single" w:sz="2" w:space="1" w:color="000000"/>
              </w:rPr>
            </w:pPr>
            <w:r>
              <w:rPr>
                <w:bdr w:val="single" w:sz="2" w:space="1" w:color="000000"/>
              </w:rPr>
              <w:t> </w:t>
            </w:r>
          </w:p>
        </w:tc>
        <w:tc>
          <w:tcPr>
            <w:tcW w:w="882" w:type="dxa"/>
            <w:tcBorders/>
            <w:shd w:fill="auto" w:val="clear"/>
            <w:vAlign w:val="center"/>
          </w:tcPr>
          <w:p>
            <w:pPr>
              <w:pStyle w:val="TableContents"/>
              <w:spacing w:before="0" w:after="0"/>
              <w:rPr>
                <w:bdr w:val="single" w:sz="2" w:space="1" w:color="000000"/>
              </w:rPr>
            </w:pPr>
            <w:r>
              <w:rPr>
                <w:bdr w:val="single" w:sz="2" w:space="1" w:color="000000"/>
              </w:rPr>
              <w:t> </w:t>
            </w:r>
          </w:p>
        </w:tc>
        <w:tc>
          <w:tcPr>
            <w:tcW w:w="76" w:type="dxa"/>
            <w:tcBorders/>
            <w:shd w:fill="auto" w:val="clear"/>
            <w:vAlign w:val="center"/>
          </w:tcPr>
          <w:p>
            <w:pPr>
              <w:pStyle w:val="TableContents"/>
              <w:spacing w:before="0" w:after="283"/>
              <w:rPr/>
            </w:pPr>
            <w:r>
              <w:rPr/>
              <w:t> </w:t>
            </w:r>
          </w:p>
        </w:tc>
      </w:tr>
      <w:tr>
        <w:trPr/>
        <w:tc>
          <w:tcPr>
            <w:tcW w:w="513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cash and cash equivalents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331,549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882" w:type="dxa"/>
            <w:tcBorders/>
            <w:shd w:fill="auto" w:val="clear"/>
            <w:vAlign w:val="center"/>
          </w:tcPr>
          <w:p>
            <w:pPr>
              <w:pStyle w:val="TableContents"/>
              <w:spacing w:before="0" w:after="283"/>
              <w:jc w:val="right"/>
              <w:rPr/>
            </w:pPr>
            <w:r>
              <w:rPr/>
              <w:t>331,549</w:t>
            </w:r>
          </w:p>
        </w:tc>
        <w:tc>
          <w:tcPr>
            <w:tcW w:w="76" w:type="dxa"/>
            <w:tcBorders/>
            <w:shd w:fill="auto" w:val="clear"/>
            <w:vAlign w:val="center"/>
          </w:tcPr>
          <w:p>
            <w:pPr>
              <w:pStyle w:val="TableContents"/>
              <w:spacing w:before="0" w:after="283"/>
              <w:rPr/>
            </w:pPr>
            <w:r>
              <w:rPr/>
              <w:t> </w:t>
            </w:r>
          </w:p>
        </w:tc>
      </w:tr>
      <w:tr>
        <w:trPr/>
        <w:tc>
          <w:tcPr>
            <w:tcW w:w="513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Marketable securities: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882"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r>
      <w:tr>
        <w:trPr/>
        <w:tc>
          <w:tcPr>
            <w:tcW w:w="513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Corporate debt securities due within 1 year of date of purchase (Level 2)</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27,257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(39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882" w:type="dxa"/>
            <w:tcBorders/>
            <w:shd w:fill="auto" w:val="clear"/>
            <w:vAlign w:val="center"/>
          </w:tcPr>
          <w:p>
            <w:pPr>
              <w:pStyle w:val="TableContents"/>
              <w:spacing w:before="0" w:after="283"/>
              <w:jc w:val="right"/>
              <w:rPr/>
            </w:pPr>
            <w:r>
              <w:rPr/>
              <w:t>27,225</w:t>
            </w:r>
          </w:p>
        </w:tc>
        <w:tc>
          <w:tcPr>
            <w:tcW w:w="76" w:type="dxa"/>
            <w:tcBorders/>
            <w:shd w:fill="auto" w:val="clear"/>
            <w:vAlign w:val="center"/>
          </w:tcPr>
          <w:p>
            <w:pPr>
              <w:pStyle w:val="TableContents"/>
              <w:spacing w:before="0" w:after="283"/>
              <w:rPr/>
            </w:pPr>
            <w:r>
              <w:rPr/>
              <w:t> </w:t>
            </w:r>
          </w:p>
        </w:tc>
      </w:tr>
      <w:tr>
        <w:trPr/>
        <w:tc>
          <w:tcPr>
            <w:tcW w:w="513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826"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8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0"/>
              <w:rPr>
                <w:bdr w:val="single" w:sz="2" w:space="1" w:color="000000"/>
              </w:rPr>
            </w:pPr>
            <w:r>
              <w:rPr>
                <w:bdr w:val="single" w:sz="2" w:space="1" w:color="000000"/>
              </w:rPr>
              <w:t> </w:t>
            </w:r>
          </w:p>
        </w:tc>
        <w:tc>
          <w:tcPr>
            <w:tcW w:w="882" w:type="dxa"/>
            <w:tcBorders/>
            <w:shd w:fill="auto" w:val="clear"/>
            <w:vAlign w:val="center"/>
          </w:tcPr>
          <w:p>
            <w:pPr>
              <w:pStyle w:val="TableContents"/>
              <w:spacing w:before="0" w:after="0"/>
              <w:rPr>
                <w:bdr w:val="single" w:sz="2" w:space="1" w:color="000000"/>
              </w:rPr>
            </w:pPr>
            <w:r>
              <w:rPr>
                <w:bdr w:val="single" w:sz="2" w:space="1" w:color="000000"/>
              </w:rPr>
              <w:t> </w:t>
            </w:r>
          </w:p>
        </w:tc>
        <w:tc>
          <w:tcPr>
            <w:tcW w:w="76" w:type="dxa"/>
            <w:tcBorders/>
            <w:shd w:fill="auto" w:val="clear"/>
            <w:vAlign w:val="center"/>
          </w:tcPr>
          <w:p>
            <w:pPr>
              <w:pStyle w:val="TableContents"/>
              <w:spacing w:before="0" w:after="283"/>
              <w:rPr/>
            </w:pPr>
            <w:r>
              <w:rPr/>
              <w:t> </w:t>
            </w:r>
          </w:p>
        </w:tc>
      </w:tr>
      <w:tr>
        <w:trPr/>
        <w:tc>
          <w:tcPr>
            <w:tcW w:w="513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cash, cash equivalents and marketable securities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358,806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w:t>
            </w:r>
          </w:p>
        </w:tc>
        <w:tc>
          <w:tcPr>
            <w:tcW w:w="826" w:type="dxa"/>
            <w:tcBorders/>
            <w:shd w:fill="CCEEFF" w:val="clear"/>
            <w:vAlign w:val="center"/>
          </w:tcPr>
          <w:p>
            <w:pPr>
              <w:pStyle w:val="TableContents"/>
              <w:spacing w:before="0" w:after="283"/>
              <w:jc w:val="right"/>
              <w:rPr/>
            </w:pPr>
            <w:r>
              <w:rPr/>
              <w:t>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w:t>
            </w:r>
          </w:p>
        </w:tc>
        <w:tc>
          <w:tcPr>
            <w:tcW w:w="826" w:type="dxa"/>
            <w:tcBorders/>
            <w:shd w:fill="CCEEFF" w:val="clear"/>
            <w:vAlign w:val="center"/>
          </w:tcPr>
          <w:p>
            <w:pPr>
              <w:pStyle w:val="TableContents"/>
              <w:spacing w:before="0" w:after="283"/>
              <w:jc w:val="right"/>
              <w:rPr/>
            </w:pPr>
            <w:r>
              <w:rPr/>
              <w:t>(39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882" w:type="dxa"/>
            <w:tcBorders/>
            <w:shd w:fill="CCEEFF" w:val="clear"/>
            <w:vAlign w:val="center"/>
          </w:tcPr>
          <w:p>
            <w:pPr>
              <w:pStyle w:val="TableContents"/>
              <w:spacing w:before="0" w:after="283"/>
              <w:jc w:val="right"/>
              <w:rPr/>
            </w:pPr>
            <w:r>
              <w:rPr/>
              <w:t>358,774</w:t>
            </w:r>
          </w:p>
        </w:tc>
        <w:tc>
          <w:tcPr>
            <w:tcW w:w="76" w:type="dxa"/>
            <w:tcBorders/>
            <w:shd w:fill="CCEEFF" w:val="clear"/>
            <w:vAlign w:val="center"/>
          </w:tcPr>
          <w:p>
            <w:pPr>
              <w:pStyle w:val="TableContents"/>
              <w:spacing w:before="0" w:after="283"/>
              <w:rPr/>
            </w:pPr>
            <w:r>
              <w:rPr/>
              <w:t> </w:t>
            </w:r>
          </w:p>
        </w:tc>
      </w:tr>
      <w:tr>
        <w:trPr/>
        <w:tc>
          <w:tcPr>
            <w:tcW w:w="513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double" w:sz="6" w:space="1" w:color="000000"/>
              </w:rPr>
            </w:pPr>
            <w:r>
              <w:rPr>
                <w:bdr w:val="double" w:sz="6" w:space="1" w:color="000000"/>
              </w:rPr>
              <w:t> </w:t>
            </w:r>
          </w:p>
        </w:tc>
        <w:tc>
          <w:tcPr>
            <w:tcW w:w="826"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double" w:sz="6" w:space="1" w:color="000000"/>
              </w:rPr>
            </w:pPr>
            <w:r>
              <w:rPr>
                <w:bdr w:val="double" w:sz="6" w:space="1" w:color="000000"/>
              </w:rPr>
              <w:t> </w:t>
            </w:r>
          </w:p>
        </w:tc>
        <w:tc>
          <w:tcPr>
            <w:tcW w:w="826"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0"/>
              <w:rPr>
                <w:bdr w:val="double" w:sz="6" w:space="1" w:color="000000"/>
              </w:rPr>
            </w:pPr>
            <w:r>
              <w:rPr>
                <w:bdr w:val="double" w:sz="6" w:space="1" w:color="000000"/>
              </w:rPr>
              <w:t> </w:t>
            </w:r>
          </w:p>
        </w:tc>
        <w:tc>
          <w:tcPr>
            <w:tcW w:w="882" w:type="dxa"/>
            <w:tcBorders/>
            <w:shd w:fill="auto" w:val="clear"/>
            <w:vAlign w:val="center"/>
          </w:tcPr>
          <w:p>
            <w:pPr>
              <w:pStyle w:val="TableContents"/>
              <w:spacing w:before="0" w:after="0"/>
              <w:rPr>
                <w:bdr w:val="double" w:sz="6" w:space="1" w:color="000000"/>
              </w:rPr>
            </w:pPr>
            <w:r>
              <w:rPr>
                <w:bdr w:val="double" w:sz="6" w:space="1" w:color="000000"/>
              </w:rPr>
              <w:t> </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11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5. Accrued Liabilities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Accrued liabilities as of March 31, 2023 and December 31, 2022 consisted of the following (in thousands): </w:t>
      </w:r>
    </w:p>
    <w:p>
      <w:pPr>
        <w:pStyle w:val="TextBody"/>
        <w:spacing w:before="0" w:after="0"/>
        <w:jc w:val="left"/>
        <w:rPr>
          <w:highlight w:val="white"/>
        </w:rPr>
      </w:pPr>
      <w:r>
        <w:rPr>
          <w:highlight w:val="white"/>
        </w:rPr>
        <w:t> </w:t>
      </w:r>
    </w:p>
    <w:tbl>
      <w:tblPr>
        <w:tblW w:w="5833" w:type="dxa"/>
        <w:jc w:val="left"/>
        <w:tblInd w:w="0" w:type="dxa"/>
        <w:tblCellMar>
          <w:top w:w="0" w:type="dxa"/>
          <w:left w:w="0" w:type="dxa"/>
          <w:bottom w:w="0" w:type="dxa"/>
          <w:right w:w="0" w:type="dxa"/>
        </w:tblCellMar>
      </w:tblPr>
      <w:tblGrid>
        <w:gridCol w:w="2975"/>
        <w:gridCol w:w="120"/>
        <w:gridCol w:w="182"/>
        <w:gridCol w:w="887"/>
        <w:gridCol w:w="60"/>
        <w:gridCol w:w="120"/>
        <w:gridCol w:w="241"/>
        <w:gridCol w:w="1173"/>
        <w:gridCol w:w="75"/>
      </w:tblGrid>
      <w:tr>
        <w:trPr/>
        <w:tc>
          <w:tcPr>
            <w:tcW w:w="29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9" w:type="dxa"/>
            <w:gridSpan w:val="2"/>
            <w:tcBorders/>
            <w:shd w:fill="auto" w:val="clear"/>
            <w:vAlign w:val="center"/>
          </w:tcPr>
          <w:p>
            <w:pPr>
              <w:pStyle w:val="TableContents"/>
              <w:spacing w:before="0" w:after="0"/>
              <w:jc w:val="center"/>
              <w:rPr>
                <w:b/>
                <w:spacing w:val="0"/>
              </w:rPr>
            </w:pPr>
            <w:r>
              <w:rPr>
                <w:b/>
                <w:spacing w:val="0"/>
              </w:rPr>
              <w:t>March 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4" w:type="dxa"/>
            <w:gridSpan w:val="2"/>
            <w:tcBorders/>
            <w:shd w:fill="auto" w:val="clear"/>
            <w:vAlign w:val="center"/>
          </w:tcPr>
          <w:p>
            <w:pPr>
              <w:pStyle w:val="TableContents"/>
              <w:spacing w:before="0" w:after="0"/>
              <w:jc w:val="center"/>
              <w:rPr>
                <w:b/>
                <w:spacing w:val="0"/>
              </w:rPr>
            </w:pPr>
            <w:r>
              <w:rPr>
                <w:b/>
                <w:spacing w:val="0"/>
              </w:rPr>
              <w:t>December 31,</w:t>
            </w:r>
          </w:p>
        </w:tc>
        <w:tc>
          <w:tcPr>
            <w:tcW w:w="75" w:type="dxa"/>
            <w:tcBorders/>
            <w:shd w:fill="auto" w:val="clear"/>
            <w:vAlign w:val="center"/>
          </w:tcPr>
          <w:p>
            <w:pPr>
              <w:pStyle w:val="TableContents"/>
              <w:spacing w:before="0" w:after="283"/>
              <w:rPr/>
            </w:pPr>
            <w:r>
              <w:rPr/>
              <w:t> </w:t>
            </w:r>
          </w:p>
        </w:tc>
      </w:tr>
      <w:tr>
        <w:trPr/>
        <w:tc>
          <w:tcPr>
            <w:tcW w:w="2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75" w:type="dxa"/>
            <w:tcBorders/>
            <w:shd w:fill="auto" w:val="clear"/>
            <w:vAlign w:val="center"/>
          </w:tcPr>
          <w:p>
            <w:pPr>
              <w:pStyle w:val="TableContents"/>
              <w:spacing w:before="0" w:after="283"/>
              <w:rPr/>
            </w:pPr>
            <w:r>
              <w:rPr/>
              <w:t> </w:t>
            </w:r>
          </w:p>
        </w:tc>
      </w:tr>
      <w:tr>
        <w:trPr/>
        <w:tc>
          <w:tcPr>
            <w:tcW w:w="29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Contract research organization costs</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w:t>
            </w:r>
          </w:p>
        </w:tc>
        <w:tc>
          <w:tcPr>
            <w:tcW w:w="887" w:type="dxa"/>
            <w:tcBorders/>
            <w:shd w:fill="CCEEFF" w:val="clear"/>
            <w:vAlign w:val="center"/>
          </w:tcPr>
          <w:p>
            <w:pPr>
              <w:pStyle w:val="TableContents"/>
              <w:spacing w:before="0" w:after="283"/>
              <w:jc w:val="right"/>
              <w:rPr/>
            </w:pPr>
            <w:r>
              <w:rPr/>
              <w:t>57,984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w:t>
            </w:r>
          </w:p>
        </w:tc>
        <w:tc>
          <w:tcPr>
            <w:tcW w:w="1173" w:type="dxa"/>
            <w:tcBorders/>
            <w:shd w:fill="CCEEFF" w:val="clear"/>
            <w:vAlign w:val="center"/>
          </w:tcPr>
          <w:p>
            <w:pPr>
              <w:pStyle w:val="TableContents"/>
              <w:spacing w:before="0" w:after="283"/>
              <w:jc w:val="right"/>
              <w:rPr/>
            </w:pPr>
            <w:r>
              <w:rPr/>
              <w:t>53,119</w:t>
            </w:r>
          </w:p>
        </w:tc>
        <w:tc>
          <w:tcPr>
            <w:tcW w:w="75" w:type="dxa"/>
            <w:tcBorders/>
            <w:shd w:fill="CCEEFF" w:val="clear"/>
            <w:vAlign w:val="center"/>
          </w:tcPr>
          <w:p>
            <w:pPr>
              <w:pStyle w:val="TableContents"/>
              <w:spacing w:before="0" w:after="283"/>
              <w:rPr/>
            </w:pPr>
            <w:r>
              <w:rPr/>
              <w:t> </w:t>
            </w:r>
          </w:p>
        </w:tc>
      </w:tr>
      <w:tr>
        <w:trPr/>
        <w:tc>
          <w:tcPr>
            <w:tcW w:w="29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clinical study related costs</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pPr>
            <w:r>
              <w:rPr/>
              <w:t>6,638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73" w:type="dxa"/>
            <w:tcBorders/>
            <w:shd w:fill="auto" w:val="clear"/>
            <w:vAlign w:val="center"/>
          </w:tcPr>
          <w:p>
            <w:pPr>
              <w:pStyle w:val="TableContents"/>
              <w:spacing w:before="0" w:after="283"/>
              <w:jc w:val="right"/>
              <w:rPr/>
            </w:pPr>
            <w:r>
              <w:rPr/>
              <w:t>6,582</w:t>
            </w:r>
          </w:p>
        </w:tc>
        <w:tc>
          <w:tcPr>
            <w:tcW w:w="75" w:type="dxa"/>
            <w:tcBorders/>
            <w:shd w:fill="auto" w:val="clear"/>
            <w:vAlign w:val="center"/>
          </w:tcPr>
          <w:p>
            <w:pPr>
              <w:pStyle w:val="TableContents"/>
              <w:spacing w:before="0" w:after="283"/>
              <w:rPr/>
            </w:pPr>
            <w:r>
              <w:rPr/>
              <w:t> </w:t>
            </w:r>
          </w:p>
        </w:tc>
      </w:tr>
      <w:tr>
        <w:trPr/>
        <w:tc>
          <w:tcPr>
            <w:tcW w:w="29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Manufacturing and drug supply</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2,996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 </w:t>
            </w:r>
          </w:p>
        </w:tc>
        <w:tc>
          <w:tcPr>
            <w:tcW w:w="1173" w:type="dxa"/>
            <w:tcBorders/>
            <w:shd w:fill="CCEEFF" w:val="clear"/>
            <w:vAlign w:val="center"/>
          </w:tcPr>
          <w:p>
            <w:pPr>
              <w:pStyle w:val="TableContents"/>
              <w:spacing w:before="0" w:after="283"/>
              <w:jc w:val="right"/>
              <w:rPr/>
            </w:pPr>
            <w:r>
              <w:rPr/>
              <w:t>11,262</w:t>
            </w:r>
          </w:p>
        </w:tc>
        <w:tc>
          <w:tcPr>
            <w:tcW w:w="75" w:type="dxa"/>
            <w:tcBorders/>
            <w:shd w:fill="CCEEFF" w:val="clear"/>
            <w:vAlign w:val="center"/>
          </w:tcPr>
          <w:p>
            <w:pPr>
              <w:pStyle w:val="TableContents"/>
              <w:spacing w:before="0" w:after="283"/>
              <w:rPr/>
            </w:pPr>
            <w:r>
              <w:rPr/>
              <w:t> </w:t>
            </w:r>
          </w:p>
        </w:tc>
      </w:tr>
      <w:tr>
        <w:trPr/>
        <w:tc>
          <w:tcPr>
            <w:tcW w:w="29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Compensation and benefits</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pPr>
            <w:r>
              <w:rPr/>
              <w:t>11,208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73" w:type="dxa"/>
            <w:tcBorders/>
            <w:shd w:fill="auto" w:val="clear"/>
            <w:vAlign w:val="center"/>
          </w:tcPr>
          <w:p>
            <w:pPr>
              <w:pStyle w:val="TableContents"/>
              <w:spacing w:before="0" w:after="283"/>
              <w:jc w:val="right"/>
              <w:rPr/>
            </w:pPr>
            <w:r>
              <w:rPr/>
              <w:t>14,864</w:t>
            </w:r>
          </w:p>
        </w:tc>
        <w:tc>
          <w:tcPr>
            <w:tcW w:w="75" w:type="dxa"/>
            <w:tcBorders/>
            <w:shd w:fill="auto" w:val="clear"/>
            <w:vAlign w:val="center"/>
          </w:tcPr>
          <w:p>
            <w:pPr>
              <w:pStyle w:val="TableContents"/>
              <w:spacing w:before="0" w:after="283"/>
              <w:rPr/>
            </w:pPr>
            <w:r>
              <w:rPr/>
              <w:t> </w:t>
            </w:r>
          </w:p>
        </w:tc>
      </w:tr>
      <w:tr>
        <w:trPr/>
        <w:tc>
          <w:tcPr>
            <w:tcW w:w="29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Professional fees</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4,741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 </w:t>
            </w:r>
          </w:p>
        </w:tc>
        <w:tc>
          <w:tcPr>
            <w:tcW w:w="1173" w:type="dxa"/>
            <w:tcBorders/>
            <w:shd w:fill="CCEEFF" w:val="clear"/>
            <w:vAlign w:val="center"/>
          </w:tcPr>
          <w:p>
            <w:pPr>
              <w:pStyle w:val="TableContents"/>
              <w:spacing w:before="0" w:after="283"/>
              <w:jc w:val="right"/>
              <w:rPr/>
            </w:pPr>
            <w:r>
              <w:rPr/>
              <w:t>4,867</w:t>
            </w:r>
          </w:p>
        </w:tc>
        <w:tc>
          <w:tcPr>
            <w:tcW w:w="75" w:type="dxa"/>
            <w:tcBorders/>
            <w:shd w:fill="CCEEFF" w:val="clear"/>
            <w:vAlign w:val="center"/>
          </w:tcPr>
          <w:p>
            <w:pPr>
              <w:pStyle w:val="TableContents"/>
              <w:spacing w:before="0" w:after="283"/>
              <w:rPr/>
            </w:pPr>
            <w:r>
              <w:rPr/>
              <w:t> </w:t>
            </w:r>
          </w:p>
        </w:tc>
      </w:tr>
      <w:tr>
        <w:trPr/>
        <w:tc>
          <w:tcPr>
            <w:tcW w:w="29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pPr>
            <w:r>
              <w:rPr/>
              <w:t>2,000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73" w:type="dxa"/>
            <w:tcBorders/>
            <w:shd w:fill="auto" w:val="clear"/>
            <w:vAlign w:val="center"/>
          </w:tcPr>
          <w:p>
            <w:pPr>
              <w:pStyle w:val="TableContents"/>
              <w:spacing w:before="0" w:after="283"/>
              <w:jc w:val="right"/>
              <w:rPr/>
            </w:pPr>
            <w:r>
              <w:rPr/>
              <w:t>767</w:t>
            </w:r>
          </w:p>
        </w:tc>
        <w:tc>
          <w:tcPr>
            <w:tcW w:w="75" w:type="dxa"/>
            <w:tcBorders/>
            <w:shd w:fill="auto" w:val="clear"/>
            <w:vAlign w:val="center"/>
          </w:tcPr>
          <w:p>
            <w:pPr>
              <w:pStyle w:val="TableContents"/>
              <w:spacing w:before="0" w:after="283"/>
              <w:rPr/>
            </w:pPr>
            <w:r>
              <w:rPr/>
              <w:t> </w:t>
            </w:r>
          </w:p>
        </w:tc>
      </w:tr>
      <w:tr>
        <w:trPr/>
        <w:tc>
          <w:tcPr>
            <w:tcW w:w="2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bdr w:val="single" w:sz="2" w:space="1" w:color="000000"/>
              </w:rPr>
            </w:pPr>
            <w:r>
              <w:rPr>
                <w:bdr w:val="single" w:sz="2" w:space="1" w:color="000000"/>
              </w:rPr>
              <w:t> </w:t>
            </w:r>
          </w:p>
        </w:tc>
        <w:tc>
          <w:tcPr>
            <w:tcW w:w="887"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0"/>
              <w:rPr>
                <w:bdr w:val="single" w:sz="2" w:space="1" w:color="000000"/>
              </w:rPr>
            </w:pPr>
            <w:r>
              <w:rPr>
                <w:bdr w:val="single" w:sz="2" w:space="1" w:color="000000"/>
              </w:rPr>
              <w:t> </w:t>
            </w:r>
          </w:p>
        </w:tc>
        <w:tc>
          <w:tcPr>
            <w:tcW w:w="1173"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9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accrued liabilities</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w:t>
            </w:r>
          </w:p>
        </w:tc>
        <w:tc>
          <w:tcPr>
            <w:tcW w:w="887" w:type="dxa"/>
            <w:tcBorders/>
            <w:shd w:fill="CCEEFF" w:val="clear"/>
            <w:vAlign w:val="center"/>
          </w:tcPr>
          <w:p>
            <w:pPr>
              <w:pStyle w:val="TableContents"/>
              <w:spacing w:before="0" w:after="283"/>
              <w:jc w:val="right"/>
              <w:rPr/>
            </w:pPr>
            <w:r>
              <w:rPr/>
              <w:t>85,567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w:t>
            </w:r>
          </w:p>
        </w:tc>
        <w:tc>
          <w:tcPr>
            <w:tcW w:w="1173" w:type="dxa"/>
            <w:tcBorders/>
            <w:shd w:fill="CCEEFF" w:val="clear"/>
            <w:vAlign w:val="center"/>
          </w:tcPr>
          <w:p>
            <w:pPr>
              <w:pStyle w:val="TableContents"/>
              <w:spacing w:before="0" w:after="283"/>
              <w:jc w:val="right"/>
              <w:rPr/>
            </w:pPr>
            <w:r>
              <w:rPr/>
              <w:t>91,461</w:t>
            </w:r>
          </w:p>
        </w:tc>
        <w:tc>
          <w:tcPr>
            <w:tcW w:w="75" w:type="dxa"/>
            <w:tcBorders/>
            <w:shd w:fill="CCEEFF" w:val="clear"/>
            <w:vAlign w:val="center"/>
          </w:tcPr>
          <w:p>
            <w:pPr>
              <w:pStyle w:val="TableContents"/>
              <w:spacing w:before="0" w:after="283"/>
              <w:rPr/>
            </w:pPr>
            <w:r>
              <w:rPr/>
              <w:t> </w:t>
            </w:r>
          </w:p>
        </w:tc>
      </w:tr>
      <w:tr>
        <w:trPr/>
        <w:tc>
          <w:tcPr>
            <w:tcW w:w="2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bdr w:val="double" w:sz="6" w:space="1" w:color="000000"/>
              </w:rPr>
            </w:pPr>
            <w:r>
              <w:rPr>
                <w:bdr w:val="double" w:sz="6" w:space="1" w:color="000000"/>
              </w:rPr>
              <w:t> </w:t>
            </w:r>
          </w:p>
        </w:tc>
        <w:tc>
          <w:tcPr>
            <w:tcW w:w="887"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0"/>
              <w:rPr>
                <w:bdr w:val="double" w:sz="6" w:space="1" w:color="000000"/>
              </w:rPr>
            </w:pPr>
            <w:r>
              <w:rPr>
                <w:bdr w:val="double" w:sz="6" w:space="1" w:color="000000"/>
              </w:rPr>
              <w:t> </w:t>
            </w:r>
          </w:p>
        </w:tc>
        <w:tc>
          <w:tcPr>
            <w:tcW w:w="1173"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6. Long Term Debt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May 2022 the Company and its wholly-owned subsidiary, Canticle Pharmaceuticals, Inc., entered into the $250.0 million Loan Facility with the several banks and other financial institutions or entities party thereto (each, a “Lender” and collectively referred to as the “Lenders”), and Hercules Capital, Inc. (“Hercules”), in its capacity as administrative agent and collateral agent for itself and the Lenders. Under the terms of the Loan Facility, the first $50.0 million tranche was drawn at closing. The Company also could draw up to an additional $125.0 million in two separate tranches upon achievement of certain resmetirom clinical and regulatory milestones. A fourth tranche of $75.0 million could be drawn by the Company, subject to the approval of Hercules. The Loan Facility had a minimum interest rate of 7.45% and adjusts with changes in the prime rate. The Company will pay interest-only monthly payments of accrued interest under the Loan Facility for a period of 30 months, which period may be extended to 36, 48, and 60 months upon the successive achievement of certain clinical and regulatory milestones and if the Company maintains compliance with applicable covenants. The Loan Facility matures in May 2026 and may be extended an additional year upon the achievement of certain clinical and regulatory milestones. The Loan Facility is secured by a security interest in substantially all of the Company’s assets, other than intellectual property. It includes an end of term charge of 5.35% of the aggregate principal amount, which is accounted for in the loan discount. In connection with the first tranche drawn at closing, the Company issued Hercules a warrant to purchase 14,899 shares of Company common stock, which had a Black-Scholes value of $0.6 million.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On February 3, 2023, the Company entered into the First Amendment (the “Amendment”) to the Loan Facility (as amended, the “Amended Loan Facility”). Under the Amended Loan Facility, an additional $35.0 million was drawn under a second, expanded, $65.0 million tranche (“Tranche 2”) in February of 2023 following the Company’s achievement of the Phase 3 clinical development milestone. The Company has the ability to draw an additional $15.0 million under Tranche 2 by June 19, 2023 and an additional $15.0 million under Tranche 2 by September 30, 2023 (for a total of $30.0 million in additional committed Tranche 2 capacity). The third tranche (“Tranche 3”) of $75.0 million remains unchanged by the Amendment, and such borrowings are available subject to the Company obtaining a certain FDA approval for resmetirom. Coincident with the expansion of Tranche 2 borrowing capacity by $15 million, the Amendment reduced the fourth tranche under the Loan Facility (“Tranche 4”) by $15.0 million to $60.0 million , which amount is available subject to Hercules’ sole discretion. In connection with the $35.0 million drawn under the second tranche at the closing of the Amendment, the Company issued to Hercules and affiliates Tranche 2 Warrants to purchase 2,453 shares of common stock, which had a Black-Scholes value of $0.5 million. The Amendment reduced the interest rate under the Amended Loan Facility to the greater of (i) the prime rate as reported in The Wall Street Journal plus 2.45% and (ii) 8.25%. The Amendment and the Amended Loan Facility summary terms were disclosed in the Company’s Current Report on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8-K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filed with the Securities and Exchange Commission on February 9, 2023.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Loan Facility includes affirmative and restrictive financial covenants commencing on January 1, 2023, including maintenance of a minimum cash, cash equivalents and liquid funds covenant of $35.0 million, which may decrease in certain circumstances if the Company achieves certain clinical milestones and a revenue milestone, and a revenue-based covenant that could apply commencing at or after the time that financial reporting is due for the quarter ending September 30, 2024. The Loan Facility contains event of default provisions for: the Company’s failure to make required payments or maintain compliance with covenants under the Loan Facility; the Company’s breach of certain representations or default under certain obligations outside the Loan Facility; insolvency, attachment or judgment events affecting the Company; and any circumstance which has occurred or could reasonably be expected to have a material adverse effect on the Company, provided that, any failure to achieve a clinical milestone or approval milestone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12</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As of March 31, 2023, the outstanding principal under the Loan Facility was $85.0 million. The interest rate as of March 31, 2023 was 10.45%. As of March 31, 2023, the Company was in compliance with all loan covenants and provisions.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Future minimum payments, including interest and principal, under the loans payable outstanding as of March 31, 2023 are as follows (in thousands): </w:t>
      </w:r>
    </w:p>
    <w:p>
      <w:pPr>
        <w:pStyle w:val="TextBody"/>
        <w:spacing w:before="0" w:after="0"/>
        <w:jc w:val="left"/>
        <w:rPr>
          <w:highlight w:val="white"/>
        </w:rPr>
      </w:pPr>
      <w:r>
        <w:rPr>
          <w:highlight w:val="white"/>
        </w:rPr>
        <w:t> </w:t>
      </w:r>
    </w:p>
    <w:tbl>
      <w:tblPr>
        <w:tblW w:w="3980" w:type="dxa"/>
        <w:jc w:val="left"/>
        <w:tblInd w:w="0" w:type="dxa"/>
        <w:tblCellMar>
          <w:top w:w="0" w:type="dxa"/>
          <w:left w:w="0" w:type="dxa"/>
          <w:bottom w:w="0" w:type="dxa"/>
          <w:right w:w="0" w:type="dxa"/>
        </w:tblCellMar>
      </w:tblPr>
      <w:tblGrid>
        <w:gridCol w:w="2750"/>
        <w:gridCol w:w="120"/>
        <w:gridCol w:w="140"/>
        <w:gridCol w:w="800"/>
        <w:gridCol w:w="170"/>
      </w:tblGrid>
      <w:tr>
        <w:trPr/>
        <w:tc>
          <w:tcPr>
            <w:tcW w:w="27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750" w:type="dxa"/>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Period Ending March 31, 2023:</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Amount</w:t>
            </w:r>
          </w:p>
        </w:tc>
        <w:tc>
          <w:tcPr>
            <w:tcW w:w="17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6,772</w:t>
            </w:r>
          </w:p>
        </w:tc>
        <w:tc>
          <w:tcPr>
            <w:tcW w:w="17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2024</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9,031</w:t>
            </w:r>
          </w:p>
        </w:tc>
        <w:tc>
          <w:tcPr>
            <w:tcW w:w="17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58,537</w:t>
            </w:r>
          </w:p>
        </w:tc>
        <w:tc>
          <w:tcPr>
            <w:tcW w:w="17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Thereafter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39,356</w:t>
            </w:r>
          </w:p>
        </w:tc>
        <w:tc>
          <w:tcPr>
            <w:tcW w:w="170" w:type="dxa"/>
            <w:tcBorders/>
            <w:shd w:fill="auto"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113,696</w:t>
            </w:r>
          </w:p>
        </w:tc>
        <w:tc>
          <w:tcPr>
            <w:tcW w:w="17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Less amount representing interest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(24,149</w:t>
            </w:r>
          </w:p>
        </w:tc>
        <w:tc>
          <w:tcPr>
            <w:tcW w:w="17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Less unamortized discount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(5,582</w:t>
            </w:r>
          </w:p>
        </w:tc>
        <w:tc>
          <w:tcPr>
            <w:tcW w:w="17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Loans payable, net of discount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83,965</w:t>
            </w:r>
          </w:p>
        </w:tc>
        <w:tc>
          <w:tcPr>
            <w:tcW w:w="170" w:type="dxa"/>
            <w:tcBorders/>
            <w:shd w:fill="auto"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7. Stockholders’ Equity </w:t>
      </w:r>
    </w:p>
    <w:p>
      <w:pPr>
        <w:pStyle w:val="TextBody"/>
        <w:spacing w:before="120" w:after="0"/>
        <w:jc w:val="left"/>
        <w:rPr>
          <w:rFonts w:ascii="Times New Roman" w:hAnsi="Times New Roman"/>
          <w:b/>
          <w:sz w:val="20"/>
          <w:highlight w:val="white"/>
        </w:rPr>
      </w:pPr>
      <w:r>
        <w:rPr>
          <w:rFonts w:ascii="Times New Roman" w:hAnsi="Times New Roman"/>
          <w:b/>
          <w:sz w:val="20"/>
          <w:highlight w:val="white"/>
        </w:rPr>
        <w:t xml:space="preserve">Common Stock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Company has never declared cash dividends on its common stock and does not expect to do so in the foreseeable future.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Preferred Stock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Series A and B Preferred Stock have a par value of $0.0001 per share and are convertible into shares of the common stock at a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one-to-one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winding-up</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pari passu with the holders of the Common Stock (on an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as-if-converted-to-Common-Stock</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basis) in the net assets of the Company. Shares of the Series A and B Preferred Stock will generally have no voting rights, except as required by law. Shares of the Series A and B Preferred Stock will be entitled to receive dividends before shares of any other class or series of capital stock of the Company (other than dividends in the form of the Common Stock) equal to the dividend payable on each share of the Common Stock, on an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as-converted</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basis. </w:t>
      </w:r>
    </w:p>
    <w:p>
      <w:pPr>
        <w:pStyle w:val="TextBody"/>
        <w:spacing w:before="36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December 2022 Registered Direct Offering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December 2022, the Company entered into a Securities Purchase Agreement (the “Purchase Agreement”) with a group of institutional accredited investors, who were existing,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non-controlling</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stockholders of the Company, pursuant to which the Company sold securities to the Investors in an offering that was registered under the Company’s existing shelf registration statement (the “2022 Registered Direct Offering”). Under the terms of the Purchase Agreement, the Company sold 44,444 shares of its common stock at a price of $225 per share, and 400,000 shares of its Series B Convertible Preferred Stock at a price of $225 per share. The 2022 Registered Direct Offering resulted in gross proceeds to the Company of approximately $100.0 million, and net proceeds to the Company of approximately $99.5 million. The 2022 Registered Direct Offering closed on December 23, 2022.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13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At-The-Market</w:t>
      </w:r>
    </w:p>
    <w:p>
      <w:pPr>
        <w:pStyle w:val="TextBody"/>
        <w:spacing w:before="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Issuance Sales Agreement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June 2021, the Company entered into an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at-the-market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sales agreement (the “2021 Sales Agreement”) with Cowen and Company, LLC (“Cowen”), pursuant to which the Company could, from time to time, issue and sell shares of its common stock. The 2021 Sales Agreement authorized an aggregate offering of up to $200 million in shares of our common stock, at the Company’s option, through Cowen as its sales agent. Sales of common stock through Cowen could be made by any method that is deemed an </w:t>
      </w:r>
    </w:p>
    <w:p>
      <w:pPr>
        <w:pStyle w:val="TextBody"/>
        <w:spacing w:before="120" w:after="0"/>
        <w:jc w:val="left"/>
        <w:rPr>
          <w:spacing w:val="0"/>
          <w:highlight w:val="white"/>
        </w:rPr>
      </w:pPr>
      <w:r>
        <w:rPr>
          <w:spacing w:val="0"/>
          <w:highlight w:val="white"/>
        </w:rPr>
        <w:t>“</w:t>
      </w:r>
      <w:r>
        <w:rPr>
          <w:rFonts w:ascii="Times New Roman" w:hAnsi="Times New Roman"/>
          <w:spacing w:val="0"/>
          <w:sz w:val="20"/>
          <w:highlight w:val="white"/>
        </w:rPr>
        <w:t>at-the-market”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offering as defined in Rule 415 promulgated under the Securities Act of 1933, as amended, including by means of ordinary brokers’ transactions at market prices, in block transactions or as otherwise agreed by the Company and Cowen. Subject to the terms and conditions of the 2021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December 2022, the Company sold 738,900 shares under the 2021 Sales Agreement for an aggregate of $159.1 million in gross proceeds, with net proceeds to the Company of $155.9 million after deducting commissions and other transaction costs.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total, under the 2021 Sales Agreement the Company sold 1,235,943 shares for an aggregate of $199.9 million in gross proceeds, with net proceeds to the Company of approximately $195.8 million after deducting commissions and other transaction costs. Of those shares sold, 738,900 were sold in 2022, and 497,043 were sold in 2021. All shares were sold pursuant to the Company’s effective shelf registration statement and the prospectus supplement relating thereto. As of March 31, 2023, no amounts remained reserved and available for sale under the 2021 Sales Agreement and the related prospectus supplement.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8. Stock-based Compensation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Company’s 2015 Stock Plan, as amended, is our primary equity incentive compensation plan through which equity based grants are awarded. The 2015 Stock Plan provides for the grant of incentive stock options,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non-statutory</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stock options, restricted stock, restricted stock units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March 31, 2023, the Company had restricted stock units and options outstanding to purchase 2,875,723 shares of its common stock, which includes options outstanding under its prior incentive compensation plan, the 2006 Stock Plan. As of March 31, 2023, 690,809 shares were available for future issuance under the 2015 Stock Plan.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Stock Options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following table summarizes stock option activity during the three months ended March 31, 2023: </w:t>
      </w:r>
    </w:p>
    <w:p>
      <w:pPr>
        <w:pStyle w:val="TextBody"/>
        <w:spacing w:before="0" w:after="0"/>
        <w:jc w:val="left"/>
        <w:rPr>
          <w:highlight w:val="white"/>
        </w:rPr>
      </w:pPr>
      <w:r>
        <w:rPr>
          <w:highlight w:val="white"/>
        </w:rPr>
        <w:t> </w:t>
      </w:r>
    </w:p>
    <w:tbl>
      <w:tblPr>
        <w:tblW w:w="5750" w:type="dxa"/>
        <w:jc w:val="left"/>
        <w:tblInd w:w="0" w:type="dxa"/>
        <w:tblCellMar>
          <w:top w:w="0" w:type="dxa"/>
          <w:left w:w="0" w:type="dxa"/>
          <w:bottom w:w="0" w:type="dxa"/>
          <w:right w:w="0" w:type="dxa"/>
        </w:tblCellMar>
      </w:tblPr>
      <w:tblGrid>
        <w:gridCol w:w="2570"/>
        <w:gridCol w:w="120"/>
        <w:gridCol w:w="60"/>
        <w:gridCol w:w="980"/>
        <w:gridCol w:w="155"/>
        <w:gridCol w:w="120"/>
        <w:gridCol w:w="285"/>
        <w:gridCol w:w="1385"/>
        <w:gridCol w:w="75"/>
      </w:tblGrid>
      <w:tr>
        <w:trPr/>
        <w:tc>
          <w:tcPr>
            <w:tcW w:w="25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Weighted</w:t>
              <w:br/>
              <w:t>average exercise</w:t>
              <w:br/>
              <w:t>price</w:t>
            </w:r>
          </w:p>
        </w:tc>
        <w:tc>
          <w:tcPr>
            <w:tcW w:w="75"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Outstanding at January 1, 2023</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2,857,054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85" w:type="dxa"/>
            <w:tcBorders/>
            <w:shd w:fill="CCEEFF" w:val="clear"/>
            <w:vAlign w:val="center"/>
          </w:tcPr>
          <w:p>
            <w:pPr>
              <w:pStyle w:val="TableContents"/>
              <w:spacing w:before="0" w:after="283"/>
              <w:rPr/>
            </w:pPr>
            <w:r>
              <w:rPr/>
              <w:t>$</w:t>
            </w:r>
          </w:p>
        </w:tc>
        <w:tc>
          <w:tcPr>
            <w:tcW w:w="1385" w:type="dxa"/>
            <w:tcBorders/>
            <w:shd w:fill="CCEEFF" w:val="clear"/>
            <w:vAlign w:val="center"/>
          </w:tcPr>
          <w:p>
            <w:pPr>
              <w:pStyle w:val="TableContents"/>
              <w:spacing w:before="0" w:after="283"/>
              <w:jc w:val="right"/>
              <w:rPr/>
            </w:pPr>
            <w:r>
              <w:rPr/>
              <w:t>81.78</w:t>
            </w:r>
          </w:p>
        </w:tc>
        <w:tc>
          <w:tcPr>
            <w:tcW w:w="75" w:type="dxa"/>
            <w:tcBorders/>
            <w:shd w:fill="CCEEFF"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Options granted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5,205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jc w:val="right"/>
              <w:rPr/>
            </w:pPr>
            <w:r>
              <w:rPr/>
              <w:t>283.08</w:t>
            </w:r>
          </w:p>
        </w:tc>
        <w:tc>
          <w:tcPr>
            <w:tcW w:w="75"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exercised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(180,551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85" w:type="dxa"/>
            <w:tcBorders/>
            <w:shd w:fill="CCEEFF" w:val="clear"/>
            <w:vAlign w:val="center"/>
          </w:tcPr>
          <w:p>
            <w:pPr>
              <w:pStyle w:val="TableContents"/>
              <w:spacing w:before="0" w:after="283"/>
              <w:rPr/>
            </w:pPr>
            <w:r>
              <w:rPr/>
              <w:t> </w:t>
            </w:r>
          </w:p>
        </w:tc>
        <w:tc>
          <w:tcPr>
            <w:tcW w:w="1385" w:type="dxa"/>
            <w:tcBorders/>
            <w:shd w:fill="CCEEFF" w:val="clear"/>
            <w:vAlign w:val="center"/>
          </w:tcPr>
          <w:p>
            <w:pPr>
              <w:pStyle w:val="TableContents"/>
              <w:spacing w:before="0" w:after="283"/>
              <w:jc w:val="right"/>
              <w:rPr/>
            </w:pPr>
            <w:r>
              <w:rPr/>
              <w:t>99.16</w:t>
            </w:r>
          </w:p>
        </w:tc>
        <w:tc>
          <w:tcPr>
            <w:tcW w:w="75" w:type="dxa"/>
            <w:tcBorders/>
            <w:shd w:fill="CCEEFF"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Options cancelled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(5,110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jc w:val="right"/>
              <w:rPr/>
            </w:pPr>
            <w:r>
              <w:rPr/>
              <w:t>76.07</w:t>
            </w:r>
          </w:p>
        </w:tc>
        <w:tc>
          <w:tcPr>
            <w:tcW w:w="75" w:type="dxa"/>
            <w:tcBorders/>
            <w:shd w:fill="auto"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0"/>
              <w:rPr>
                <w:bdr w:val="single" w:sz="2" w:space="1" w:color="000000"/>
              </w:rPr>
            </w:pPr>
            <w:r>
              <w:rPr>
                <w:bdr w:val="single" w:sz="2" w:space="1" w:color="000000"/>
              </w:rPr>
              <w:t> </w:t>
            </w:r>
          </w:p>
        </w:tc>
        <w:tc>
          <w:tcPr>
            <w:tcW w:w="138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Outstanding at March 31, 2023</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2,676,598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85" w:type="dxa"/>
            <w:tcBorders/>
            <w:shd w:fill="CCEEFF" w:val="clear"/>
            <w:vAlign w:val="center"/>
          </w:tcPr>
          <w:p>
            <w:pPr>
              <w:pStyle w:val="TableContents"/>
              <w:spacing w:before="0" w:after="283"/>
              <w:rPr/>
            </w:pPr>
            <w:r>
              <w:rPr/>
              <w:t>$</w:t>
            </w:r>
          </w:p>
        </w:tc>
        <w:tc>
          <w:tcPr>
            <w:tcW w:w="1385" w:type="dxa"/>
            <w:tcBorders/>
            <w:shd w:fill="CCEEFF" w:val="clear"/>
            <w:vAlign w:val="center"/>
          </w:tcPr>
          <w:p>
            <w:pPr>
              <w:pStyle w:val="TableContents"/>
              <w:spacing w:before="0" w:after="283"/>
              <w:jc w:val="right"/>
              <w:rPr/>
            </w:pPr>
            <w:r>
              <w:rPr/>
              <w:t>81.02</w:t>
            </w:r>
          </w:p>
        </w:tc>
        <w:tc>
          <w:tcPr>
            <w:tcW w:w="75" w:type="dxa"/>
            <w:tcBorders/>
            <w:shd w:fill="CCEEFF"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0"/>
              <w:rPr>
                <w:bdr w:val="double" w:sz="6" w:space="1" w:color="000000"/>
              </w:rPr>
            </w:pPr>
            <w:r>
              <w:rPr>
                <w:bdr w:val="double" w:sz="6" w:space="1" w:color="000000"/>
              </w:rPr>
              <w:t> </w:t>
            </w:r>
          </w:p>
        </w:tc>
        <w:tc>
          <w:tcPr>
            <w:tcW w:w="1385"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Exercisable at March 31, 2023</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1,637,134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w:t>
            </w:r>
          </w:p>
        </w:tc>
        <w:tc>
          <w:tcPr>
            <w:tcW w:w="1385" w:type="dxa"/>
            <w:tcBorders/>
            <w:shd w:fill="auto" w:val="clear"/>
            <w:vAlign w:val="center"/>
          </w:tcPr>
          <w:p>
            <w:pPr>
              <w:pStyle w:val="TableContents"/>
              <w:spacing w:before="0" w:after="283"/>
              <w:jc w:val="right"/>
              <w:rPr/>
            </w:pPr>
            <w:r>
              <w:rPr/>
              <w:t>75.71</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total cash received by the Company as a result of stock option exercises was $17.9 million and $0 million, respectively, for the three months ended March 31, 2023 and 2022. The total intrinsic value of options exercised was $32.5 million and $0 million, respectively, for the three months ended March 31, 2023 and 2022. The weighted-average grant date fair values, based on the Black-Scholes option model, of options granted during the three months ended March 31, 2023 and 2022 were $219.02 and $59.63, respectively.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Restricted Stock Units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Company’s share-based compensation plan provides for awards of restricted stock units to employees, officers, directors and consultants to the Company. Restricted stock units vest over the service period, and are subject to forfeiture if employment or service terminates before vesting. As of March 31, 2023, the Company had 199,125 restricted stock units outstanding, with a weighted average grant date fair value of $297.18 per unit.,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14</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left"/>
        <w:rPr>
          <w:rFonts w:ascii="Times New Roman" w:hAnsi="Times New Roman"/>
          <w:b/>
          <w:sz w:val="20"/>
          <w:highlight w:val="white"/>
        </w:rPr>
      </w:pPr>
      <w:r>
        <w:rPr>
          <w:rFonts w:ascii="Times New Roman" w:hAnsi="Times New Roman"/>
          <w:b/>
          <w:sz w:val="20"/>
          <w:highlight w:val="white"/>
        </w:rPr>
        <w:t xml:space="preserve">Stock-Based Compensation Expense </w:t>
      </w:r>
    </w:p>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Stock-based compensation expense during the three months ended March 31, 2023 and 2022 was as follows (in thousands): </w:t>
      </w:r>
    </w:p>
    <w:p>
      <w:pPr>
        <w:pStyle w:val="TextBody"/>
        <w:spacing w:before="0" w:after="0"/>
        <w:ind w:left="0" w:right="0" w:hanging="0"/>
        <w:jc w:val="left"/>
        <w:rPr>
          <w:highlight w:val="white"/>
        </w:rPr>
      </w:pPr>
      <w:r>
        <w:rPr>
          <w:highlight w:val="white"/>
        </w:rPr>
        <w:t> </w:t>
      </w:r>
    </w:p>
    <w:tbl>
      <w:tblPr>
        <w:tblW w:w="8512" w:type="dxa"/>
        <w:jc w:val="left"/>
        <w:tblInd w:w="0" w:type="dxa"/>
        <w:tblCellMar>
          <w:top w:w="0" w:type="dxa"/>
          <w:left w:w="0" w:type="dxa"/>
          <w:bottom w:w="0" w:type="dxa"/>
          <w:right w:w="0" w:type="dxa"/>
        </w:tblCellMar>
      </w:tblPr>
      <w:tblGrid>
        <w:gridCol w:w="5000"/>
        <w:gridCol w:w="120"/>
        <w:gridCol w:w="272"/>
        <w:gridCol w:w="1328"/>
        <w:gridCol w:w="117"/>
        <w:gridCol w:w="234"/>
        <w:gridCol w:w="272"/>
        <w:gridCol w:w="1094"/>
        <w:gridCol w:w="75"/>
      </w:tblGrid>
      <w:tr>
        <w:trPr/>
        <w:tc>
          <w:tcPr>
            <w:tcW w:w="50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17"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Three Months Ended March 31,</w:t>
            </w:r>
          </w:p>
        </w:tc>
        <w:tc>
          <w:tcPr>
            <w:tcW w:w="75" w:type="dxa"/>
            <w:tcBorders/>
            <w:shd w:fill="auto"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2023</w:t>
            </w:r>
          </w:p>
        </w:tc>
        <w:tc>
          <w:tcPr>
            <w:tcW w:w="11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c>
          <w:tcPr>
            <w:tcW w:w="136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75"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Stock-based compensation expense by type of award:</w:t>
            </w:r>
          </w:p>
        </w:tc>
        <w:tc>
          <w:tcPr>
            <w:tcW w:w="120"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328"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Stock options</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w:t>
            </w:r>
          </w:p>
        </w:tc>
        <w:tc>
          <w:tcPr>
            <w:tcW w:w="1328" w:type="dxa"/>
            <w:tcBorders/>
            <w:shd w:fill="auto" w:val="clear"/>
            <w:vAlign w:val="center"/>
          </w:tcPr>
          <w:p>
            <w:pPr>
              <w:pStyle w:val="TableContents"/>
              <w:spacing w:before="0" w:after="283"/>
              <w:jc w:val="right"/>
              <w:rPr/>
            </w:pPr>
            <w:r>
              <w:rPr/>
              <w:t>8,598</w:t>
            </w:r>
          </w:p>
        </w:tc>
        <w:tc>
          <w:tcPr>
            <w:tcW w:w="11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w:t>
            </w:r>
          </w:p>
        </w:tc>
        <w:tc>
          <w:tcPr>
            <w:tcW w:w="1094" w:type="dxa"/>
            <w:tcBorders/>
            <w:shd w:fill="auto" w:val="clear"/>
            <w:vAlign w:val="center"/>
          </w:tcPr>
          <w:p>
            <w:pPr>
              <w:pStyle w:val="TableContents"/>
              <w:spacing w:before="0" w:after="283"/>
              <w:jc w:val="right"/>
              <w:rPr/>
            </w:pPr>
            <w:r>
              <w:rPr/>
              <w:t>7,477</w:t>
            </w:r>
          </w:p>
        </w:tc>
        <w:tc>
          <w:tcPr>
            <w:tcW w:w="75"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Restricted stock units</w:t>
            </w:r>
          </w:p>
        </w:tc>
        <w:tc>
          <w:tcPr>
            <w:tcW w:w="120"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328" w:type="dxa"/>
            <w:tcBorders/>
            <w:shd w:fill="CCEEFF" w:val="clear"/>
            <w:vAlign w:val="center"/>
          </w:tcPr>
          <w:p>
            <w:pPr>
              <w:pStyle w:val="TableContents"/>
              <w:spacing w:before="0" w:after="283"/>
              <w:jc w:val="right"/>
              <w:rPr/>
            </w:pPr>
            <w:r>
              <w:rPr/>
              <w:t>2,652</w:t>
            </w:r>
          </w:p>
        </w:tc>
        <w:tc>
          <w:tcPr>
            <w:tcW w:w="117"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0"/>
              <w:rPr>
                <w:bdr w:val="single" w:sz="2" w:space="1" w:color="000000"/>
              </w:rPr>
            </w:pPr>
            <w:r>
              <w:rPr>
                <w:bdr w:val="single" w:sz="2" w:space="1" w:color="000000"/>
              </w:rPr>
              <w:t> </w:t>
            </w:r>
          </w:p>
        </w:tc>
        <w:tc>
          <w:tcPr>
            <w:tcW w:w="1328" w:type="dxa"/>
            <w:tcBorders/>
            <w:shd w:fill="auto" w:val="clear"/>
            <w:vAlign w:val="center"/>
          </w:tcPr>
          <w:p>
            <w:pPr>
              <w:pStyle w:val="TableContents"/>
              <w:spacing w:before="0" w:after="0"/>
              <w:rPr>
                <w:bdr w:val="single" w:sz="2" w:space="1" w:color="000000"/>
              </w:rPr>
            </w:pPr>
            <w:r>
              <w:rPr>
                <w:bdr w:val="single" w:sz="2" w:space="1" w:color="000000"/>
              </w:rPr>
              <w:t> </w:t>
            </w:r>
          </w:p>
        </w:tc>
        <w:tc>
          <w:tcPr>
            <w:tcW w:w="11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0"/>
              <w:rPr>
                <w:bdr w:val="single" w:sz="2" w:space="1" w:color="000000"/>
              </w:rPr>
            </w:pPr>
            <w:r>
              <w:rPr>
                <w:bdr w:val="single" w:sz="2" w:space="1" w:color="000000"/>
              </w:rPr>
              <w:t> </w:t>
            </w:r>
          </w:p>
        </w:tc>
        <w:tc>
          <w:tcPr>
            <w:tcW w:w="1094"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stock-based compensation expense</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w:t>
            </w:r>
          </w:p>
        </w:tc>
        <w:tc>
          <w:tcPr>
            <w:tcW w:w="1328" w:type="dxa"/>
            <w:tcBorders/>
            <w:shd w:fill="auto" w:val="clear"/>
            <w:vAlign w:val="center"/>
          </w:tcPr>
          <w:p>
            <w:pPr>
              <w:pStyle w:val="TableContents"/>
              <w:spacing w:before="0" w:after="283"/>
              <w:jc w:val="right"/>
              <w:rPr/>
            </w:pPr>
            <w:r>
              <w:rPr/>
              <w:t>11,250</w:t>
            </w:r>
          </w:p>
        </w:tc>
        <w:tc>
          <w:tcPr>
            <w:tcW w:w="11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w:t>
            </w:r>
          </w:p>
        </w:tc>
        <w:tc>
          <w:tcPr>
            <w:tcW w:w="1094" w:type="dxa"/>
            <w:tcBorders/>
            <w:shd w:fill="auto" w:val="clear"/>
            <w:vAlign w:val="center"/>
          </w:tcPr>
          <w:p>
            <w:pPr>
              <w:pStyle w:val="TableContents"/>
              <w:spacing w:before="0" w:after="283"/>
              <w:jc w:val="right"/>
              <w:rPr/>
            </w:pPr>
            <w:r>
              <w:rPr/>
              <w:t>7,477</w:t>
            </w:r>
          </w:p>
        </w:tc>
        <w:tc>
          <w:tcPr>
            <w:tcW w:w="75" w:type="dxa"/>
            <w:tcBorders/>
            <w:shd w:fill="auto"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0"/>
              <w:rPr>
                <w:bdr w:val="double" w:sz="6" w:space="1" w:color="000000"/>
              </w:rPr>
            </w:pPr>
            <w:r>
              <w:rPr>
                <w:bdr w:val="double" w:sz="6" w:space="1" w:color="000000"/>
              </w:rPr>
              <w:t> </w:t>
            </w:r>
          </w:p>
        </w:tc>
        <w:tc>
          <w:tcPr>
            <w:tcW w:w="1328" w:type="dxa"/>
            <w:tcBorders/>
            <w:shd w:fill="auto" w:val="clear"/>
            <w:vAlign w:val="center"/>
          </w:tcPr>
          <w:p>
            <w:pPr>
              <w:pStyle w:val="TableContents"/>
              <w:spacing w:before="0" w:after="0"/>
              <w:rPr>
                <w:bdr w:val="double" w:sz="6" w:space="1" w:color="000000"/>
              </w:rPr>
            </w:pPr>
            <w:r>
              <w:rPr>
                <w:bdr w:val="double" w:sz="6" w:space="1" w:color="000000"/>
              </w:rPr>
              <w:t> </w:t>
            </w:r>
          </w:p>
        </w:tc>
        <w:tc>
          <w:tcPr>
            <w:tcW w:w="11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0"/>
              <w:rPr>
                <w:bdr w:val="double" w:sz="6" w:space="1" w:color="000000"/>
              </w:rPr>
            </w:pPr>
            <w:r>
              <w:rPr>
                <w:bdr w:val="double" w:sz="6" w:space="1" w:color="000000"/>
              </w:rPr>
              <w:t> </w:t>
            </w:r>
          </w:p>
        </w:tc>
        <w:tc>
          <w:tcPr>
            <w:tcW w:w="1094"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stock-based compensation expense by line item:</w:t>
            </w:r>
          </w:p>
        </w:tc>
        <w:tc>
          <w:tcPr>
            <w:tcW w:w="120"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328"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Research and development</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w:t>
            </w:r>
          </w:p>
        </w:tc>
        <w:tc>
          <w:tcPr>
            <w:tcW w:w="1328" w:type="dxa"/>
            <w:tcBorders/>
            <w:shd w:fill="auto" w:val="clear"/>
            <w:vAlign w:val="center"/>
          </w:tcPr>
          <w:p>
            <w:pPr>
              <w:pStyle w:val="TableContents"/>
              <w:spacing w:before="0" w:after="283"/>
              <w:jc w:val="right"/>
              <w:rPr/>
            </w:pPr>
            <w:r>
              <w:rPr/>
              <w:t>5,385</w:t>
            </w:r>
          </w:p>
        </w:tc>
        <w:tc>
          <w:tcPr>
            <w:tcW w:w="11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w:t>
            </w:r>
          </w:p>
        </w:tc>
        <w:tc>
          <w:tcPr>
            <w:tcW w:w="1094" w:type="dxa"/>
            <w:tcBorders/>
            <w:shd w:fill="auto" w:val="clear"/>
            <w:vAlign w:val="center"/>
          </w:tcPr>
          <w:p>
            <w:pPr>
              <w:pStyle w:val="TableContents"/>
              <w:spacing w:before="0" w:after="283"/>
              <w:jc w:val="right"/>
              <w:rPr/>
            </w:pPr>
            <w:r>
              <w:rPr/>
              <w:t>3,187</w:t>
            </w:r>
          </w:p>
        </w:tc>
        <w:tc>
          <w:tcPr>
            <w:tcW w:w="75"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328" w:type="dxa"/>
            <w:tcBorders/>
            <w:shd w:fill="CCEEFF" w:val="clear"/>
            <w:vAlign w:val="center"/>
          </w:tcPr>
          <w:p>
            <w:pPr>
              <w:pStyle w:val="TableContents"/>
              <w:spacing w:before="0" w:after="283"/>
              <w:jc w:val="right"/>
              <w:rPr/>
            </w:pPr>
            <w:r>
              <w:rPr/>
              <w:t>5,865</w:t>
            </w:r>
          </w:p>
        </w:tc>
        <w:tc>
          <w:tcPr>
            <w:tcW w:w="117"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4,290</w:t>
            </w:r>
          </w:p>
        </w:tc>
        <w:tc>
          <w:tcPr>
            <w:tcW w:w="75"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0"/>
              <w:rPr>
                <w:bdr w:val="single" w:sz="2" w:space="1" w:color="000000"/>
              </w:rPr>
            </w:pPr>
            <w:r>
              <w:rPr>
                <w:bdr w:val="single" w:sz="2" w:space="1" w:color="000000"/>
              </w:rPr>
              <w:t> </w:t>
            </w:r>
          </w:p>
        </w:tc>
        <w:tc>
          <w:tcPr>
            <w:tcW w:w="1328" w:type="dxa"/>
            <w:tcBorders/>
            <w:shd w:fill="auto" w:val="clear"/>
            <w:vAlign w:val="center"/>
          </w:tcPr>
          <w:p>
            <w:pPr>
              <w:pStyle w:val="TableContents"/>
              <w:spacing w:before="0" w:after="0"/>
              <w:rPr>
                <w:bdr w:val="single" w:sz="2" w:space="1" w:color="000000"/>
              </w:rPr>
            </w:pPr>
            <w:r>
              <w:rPr>
                <w:bdr w:val="single" w:sz="2" w:space="1" w:color="000000"/>
              </w:rPr>
              <w:t> </w:t>
            </w:r>
          </w:p>
        </w:tc>
        <w:tc>
          <w:tcPr>
            <w:tcW w:w="11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0"/>
              <w:rPr>
                <w:bdr w:val="single" w:sz="2" w:space="1" w:color="000000"/>
              </w:rPr>
            </w:pPr>
            <w:r>
              <w:rPr>
                <w:bdr w:val="single" w:sz="2" w:space="1" w:color="000000"/>
              </w:rPr>
              <w:t> </w:t>
            </w:r>
          </w:p>
        </w:tc>
        <w:tc>
          <w:tcPr>
            <w:tcW w:w="1094"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stock-based compensation expense included in net loss</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w:t>
            </w:r>
          </w:p>
        </w:tc>
        <w:tc>
          <w:tcPr>
            <w:tcW w:w="1328" w:type="dxa"/>
            <w:tcBorders/>
            <w:shd w:fill="auto" w:val="clear"/>
            <w:vAlign w:val="center"/>
          </w:tcPr>
          <w:p>
            <w:pPr>
              <w:pStyle w:val="TableContents"/>
              <w:spacing w:before="0" w:after="283"/>
              <w:jc w:val="right"/>
              <w:rPr/>
            </w:pPr>
            <w:r>
              <w:rPr/>
              <w:t>11,250</w:t>
            </w:r>
          </w:p>
        </w:tc>
        <w:tc>
          <w:tcPr>
            <w:tcW w:w="11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w:t>
            </w:r>
          </w:p>
        </w:tc>
        <w:tc>
          <w:tcPr>
            <w:tcW w:w="1094" w:type="dxa"/>
            <w:tcBorders/>
            <w:shd w:fill="auto" w:val="clear"/>
            <w:vAlign w:val="center"/>
          </w:tcPr>
          <w:p>
            <w:pPr>
              <w:pStyle w:val="TableContents"/>
              <w:spacing w:before="0" w:after="283"/>
              <w:jc w:val="right"/>
              <w:rPr/>
            </w:pPr>
            <w:r>
              <w:rPr/>
              <w:t>7,477</w:t>
            </w:r>
          </w:p>
        </w:tc>
        <w:tc>
          <w:tcPr>
            <w:tcW w:w="75" w:type="dxa"/>
            <w:tcBorders/>
            <w:shd w:fill="auto"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0"/>
              <w:rPr>
                <w:bdr w:val="double" w:sz="6" w:space="1" w:color="000000"/>
              </w:rPr>
            </w:pPr>
            <w:r>
              <w:rPr>
                <w:bdr w:val="double" w:sz="6" w:space="1" w:color="000000"/>
              </w:rPr>
              <w:t> </w:t>
            </w:r>
          </w:p>
        </w:tc>
        <w:tc>
          <w:tcPr>
            <w:tcW w:w="1328" w:type="dxa"/>
            <w:tcBorders/>
            <w:shd w:fill="auto" w:val="clear"/>
            <w:vAlign w:val="center"/>
          </w:tcPr>
          <w:p>
            <w:pPr>
              <w:pStyle w:val="TableContents"/>
              <w:spacing w:before="0" w:after="0"/>
              <w:rPr>
                <w:bdr w:val="double" w:sz="6" w:space="1" w:color="000000"/>
              </w:rPr>
            </w:pPr>
            <w:r>
              <w:rPr>
                <w:bdr w:val="double" w:sz="6" w:space="1" w:color="000000"/>
              </w:rPr>
              <w:t> </w:t>
            </w:r>
          </w:p>
        </w:tc>
        <w:tc>
          <w:tcPr>
            <w:tcW w:w="11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0"/>
              <w:rPr>
                <w:bdr w:val="double" w:sz="6" w:space="1" w:color="000000"/>
              </w:rPr>
            </w:pPr>
            <w:r>
              <w:rPr>
                <w:bdr w:val="double" w:sz="6" w:space="1" w:color="000000"/>
              </w:rPr>
              <w:t> </w:t>
            </w:r>
          </w:p>
        </w:tc>
        <w:tc>
          <w:tcPr>
            <w:tcW w:w="1094"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z w:val="20"/>
          <w:highlight w:val="white"/>
        </w:rPr>
      </w:pPr>
      <w:r>
        <w:rPr>
          <w:rFonts w:ascii="Times New Roman" w:hAnsi="Times New Roman"/>
          <w:sz w:val="20"/>
          <w:highlight w:val="white"/>
        </w:rPr>
        <w:t xml:space="preserve">Unrecognized stock-based compensation expense on stock options as of March 31, 2023 was $52.3 million with a weighted average remaining period of 2.42 years. </w:t>
      </w:r>
    </w:p>
    <w:p>
      <w:pPr>
        <w:pStyle w:val="TextBody"/>
        <w:spacing w:before="360" w:after="0"/>
        <w:ind w:left="0" w:right="0" w:hanging="0"/>
        <w:jc w:val="left"/>
        <w:rPr>
          <w:rFonts w:ascii="Times New Roman" w:hAnsi="Times New Roman"/>
          <w:b/>
          <w:sz w:val="20"/>
          <w:highlight w:val="white"/>
        </w:rPr>
      </w:pPr>
      <w:r>
        <w:rPr>
          <w:rFonts w:ascii="Times New Roman" w:hAnsi="Times New Roman"/>
          <w:b/>
          <w:sz w:val="20"/>
          <w:highlight w:val="white"/>
        </w:rPr>
        <w:t xml:space="preserve">9. Commitments and Contingencies </w:t>
      </w:r>
    </w:p>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The Company has a Research, Development and Commercialization Agreement with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Hoffmann-La</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Roche (“Roche”) which grants the Company a sole and exclusive license to develop, use, sell, offer for sale and import any Licensed Product as defined by the agreement. </w:t>
      </w:r>
    </w:p>
    <w:p>
      <w:pPr>
        <w:pStyle w:val="TextBody"/>
        <w:spacing w:before="240" w:after="0"/>
        <w:ind w:left="0" w:right="0" w:hanging="0"/>
        <w:jc w:val="left"/>
        <w:rPr>
          <w:rFonts w:ascii="Times New Roman" w:hAnsi="Times New Roman"/>
          <w:sz w:val="20"/>
          <w:highlight w:val="white"/>
        </w:rPr>
      </w:pPr>
      <w:r>
        <w:rPr>
          <w:rFonts w:ascii="Times New Roman" w:hAnsi="Times New Roman"/>
          <w:sz w:val="20"/>
          <w:highlight w:val="white"/>
        </w:rPr>
        <w:t xml:space="preserve">The agreement requires future milestone payments to Roche. Remaining milestones under the agreement total $8 million and are payable upon Madrigal achieving specified objectives related to future regulatory approval in the United States and Europe of resmetirom or a product developed from resmetirom. Furthermore, a tiered single-digit royalty is payable on net sales of resmetirom or a product developed from resmetirom, subject to certain reductions. The Company has not achieved any additional product development or regulatory milestones and had no Licensed Product sales for the three months ended March 31, 2023 and 2022. </w:t>
      </w:r>
    </w:p>
    <w:p>
      <w:pPr>
        <w:pStyle w:val="TextBody"/>
        <w:spacing w:before="240" w:after="0"/>
        <w:ind w:left="0" w:right="0" w:hanging="0"/>
        <w:jc w:val="left"/>
        <w:rPr>
          <w:rFonts w:ascii="Times New Roman" w:hAnsi="Times New Roman"/>
          <w:sz w:val="20"/>
          <w:highlight w:val="white"/>
        </w:rPr>
      </w:pPr>
      <w:r>
        <w:rPr>
          <w:rFonts w:ascii="Times New Roman" w:hAnsi="Times New Roman"/>
          <w:sz w:val="20"/>
          <w:highlight w:val="white"/>
        </w:rPr>
        <w:t xml:space="preserve">The Company has entered into customary contractual arrangements and letters of intent in preparation for and in support of the clinical trials. </w:t>
      </w:r>
    </w:p>
    <w:p>
      <w:pPr>
        <w:pStyle w:val="TextBody"/>
        <w:spacing w:before="360" w:after="0"/>
        <w:ind w:left="0" w:right="0" w:hanging="0"/>
        <w:jc w:val="left"/>
        <w:rPr>
          <w:rFonts w:ascii="Times New Roman" w:hAnsi="Times New Roman"/>
          <w:b/>
          <w:sz w:val="20"/>
          <w:highlight w:val="white"/>
        </w:rPr>
      </w:pPr>
      <w:r>
        <w:rPr>
          <w:rFonts w:ascii="Times New Roman" w:hAnsi="Times New Roman"/>
          <w:b/>
          <w:sz w:val="20"/>
          <w:highlight w:val="white"/>
        </w:rPr>
        <w:t xml:space="preserve">10. Subsequent Event </w:t>
      </w:r>
    </w:p>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In May 2023, the Company amended the 2021 Agreement (the “2023 Sales Agreement Amendment”), with Cowen, pursuant to which the Company may, from time to time, issue and sell shares of its common stock. The Company is not obligated to make any sales of its common stock under this arrangement. Any shares sold will be sold pursuant to the Company’s effective shelf registration statement on Form S-3 (the “Registration Statement”) and a prospectus supplement filed pursuant to the Registration Statement. The Sales Agreement Amendment authorizes an additional aggregate offering of up to $</w:t>
      </w:r>
    </w:p>
    <w:p>
      <w:pPr>
        <w:pStyle w:val="TextBody"/>
        <w:spacing w:before="120" w:after="0"/>
        <w:jc w:val="left"/>
        <w:rPr>
          <w:rFonts w:ascii="Times New Roman" w:hAnsi="Times New Roman"/>
          <w:sz w:val="20"/>
          <w:highlight w:val="white"/>
        </w:rPr>
      </w:pPr>
      <w:r>
        <w:rPr>
          <w:rFonts w:ascii="Times New Roman" w:hAnsi="Times New Roman"/>
          <w:sz w:val="20"/>
          <w:highlight w:val="white"/>
        </w:rPr>
        <w:t>200 </w:t>
      </w:r>
    </w:p>
    <w:p>
      <w:pPr>
        <w:pStyle w:val="TextBody"/>
        <w:spacing w:before="120" w:after="0"/>
        <w:jc w:val="left"/>
        <w:rPr>
          <w:rFonts w:ascii="Times New Roman" w:hAnsi="Times New Roman"/>
          <w:sz w:val="20"/>
          <w:highlight w:val="white"/>
        </w:rPr>
      </w:pPr>
      <w:r>
        <w:rPr>
          <w:rFonts w:ascii="Times New Roman" w:hAnsi="Times New Roman"/>
          <w:sz w:val="20"/>
          <w:highlight w:val="white"/>
        </w:rPr>
        <w:t>million in shares of our common stock, from time to time, at the Company’s option, through Cowen as its sales agent. Sales of common stock through Cowen may be made by any method that is deemed an “at-the-market” offering as defined in Rule 415 promulgated under the Securities Act of 1933, as amended, and as described in the prospectus supplement.</w:t>
      </w:r>
    </w:p>
    <w:p>
      <w:pPr>
        <w:pStyle w:val="TextBody"/>
        <w:spacing w:before="240" w:after="0"/>
        <w:ind w:left="0" w:right="0" w:hanging="0"/>
        <w:jc w:val="center"/>
        <w:rPr>
          <w:rFonts w:ascii="Times New Roman" w:hAnsi="Times New Roman"/>
          <w:spacing w:val="0"/>
          <w:sz w:val="20"/>
          <w:highlight w:val="white"/>
        </w:rPr>
      </w:pPr>
      <w:r>
        <w:rPr>
          <w:rFonts w:ascii="Times New Roman" w:hAnsi="Times New Roman"/>
          <w:spacing w:val="0"/>
          <w:sz w:val="20"/>
          <w:highlight w:val="white"/>
        </w:rPr>
        <w:t xml:space="preserve">********** END OF FINANCIAL STATEMENTS **********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15</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CAUTIONARY NOTE REGARDING FORWARD-LOOKING STATEMENTS </w:t>
      </w:r>
    </w:p>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This Quarterly Report on Form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10-Q</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“allow,” “anticipates,” “appear,” “be,” “believes,” “can,” “continue,” “confidence,” “could,” “demonstrates,” “design,” “estimates,” “expectation,” “expects,” “forecasts,” “future,” “goal,” “help,” “hopeful,” “inform,” “informed,” “intends,” “may,” “might,” “on track,” “planned,” “planning,” “plans,” “positions,” “potential,” “powers,” “predicts,” ”predictive,” “projects,” “seeks,” “should,” “will,” “will achieve,” “will be,” “would” or similar expressions and the negatives of those terms. In particular, forward-looking statements contained in or incorporated by reference to this Quarterly Report relate to, among other things,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Anticipated or estimated future results, including the risks and uncertainties associated with our future operating performance and financial position;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possible or assumed future results of operations and expenses, business strategies and plans (including </w:t>
            </w:r>
          </w:p>
          <w:p>
            <w:pPr>
              <w:pStyle w:val="TableContents"/>
              <w:spacing w:before="0" w:after="0"/>
              <w:jc w:val="left"/>
              <w:rPr>
                <w:rFonts w:ascii="Times New Roman" w:hAnsi="Times New Roman"/>
                <w:spacing w:val="0"/>
                <w:sz w:val="20"/>
              </w:rPr>
            </w:pPr>
            <w:r>
              <w:rPr>
                <w:rFonts w:ascii="Times New Roman" w:hAnsi="Times New Roman"/>
                <w:spacing w:val="0"/>
                <w:sz w:val="20"/>
              </w:rPr>
              <w:t>ex-U.S.</w:t>
            </w:r>
          </w:p>
          <w:p>
            <w:pPr>
              <w:pStyle w:val="TableContents"/>
              <w:spacing w:before="0" w:after="0"/>
              <w:jc w:val="left"/>
              <w:rPr>
                <w:rFonts w:ascii="Times New Roman" w:hAnsi="Times New Roman"/>
                <w:sz w:val="20"/>
              </w:rPr>
            </w:pPr>
            <w:r>
              <w:rPr>
                <w:rFonts w:ascii="Times New Roman" w:hAnsi="Times New Roman"/>
                <w:sz w:val="20"/>
              </w:rPr>
              <w:t xml:space="preserve">launch/partnering plans), capital needs and financing plans, including incurrence of indebtedness and compliance with debt covenants under the Loan and Security Agreement with Hercules Capital, Inc., as agent and lender, market trends, market sizing, competitive position, industry environment and potential growth opportunities, among other things; </w:t>
            </w:r>
          </w:p>
        </w:tc>
      </w:tr>
    </w:tbl>
    <w:p>
      <w:pPr>
        <w:pStyle w:val="TextBody"/>
        <w:spacing w:before="0" w:after="0"/>
        <w:jc w:val="left"/>
        <w:rPr>
          <w:highlight w:val="white"/>
        </w:rPr>
      </w:pPr>
      <w:r>
        <w:rPr>
          <w:highlight w:val="white"/>
        </w:rPr>
        <w:t> </w:t>
      </w:r>
    </w:p>
    <w:tbl>
      <w:tblPr>
        <w:tblW w:w="7495" w:type="dxa"/>
        <w:jc w:val="left"/>
        <w:tblInd w:w="0" w:type="dxa"/>
        <w:tblCellMar>
          <w:top w:w="0" w:type="dxa"/>
          <w:left w:w="0" w:type="dxa"/>
          <w:bottom w:w="0" w:type="dxa"/>
          <w:right w:w="0" w:type="dxa"/>
        </w:tblCellMar>
      </w:tblPr>
      <w:tblGrid>
        <w:gridCol w:w="75"/>
        <w:gridCol w:w="110"/>
        <w:gridCol w:w="60"/>
        <w:gridCol w:w="72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delay certain research activities and related clinical expenses as necessary;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projected resources and sufficiency of capital to fund our operating expenses through the projected commercial launch of resmetirom, assuming Food and Drug Administration (“FDA”) approval is obtained; </w:t>
            </w:r>
          </w:p>
        </w:tc>
      </w:tr>
    </w:tbl>
    <w:p>
      <w:pPr>
        <w:pStyle w:val="TextBody"/>
        <w:spacing w:before="0" w:after="0"/>
        <w:jc w:val="left"/>
        <w:rPr>
          <w:highlight w:val="white"/>
        </w:rPr>
      </w:pPr>
      <w:r>
        <w:rPr>
          <w:highlight w:val="white"/>
        </w:rPr>
        <w:t> </w:t>
      </w:r>
    </w:p>
    <w:tbl>
      <w:tblPr>
        <w:tblW w:w="10045" w:type="dxa"/>
        <w:jc w:val="left"/>
        <w:tblInd w:w="0" w:type="dxa"/>
        <w:tblCellMar>
          <w:top w:w="0" w:type="dxa"/>
          <w:left w:w="0" w:type="dxa"/>
          <w:bottom w:w="0" w:type="dxa"/>
          <w:right w:w="0" w:type="dxa"/>
        </w:tblCellMar>
      </w:tblPr>
      <w:tblGrid>
        <w:gridCol w:w="75"/>
        <w:gridCol w:w="110"/>
        <w:gridCol w:w="60"/>
        <w:gridCol w:w="9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clinical trials, including the anticipated timing of disclosure, presentations of data from, or outcomes from our trials,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Research and development activities, and the timing and results associated with the future development of our lead product candidate, resmetirom (formerly known as </w:t>
            </w:r>
          </w:p>
          <w:p>
            <w:pPr>
              <w:pStyle w:val="TableContents"/>
              <w:spacing w:before="0" w:after="0"/>
              <w:jc w:val="left"/>
              <w:rPr>
                <w:rFonts w:ascii="Times New Roman" w:hAnsi="Times New Roman"/>
                <w:spacing w:val="0"/>
                <w:sz w:val="20"/>
              </w:rPr>
            </w:pPr>
            <w:r>
              <w:rPr>
                <w:rFonts w:ascii="Times New Roman" w:hAnsi="Times New Roman"/>
                <w:spacing w:val="0"/>
                <w:sz w:val="20"/>
              </w:rPr>
              <w:t>MGL-3196),</w:t>
            </w:r>
          </w:p>
          <w:p>
            <w:pPr>
              <w:pStyle w:val="TableContents"/>
              <w:spacing w:before="0" w:after="0"/>
              <w:jc w:val="left"/>
              <w:rPr>
                <w:rFonts w:ascii="Times New Roman" w:hAnsi="Times New Roman"/>
                <w:sz w:val="20"/>
              </w:rPr>
            </w:pPr>
            <w:r>
              <w:rPr>
                <w:rFonts w:ascii="Times New Roman" w:hAnsi="Times New Roman"/>
                <w:sz w:val="20"/>
              </w:rPr>
              <w:t xml:space="preserve">including projected market size, sector leadership, and patient treatment estimates for </w:t>
            </w:r>
          </w:p>
          <w:p>
            <w:pPr>
              <w:pStyle w:val="TableContents"/>
              <w:spacing w:before="0" w:after="0"/>
              <w:jc w:val="left"/>
              <w:rPr>
                <w:rFonts w:ascii="Times New Roman" w:hAnsi="Times New Roman"/>
                <w:spacing w:val="0"/>
                <w:sz w:val="20"/>
              </w:rPr>
            </w:pPr>
            <w:r>
              <w:rPr>
                <w:rFonts w:ascii="Times New Roman" w:hAnsi="Times New Roman"/>
                <w:spacing w:val="0"/>
                <w:sz w:val="20"/>
              </w:rPr>
              <w:t>non-alcoholic</w:t>
            </w:r>
          </w:p>
          <w:p>
            <w:pPr>
              <w:pStyle w:val="TableContents"/>
              <w:spacing w:before="0" w:after="0"/>
              <w:jc w:val="left"/>
              <w:rPr>
                <w:rFonts w:ascii="Times New Roman" w:hAnsi="Times New Roman"/>
                <w:sz w:val="20"/>
              </w:rPr>
            </w:pPr>
            <w:r>
              <w:rPr>
                <w:rFonts w:ascii="Times New Roman" w:hAnsi="Times New Roman"/>
                <w:sz w:val="20"/>
              </w:rPr>
              <w:t xml:space="preserve">steatohepatitis (“NASH”) and nonalcoholic fatty liver disease (“NAFLD”) patients, </w:t>
            </w:r>
          </w:p>
        </w:tc>
      </w:tr>
    </w:tbl>
    <w:p>
      <w:pPr>
        <w:pStyle w:val="TextBody"/>
        <w:spacing w:before="0" w:after="0"/>
        <w:jc w:val="left"/>
        <w:rPr>
          <w:highlight w:val="white"/>
        </w:rPr>
      </w:pPr>
      <w:r>
        <w:rPr>
          <w:highlight w:val="white"/>
        </w:rPr>
        <w:t> </w:t>
      </w:r>
    </w:p>
    <w:tbl>
      <w:tblPr>
        <w:tblW w:w="9565" w:type="dxa"/>
        <w:jc w:val="left"/>
        <w:tblInd w:w="0" w:type="dxa"/>
        <w:tblCellMar>
          <w:top w:w="0" w:type="dxa"/>
          <w:left w:w="0" w:type="dxa"/>
          <w:bottom w:w="0" w:type="dxa"/>
          <w:right w:w="0" w:type="dxa"/>
        </w:tblCellMar>
      </w:tblPr>
      <w:tblGrid>
        <w:gridCol w:w="75"/>
        <w:gridCol w:w="110"/>
        <w:gridCol w:w="60"/>
        <w:gridCol w:w="9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timing and completion of projected future clinical milestone events, including enrollment, additional studies, </w:t>
            </w:r>
          </w:p>
          <w:p>
            <w:pPr>
              <w:pStyle w:val="TableContents"/>
              <w:spacing w:before="0" w:after="0"/>
              <w:jc w:val="left"/>
              <w:rPr>
                <w:rFonts w:ascii="Times New Roman" w:hAnsi="Times New Roman"/>
                <w:spacing w:val="0"/>
                <w:sz w:val="20"/>
              </w:rPr>
            </w:pPr>
            <w:r>
              <w:rPr>
                <w:rFonts w:ascii="Times New Roman" w:hAnsi="Times New Roman"/>
                <w:spacing w:val="0"/>
                <w:sz w:val="20"/>
              </w:rPr>
              <w:t>top-line</w:t>
            </w:r>
          </w:p>
          <w:p>
            <w:pPr>
              <w:pStyle w:val="TableContents"/>
              <w:spacing w:before="0" w:after="0"/>
              <w:jc w:val="left"/>
              <w:rPr>
                <w:rFonts w:ascii="Times New Roman" w:hAnsi="Times New Roman"/>
                <w:sz w:val="20"/>
              </w:rPr>
            </w:pPr>
            <w:r>
              <w:rPr>
                <w:rFonts w:ascii="Times New Roman" w:hAnsi="Times New Roman"/>
                <w:sz w:val="20"/>
              </w:rPr>
              <w:t xml:space="preserve">data and open label projections, </w:t>
            </w:r>
          </w:p>
        </w:tc>
      </w:tr>
    </w:tbl>
    <w:p>
      <w:pPr>
        <w:pStyle w:val="TextBody"/>
        <w:spacing w:before="0" w:after="0"/>
        <w:jc w:val="left"/>
        <w:rPr>
          <w:highlight w:val="white"/>
        </w:rPr>
      </w:pPr>
      <w:r>
        <w:rPr>
          <w:highlight w:val="white"/>
        </w:rPr>
        <w:t> </w:t>
      </w:r>
    </w:p>
    <w:tbl>
      <w:tblPr>
        <w:tblW w:w="9325" w:type="dxa"/>
        <w:jc w:val="left"/>
        <w:tblInd w:w="0" w:type="dxa"/>
        <w:tblCellMar>
          <w:top w:w="0" w:type="dxa"/>
          <w:left w:w="0" w:type="dxa"/>
          <w:bottom w:w="0" w:type="dxa"/>
          <w:right w:w="0" w:type="dxa"/>
        </w:tblCellMar>
      </w:tblPr>
      <w:tblGrid>
        <w:gridCol w:w="75"/>
        <w:gridCol w:w="110"/>
        <w:gridCol w:w="60"/>
        <w:gridCol w:w="9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Resmetirom’s potential to be a cost-effective specialty therapy for NASH patients with significant liver fibrosis,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Plans, objectives and timing for making a Subpart H (Accelerated Approval of New Drugs for Serious or Life-Threatening Illnesses) submission to the FDA,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Projections or objectives for obtaining accelerated or full approval for resmetirom for NASH patients with significant fibrosis (or </w:t>
            </w:r>
          </w:p>
          <w:p>
            <w:pPr>
              <w:pStyle w:val="TableContents"/>
              <w:spacing w:before="0" w:after="0"/>
              <w:jc w:val="left"/>
              <w:rPr>
                <w:rFonts w:ascii="Times New Roman" w:hAnsi="Times New Roman"/>
                <w:spacing w:val="0"/>
                <w:sz w:val="20"/>
              </w:rPr>
            </w:pPr>
            <w:r>
              <w:rPr>
                <w:rFonts w:ascii="Times New Roman" w:hAnsi="Times New Roman"/>
                <w:spacing w:val="0"/>
                <w:sz w:val="20"/>
              </w:rPr>
              <w:t>non-cirrhotic</w:t>
            </w:r>
          </w:p>
          <w:p>
            <w:pPr>
              <w:pStyle w:val="TableContents"/>
              <w:spacing w:before="0" w:after="0"/>
              <w:jc w:val="left"/>
              <w:rPr>
                <w:rFonts w:ascii="Times New Roman" w:hAnsi="Times New Roman"/>
                <w:sz w:val="20"/>
              </w:rPr>
            </w:pPr>
            <w:r>
              <w:rPr>
                <w:rFonts w:ascii="Times New Roman" w:hAnsi="Times New Roman"/>
                <w:sz w:val="20"/>
              </w:rPr>
              <w:t xml:space="preserve">NASH patients) and NASH patients with compensated cirrhosis,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primary and key secondary study endpoints for resmetirom, and the potential for achieving such endpoints and projections, including NASH resolution, safety, fibrosis treatment, cardiovascular effects and lipid treatment with resmetirom,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Optimal dosing levels for resmetirom and projections regarding potential NASH or NAFLD and potential patient benefits with resmetirom, including future NASH resolution, safety, fibrosis treatment, cardiovascular effects, lipid treatment and/or biomarker effects with resmetirom, </w:t>
            </w:r>
          </w:p>
        </w:tc>
      </w:tr>
    </w:tbl>
    <w:p>
      <w:pPr>
        <w:pStyle w:val="TextBody"/>
        <w:spacing w:before="0" w:after="0"/>
        <w:jc w:val="left"/>
        <w:rPr>
          <w:highlight w:val="white"/>
        </w:rPr>
      </w:pPr>
      <w:r>
        <w:rPr>
          <w:highlight w:val="white"/>
        </w:rPr>
        <w:t> </w:t>
      </w:r>
    </w:p>
    <w:tbl>
      <w:tblPr>
        <w:tblW w:w="8080" w:type="dxa"/>
        <w:jc w:val="left"/>
        <w:tblInd w:w="0" w:type="dxa"/>
        <w:tblCellMar>
          <w:top w:w="0" w:type="dxa"/>
          <w:left w:w="0" w:type="dxa"/>
          <w:bottom w:w="0" w:type="dxa"/>
          <w:right w:w="0" w:type="dxa"/>
        </w:tblCellMar>
      </w:tblPr>
      <w:tblGrid>
        <w:gridCol w:w="75"/>
        <w:gridCol w:w="110"/>
        <w:gridCol w:w="60"/>
        <w:gridCol w:w="78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address the unmet needs of patients suffering from NASH with significant fibrosis, </w:t>
            </w:r>
          </w:p>
        </w:tc>
      </w:tr>
    </w:tbl>
    <w:p>
      <w:pPr>
        <w:pStyle w:val="TextBody"/>
        <w:spacing w:before="0" w:after="0"/>
        <w:jc w:val="left"/>
        <w:rPr>
          <w:highlight w:val="white"/>
        </w:rPr>
      </w:pPr>
      <w:r>
        <w:rPr>
          <w:highlight w:val="white"/>
        </w:rPr>
        <w:t> </w:t>
      </w:r>
    </w:p>
    <w:tbl>
      <w:tblPr>
        <w:tblW w:w="4405" w:type="dxa"/>
        <w:jc w:val="left"/>
        <w:tblInd w:w="0" w:type="dxa"/>
        <w:tblCellMar>
          <w:top w:w="0" w:type="dxa"/>
          <w:left w:w="0" w:type="dxa"/>
          <w:bottom w:w="0" w:type="dxa"/>
          <w:right w:w="0" w:type="dxa"/>
        </w:tblCellMar>
      </w:tblPr>
      <w:tblGrid>
        <w:gridCol w:w="75"/>
        <w:gridCol w:w="110"/>
        <w:gridCol w:w="60"/>
        <w:gridCol w:w="41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potential efficacy and safety of resmetirom for </w:t>
            </w:r>
          </w:p>
          <w:p>
            <w:pPr>
              <w:pStyle w:val="TableContents"/>
              <w:spacing w:before="0" w:after="0"/>
              <w:jc w:val="left"/>
              <w:rPr>
                <w:rFonts w:ascii="Times New Roman" w:hAnsi="Times New Roman"/>
                <w:spacing w:val="0"/>
                <w:sz w:val="20"/>
              </w:rPr>
            </w:pPr>
            <w:r>
              <w:rPr>
                <w:rFonts w:ascii="Times New Roman" w:hAnsi="Times New Roman"/>
                <w:spacing w:val="0"/>
                <w:sz w:val="20"/>
              </w:rPr>
              <w:t>non-cirrhotic</w:t>
            </w:r>
          </w:p>
          <w:p>
            <w:pPr>
              <w:pStyle w:val="TableContents"/>
              <w:spacing w:before="0" w:after="0"/>
              <w:jc w:val="left"/>
              <w:rPr>
                <w:rFonts w:ascii="Times New Roman" w:hAnsi="Times New Roman"/>
                <w:sz w:val="20"/>
              </w:rPr>
            </w:pPr>
            <w:r>
              <w:rPr>
                <w:rFonts w:ascii="Times New Roman" w:hAnsi="Times New Roman"/>
                <w:sz w:val="20"/>
              </w:rPr>
              <w:t xml:space="preserve">NASH patients and cirrhotic NASH patients, </w:t>
            </w:r>
          </w:p>
        </w:tc>
      </w:tr>
    </w:tbl>
    <w:p>
      <w:pPr>
        <w:pStyle w:val="TextBody"/>
        <w:spacing w:before="0" w:after="0"/>
        <w:jc w:val="left"/>
        <w:rPr>
          <w:highlight w:val="white"/>
        </w:rPr>
      </w:pPr>
      <w:r>
        <w:rPr>
          <w:highlight w:val="white"/>
        </w:rPr>
        <w:t> </w:t>
      </w:r>
    </w:p>
    <w:tbl>
      <w:tblPr>
        <w:tblW w:w="5065" w:type="dxa"/>
        <w:jc w:val="left"/>
        <w:tblInd w:w="0" w:type="dxa"/>
        <w:tblCellMar>
          <w:top w:w="0" w:type="dxa"/>
          <w:left w:w="0" w:type="dxa"/>
          <w:bottom w:w="0" w:type="dxa"/>
          <w:right w:w="0" w:type="dxa"/>
        </w:tblCellMar>
      </w:tblPr>
      <w:tblGrid>
        <w:gridCol w:w="75"/>
        <w:gridCol w:w="110"/>
        <w:gridCol w:w="60"/>
        <w:gridCol w:w="4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potential for resmetirom to become the </w:t>
            </w:r>
          </w:p>
          <w:p>
            <w:pPr>
              <w:pStyle w:val="TableContents"/>
              <w:spacing w:before="0" w:after="0"/>
              <w:jc w:val="left"/>
              <w:rPr>
                <w:rFonts w:ascii="Times New Roman" w:hAnsi="Times New Roman"/>
                <w:spacing w:val="0"/>
                <w:sz w:val="20"/>
              </w:rPr>
            </w:pPr>
            <w:r>
              <w:rPr>
                <w:rFonts w:ascii="Times New Roman" w:hAnsi="Times New Roman"/>
                <w:spacing w:val="0"/>
                <w:sz w:val="20"/>
              </w:rPr>
              <w:t>best-in-class</w:t>
            </w:r>
          </w:p>
          <w:p>
            <w:pPr>
              <w:pStyle w:val="TableContents"/>
              <w:spacing w:before="0" w:after="0"/>
              <w:jc w:val="left"/>
              <w:rPr>
                <w:rFonts w:ascii="Times New Roman" w:hAnsi="Times New Roman"/>
                <w:sz w:val="20"/>
              </w:rPr>
            </w:pPr>
            <w:r>
              <w:rPr>
                <w:rFonts w:ascii="Times New Roman" w:hAnsi="Times New Roman"/>
                <w:sz w:val="20"/>
              </w:rPr>
              <w:t xml:space="preserve">and/or </w:t>
            </w:r>
          </w:p>
          <w:p>
            <w:pPr>
              <w:pStyle w:val="TableContents"/>
              <w:spacing w:before="0" w:after="0"/>
              <w:jc w:val="left"/>
              <w:rPr>
                <w:rFonts w:ascii="Times New Roman" w:hAnsi="Times New Roman"/>
                <w:spacing w:val="0"/>
                <w:sz w:val="20"/>
              </w:rPr>
            </w:pPr>
            <w:r>
              <w:rPr>
                <w:rFonts w:ascii="Times New Roman" w:hAnsi="Times New Roman"/>
                <w:spacing w:val="0"/>
                <w:sz w:val="20"/>
              </w:rPr>
              <w:t>first-to-market</w:t>
            </w:r>
          </w:p>
          <w:p>
            <w:pPr>
              <w:pStyle w:val="TableContents"/>
              <w:spacing w:before="0" w:after="0"/>
              <w:jc w:val="left"/>
              <w:rPr>
                <w:rFonts w:ascii="Times New Roman" w:hAnsi="Times New Roman"/>
                <w:sz w:val="20"/>
              </w:rPr>
            </w:pPr>
            <w:r>
              <w:rPr>
                <w:rFonts w:ascii="Times New Roman" w:hAnsi="Times New Roman"/>
                <w:sz w:val="20"/>
              </w:rPr>
              <w:t xml:space="preserve">treatment option for patients with NASH and liver fibrosis;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Anticipated or estimated future results of operations and expenses as we expand our resmetirom clinical development program and our commercial development program; </w:t>
            </w:r>
          </w:p>
        </w:tc>
      </w:tr>
    </w:tbl>
    <w:p>
      <w:pPr>
        <w:pStyle w:val="TextBody"/>
        <w:spacing w:before="0" w:after="0"/>
        <w:jc w:val="left"/>
        <w:rPr>
          <w:highlight w:val="white"/>
        </w:rPr>
      </w:pPr>
      <w:r>
        <w:rPr>
          <w:highlight w:val="white"/>
        </w:rPr>
        <w:t> </w:t>
      </w:r>
    </w:p>
    <w:tbl>
      <w:tblPr>
        <w:tblW w:w="2305" w:type="dxa"/>
        <w:jc w:val="left"/>
        <w:tblInd w:w="0" w:type="dxa"/>
        <w:tblCellMar>
          <w:top w:w="0" w:type="dxa"/>
          <w:left w:w="0" w:type="dxa"/>
          <w:bottom w:w="0" w:type="dxa"/>
          <w:right w:w="0" w:type="dxa"/>
        </w:tblCellMar>
      </w:tblPr>
      <w:tblGrid>
        <w:gridCol w:w="75"/>
        <w:gridCol w:w="110"/>
        <w:gridCol w:w="60"/>
        <w:gridCol w:w="20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Ex-U.S.</w:t>
            </w:r>
          </w:p>
          <w:p>
            <w:pPr>
              <w:pStyle w:val="TableContents"/>
              <w:spacing w:before="0" w:after="0"/>
              <w:jc w:val="left"/>
              <w:rPr>
                <w:rFonts w:ascii="Times New Roman" w:hAnsi="Times New Roman"/>
                <w:sz w:val="20"/>
              </w:rPr>
            </w:pPr>
            <w:r>
              <w:rPr>
                <w:rFonts w:ascii="Times New Roman" w:hAnsi="Times New Roman"/>
                <w:sz w:val="20"/>
              </w:rPr>
              <w:t xml:space="preserve">launch/partnering plans, </w:t>
            </w:r>
          </w:p>
        </w:tc>
      </w:tr>
    </w:tbl>
    <w:p>
      <w:pPr>
        <w:pStyle w:val="TextBody"/>
        <w:spacing w:before="0" w:after="0"/>
        <w:jc w:val="left"/>
        <w:rPr>
          <w:highlight w:val="white"/>
        </w:rPr>
      </w:pPr>
      <w:r>
        <w:rPr>
          <w:highlight w:val="white"/>
        </w:rPr>
        <w:t> </w:t>
      </w:r>
    </w:p>
    <w:tbl>
      <w:tblPr>
        <w:tblW w:w="6430" w:type="dxa"/>
        <w:jc w:val="left"/>
        <w:tblInd w:w="0" w:type="dxa"/>
        <w:tblCellMar>
          <w:top w:w="0" w:type="dxa"/>
          <w:left w:w="0" w:type="dxa"/>
          <w:bottom w:w="0" w:type="dxa"/>
          <w:right w:w="0" w:type="dxa"/>
        </w:tblCellMar>
      </w:tblPr>
      <w:tblGrid>
        <w:gridCol w:w="75"/>
        <w:gridCol w:w="110"/>
        <w:gridCol w:w="60"/>
        <w:gridCol w:w="61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ability to develop clinical evidence demonstrating the utility of </w:t>
            </w:r>
          </w:p>
          <w:p>
            <w:pPr>
              <w:pStyle w:val="TableContents"/>
              <w:spacing w:before="0" w:after="0"/>
              <w:jc w:val="left"/>
              <w:rPr>
                <w:rFonts w:ascii="Times New Roman" w:hAnsi="Times New Roman"/>
                <w:spacing w:val="0"/>
                <w:sz w:val="20"/>
              </w:rPr>
            </w:pPr>
            <w:r>
              <w:rPr>
                <w:rFonts w:ascii="Times New Roman" w:hAnsi="Times New Roman"/>
                <w:spacing w:val="0"/>
                <w:sz w:val="20"/>
              </w:rPr>
              <w:t>non-invasive</w:t>
            </w:r>
          </w:p>
          <w:p>
            <w:pPr>
              <w:pStyle w:val="TableContents"/>
              <w:spacing w:before="0" w:after="0"/>
              <w:jc w:val="left"/>
              <w:rPr>
                <w:rFonts w:ascii="Times New Roman" w:hAnsi="Times New Roman"/>
                <w:sz w:val="20"/>
              </w:rPr>
            </w:pPr>
            <w:r>
              <w:rPr>
                <w:rFonts w:ascii="Times New Roman" w:hAnsi="Times New Roman"/>
                <w:sz w:val="20"/>
              </w:rPr>
              <w:t xml:space="preserve">tools and techniques to screen and diagnose NASH and/or NAFLD patients,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16</w:t>
      </w:r>
    </w:p>
    <w:p>
      <w:pPr>
        <w:pStyle w:val="HorizontalLine"/>
        <w:rPr/>
      </w:pPr>
      <w:r>
        <w:rPr/>
      </w:r>
    </w:p>
    <w:p>
      <w:pPr>
        <w:pStyle w:val="TextBody"/>
        <w:spacing w:before="0" w:after="0"/>
        <w:rPr/>
      </w:pPr>
      <w:hyperlink w:anchor="toc">
        <w:r>
          <w:rPr>
            <w:rStyle w:val="InternetLink"/>
            <w:highlight w:val="white"/>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predictive power of liver fat reduction with resmetirom, as measured by </w:t>
            </w:r>
          </w:p>
          <w:p>
            <w:pPr>
              <w:pStyle w:val="TableContents"/>
              <w:spacing w:before="0" w:after="0"/>
              <w:jc w:val="left"/>
              <w:rPr>
                <w:rFonts w:ascii="Times New Roman" w:hAnsi="Times New Roman"/>
                <w:spacing w:val="0"/>
                <w:sz w:val="20"/>
              </w:rPr>
            </w:pPr>
            <w:r>
              <w:rPr>
                <w:rFonts w:ascii="Times New Roman" w:hAnsi="Times New Roman"/>
                <w:spacing w:val="0"/>
                <w:sz w:val="20"/>
              </w:rPr>
              <w:t>non-invasive</w:t>
            </w:r>
          </w:p>
          <w:p>
            <w:pPr>
              <w:pStyle w:val="TableContents"/>
              <w:spacing w:before="0" w:after="0"/>
              <w:jc w:val="left"/>
              <w:rPr>
                <w:rFonts w:ascii="Times New Roman" w:hAnsi="Times New Roman"/>
                <w:sz w:val="20"/>
              </w:rPr>
            </w:pPr>
            <w:r>
              <w:rPr>
                <w:rFonts w:ascii="Times New Roman" w:hAnsi="Times New Roman"/>
                <w:sz w:val="20"/>
              </w:rPr>
              <w:t xml:space="preserve">tests, on NASH resolution and/or fibrosis reduction or improvement, and potential NASH or NAFLD patient risk profile benefits with resmetirom, </w:t>
            </w:r>
          </w:p>
        </w:tc>
      </w:tr>
    </w:tbl>
    <w:p>
      <w:pPr>
        <w:pStyle w:val="TextBody"/>
        <w:spacing w:before="0" w:after="0"/>
        <w:jc w:val="left"/>
        <w:rPr>
          <w:highlight w:val="white"/>
        </w:rPr>
      </w:pPr>
      <w:r>
        <w:rPr>
          <w:highlight w:val="white"/>
        </w:rPr>
        <w:t> </w:t>
      </w:r>
    </w:p>
    <w:tbl>
      <w:tblPr>
        <w:tblW w:w="8905" w:type="dxa"/>
        <w:jc w:val="left"/>
        <w:tblInd w:w="0" w:type="dxa"/>
        <w:tblCellMar>
          <w:top w:w="0" w:type="dxa"/>
          <w:left w:w="0" w:type="dxa"/>
          <w:bottom w:w="0" w:type="dxa"/>
          <w:right w:w="0" w:type="dxa"/>
        </w:tblCellMar>
      </w:tblPr>
      <w:tblGrid>
        <w:gridCol w:w="75"/>
        <w:gridCol w:w="110"/>
        <w:gridCol w:w="60"/>
        <w:gridCol w:w="8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predictive power of liver fat, liver volume changes or MAST scores for NASH and/or NAFLD patients, </w:t>
            </w:r>
          </w:p>
        </w:tc>
      </w:tr>
    </w:tbl>
    <w:p>
      <w:pPr>
        <w:pStyle w:val="TextBody"/>
        <w:spacing w:before="0" w:after="0"/>
        <w:jc w:val="left"/>
        <w:rPr>
          <w:highlight w:val="white"/>
        </w:rPr>
      </w:pPr>
      <w:r>
        <w:rPr>
          <w:highlight w:val="white"/>
        </w:rPr>
        <w:t> </w:t>
      </w:r>
    </w:p>
    <w:tbl>
      <w:tblPr>
        <w:tblW w:w="9325" w:type="dxa"/>
        <w:jc w:val="left"/>
        <w:tblInd w:w="0" w:type="dxa"/>
        <w:tblCellMar>
          <w:top w:w="0" w:type="dxa"/>
          <w:left w:w="0" w:type="dxa"/>
          <w:bottom w:w="0" w:type="dxa"/>
          <w:right w:w="0" w:type="dxa"/>
        </w:tblCellMar>
      </w:tblPr>
      <w:tblGrid>
        <w:gridCol w:w="75"/>
        <w:gridCol w:w="110"/>
        <w:gridCol w:w="60"/>
        <w:gridCol w:w="9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predictive power of NASH resolution and/or liver fibrosis reduction with resmetirom or improvement using </w:t>
            </w:r>
          </w:p>
          <w:p>
            <w:pPr>
              <w:pStyle w:val="TableContents"/>
              <w:spacing w:before="0" w:after="0"/>
              <w:jc w:val="left"/>
              <w:rPr>
                <w:rFonts w:ascii="Times New Roman" w:hAnsi="Times New Roman"/>
                <w:spacing w:val="0"/>
                <w:sz w:val="20"/>
              </w:rPr>
            </w:pPr>
            <w:r>
              <w:rPr>
                <w:rFonts w:ascii="Times New Roman" w:hAnsi="Times New Roman"/>
                <w:spacing w:val="0"/>
                <w:sz w:val="20"/>
              </w:rPr>
              <w:t>non-invasive</w:t>
            </w:r>
          </w:p>
          <w:p>
            <w:pPr>
              <w:pStyle w:val="TableContents"/>
              <w:spacing w:before="0" w:after="0"/>
              <w:jc w:val="left"/>
              <w:rPr>
                <w:rFonts w:ascii="Times New Roman" w:hAnsi="Times New Roman"/>
                <w:sz w:val="20"/>
              </w:rPr>
            </w:pPr>
            <w:r>
              <w:rPr>
                <w:rFonts w:ascii="Times New Roman" w:hAnsi="Times New Roman"/>
                <w:sz w:val="20"/>
              </w:rPr>
              <w:t xml:space="preserve">tests, including the use of ELF, FibroScan, MRE and/or </w:t>
            </w:r>
          </w:p>
          <w:p>
            <w:pPr>
              <w:pStyle w:val="TableContents"/>
              <w:spacing w:before="0" w:after="0"/>
              <w:jc w:val="left"/>
              <w:rPr>
                <w:rFonts w:ascii="Times New Roman" w:hAnsi="Times New Roman"/>
                <w:spacing w:val="0"/>
                <w:sz w:val="20"/>
              </w:rPr>
            </w:pPr>
            <w:r>
              <w:rPr>
                <w:rFonts w:ascii="Times New Roman" w:hAnsi="Times New Roman"/>
                <w:spacing w:val="0"/>
                <w:sz w:val="20"/>
              </w:rPr>
              <w:t>MRI-PDFF,</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predictive power of </w:t>
            </w:r>
          </w:p>
          <w:p>
            <w:pPr>
              <w:pStyle w:val="TableContents"/>
              <w:spacing w:before="0" w:after="0"/>
              <w:jc w:val="left"/>
              <w:rPr>
                <w:rFonts w:ascii="Times New Roman" w:hAnsi="Times New Roman"/>
                <w:spacing w:val="0"/>
                <w:sz w:val="20"/>
              </w:rPr>
            </w:pPr>
            <w:r>
              <w:rPr>
                <w:rFonts w:ascii="Times New Roman" w:hAnsi="Times New Roman"/>
                <w:spacing w:val="0"/>
                <w:sz w:val="20"/>
              </w:rPr>
              <w:t>non-invasive</w:t>
            </w:r>
          </w:p>
          <w:p>
            <w:pPr>
              <w:pStyle w:val="TableContents"/>
              <w:spacing w:before="0" w:after="0"/>
              <w:jc w:val="left"/>
              <w:rPr>
                <w:rFonts w:ascii="Times New Roman" w:hAnsi="Times New Roman"/>
                <w:sz w:val="20"/>
              </w:rPr>
            </w:pPr>
            <w:r>
              <w:rPr>
                <w:rFonts w:ascii="Times New Roman" w:hAnsi="Times New Roman"/>
                <w:sz w:val="20"/>
              </w:rPr>
              <w:t xml:space="preserve">tests generally, including for purposes of diagnosing NASH, monitoring patient response to resmetirom, or recruiting and conducting a NASH clinical trial, </w:t>
            </w:r>
          </w:p>
        </w:tc>
      </w:tr>
    </w:tbl>
    <w:p>
      <w:pPr>
        <w:pStyle w:val="TextBody"/>
        <w:spacing w:before="0" w:after="0"/>
        <w:jc w:val="left"/>
        <w:rPr>
          <w:highlight w:val="white"/>
        </w:rPr>
      </w:pPr>
      <w:r>
        <w:rPr>
          <w:highlight w:val="white"/>
        </w:rPr>
        <w:t> </w:t>
      </w:r>
    </w:p>
    <w:tbl>
      <w:tblPr>
        <w:tblW w:w="4480" w:type="dxa"/>
        <w:jc w:val="left"/>
        <w:tblInd w:w="0" w:type="dxa"/>
        <w:tblCellMar>
          <w:top w:w="0" w:type="dxa"/>
          <w:left w:w="0" w:type="dxa"/>
          <w:bottom w:w="0" w:type="dxa"/>
          <w:right w:w="0" w:type="dxa"/>
        </w:tblCellMar>
      </w:tblPr>
      <w:tblGrid>
        <w:gridCol w:w="75"/>
        <w:gridCol w:w="110"/>
        <w:gridCol w:w="60"/>
        <w:gridCol w:w="42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Market demand for and acceptance of our products, </w:t>
            </w:r>
          </w:p>
        </w:tc>
      </w:tr>
    </w:tbl>
    <w:p>
      <w:pPr>
        <w:pStyle w:val="TextBody"/>
        <w:spacing w:before="0" w:after="0"/>
        <w:jc w:val="left"/>
        <w:rPr>
          <w:highlight w:val="white"/>
        </w:rPr>
      </w:pPr>
      <w:r>
        <w:rPr>
          <w:highlight w:val="white"/>
        </w:rPr>
        <w:t> </w:t>
      </w:r>
    </w:p>
    <w:tbl>
      <w:tblPr>
        <w:tblW w:w="5500" w:type="dxa"/>
        <w:jc w:val="left"/>
        <w:tblInd w:w="0" w:type="dxa"/>
        <w:tblCellMar>
          <w:top w:w="0" w:type="dxa"/>
          <w:left w:w="0" w:type="dxa"/>
          <w:bottom w:w="0" w:type="dxa"/>
          <w:right w:w="0" w:type="dxa"/>
        </w:tblCellMar>
      </w:tblPr>
      <w:tblGrid>
        <w:gridCol w:w="75"/>
        <w:gridCol w:w="110"/>
        <w:gridCol w:w="60"/>
        <w:gridCol w:w="5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Research, development and commercialization of new products, </w:t>
            </w:r>
          </w:p>
        </w:tc>
      </w:tr>
    </w:tbl>
    <w:p>
      <w:pPr>
        <w:pStyle w:val="TextBody"/>
        <w:spacing w:before="0" w:after="0"/>
        <w:jc w:val="left"/>
        <w:rPr>
          <w:highlight w:val="white"/>
        </w:rPr>
      </w:pPr>
      <w:r>
        <w:rPr>
          <w:highlight w:val="white"/>
        </w:rPr>
        <w:t> </w:t>
      </w:r>
    </w:p>
    <w:tbl>
      <w:tblPr>
        <w:tblW w:w="7255" w:type="dxa"/>
        <w:jc w:val="left"/>
        <w:tblInd w:w="0" w:type="dxa"/>
        <w:tblCellMar>
          <w:top w:w="0" w:type="dxa"/>
          <w:left w:w="0" w:type="dxa"/>
          <w:bottom w:w="0" w:type="dxa"/>
          <w:right w:w="0" w:type="dxa"/>
        </w:tblCellMar>
      </w:tblPr>
      <w:tblGrid>
        <w:gridCol w:w="75"/>
        <w:gridCol w:w="110"/>
        <w:gridCol w:w="60"/>
        <w:gridCol w:w="70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potential for resmetirom to be an effective treatment for other disease indications, </w:t>
            </w:r>
          </w:p>
        </w:tc>
      </w:tr>
    </w:tbl>
    <w:p>
      <w:pPr>
        <w:pStyle w:val="TextBody"/>
        <w:spacing w:before="0" w:after="0"/>
        <w:jc w:val="left"/>
        <w:rPr>
          <w:highlight w:val="white"/>
        </w:rPr>
      </w:pPr>
      <w:r>
        <w:rPr>
          <w:highlight w:val="white"/>
        </w:rPr>
        <w:t> </w:t>
      </w:r>
    </w:p>
    <w:tbl>
      <w:tblPr>
        <w:tblW w:w="10030" w:type="dxa"/>
        <w:jc w:val="left"/>
        <w:tblInd w:w="0" w:type="dxa"/>
        <w:tblCellMar>
          <w:top w:w="0" w:type="dxa"/>
          <w:left w:w="0" w:type="dxa"/>
          <w:bottom w:w="0" w:type="dxa"/>
          <w:right w:w="0" w:type="dxa"/>
        </w:tblCellMar>
      </w:tblPr>
      <w:tblGrid>
        <w:gridCol w:w="75"/>
        <w:gridCol w:w="110"/>
        <w:gridCol w:w="60"/>
        <w:gridCol w:w="9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Obtaining and maintaining regulatory approvals, including, but not limited to, potential regulatory delays or rejections,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associated with meeting the objectives of our clinical studies, including, but not limited to our ability to achieve enrollment objectives concerning patient numbers (including an adequate safety database), outcomes objectives and/or timing objectives for our studies, any delays or failures in enrollment, the occurrence of adverse safety events, and the risks of successfully conducting trials that are substantially larger, and have patients with different disease states, than our past trials,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continued reliance on third-party contract manufacturers for the manufacture of our product candidates, including resmetirom,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related to the effects of resmetirom’s mechanism of action and our ability to accomplish our business and business development objectives and realize the anticipated benefit of any such transactions, and </w:t>
            </w:r>
          </w:p>
        </w:tc>
      </w:tr>
    </w:tbl>
    <w:p>
      <w:pPr>
        <w:pStyle w:val="TextBody"/>
        <w:spacing w:before="0" w:after="0"/>
        <w:jc w:val="left"/>
        <w:rPr>
          <w:highlight w:val="white"/>
        </w:rPr>
      </w:pPr>
      <w:r>
        <w:rPr>
          <w:highlight w:val="white"/>
        </w:rPr>
        <w:t> </w:t>
      </w:r>
    </w:p>
    <w:tbl>
      <w:tblPr>
        <w:tblW w:w="4060" w:type="dxa"/>
        <w:jc w:val="left"/>
        <w:tblInd w:w="0" w:type="dxa"/>
        <w:tblCellMar>
          <w:top w:w="0" w:type="dxa"/>
          <w:left w:w="0" w:type="dxa"/>
          <w:bottom w:w="0" w:type="dxa"/>
          <w:right w:w="0" w:type="dxa"/>
        </w:tblCellMar>
      </w:tblPr>
      <w:tblGrid>
        <w:gridCol w:w="75"/>
        <w:gridCol w:w="110"/>
        <w:gridCol w:w="60"/>
        <w:gridCol w:w="38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Assumptions underlying any of the foregoing.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caution you that the foregoing list may not include all of the forward-looking statements made in this Quarterly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Forward-looking statements are subject to a number of risks and uncertainties including, but not limited to: our clinical and commercial development of resmetirom; enrollment and trial outlook uncertainties, generally, based on blinded, locked or limited trial data and in relation to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COVID-19-related</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measures and individual precautionary measures that may be implemented or continued for an uncertain period of time; our potential inability to raise sufficient capital to fund our ongoing operations as currently planned or to obtain financings on terms similar to those we have arranged in the past; our ability to service our indebtedness and otherwise comply with our debt covenants; outcomes or trends from competitive studies; future topline data timing or results; the risks of achieving potential benefits in studies that includes substantially more patients, and patients with different disease states, than our prior studies; limitations associated with early stage or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non-placebo</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controlled study data;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appearing in Part I, Item 1A of our Annual Report on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the year ended December 31, 2022, filed with the SEC on February 23, 2023 (the “2022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well as in our other filings with the SEC. You should read the 2022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this Quarterly Report, and the other documents that we file or have filed with the SEC, with the understanding that our actual future results may be materially different from the results expressed or implied by these forward-looking statements.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17</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jc w:val="center"/>
        <w:rPr>
          <w:rFonts w:ascii="Times New Roman" w:hAnsi="Times New Roman"/>
          <w:sz w:val="20"/>
          <w:highlight w:val="white"/>
        </w:rPr>
      </w:pPr>
      <w:r>
        <w:rPr>
          <w:rFonts w:ascii="Times New Roman" w:hAnsi="Times New Roman"/>
          <w:sz w:val="20"/>
          <w:highlight w:val="white"/>
        </w:rPr>
        <w:t xml:space="preserve">18 </w:t>
      </w:r>
      <w:r>
        <w:br w:type="page"/>
      </w:r>
    </w:p>
    <w:p>
      <w:pPr>
        <w:pStyle w:val="HorizontalLine"/>
        <w:rPr/>
      </w:pPr>
      <w:r>
        <w:rPr/>
      </w:r>
    </w:p>
    <w:tbl>
      <w:tblPr>
        <w:tblW w:w="8320" w:type="dxa"/>
        <w:jc w:val="left"/>
        <w:tblInd w:w="0" w:type="dxa"/>
        <w:tblCellMar>
          <w:top w:w="0" w:type="dxa"/>
          <w:left w:w="0" w:type="dxa"/>
          <w:bottom w:w="0" w:type="dxa"/>
          <w:right w:w="0" w:type="dxa"/>
        </w:tblCellMar>
      </w:tblPr>
      <w:tblGrid>
        <w:gridCol w:w="740"/>
        <w:gridCol w:w="7580"/>
      </w:tblGrid>
      <w:tr>
        <w:trPr/>
        <w:tc>
          <w:tcPr>
            <w:tcW w:w="740" w:type="dxa"/>
            <w:tcBorders/>
            <w:shd w:fill="auto" w:val="clear"/>
            <w:vAlign w:val="center"/>
          </w:tcPr>
          <w:p>
            <w:pPr>
              <w:pStyle w:val="TableContents"/>
              <w:spacing w:before="0" w:after="283"/>
              <w:jc w:val="left"/>
              <w:rPr>
                <w:b/>
              </w:rPr>
            </w:pPr>
            <w:bookmarkStart w:id="4" w:name="tx431523_9"/>
            <w:bookmarkEnd w:id="4"/>
            <w:r>
              <w:rPr>
                <w:b/>
              </w:rPr>
              <w:t>Item 2.</w:t>
            </w:r>
          </w:p>
        </w:tc>
        <w:tc>
          <w:tcPr>
            <w:tcW w:w="75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p>
        </w:tc>
      </w:tr>
    </w:tbl>
    <w:p>
      <w:pPr>
        <w:pStyle w:val="TextBody"/>
        <w:spacing w:before="120" w:after="0"/>
        <w:jc w:val="left"/>
        <w:rPr>
          <w:rFonts w:ascii="Times New Roman" w:hAnsi="Times New Roman"/>
          <w:i/>
          <w:sz w:val="20"/>
        </w:rPr>
      </w:pPr>
      <w:r>
        <w:rPr>
          <w:rFonts w:ascii="Times New Roman" w:hAnsi="Times New Roman"/>
          <w:i/>
          <w:sz w:val="20"/>
        </w:rPr>
        <w:t xml:space="preserve">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2022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under “Cautionary Note Regarding Forward-Looking Statements,” our actual results could differ materially from those discussed in these forward-looking statements. Factors that could cause or contribute to such differences include, but are not limited to, those discussed in the “Cautionary Note Regarding Forward-Looking Statements” and “Risk Factors” sections contained in our Annual Report on Form 10-K for the year ended December 31, 2022. Our operating results are not necessarily indicative of results that may occur for the full fiscal year or any other future period. </w:t>
      </w:r>
    </w:p>
    <w:p>
      <w:pPr>
        <w:pStyle w:val="TextBody"/>
        <w:spacing w:before="360" w:after="0"/>
        <w:jc w:val="left"/>
        <w:rPr>
          <w:rFonts w:ascii="Times New Roman" w:hAnsi="Times New Roman"/>
          <w:b/>
          <w:sz w:val="20"/>
        </w:rPr>
      </w:pPr>
      <w:r>
        <w:rPr>
          <w:rFonts w:ascii="Times New Roman" w:hAnsi="Times New Roman"/>
          <w:b/>
          <w:sz w:val="20"/>
        </w:rPr>
        <w:t xml:space="preserve">About Madrigal Pharmaceuticals, Inc. </w:t>
      </w:r>
    </w:p>
    <w:p>
      <w:pPr>
        <w:pStyle w:val="TextBody"/>
        <w:spacing w:before="120" w:after="0"/>
        <w:jc w:val="left"/>
        <w:rPr>
          <w:rFonts w:ascii="Times New Roman" w:hAnsi="Times New Roman"/>
          <w:sz w:val="20"/>
        </w:rPr>
      </w:pPr>
      <w:r>
        <w:rPr>
          <w:rFonts w:ascii="Times New Roman" w:hAnsi="Times New Roman"/>
          <w:i/>
          <w:sz w:val="20"/>
        </w:rPr>
        <w:t xml:space="preserve">Our Focus. </w:t>
      </w:r>
      <w:r>
        <w:rPr>
          <w:rFonts w:ascii="Times New Roman" w:hAnsi="Times New Roman"/>
          <w:sz w:val="20"/>
        </w:rPr>
        <w:t xml:space="preserve">We are a clinical-stage biopharmaceutical company pursuing novel therapeutics for nonalcoholic steatohepatitis, or NASH. Our lead product candidate, resmetirom, is a proprietary, liver-directed, selective thyroid hormone receptor-ß, or THR-ß, agonist being developed as a once-daily oral pill for the treatment of NASH. </w:t>
      </w:r>
    </w:p>
    <w:p>
      <w:pPr>
        <w:pStyle w:val="TextBody"/>
        <w:spacing w:before="240" w:after="0"/>
        <w:jc w:val="left"/>
        <w:rPr>
          <w:rFonts w:ascii="Times New Roman" w:hAnsi="Times New Roman"/>
          <w:sz w:val="20"/>
        </w:rPr>
      </w:pPr>
      <w:r>
        <w:rPr>
          <w:rFonts w:ascii="Times New Roman" w:hAnsi="Times New Roman"/>
          <w:i/>
          <w:sz w:val="20"/>
        </w:rPr>
        <w:t xml:space="preserve">Our Patient Market Opportunity. </w:t>
      </w:r>
      <w:r>
        <w:rPr>
          <w:rFonts w:ascii="Times New Roman" w:hAnsi="Times New Roman"/>
          <w:sz w:val="20"/>
        </w:rPr>
        <w:t xml:space="preserve">NASH is a serious inflammatory form of nonalcoholic fatty liver disease, or NAFLD. NAFLD has become the most 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NAFLD is estimated to affect approximately 25% of the population, and approximately 25% of those will progress from NAFLD to NASH. Current estimates place NASH prevalence at approximately 22 million people in the United States by 2024, with similar prevalence in Europe and Asia. The prevalence of NASH is also increasing in developing regions due to the adoption of a more sedentary lifestyle and a diet consisting of processed foods with high fat and fructose content. </w:t>
      </w:r>
    </w:p>
    <w:p>
      <w:pPr>
        <w:pStyle w:val="TextBody"/>
        <w:spacing w:before="240" w:after="0"/>
        <w:jc w:val="left"/>
        <w:rPr>
          <w:rFonts w:ascii="Times New Roman" w:hAnsi="Times New Roman"/>
          <w:sz w:val="20"/>
        </w:rPr>
      </w:pPr>
      <w:r>
        <w:rPr>
          <w:rFonts w:ascii="Times New Roman" w:hAnsi="Times New Roman"/>
          <w:i/>
          <w:sz w:val="20"/>
        </w:rPr>
        <w:t>Our Completed Studies.</w:t>
      </w:r>
      <w:r>
        <w:rPr>
          <w:rFonts w:ascii="Times New Roman" w:hAnsi="Times New Roman"/>
          <w:sz w:val="20"/>
        </w:rPr>
        <w:t xml:space="preserve"> For NASH, we enrolled 125 patients in a Phase 2 clinical trial with resmetirom. We achieved the 12-week primary endpoint for 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 </w:t>
      </w:r>
    </w:p>
    <w:p>
      <w:pPr>
        <w:pStyle w:val="TextBody"/>
        <w:spacing w:before="240" w:after="0"/>
        <w:jc w:val="left"/>
        <w:rPr>
          <w:rFonts w:ascii="Times New Roman" w:hAnsi="Times New Roman"/>
          <w:sz w:val="20"/>
        </w:rPr>
      </w:pPr>
      <w:r>
        <w:rPr>
          <w:rFonts w:ascii="Times New Roman" w:hAnsi="Times New Roman"/>
          <w:sz w:val="20"/>
        </w:rPr>
        <w:t xml:space="preserve">On December 18, 2019 the Company announced it had opened for enrollment MAESTRO-NAFLD-1, a 52-week, non-invasive, multi-center, double-blind, placebo-controlled Phase 3 clinical study of patients with biopsy-confirmed or presumed NASH recruited from sites in the U.S. Key endpoints are safety, including safety biomarkers. Secondary endpoints include LDL cholesterol, lipid biomarkers, MRI-PDFF, NASH and fibrosis biomarkers. Except for serial liver biopsies, the study protocol is similar to the MAESTRO-NASH study (discussed below under “—Our Ongoing and Planned Studies”), with resmetirom doses of 80 mg or 100 mg or placebo. Enrollment objectives for this study were exceeded, with approximately 1,300 patients enrolled overall. The MAESTRO-NAFLD-1 study will help support the adequacy of the safety database at the time of NDA submission for Subpart H approval for treatment of patients with NASH with fibrosis. In November of 2021, we reported data from the open label non-cirrhotic arm of MAESTRO-NAFLD-1, and in January 2022 we announced that we achieved primary and secondary endpoints for the double-blind portion of MAESTRO-NAFLD-1. </w:t>
      </w:r>
    </w:p>
    <w:p>
      <w:pPr>
        <w:pStyle w:val="TextBody"/>
        <w:spacing w:before="240" w:after="0"/>
        <w:jc w:val="left"/>
        <w:rPr>
          <w:rFonts w:ascii="Times New Roman" w:hAnsi="Times New Roman"/>
          <w:sz w:val="20"/>
        </w:rPr>
      </w:pPr>
      <w:r>
        <w:rPr>
          <w:rFonts w:ascii="Times New Roman" w:hAnsi="Times New Roman"/>
          <w:i/>
          <w:sz w:val="20"/>
        </w:rPr>
        <w:t>Our Ongoing and Planned Studies.</w:t>
      </w:r>
      <w:r>
        <w:rPr>
          <w:rFonts w:ascii="Times New Roman" w:hAnsi="Times New Roman"/>
          <w:sz w:val="20"/>
        </w:rPr>
        <w:t xml:space="preserve"> On March 28, 2019, the Company announced that it had initiated MAESTRO-NASH, a Phase 3 trial in NASH with its once daily, oral thyroid hormone receptor beta selective agonist, resmetirom. This double-blind, placebo-controlled study is being conducted at more than 220 sites in the United States and the rest of the world. MAESTRO-NASH is a multicenter, randomized, double-blind, placebo-controlled Phase 3 study of resmetirom in patients with liver biopsy-confirmed NASH and was initiated in March 2019. The subpart H portion of the study enrolled more than 1,000 patients with biopsy-proven NASH (at least half with F3 (advanced) fibrosis, the remainder F2 or F1B (moderate fibrosis) with a few earlier F1 patients), randomized 1:1:1 to receive once-daily resmetirom 80 mg, resmetirom 100 mg, or placebo. After 52 weeks of treatment, a second liver biopsy is performed. The dual primary surrogate endpoints on biopsy are NASH resolution with ≥2-point reduction in NAS (NAFLD Activity Score), and with no worsening of fibrosis OR a 1-point decrease in fibrosis with no worsening of NAS. Achievement of either primary endpoint is considered a successful trial outcome. A key secondary endpoint is lowering of LDL-C. All patients enrolled in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MAESTRO-NASH study (approximately 1,750) continue on therapy after the initial 52-week treatment period for up to 54 months to accrue and measure hepatic clinical outcome events including progression to cirrhosis on biopsy (52 weeks and 54 months) and hepatic decompensation events, as well as all-cause mortality. In December 2022, we reported topline results from the subpart H portion of the study: resmetirom achieved both primary endpoints with both daily oral doses, 80 mg and 100 mg, relative to placebo, as summarized in “- Key Developments” in our Annual Report on Form 10-K for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On July 13, 2021 we announced first patient dosed in a planned 52-week open label active treatment extension study of MAESTRO-NAFLD-1, named MAESTRO-NAFLD-Open Label Extension (OLE). The OLE study allows patients who complete MAESTRO-NAFLD-1 to consent to 52 weeks of active treatment with resmetirom, making this treatment available to both patients who were assigned to placebo in MAESTRO-NAFLD-1 and patients who were on resmetirom in MAESTRO-NAFLD-1. </w:t>
      </w:r>
    </w:p>
    <w:p>
      <w:pPr>
        <w:pStyle w:val="TextBody"/>
        <w:spacing w:before="240" w:after="0"/>
        <w:jc w:val="left"/>
        <w:rPr>
          <w:rFonts w:ascii="Times New Roman" w:hAnsi="Times New Roman"/>
          <w:sz w:val="20"/>
        </w:rPr>
      </w:pPr>
      <w:r>
        <w:rPr>
          <w:rFonts w:ascii="Times New Roman" w:hAnsi="Times New Roman"/>
          <w:sz w:val="20"/>
        </w:rPr>
        <w:t xml:space="preserve">In August 2022, Madrigal initiated MAESTRO-NASH-OUTCOMES, a randomized double-blind placebo-controlled study in approximately 700 patients with early NASH cirrhosis to allow for noninvasive monitoring of progression to liver decompensation events. A positive outcome is expected to support the full approval of resmetirom for noncirrhotic NASH, potentially accelerating the timeline to full approval. In addition, this study has the potential to support an additional indication for resmetirom in patients with well-compensated NASH cirrhosis. </w:t>
      </w:r>
    </w:p>
    <w:p>
      <w:pPr>
        <w:pStyle w:val="TextBody"/>
        <w:spacing w:before="360" w:after="0"/>
        <w:jc w:val="left"/>
        <w:rPr>
          <w:rFonts w:ascii="Times New Roman" w:hAnsi="Times New Roman"/>
          <w:b/>
          <w:sz w:val="20"/>
        </w:rPr>
      </w:pPr>
      <w:r>
        <w:rPr>
          <w:rFonts w:ascii="Times New Roman" w:hAnsi="Times New Roman"/>
          <w:b/>
          <w:sz w:val="20"/>
        </w:rPr>
        <w:t xml:space="preserve">Key Developments </w:t>
      </w:r>
    </w:p>
    <w:p>
      <w:pPr>
        <w:pStyle w:val="TextBody"/>
        <w:spacing w:before="120" w:after="0"/>
        <w:jc w:val="left"/>
        <w:rPr>
          <w:rFonts w:ascii="Times New Roman" w:hAnsi="Times New Roman"/>
          <w:sz w:val="20"/>
        </w:rPr>
      </w:pPr>
      <w:r>
        <w:rPr>
          <w:rFonts w:ascii="Times New Roman" w:hAnsi="Times New Roman"/>
          <w:sz w:val="20"/>
        </w:rPr>
        <w:t xml:space="preserve">In April 2023, Madrigal announced that resmetirom has received Breakthrough Therapy designation from the FDA for the treatment of patients with NASH with liver fibrosis. Breakthrough Therapy designation is a process intended to expedite the development and review of drugs for serious or life-threatening conditions. The criteria for breakthrough therapy designation require preliminary clinical evidence that demonstrates the drug may have substantial improvement on at least one clinically significant endpoint over available therapy, or over placebo if there is no available therapy. A drug that receives Breakthrough Therapy designation is eligible for more intensive guidance on an efficient drug development program and organizational commitment involving senior managers from FDA. </w:t>
      </w:r>
    </w:p>
    <w:p>
      <w:pPr>
        <w:pStyle w:val="TextBody"/>
        <w:spacing w:before="240" w:after="0"/>
        <w:jc w:val="left"/>
        <w:rPr>
          <w:rFonts w:ascii="Times New Roman" w:hAnsi="Times New Roman"/>
          <w:sz w:val="20"/>
        </w:rPr>
      </w:pPr>
      <w:r>
        <w:rPr>
          <w:rFonts w:ascii="Times New Roman" w:hAnsi="Times New Roman"/>
          <w:sz w:val="20"/>
        </w:rPr>
        <w:t xml:space="preserve">Also in April 2023, Madrigal announced that the outcomes portion of the Phase 3 MAESTRO-NASH biopsy trial has completed enrollment. Enrollment of the MAESTRO-NASH study was closed at approximately 1,750 patients based on the enrollment target of the 54-month long-term clinical outcome portion of the study. </w:t>
      </w:r>
    </w:p>
    <w:p>
      <w:pPr>
        <w:pStyle w:val="TextBody"/>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spacing w:before="12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spacing w:before="120" w:after="0"/>
        <w:jc w:val="left"/>
        <w:rPr>
          <w:rFonts w:ascii="Times New Roman" w:hAnsi="Times New Roman"/>
          <w:sz w:val="20"/>
        </w:rPr>
      </w:pPr>
      <w:r>
        <w:rPr>
          <w:rFonts w:ascii="Times New Roman" w:hAnsi="Times New Roman"/>
          <w:sz w:val="20"/>
        </w:rPr>
        <w:t xml:space="preserve">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 </w:t>
      </w:r>
    </w:p>
    <w:p>
      <w:pPr>
        <w:pStyle w:val="TextBody"/>
        <w:spacing w:before="240" w:after="0"/>
        <w:jc w:val="left"/>
        <w:rPr>
          <w:rFonts w:ascii="Times New Roman" w:hAnsi="Times New Roman"/>
          <w:sz w:val="20"/>
        </w:rPr>
      </w:pPr>
      <w:r>
        <w:rPr>
          <w:rFonts w:ascii="Times New Roman" w:hAnsi="Times New Roman"/>
          <w:sz w:val="20"/>
        </w:rPr>
        <w:t xml:space="preserve">Our research and development expenses consist primarily of: </w:t>
      </w:r>
    </w:p>
    <w:p>
      <w:pPr>
        <w:pStyle w:val="TextBody"/>
        <w:spacing w:before="0" w:after="0"/>
        <w:jc w:val="left"/>
        <w:rPr/>
      </w:pPr>
      <w:r>
        <w:rPr/>
        <w:t> </w:t>
      </w:r>
    </w:p>
    <w:tbl>
      <w:tblPr>
        <w:tblW w:w="5710" w:type="dxa"/>
        <w:jc w:val="left"/>
        <w:tblInd w:w="0" w:type="dxa"/>
        <w:tblCellMar>
          <w:top w:w="0" w:type="dxa"/>
          <w:left w:w="0" w:type="dxa"/>
          <w:bottom w:w="0" w:type="dxa"/>
          <w:right w:w="0" w:type="dxa"/>
        </w:tblCellMar>
      </w:tblPr>
      <w:tblGrid>
        <w:gridCol w:w="75"/>
        <w:gridCol w:w="110"/>
        <w:gridCol w:w="60"/>
        <w:gridCol w:w="54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salaries and related expense, including stock-based compensation;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external expenses paid to clinical trial sites, contract research organizations, laboratories, database software and consultants that conduct clinical trials;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expenses related to development and the production of nonclinical and clinical trial supplies, including fees paid to contract manufacturers; </w:t>
            </w:r>
          </w:p>
        </w:tc>
      </w:tr>
    </w:tbl>
    <w:p>
      <w:pPr>
        <w:pStyle w:val="TextBody"/>
        <w:spacing w:before="0" w:after="0"/>
        <w:jc w:val="left"/>
        <w:rPr/>
      </w:pPr>
      <w:r>
        <w:rPr/>
        <w:t> </w:t>
      </w:r>
    </w:p>
    <w:tbl>
      <w:tblPr>
        <w:tblW w:w="3460" w:type="dxa"/>
        <w:jc w:val="left"/>
        <w:tblInd w:w="0" w:type="dxa"/>
        <w:tblCellMar>
          <w:top w:w="0" w:type="dxa"/>
          <w:left w:w="0" w:type="dxa"/>
          <w:bottom w:w="0" w:type="dxa"/>
          <w:right w:w="0" w:type="dxa"/>
        </w:tblCellMar>
      </w:tblPr>
      <w:tblGrid>
        <w:gridCol w:w="75"/>
        <w:gridCol w:w="110"/>
        <w:gridCol w:w="60"/>
        <w:gridCol w:w="32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expenses related to preclinical studies; </w:t>
            </w:r>
          </w:p>
        </w:tc>
      </w:tr>
    </w:tbl>
    <w:p>
      <w:pPr>
        <w:pStyle w:val="TextBody"/>
        <w:spacing w:before="0" w:after="0"/>
        <w:jc w:val="left"/>
        <w:rPr/>
      </w:pPr>
      <w:r>
        <w:rPr/>
        <w:t> </w:t>
      </w:r>
    </w:p>
    <w:tbl>
      <w:tblPr>
        <w:tblW w:w="7180" w:type="dxa"/>
        <w:jc w:val="left"/>
        <w:tblInd w:w="0" w:type="dxa"/>
        <w:tblCellMar>
          <w:top w:w="0" w:type="dxa"/>
          <w:left w:w="0" w:type="dxa"/>
          <w:bottom w:w="0" w:type="dxa"/>
          <w:right w:w="0" w:type="dxa"/>
        </w:tblCellMar>
      </w:tblPr>
      <w:tblGrid>
        <w:gridCol w:w="75"/>
        <w:gridCol w:w="110"/>
        <w:gridCol w:w="60"/>
        <w:gridCol w:w="6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expenses related to compliance with drug development regulatory requirements; and </w:t>
            </w:r>
          </w:p>
        </w:tc>
      </w:tr>
    </w:tbl>
    <w:p>
      <w:pPr>
        <w:pStyle w:val="TextBody"/>
        <w:spacing w:before="0" w:after="0"/>
        <w:jc w:val="left"/>
        <w:rPr/>
      </w:pPr>
      <w:r>
        <w:rPr/>
        <w:t> </w:t>
      </w:r>
    </w:p>
    <w:tbl>
      <w:tblPr>
        <w:tblW w:w="10030" w:type="dxa"/>
        <w:jc w:val="left"/>
        <w:tblInd w:w="0" w:type="dxa"/>
        <w:tblCellMar>
          <w:top w:w="0" w:type="dxa"/>
          <w:left w:w="0" w:type="dxa"/>
          <w:bottom w:w="0" w:type="dxa"/>
          <w:right w:w="0" w:type="dxa"/>
        </w:tblCellMar>
      </w:tblPr>
      <w:tblGrid>
        <w:gridCol w:w="75"/>
        <w:gridCol w:w="110"/>
        <w:gridCol w:w="60"/>
        <w:gridCol w:w="9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other allocated expenses, which include direct and allocated expenses for depreciation of equipment and other supplies.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Our research and development expenses have increased period over period in each of 2023 and 2022 and we expect that our research and development expenses may increase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 </w:t>
      </w:r>
    </w:p>
    <w:p>
      <w:pPr>
        <w:pStyle w:val="TextBody"/>
        <w:spacing w:before="240" w:after="0"/>
        <w:jc w:val="left"/>
        <w:rPr>
          <w:rFonts w:ascii="Times New Roman" w:hAnsi="Times New Roman"/>
          <w:sz w:val="20"/>
        </w:rPr>
      </w:pPr>
      <w:r>
        <w:rPr>
          <w:rFonts w:ascii="Times New Roman" w:hAnsi="Times New Roman"/>
          <w:sz w:val="20"/>
        </w:rPr>
        <w:t xml:space="preserve">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as well as ongoing assessments as to each current or future product candidate’s commercial potential. </w:t>
      </w:r>
    </w:p>
    <w:p>
      <w:pPr>
        <w:pStyle w:val="TextBody"/>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 </w:t>
      </w:r>
    </w:p>
    <w:p>
      <w:pPr>
        <w:pStyle w:val="TextBody"/>
        <w:spacing w:before="240" w:after="0"/>
        <w:jc w:val="left"/>
        <w:rPr>
          <w:rFonts w:ascii="Times New Roman" w:hAnsi="Times New Roman"/>
          <w:sz w:val="20"/>
        </w:rPr>
      </w:pPr>
      <w:r>
        <w:rPr>
          <w:rFonts w:ascii="Times New Roman" w:hAnsi="Times New Roman"/>
          <w:sz w:val="20"/>
        </w:rPr>
        <w:t xml:space="preserve">We expect that our general and administrative expenses will increase in the future as we expand our operating activities, prepare for commercialization,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 </w:t>
      </w:r>
    </w:p>
    <w:p>
      <w:pPr>
        <w:pStyle w:val="TextBody"/>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spacing w:before="120" w:after="0"/>
        <w:jc w:val="left"/>
        <w:rPr>
          <w:rFonts w:ascii="Times New Roman" w:hAnsi="Times New Roman"/>
          <w:sz w:val="20"/>
        </w:rPr>
      </w:pPr>
      <w:r>
        <w:rPr>
          <w:rFonts w:ascii="Times New Roman" w:hAnsi="Times New Roman"/>
          <w:sz w:val="20"/>
        </w:rPr>
        <w:t xml:space="preserve">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three months ended March 31, 2023, as compared to those disclosed in our Annual Report on Form 10-K for the fiscal year ended December 31, 2022 filed with the SEC on February 23, 2023. </w:t>
      </w:r>
    </w:p>
    <w:p>
      <w:pPr>
        <w:pStyle w:val="TextBody"/>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spacing w:before="120" w:after="0"/>
        <w:jc w:val="left"/>
        <w:rPr>
          <w:rFonts w:ascii="Times New Roman" w:hAnsi="Times New Roman"/>
          <w:b/>
          <w:i/>
          <w:sz w:val="20"/>
        </w:rPr>
      </w:pPr>
      <w:r>
        <w:rPr>
          <w:rFonts w:ascii="Times New Roman" w:hAnsi="Times New Roman"/>
          <w:b/>
          <w:i/>
          <w:sz w:val="20"/>
        </w:rPr>
        <w:t xml:space="preserve">Three months Ended March 31, 2023 and 2022 </w:t>
      </w:r>
    </w:p>
    <w:p>
      <w:pPr>
        <w:pStyle w:val="TextBody"/>
        <w:spacing w:before="120" w:after="0"/>
        <w:jc w:val="left"/>
        <w:rPr>
          <w:rFonts w:ascii="Times New Roman" w:hAnsi="Times New Roman"/>
          <w:sz w:val="20"/>
        </w:rPr>
      </w:pPr>
      <w:r>
        <w:rPr>
          <w:rFonts w:ascii="Times New Roman" w:hAnsi="Times New Roman"/>
          <w:sz w:val="20"/>
        </w:rPr>
        <w:t xml:space="preserve">The following table provides comparative unaudited results of operations for the three months ended March 31, 2023 and 2022 (in thousands): </w:t>
      </w:r>
    </w:p>
    <w:p>
      <w:pPr>
        <w:pStyle w:val="TextBody"/>
        <w:spacing w:before="0" w:after="0"/>
        <w:jc w:val="left"/>
        <w:rPr/>
      </w:pPr>
      <w:r>
        <w:rPr/>
        <w:t> </w:t>
      </w:r>
    </w:p>
    <w:tbl>
      <w:tblPr>
        <w:tblW w:w="9224" w:type="dxa"/>
        <w:jc w:val="left"/>
        <w:tblInd w:w="0" w:type="dxa"/>
        <w:tblCellMar>
          <w:top w:w="0" w:type="dxa"/>
          <w:left w:w="0" w:type="dxa"/>
          <w:bottom w:w="0" w:type="dxa"/>
          <w:right w:w="0" w:type="dxa"/>
        </w:tblCellMar>
      </w:tblPr>
      <w:tblGrid>
        <w:gridCol w:w="3080"/>
        <w:gridCol w:w="120"/>
        <w:gridCol w:w="242"/>
        <w:gridCol w:w="1178"/>
        <w:gridCol w:w="267"/>
        <w:gridCol w:w="207"/>
        <w:gridCol w:w="242"/>
        <w:gridCol w:w="1181"/>
        <w:gridCol w:w="155"/>
        <w:gridCol w:w="120"/>
        <w:gridCol w:w="85"/>
        <w:gridCol w:w="973"/>
        <w:gridCol w:w="85"/>
        <w:gridCol w:w="171"/>
        <w:gridCol w:w="85"/>
        <w:gridCol w:w="720"/>
        <w:gridCol w:w="275"/>
        <w:gridCol w:w="38"/>
      </w:tblGrid>
      <w:tr>
        <w:trPr/>
        <w:tc>
          <w:tcPr>
            <w:tcW w:w="30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17"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Three Months Ended March 31,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9"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Increase / (Decrease)</w:t>
            </w:r>
          </w:p>
        </w:tc>
        <w:tc>
          <w:tcPr>
            <w:tcW w:w="275" w:type="dxa"/>
            <w:tcBorders/>
            <w:shd w:fill="auto" w:val="clear"/>
            <w:vAlign w:val="center"/>
          </w:tcPr>
          <w:p>
            <w:pPr>
              <w:pStyle w:val="TableContents"/>
              <w:spacing w:before="0" w:after="283"/>
              <w:rPr/>
            </w:pPr>
            <w:r>
              <w:rPr/>
              <w:t> </w:t>
            </w:r>
          </w:p>
        </w:tc>
        <w:tc>
          <w:tcPr>
            <w:tcW w:w="38" w:type="dxa"/>
            <w:tcBorders/>
            <w:shd w:fill="auto" w:val="clear"/>
          </w:tcPr>
          <w:p>
            <w:pPr>
              <w:pStyle w:val="TableContents"/>
              <w:spacing w:before="0" w:after="283"/>
              <w:rPr>
                <w:sz w:val="4"/>
                <w:szCs w:val="4"/>
              </w:rPr>
            </w:pPr>
            <w:r>
              <w:rPr>
                <w:sz w:val="4"/>
                <w:szCs w:val="4"/>
              </w:rPr>
            </w:r>
          </w:p>
        </w:tc>
      </w:tr>
      <w:tr>
        <w:trPr/>
        <w:tc>
          <w:tcPr>
            <w:tcW w:w="3080" w:type="dxa"/>
            <w:vMerge w:val="restart"/>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420"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2023</w:t>
            </w:r>
          </w:p>
        </w:tc>
        <w:tc>
          <w:tcPr>
            <w:tcW w:w="267" w:type="dxa"/>
            <w:vMerge w:val="restart"/>
            <w:tcBorders/>
            <w:shd w:fill="auto" w:val="clear"/>
            <w:vAlign w:val="center"/>
          </w:tcPr>
          <w:p>
            <w:pPr>
              <w:pStyle w:val="TableContents"/>
              <w:spacing w:before="0" w:after="283"/>
              <w:rPr/>
            </w:pPr>
            <w:r>
              <w:rPr/>
              <w:t> </w:t>
            </w:r>
          </w:p>
        </w:tc>
        <w:tc>
          <w:tcPr>
            <w:tcW w:w="207" w:type="dxa"/>
            <w:vMerge w:val="restart"/>
            <w:tcBorders/>
            <w:shd w:fill="auto" w:val="clear"/>
            <w:vAlign w:val="center"/>
          </w:tcPr>
          <w:p>
            <w:pPr>
              <w:pStyle w:val="TableContents"/>
              <w:spacing w:before="0" w:after="283"/>
              <w:rPr/>
            </w:pPr>
            <w:r>
              <w:rPr/>
              <w:t>  </w:t>
            </w:r>
          </w:p>
        </w:tc>
        <w:tc>
          <w:tcPr>
            <w:tcW w:w="1423"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5" w:type="dxa"/>
            <w:vMerge w:val="restart"/>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058"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w:t>
            </w:r>
          </w:p>
        </w:tc>
        <w:tc>
          <w:tcPr>
            <w:tcW w:w="85" w:type="dxa"/>
            <w:vMerge w:val="restart"/>
            <w:tcBorders/>
            <w:shd w:fill="auto" w:val="clear"/>
            <w:vAlign w:val="center"/>
          </w:tcPr>
          <w:p>
            <w:pPr>
              <w:pStyle w:val="TableContents"/>
              <w:spacing w:before="0" w:after="283"/>
              <w:rPr/>
            </w:pPr>
            <w:r>
              <w:rPr/>
              <w:t> </w:t>
            </w:r>
          </w:p>
        </w:tc>
        <w:tc>
          <w:tcPr>
            <w:tcW w:w="171" w:type="dxa"/>
            <w:vMerge w:val="restart"/>
            <w:tcBorders/>
            <w:shd w:fill="auto" w:val="clear"/>
            <w:vAlign w:val="center"/>
          </w:tcPr>
          <w:p>
            <w:pPr>
              <w:pStyle w:val="TableContents"/>
              <w:spacing w:before="0" w:after="283"/>
              <w:rPr/>
            </w:pPr>
            <w:r>
              <w:rPr/>
              <w:t>  </w:t>
            </w:r>
          </w:p>
        </w:tc>
        <w:tc>
          <w:tcPr>
            <w:tcW w:w="805"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w:t>
            </w:r>
          </w:p>
        </w:tc>
        <w:tc>
          <w:tcPr>
            <w:tcW w:w="275" w:type="dxa"/>
            <w:vMerge w:val="restart"/>
            <w:tcBorders/>
            <w:shd w:fill="auto" w:val="clear"/>
            <w:vAlign w:val="center"/>
          </w:tcPr>
          <w:p>
            <w:pPr>
              <w:pStyle w:val="TableContents"/>
              <w:spacing w:before="0" w:after="283"/>
              <w:rPr/>
            </w:pPr>
            <w:r>
              <w:rPr/>
              <w:t> </w:t>
            </w:r>
          </w:p>
        </w:tc>
        <w:tc>
          <w:tcPr>
            <w:tcW w:w="38" w:type="dxa"/>
            <w:tcBorders/>
            <w:shd w:fill="auto" w:val="clear"/>
          </w:tcPr>
          <w:p>
            <w:pPr>
              <w:pStyle w:val="TableContents"/>
              <w:spacing w:before="0" w:after="283"/>
              <w:rPr>
                <w:sz w:val="4"/>
                <w:szCs w:val="4"/>
              </w:rPr>
            </w:pPr>
            <w:r>
              <w:rPr>
                <w:sz w:val="4"/>
                <w:szCs w:val="4"/>
              </w:rPr>
            </w:r>
          </w:p>
        </w:tc>
      </w:tr>
      <w:tr>
        <w:trPr/>
        <w:tc>
          <w:tcPr>
            <w:tcW w:w="3080"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420" w:type="dxa"/>
            <w:gridSpan w:val="2"/>
            <w:vMerge w:val="continue"/>
            <w:tcBorders>
              <w:bottom w:val="single" w:sz="8" w:space="0" w:color="000000"/>
            </w:tcBorders>
            <w:shd w:fill="auto" w:val="clear"/>
            <w:tcMar>
              <w:bottom w:w="28" w:type="dxa"/>
            </w:tcMar>
            <w:vAlign w:val="center"/>
          </w:tcPr>
          <w:p>
            <w:pPr>
              <w:pStyle w:val="Normal"/>
              <w:rPr/>
            </w:pPr>
            <w:r>
              <w:rPr/>
            </w:r>
          </w:p>
        </w:tc>
        <w:tc>
          <w:tcPr>
            <w:tcW w:w="267" w:type="dxa"/>
            <w:vMerge w:val="continue"/>
            <w:tcBorders/>
            <w:shd w:fill="auto" w:val="clear"/>
            <w:vAlign w:val="center"/>
          </w:tcPr>
          <w:p>
            <w:pPr>
              <w:pStyle w:val="Normal"/>
              <w:rPr/>
            </w:pPr>
            <w:r>
              <w:rPr/>
            </w:r>
          </w:p>
        </w:tc>
        <w:tc>
          <w:tcPr>
            <w:tcW w:w="207" w:type="dxa"/>
            <w:vMerge w:val="continue"/>
            <w:tcBorders/>
            <w:shd w:fill="auto" w:val="clear"/>
            <w:vAlign w:val="center"/>
          </w:tcPr>
          <w:p>
            <w:pPr>
              <w:pStyle w:val="Normal"/>
              <w:rPr/>
            </w:pPr>
            <w:r>
              <w:rPr/>
            </w:r>
          </w:p>
        </w:tc>
        <w:tc>
          <w:tcPr>
            <w:tcW w:w="1423"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058" w:type="dxa"/>
            <w:gridSpan w:val="2"/>
            <w:vMerge w:val="continue"/>
            <w:tcBorders>
              <w:bottom w:val="single" w:sz="8" w:space="0" w:color="000000"/>
            </w:tcBorders>
            <w:shd w:fill="auto" w:val="clear"/>
            <w:tcMar>
              <w:bottom w:w="28" w:type="dxa"/>
            </w:tcMar>
            <w:vAlign w:val="center"/>
          </w:tcPr>
          <w:p>
            <w:pPr>
              <w:pStyle w:val="Normal"/>
              <w:rPr/>
            </w:pPr>
            <w:r>
              <w:rPr/>
            </w:r>
          </w:p>
        </w:tc>
        <w:tc>
          <w:tcPr>
            <w:tcW w:w="85" w:type="dxa"/>
            <w:vMerge w:val="continue"/>
            <w:tcBorders/>
            <w:shd w:fill="auto" w:val="clear"/>
            <w:vAlign w:val="center"/>
          </w:tcPr>
          <w:p>
            <w:pPr>
              <w:pStyle w:val="Normal"/>
              <w:rPr/>
            </w:pPr>
            <w:r>
              <w:rPr/>
            </w:r>
          </w:p>
        </w:tc>
        <w:tc>
          <w:tcPr>
            <w:tcW w:w="171" w:type="dxa"/>
            <w:vMerge w:val="continue"/>
            <w:tcBorders/>
            <w:shd w:fill="auto" w:val="clear"/>
            <w:vAlign w:val="center"/>
          </w:tcPr>
          <w:p>
            <w:pPr>
              <w:pStyle w:val="Normal"/>
              <w:rPr/>
            </w:pPr>
            <w:r>
              <w:rPr/>
            </w:r>
          </w:p>
        </w:tc>
        <w:tc>
          <w:tcPr>
            <w:tcW w:w="805" w:type="dxa"/>
            <w:gridSpan w:val="2"/>
            <w:vMerge w:val="continue"/>
            <w:tcBorders>
              <w:bottom w:val="single" w:sz="8" w:space="0" w:color="000000"/>
            </w:tcBorders>
            <w:shd w:fill="auto" w:val="clear"/>
            <w:tcMar>
              <w:bottom w:w="28" w:type="dxa"/>
            </w:tcMar>
            <w:vAlign w:val="center"/>
          </w:tcPr>
          <w:p>
            <w:pPr>
              <w:pStyle w:val="Normal"/>
              <w:rPr/>
            </w:pPr>
            <w:r>
              <w:rPr/>
            </w:r>
          </w:p>
        </w:tc>
        <w:tc>
          <w:tcPr>
            <w:tcW w:w="275" w:type="dxa"/>
            <w:vMerge w:val="continue"/>
            <w:tcBorders/>
            <w:shd w:fill="auto" w:val="clear"/>
            <w:vAlign w:val="center"/>
          </w:tcPr>
          <w:p>
            <w:pPr>
              <w:pStyle w:val="Normal"/>
              <w:rPr/>
            </w:pPr>
            <w:r>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0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rPr/>
            </w:pPr>
            <w:r>
              <w:rPr/>
              <w:t>$</w:t>
            </w:r>
          </w:p>
        </w:tc>
        <w:tc>
          <w:tcPr>
            <w:tcW w:w="1178" w:type="dxa"/>
            <w:tcBorders/>
            <w:shd w:fill="CCEEFF" w:val="clear"/>
            <w:vAlign w:val="center"/>
          </w:tcPr>
          <w:p>
            <w:pPr>
              <w:pStyle w:val="TableContents"/>
              <w:spacing w:before="0" w:after="283"/>
              <w:jc w:val="right"/>
              <w:rPr/>
            </w:pPr>
            <w:r>
              <w:rPr/>
              <w:t>62,154</w:t>
            </w:r>
          </w:p>
        </w:tc>
        <w:tc>
          <w:tcPr>
            <w:tcW w:w="267"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rPr/>
            </w:pPr>
            <w:r>
              <w:rPr/>
              <w:t>$</w:t>
            </w:r>
          </w:p>
        </w:tc>
        <w:tc>
          <w:tcPr>
            <w:tcW w:w="1181" w:type="dxa"/>
            <w:tcBorders/>
            <w:shd w:fill="CCEEFF" w:val="clear"/>
            <w:vAlign w:val="center"/>
          </w:tcPr>
          <w:p>
            <w:pPr>
              <w:pStyle w:val="TableContents"/>
              <w:spacing w:before="0" w:after="283"/>
              <w:jc w:val="right"/>
              <w:rPr/>
            </w:pPr>
            <w:r>
              <w:rPr/>
              <w:t>47,929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73" w:type="dxa"/>
            <w:tcBorders/>
            <w:shd w:fill="CCEEFF" w:val="clear"/>
            <w:vAlign w:val="center"/>
          </w:tcPr>
          <w:p>
            <w:pPr>
              <w:pStyle w:val="TableContents"/>
              <w:spacing w:before="0" w:after="283"/>
              <w:jc w:val="right"/>
              <w:rPr/>
            </w:pPr>
            <w:r>
              <w:rPr/>
              <w:t>14,225</w:t>
            </w:r>
          </w:p>
        </w:tc>
        <w:tc>
          <w:tcPr>
            <w:tcW w:w="85"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20" w:type="dxa"/>
            <w:tcBorders/>
            <w:shd w:fill="CCEEFF" w:val="clear"/>
            <w:vAlign w:val="center"/>
          </w:tcPr>
          <w:p>
            <w:pPr>
              <w:pStyle w:val="TableContents"/>
              <w:spacing w:before="0" w:after="283"/>
              <w:jc w:val="right"/>
              <w:rPr/>
            </w:pPr>
            <w:r>
              <w:rPr/>
              <w:t>30</w:t>
            </w:r>
          </w:p>
        </w:tc>
        <w:tc>
          <w:tcPr>
            <w:tcW w:w="275" w:type="dxa"/>
            <w:tcBorders/>
            <w:shd w:fill="CCEEFF" w:val="clear"/>
            <w:vAlign w:val="center"/>
          </w:tcPr>
          <w:p>
            <w:pPr>
              <w:pStyle w:val="TableContents"/>
              <w:spacing w:before="0" w:after="283"/>
              <w:rPr/>
            </w:pPr>
            <w:r>
              <w:rPr/>
              <w:t>% </w:t>
            </w:r>
          </w:p>
        </w:tc>
        <w:tc>
          <w:tcPr>
            <w:tcW w:w="38" w:type="dxa"/>
            <w:tcBorders/>
            <w:shd w:fill="CCEEFF" w:val="clea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General and Administrative Expenses</w:t>
            </w:r>
          </w:p>
        </w:tc>
        <w:tc>
          <w:tcPr>
            <w:tcW w:w="120"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1178" w:type="dxa"/>
            <w:tcBorders/>
            <w:shd w:fill="auto" w:val="clear"/>
            <w:vAlign w:val="center"/>
          </w:tcPr>
          <w:p>
            <w:pPr>
              <w:pStyle w:val="TableContents"/>
              <w:spacing w:before="0" w:after="283"/>
              <w:jc w:val="right"/>
              <w:rPr/>
            </w:pPr>
            <w:r>
              <w:rPr/>
              <w:t>16,182</w:t>
            </w:r>
          </w:p>
        </w:tc>
        <w:tc>
          <w:tcPr>
            <w:tcW w:w="267"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1181" w:type="dxa"/>
            <w:tcBorders/>
            <w:shd w:fill="auto" w:val="clear"/>
            <w:vAlign w:val="center"/>
          </w:tcPr>
          <w:p>
            <w:pPr>
              <w:pStyle w:val="TableContents"/>
              <w:spacing w:before="0" w:after="283"/>
              <w:jc w:val="right"/>
              <w:rPr/>
            </w:pPr>
            <w:r>
              <w:rPr/>
              <w:t>9,658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73" w:type="dxa"/>
            <w:tcBorders/>
            <w:shd w:fill="auto" w:val="clear"/>
            <w:vAlign w:val="center"/>
          </w:tcPr>
          <w:p>
            <w:pPr>
              <w:pStyle w:val="TableContents"/>
              <w:spacing w:before="0" w:after="283"/>
              <w:jc w:val="right"/>
              <w:rPr/>
            </w:pPr>
            <w:r>
              <w:rPr/>
              <w:t>6,524</w:t>
            </w:r>
          </w:p>
        </w:tc>
        <w:tc>
          <w:tcPr>
            <w:tcW w:w="85"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283"/>
              <w:jc w:val="right"/>
              <w:rPr/>
            </w:pPr>
            <w:r>
              <w:rPr/>
              <w:t>68</w:t>
            </w:r>
          </w:p>
        </w:tc>
        <w:tc>
          <w:tcPr>
            <w:tcW w:w="275" w:type="dxa"/>
            <w:tcBorders/>
            <w:shd w:fill="auto" w:val="clear"/>
            <w:vAlign w:val="center"/>
          </w:tcPr>
          <w:p>
            <w:pPr>
              <w:pStyle w:val="TableContents"/>
              <w:spacing w:before="0" w:after="283"/>
              <w:rPr/>
            </w:pPr>
            <w:r>
              <w:rPr/>
              <w:t>% </w:t>
            </w:r>
          </w:p>
        </w:tc>
        <w:tc>
          <w:tcPr>
            <w:tcW w:w="38" w:type="dxa"/>
            <w:tcBorders/>
            <w:shd w:fill="auto" w:val="clear"/>
          </w:tcPr>
          <w:p>
            <w:pPr>
              <w:pStyle w:val="TableContents"/>
              <w:spacing w:before="0" w:after="283"/>
              <w:rPr>
                <w:sz w:val="4"/>
                <w:szCs w:val="4"/>
              </w:rPr>
            </w:pPr>
            <w:r>
              <w:rPr>
                <w:sz w:val="4"/>
                <w:szCs w:val="4"/>
              </w:rPr>
            </w:r>
          </w:p>
        </w:tc>
      </w:tr>
      <w:tr>
        <w:trPr/>
        <w:tc>
          <w:tcPr>
            <w:tcW w:w="30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rPr/>
            </w:pPr>
            <w:r>
              <w:rPr/>
              <w:t> </w:t>
            </w:r>
          </w:p>
        </w:tc>
        <w:tc>
          <w:tcPr>
            <w:tcW w:w="1178" w:type="dxa"/>
            <w:tcBorders/>
            <w:shd w:fill="CCEEFF" w:val="clear"/>
            <w:vAlign w:val="center"/>
          </w:tcPr>
          <w:p>
            <w:pPr>
              <w:pStyle w:val="TableContents"/>
              <w:spacing w:before="0" w:after="283"/>
              <w:jc w:val="right"/>
              <w:rPr/>
            </w:pPr>
            <w:r>
              <w:rPr/>
              <w:t>(3,776</w:t>
            </w:r>
          </w:p>
        </w:tc>
        <w:tc>
          <w:tcPr>
            <w:tcW w:w="267"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rPr/>
            </w:pPr>
            <w:r>
              <w:rPr/>
              <w:t> </w:t>
            </w:r>
          </w:p>
        </w:tc>
        <w:tc>
          <w:tcPr>
            <w:tcW w:w="1181" w:type="dxa"/>
            <w:tcBorders/>
            <w:shd w:fill="CCEEFF" w:val="clear"/>
            <w:vAlign w:val="center"/>
          </w:tcPr>
          <w:p>
            <w:pPr>
              <w:pStyle w:val="TableContents"/>
              <w:spacing w:before="0" w:after="283"/>
              <w:jc w:val="right"/>
              <w:rPr/>
            </w:pPr>
            <w:r>
              <w:rPr/>
              <w:t>(69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73" w:type="dxa"/>
            <w:tcBorders/>
            <w:shd w:fill="CCEEFF" w:val="clear"/>
            <w:vAlign w:val="center"/>
          </w:tcPr>
          <w:p>
            <w:pPr>
              <w:pStyle w:val="TableContents"/>
              <w:spacing w:before="0" w:after="283"/>
              <w:jc w:val="right"/>
              <w:rPr/>
            </w:pPr>
            <w:r>
              <w:rPr/>
              <w:t>3,707</w:t>
            </w:r>
          </w:p>
        </w:tc>
        <w:tc>
          <w:tcPr>
            <w:tcW w:w="85"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20" w:type="dxa"/>
            <w:tcBorders/>
            <w:shd w:fill="CCEEFF" w:val="clear"/>
            <w:vAlign w:val="center"/>
          </w:tcPr>
          <w:p>
            <w:pPr>
              <w:pStyle w:val="TableContents"/>
              <w:spacing w:before="0" w:after="283"/>
              <w:jc w:val="right"/>
              <w:rPr/>
            </w:pPr>
            <w:r>
              <w:rPr/>
              <w:t>5372</w:t>
            </w:r>
          </w:p>
        </w:tc>
        <w:tc>
          <w:tcPr>
            <w:tcW w:w="275" w:type="dxa"/>
            <w:tcBorders/>
            <w:shd w:fill="CCEEFF" w:val="clear"/>
            <w:vAlign w:val="center"/>
          </w:tcPr>
          <w:p>
            <w:pPr>
              <w:pStyle w:val="TableContents"/>
              <w:spacing w:before="0" w:after="283"/>
              <w:rPr/>
            </w:pPr>
            <w:r>
              <w:rPr/>
              <w:t>% </w:t>
            </w:r>
          </w:p>
        </w:tc>
        <w:tc>
          <w:tcPr>
            <w:tcW w:w="38" w:type="dxa"/>
            <w:tcBorders/>
            <w:shd w:fill="CCEEFF" w:val="clea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Expense</w:t>
            </w:r>
          </w:p>
        </w:tc>
        <w:tc>
          <w:tcPr>
            <w:tcW w:w="120"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1178" w:type="dxa"/>
            <w:tcBorders/>
            <w:shd w:fill="auto" w:val="clear"/>
            <w:vAlign w:val="center"/>
          </w:tcPr>
          <w:p>
            <w:pPr>
              <w:pStyle w:val="TableContents"/>
              <w:spacing w:before="0" w:after="283"/>
              <w:jc w:val="right"/>
              <w:rPr/>
            </w:pPr>
            <w:r>
              <w:rPr/>
              <w:t>2,336</w:t>
            </w:r>
          </w:p>
        </w:tc>
        <w:tc>
          <w:tcPr>
            <w:tcW w:w="267"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118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73" w:type="dxa"/>
            <w:tcBorders/>
            <w:shd w:fill="auto" w:val="clear"/>
            <w:vAlign w:val="center"/>
          </w:tcPr>
          <w:p>
            <w:pPr>
              <w:pStyle w:val="TableContents"/>
              <w:spacing w:before="0" w:after="283"/>
              <w:jc w:val="right"/>
              <w:rPr/>
            </w:pPr>
            <w:r>
              <w:rPr/>
              <w:t>2,336</w:t>
            </w:r>
          </w:p>
        </w:tc>
        <w:tc>
          <w:tcPr>
            <w:tcW w:w="85"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283"/>
              <w:jc w:val="right"/>
              <w:rPr/>
            </w:pPr>
            <w:r>
              <w:rPr/>
              <w:t>100</w:t>
            </w:r>
          </w:p>
        </w:tc>
        <w:tc>
          <w:tcPr>
            <w:tcW w:w="275" w:type="dxa"/>
            <w:tcBorders/>
            <w:shd w:fill="auto" w:val="clear"/>
            <w:vAlign w:val="center"/>
          </w:tcPr>
          <w:p>
            <w:pPr>
              <w:pStyle w:val="TableContents"/>
              <w:spacing w:before="0" w:after="283"/>
              <w:rPr/>
            </w:pPr>
            <w:r>
              <w:rPr/>
              <w:t>% </w:t>
            </w:r>
          </w:p>
        </w:tc>
        <w:tc>
          <w:tcPr>
            <w:tcW w:w="38" w:type="dxa"/>
            <w:tcBorders/>
            <w:shd w:fill="auto" w:val="clea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pBdr>
                <w:top w:val="single" w:sz="2" w:space="1" w:color="000000"/>
              </w:pBdr>
              <w:spacing w:before="0" w:after="0"/>
              <w:rPr/>
            </w:pPr>
            <w:r>
              <w:rPr/>
              <w:t> </w:t>
            </w:r>
          </w:p>
        </w:tc>
        <w:tc>
          <w:tcPr>
            <w:tcW w:w="1178" w:type="dxa"/>
            <w:tcBorders/>
            <w:shd w:fill="auto" w:val="clear"/>
            <w:vAlign w:val="center"/>
          </w:tcPr>
          <w:p>
            <w:pPr>
              <w:pStyle w:val="TableContents"/>
              <w:pBdr>
                <w:top w:val="single" w:sz="2" w:space="1" w:color="000000"/>
              </w:pBdr>
              <w:spacing w:before="0" w:after="0"/>
              <w:rPr/>
            </w:pPr>
            <w:r>
              <w:rPr/>
              <w:t> </w:t>
            </w:r>
          </w:p>
        </w:tc>
        <w:tc>
          <w:tcPr>
            <w:tcW w:w="267"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pBdr>
                <w:top w:val="single" w:sz="2" w:space="1" w:color="000000"/>
              </w:pBdr>
              <w:spacing w:before="0" w:after="0"/>
              <w:rPr/>
            </w:pPr>
            <w:r>
              <w:rPr/>
              <w:t> </w:t>
            </w:r>
          </w:p>
        </w:tc>
        <w:tc>
          <w:tcPr>
            <w:tcW w:w="1181"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tcPr>
          <w:p>
            <w:pPr>
              <w:pStyle w:val="TableContents"/>
              <w:spacing w:before="0" w:after="283"/>
              <w:rPr>
                <w:sz w:val="4"/>
                <w:szCs w:val="4"/>
              </w:rPr>
            </w:pPr>
            <w:r>
              <w:rPr>
                <w:sz w:val="4"/>
                <w:szCs w:val="4"/>
              </w:rPr>
            </w:r>
          </w:p>
        </w:tc>
      </w:tr>
      <w:tr>
        <w:trPr/>
        <w:tc>
          <w:tcPr>
            <w:tcW w:w="308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rPr/>
            </w:pPr>
            <w:r>
              <w:rPr/>
              <w:t>$</w:t>
            </w:r>
          </w:p>
        </w:tc>
        <w:tc>
          <w:tcPr>
            <w:tcW w:w="1178" w:type="dxa"/>
            <w:tcBorders/>
            <w:shd w:fill="CCEEFF" w:val="clear"/>
            <w:vAlign w:val="center"/>
          </w:tcPr>
          <w:p>
            <w:pPr>
              <w:pStyle w:val="TableContents"/>
              <w:spacing w:before="0" w:after="283"/>
              <w:jc w:val="right"/>
              <w:rPr/>
            </w:pPr>
            <w:r>
              <w:rPr/>
              <w:t>76,896</w:t>
            </w:r>
          </w:p>
        </w:tc>
        <w:tc>
          <w:tcPr>
            <w:tcW w:w="267"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rPr/>
            </w:pPr>
            <w:r>
              <w:rPr/>
              <w:t>$</w:t>
            </w:r>
          </w:p>
        </w:tc>
        <w:tc>
          <w:tcPr>
            <w:tcW w:w="1181" w:type="dxa"/>
            <w:tcBorders/>
            <w:shd w:fill="CCEEFF" w:val="clear"/>
            <w:vAlign w:val="center"/>
          </w:tcPr>
          <w:p>
            <w:pPr>
              <w:pStyle w:val="TableContents"/>
              <w:spacing w:before="0" w:after="283"/>
              <w:jc w:val="right"/>
              <w:rPr/>
            </w:pPr>
            <w:r>
              <w:rPr/>
              <w:t>57,518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73" w:type="dxa"/>
            <w:tcBorders/>
            <w:shd w:fill="CCEEFF" w:val="clear"/>
            <w:vAlign w:val="center"/>
          </w:tcPr>
          <w:p>
            <w:pPr>
              <w:pStyle w:val="TableContents"/>
              <w:spacing w:before="0" w:after="283"/>
              <w:jc w:val="right"/>
              <w:rPr/>
            </w:pPr>
            <w:r>
              <w:rPr/>
              <w:t>19,378</w:t>
            </w:r>
          </w:p>
        </w:tc>
        <w:tc>
          <w:tcPr>
            <w:tcW w:w="85"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20" w:type="dxa"/>
            <w:tcBorders/>
            <w:shd w:fill="CCEEFF" w:val="clear"/>
            <w:vAlign w:val="center"/>
          </w:tcPr>
          <w:p>
            <w:pPr>
              <w:pStyle w:val="TableContents"/>
              <w:spacing w:before="0" w:after="283"/>
              <w:jc w:val="right"/>
              <w:rPr/>
            </w:pPr>
            <w:r>
              <w:rPr/>
              <w:t>34</w:t>
            </w:r>
          </w:p>
        </w:tc>
        <w:tc>
          <w:tcPr>
            <w:tcW w:w="275" w:type="dxa"/>
            <w:tcBorders/>
            <w:shd w:fill="CCEEFF" w:val="clear"/>
            <w:vAlign w:val="center"/>
          </w:tcPr>
          <w:p>
            <w:pPr>
              <w:pStyle w:val="TableContents"/>
              <w:spacing w:before="0" w:after="283"/>
              <w:rPr/>
            </w:pPr>
            <w:r>
              <w:rPr/>
              <w:t>% </w:t>
            </w:r>
          </w:p>
        </w:tc>
        <w:tc>
          <w:tcPr>
            <w:tcW w:w="38" w:type="dxa"/>
            <w:tcBorders/>
            <w:shd w:fill="CCEEFF"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rPr/>
      </w:pPr>
      <w:r>
        <w:rPr/>
      </w:r>
    </w:p>
    <w:p>
      <w:pPr>
        <w:pStyle w:val="TextBody"/>
        <w:spacing w:before="0" w:after="0"/>
        <w:jc w:val="left"/>
        <w:rPr>
          <w:rFonts w:ascii="Times New Roman" w:hAnsi="Times New Roman"/>
          <w:i/>
          <w:sz w:val="20"/>
        </w:rPr>
      </w:pPr>
      <w:r>
        <w:rPr>
          <w:rFonts w:ascii="Times New Roman" w:hAnsi="Times New Roman"/>
          <w:i/>
          <w:sz w:val="20"/>
        </w:rPr>
        <w:t xml:space="preserve">Revenue </w:t>
      </w:r>
    </w:p>
    <w:p>
      <w:pPr>
        <w:pStyle w:val="TextBody"/>
        <w:spacing w:before="120" w:after="0"/>
        <w:jc w:val="left"/>
        <w:rPr>
          <w:rFonts w:ascii="Times New Roman" w:hAnsi="Times New Roman"/>
          <w:sz w:val="20"/>
        </w:rPr>
      </w:pPr>
      <w:r>
        <w:rPr>
          <w:rFonts w:ascii="Times New Roman" w:hAnsi="Times New Roman"/>
          <w:sz w:val="20"/>
        </w:rPr>
        <w:t xml:space="preserve">We had no revenue for the three months ended March 31, 2023 and 2022. </w:t>
      </w:r>
    </w:p>
    <w:p>
      <w:pPr>
        <w:pStyle w:val="TextBody"/>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spacing w:before="120" w:after="0"/>
        <w:jc w:val="left"/>
        <w:rPr>
          <w:rFonts w:ascii="Times New Roman" w:hAnsi="Times New Roman"/>
          <w:sz w:val="20"/>
        </w:rPr>
      </w:pPr>
      <w:r>
        <w:rPr>
          <w:rFonts w:ascii="Times New Roman" w:hAnsi="Times New Roman"/>
          <w:sz w:val="20"/>
        </w:rPr>
        <w:t xml:space="preserve">Our research and development expenses were $62.2 million for the three months ended March 31, 2023, compared to $47.9 million in the corresponding period in 2022. Research and development expenses increased by $14.2 million in the 2023 period due primarily to the additional activities related to our Phase 3 clinical trials, including MAESTRO-NASH Outcomes for which no expenses were incurred in the prior year quarter, an increase in headcount, and an increase in stock compensation expense. We expect our research and development expenses to increase as we advance our clinical and preclinical development programs for resmetirom. </w:t>
      </w:r>
    </w:p>
    <w:p>
      <w:pPr>
        <w:pStyle w:val="TextBody"/>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spacing w:before="120" w:after="0"/>
        <w:jc w:val="left"/>
        <w:rPr>
          <w:rFonts w:ascii="Times New Roman" w:hAnsi="Times New Roman"/>
          <w:sz w:val="20"/>
        </w:rPr>
      </w:pPr>
      <w:r>
        <w:rPr>
          <w:rFonts w:ascii="Times New Roman" w:hAnsi="Times New Roman"/>
          <w:sz w:val="20"/>
        </w:rPr>
        <w:t xml:space="preserve">Our general and administrative expenses were $16.2 million for the three months ended March 31, 2023, compared to $9.7 million in the corresponding period in 2022. General and administrative expenses increased by $6.5 million in the 2023 period due primarily to increases in commercial preparation activities, including a corresponding increase in headcount, and an increase in stock compensation expense. We believe our general and administrative expenses may increase over time as we advance our clinical and preclinical development programs for resmetirom, prepare for commercialization, and expand our operating activities, which will likely result in an increase in our headcount, consulting services, and related overhead needed to support those efforts. </w:t>
      </w:r>
    </w:p>
    <w:p>
      <w:pPr>
        <w:pStyle w:val="TextBody"/>
        <w:spacing w:before="360" w:after="0"/>
        <w:jc w:val="left"/>
        <w:rPr>
          <w:rFonts w:ascii="Times New Roman" w:hAnsi="Times New Roman"/>
          <w:i/>
          <w:sz w:val="20"/>
        </w:rPr>
      </w:pPr>
      <w:r>
        <w:rPr>
          <w:rFonts w:ascii="Times New Roman" w:hAnsi="Times New Roman"/>
          <w:i/>
          <w:sz w:val="20"/>
        </w:rPr>
        <w:t xml:space="preserve">Interest Income </w:t>
      </w:r>
    </w:p>
    <w:p>
      <w:pPr>
        <w:pStyle w:val="TextBody"/>
        <w:spacing w:before="120" w:after="0"/>
        <w:jc w:val="left"/>
        <w:rPr>
          <w:rFonts w:ascii="Times New Roman" w:hAnsi="Times New Roman"/>
          <w:sz w:val="20"/>
        </w:rPr>
      </w:pPr>
      <w:r>
        <w:rPr>
          <w:rFonts w:ascii="Times New Roman" w:hAnsi="Times New Roman"/>
          <w:sz w:val="20"/>
        </w:rPr>
        <w:t xml:space="preserve">Our net interest income was $3.8 million for the three months ended March 31, 2023, compared to $0.1 million in the corresponding period in 2022. The increase in interest income was due primarily to higher principal balances and interest rates in 2023. </w:t>
      </w:r>
    </w:p>
    <w:p>
      <w:pPr>
        <w:pStyle w:val="TextBody"/>
        <w:spacing w:before="360" w:after="0"/>
        <w:jc w:val="left"/>
        <w:rPr>
          <w:rFonts w:ascii="Times New Roman" w:hAnsi="Times New Roman"/>
          <w:i/>
          <w:sz w:val="20"/>
        </w:rPr>
      </w:pPr>
      <w:r>
        <w:rPr>
          <w:rFonts w:ascii="Times New Roman" w:hAnsi="Times New Roman"/>
          <w:i/>
          <w:sz w:val="20"/>
        </w:rPr>
        <w:t xml:space="preserve">Interest Expense </w:t>
      </w:r>
    </w:p>
    <w:p>
      <w:pPr>
        <w:pStyle w:val="TextBody"/>
        <w:spacing w:before="120" w:after="0"/>
        <w:jc w:val="left"/>
        <w:rPr>
          <w:rFonts w:ascii="Times New Roman" w:hAnsi="Times New Roman"/>
          <w:sz w:val="20"/>
        </w:rPr>
      </w:pPr>
      <w:r>
        <w:rPr>
          <w:rFonts w:ascii="Times New Roman" w:hAnsi="Times New Roman"/>
          <w:sz w:val="20"/>
        </w:rPr>
        <w:t xml:space="preserve">Our interest expense was $2.3 million for the three months ended March 31, 2023, compared to $0 million in the corresponding period in 2022. The increase in interest expense was as a result of the Loan Facility we entered into with Hercules during the second quarter of 2022. </w:t>
      </w:r>
    </w:p>
    <w:p>
      <w:pPr>
        <w:pStyle w:val="TextBody"/>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spacing w:before="120" w:after="0"/>
        <w:jc w:val="left"/>
        <w:rPr>
          <w:rFonts w:ascii="Times New Roman" w:hAnsi="Times New Roman"/>
          <w:sz w:val="20"/>
        </w:rPr>
      </w:pPr>
      <w:r>
        <w:rPr>
          <w:rFonts w:ascii="Times New Roman" w:hAnsi="Times New Roman"/>
          <w:sz w:val="20"/>
        </w:rPr>
        <w:t xml:space="preserve">Since inception, we have incurred significant net losses and we have funded our operations primarily through the issuance of shares of our common stock and shares of our preferred stock, borrowings under the Loan Facility with Hercules, the issuance of convertible debt and the proceeds from the merger with Synta Pharmaceuticals Corp.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 </w:t>
      </w:r>
    </w:p>
    <w:p>
      <w:pPr>
        <w:pStyle w:val="TextBody"/>
        <w:spacing w:before="240" w:after="0"/>
        <w:jc w:val="left"/>
        <w:rPr>
          <w:rFonts w:ascii="Times New Roman" w:hAnsi="Times New Roman"/>
          <w:sz w:val="20"/>
        </w:rPr>
      </w:pPr>
      <w:r>
        <w:rPr>
          <w:rFonts w:ascii="Times New Roman" w:hAnsi="Times New Roman"/>
          <w:sz w:val="20"/>
        </w:rPr>
        <w:t xml:space="preserve">As of March 31, 2023, we had cash, cash equivalents and marketable securities totaling $329.5 million compared to $358.8 million as of December 31, 2022, with this decrease attributable to funding of operations, partially offset by $35.0 million drawn from the Loan Facility with Hercules and proceeds from the exercise of stock options. Our cash and investment balances are held in a variety of interest-bearing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 </w:t>
      </w:r>
    </w:p>
    <w:p>
      <w:pPr>
        <w:pStyle w:val="TextBody"/>
        <w:spacing w:before="240" w:after="0"/>
        <w:jc w:val="left"/>
        <w:rPr>
          <w:rFonts w:ascii="Times New Roman" w:hAnsi="Times New Roman"/>
          <w:sz w:val="20"/>
        </w:rPr>
      </w:pPr>
      <w:r>
        <w:rPr>
          <w:rFonts w:ascii="Times New Roman" w:hAnsi="Times New Roman"/>
          <w:sz w:val="20"/>
        </w:rPr>
        <w:t xml:space="preserve">We anticipate continuing to incur operating losses for the foreseeable future. While our rate of cash usage will likely increase in the future, in particular to support our product development and clinical trial efforts, as well as preparation for commercialization, we believe our available cash resources as of March 31, 2023 will be sufficient to fund our operations past one year from the issuance of the financial statements contained herein. Our future long-term liquidity requirements will be substantial and will depend on many factors. To meet future long-term liquidity requirements, as well as maintain compliance with certain of our Loan Facility covenants, we will need to raise additional capital to fund our operations through equity or debt financings, collaborations, partnerships or other strategic transactions. We regularly consider fundraising opportunities and may decide, from time to time, to raise capital based on various factors, including market conditions and our plans of operation. Additional capital may not be available on terms acceptable to us, or at all. We also have the ability to delay certain research activities and related clinical expenses, as well as commercial preparation investments, if necessary due to liquidity concerns until a date when those concerns are relieved.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rPr/>
      </w:pPr>
      <w:r>
        <w:rPr/>
      </w:r>
    </w:p>
    <w:p>
      <w:pPr>
        <w:pStyle w:val="TextBody"/>
        <w:spacing w:before="0" w:after="0"/>
        <w:jc w:val="left"/>
        <w:rPr>
          <w:rFonts w:ascii="Times New Roman" w:hAnsi="Times New Roman"/>
          <w:b/>
          <w:i/>
          <w:sz w:val="20"/>
        </w:rPr>
      </w:pPr>
      <w:r>
        <w:rPr>
          <w:rFonts w:ascii="Times New Roman" w:hAnsi="Times New Roman"/>
          <w:b/>
          <w:i/>
          <w:sz w:val="20"/>
        </w:rPr>
        <w:t xml:space="preserve">Cash Flows </w:t>
      </w:r>
    </w:p>
    <w:p>
      <w:pPr>
        <w:pStyle w:val="TextBody"/>
        <w:spacing w:before="120" w:after="0"/>
        <w:jc w:val="left"/>
        <w:rPr>
          <w:rFonts w:ascii="Times New Roman" w:hAnsi="Times New Roman"/>
          <w:sz w:val="20"/>
        </w:rPr>
      </w:pPr>
      <w:r>
        <w:rPr>
          <w:rFonts w:ascii="Times New Roman" w:hAnsi="Times New Roman"/>
          <w:sz w:val="20"/>
        </w:rPr>
        <w:t xml:space="preserve">The following table provides a summary of our net cash flow activity (in thousands): </w:t>
      </w:r>
    </w:p>
    <w:p>
      <w:pPr>
        <w:pStyle w:val="TextBody"/>
        <w:spacing w:before="0" w:after="0"/>
        <w:jc w:val="left"/>
        <w:rPr/>
      </w:pPr>
      <w:r>
        <w:rPr/>
        <w:t> </w:t>
      </w:r>
    </w:p>
    <w:tbl>
      <w:tblPr>
        <w:tblW w:w="7865" w:type="dxa"/>
        <w:jc w:val="left"/>
        <w:tblInd w:w="0" w:type="dxa"/>
        <w:tblCellMar>
          <w:top w:w="0" w:type="dxa"/>
          <w:left w:w="0" w:type="dxa"/>
          <w:bottom w:w="0" w:type="dxa"/>
          <w:right w:w="0" w:type="dxa"/>
        </w:tblCellMar>
      </w:tblPr>
      <w:tblGrid>
        <w:gridCol w:w="4235"/>
        <w:gridCol w:w="120"/>
        <w:gridCol w:w="211"/>
        <w:gridCol w:w="1329"/>
        <w:gridCol w:w="235"/>
        <w:gridCol w:w="182"/>
        <w:gridCol w:w="211"/>
        <w:gridCol w:w="1149"/>
        <w:gridCol w:w="155"/>
        <w:gridCol w:w="38"/>
      </w:tblGrid>
      <w:tr>
        <w:trPr/>
        <w:tc>
          <w:tcPr>
            <w:tcW w:w="4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tcPr>
          <w:p>
            <w:pPr>
              <w:pStyle w:val="TableContents"/>
              <w:spacing w:before="0" w:after="283"/>
              <w:rPr>
                <w:sz w:val="4"/>
                <w:szCs w:val="4"/>
              </w:rPr>
            </w:pPr>
            <w:r>
              <w:rPr>
                <w:sz w:val="4"/>
                <w:szCs w:val="4"/>
              </w:rPr>
            </w:r>
          </w:p>
        </w:tc>
      </w:tr>
      <w:tr>
        <w:trPr/>
        <w:tc>
          <w:tcPr>
            <w:tcW w:w="42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17"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Three Months Ended March 31,</w:t>
            </w:r>
          </w:p>
        </w:tc>
        <w:tc>
          <w:tcPr>
            <w:tcW w:w="155" w:type="dxa"/>
            <w:tcBorders/>
            <w:shd w:fill="auto" w:val="clear"/>
            <w:vAlign w:val="center"/>
          </w:tcPr>
          <w:p>
            <w:pPr>
              <w:pStyle w:val="TableContents"/>
              <w:spacing w:before="0" w:after="283"/>
              <w:rPr/>
            </w:pPr>
            <w:r>
              <w:rPr/>
              <w:t> </w:t>
            </w:r>
          </w:p>
        </w:tc>
        <w:tc>
          <w:tcPr>
            <w:tcW w:w="38" w:type="dxa"/>
            <w:tcBorders/>
            <w:shd w:fill="auto" w:val="clear"/>
          </w:tcPr>
          <w:p>
            <w:pPr>
              <w:pStyle w:val="TableContents"/>
              <w:spacing w:before="0" w:after="283"/>
              <w:rPr>
                <w:sz w:val="4"/>
                <w:szCs w:val="4"/>
              </w:rPr>
            </w:pPr>
            <w:r>
              <w:rPr>
                <w:sz w:val="4"/>
                <w:szCs w:val="4"/>
              </w:rPr>
            </w:r>
          </w:p>
        </w:tc>
      </w:tr>
      <w:tr>
        <w:trPr/>
        <w:tc>
          <w:tcPr>
            <w:tcW w:w="4235" w:type="dxa"/>
            <w:vMerge w:val="restart"/>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540"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2023</w:t>
            </w:r>
          </w:p>
        </w:tc>
        <w:tc>
          <w:tcPr>
            <w:tcW w:w="235" w:type="dxa"/>
            <w:vMerge w:val="restart"/>
            <w:tcBorders/>
            <w:shd w:fill="auto" w:val="clear"/>
            <w:vAlign w:val="center"/>
          </w:tcPr>
          <w:p>
            <w:pPr>
              <w:pStyle w:val="TableContents"/>
              <w:spacing w:before="0" w:after="283"/>
              <w:rPr/>
            </w:pPr>
            <w:r>
              <w:rPr/>
              <w:t> </w:t>
            </w:r>
          </w:p>
        </w:tc>
        <w:tc>
          <w:tcPr>
            <w:tcW w:w="182" w:type="dxa"/>
            <w:vMerge w:val="restart"/>
            <w:tcBorders/>
            <w:shd w:fill="auto" w:val="clear"/>
            <w:vAlign w:val="center"/>
          </w:tcPr>
          <w:p>
            <w:pPr>
              <w:pStyle w:val="TableContents"/>
              <w:spacing w:before="0" w:after="283"/>
              <w:rPr/>
            </w:pPr>
            <w:r>
              <w:rPr/>
              <w:t>  </w:t>
            </w:r>
          </w:p>
        </w:tc>
        <w:tc>
          <w:tcPr>
            <w:tcW w:w="1360"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5" w:type="dxa"/>
            <w:vMerge w:val="restart"/>
            <w:tcBorders/>
            <w:shd w:fill="auto" w:val="clear"/>
            <w:vAlign w:val="center"/>
          </w:tcPr>
          <w:p>
            <w:pPr>
              <w:pStyle w:val="TableContents"/>
              <w:spacing w:before="0" w:after="283"/>
              <w:rPr/>
            </w:pPr>
            <w:r>
              <w:rPr/>
              <w:t> </w:t>
            </w:r>
          </w:p>
        </w:tc>
        <w:tc>
          <w:tcPr>
            <w:tcW w:w="38" w:type="dxa"/>
            <w:tcBorders/>
            <w:shd w:fill="auto" w:val="clear"/>
          </w:tcPr>
          <w:p>
            <w:pPr>
              <w:pStyle w:val="TableContents"/>
              <w:spacing w:before="0" w:after="283"/>
              <w:rPr>
                <w:sz w:val="4"/>
                <w:szCs w:val="4"/>
              </w:rPr>
            </w:pPr>
            <w:r>
              <w:rPr>
                <w:sz w:val="4"/>
                <w:szCs w:val="4"/>
              </w:rPr>
            </w:r>
          </w:p>
        </w:tc>
      </w:tr>
      <w:tr>
        <w:trPr/>
        <w:tc>
          <w:tcPr>
            <w:tcW w:w="4235"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540" w:type="dxa"/>
            <w:gridSpan w:val="2"/>
            <w:vMerge w:val="continue"/>
            <w:tcBorders>
              <w:bottom w:val="single" w:sz="8" w:space="0" w:color="000000"/>
            </w:tcBorders>
            <w:shd w:fill="auto" w:val="clear"/>
            <w:tcMar>
              <w:bottom w:w="28" w:type="dxa"/>
            </w:tcMar>
            <w:vAlign w:val="center"/>
          </w:tcPr>
          <w:p>
            <w:pPr>
              <w:pStyle w:val="Normal"/>
              <w:rPr/>
            </w:pPr>
            <w:r>
              <w:rPr/>
            </w:r>
          </w:p>
        </w:tc>
        <w:tc>
          <w:tcPr>
            <w:tcW w:w="235" w:type="dxa"/>
            <w:vMerge w:val="continue"/>
            <w:tcBorders/>
            <w:shd w:fill="auto" w:val="clear"/>
            <w:vAlign w:val="center"/>
          </w:tcPr>
          <w:p>
            <w:pPr>
              <w:pStyle w:val="Normal"/>
              <w:rPr/>
            </w:pPr>
            <w:r>
              <w:rPr/>
            </w:r>
          </w:p>
        </w:tc>
        <w:tc>
          <w:tcPr>
            <w:tcW w:w="182" w:type="dxa"/>
            <w:vMerge w:val="continue"/>
            <w:tcBorders/>
            <w:shd w:fill="auto" w:val="clear"/>
            <w:vAlign w:val="center"/>
          </w:tcPr>
          <w:p>
            <w:pPr>
              <w:pStyle w:val="Normal"/>
              <w:rPr/>
            </w:pPr>
            <w:r>
              <w:rPr/>
            </w:r>
          </w:p>
        </w:tc>
        <w:tc>
          <w:tcPr>
            <w:tcW w:w="1360"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2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w:t>
            </w:r>
          </w:p>
        </w:tc>
        <w:tc>
          <w:tcPr>
            <w:tcW w:w="1329" w:type="dxa"/>
            <w:tcBorders/>
            <w:shd w:fill="CCEEFF" w:val="clear"/>
            <w:vAlign w:val="center"/>
          </w:tcPr>
          <w:p>
            <w:pPr>
              <w:pStyle w:val="TableContents"/>
              <w:spacing w:before="0" w:after="283"/>
              <w:jc w:val="right"/>
              <w:rPr/>
            </w:pPr>
            <w:r>
              <w:rPr/>
              <w:t>(84,067</w:t>
            </w:r>
          </w:p>
        </w:tc>
        <w:tc>
          <w:tcPr>
            <w:tcW w:w="235"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w:t>
            </w:r>
          </w:p>
        </w:tc>
        <w:tc>
          <w:tcPr>
            <w:tcW w:w="1149" w:type="dxa"/>
            <w:tcBorders/>
            <w:shd w:fill="CCEEFF" w:val="clear"/>
            <w:vAlign w:val="center"/>
          </w:tcPr>
          <w:p>
            <w:pPr>
              <w:pStyle w:val="TableContents"/>
              <w:spacing w:before="0" w:after="283"/>
              <w:jc w:val="right"/>
              <w:rPr/>
            </w:pPr>
            <w:r>
              <w:rPr/>
              <w:t>(49,913</w:t>
            </w:r>
          </w:p>
        </w:tc>
        <w:tc>
          <w:tcPr>
            <w:tcW w:w="155" w:type="dxa"/>
            <w:tcBorders/>
            <w:shd w:fill="CCEEFF" w:val="clear"/>
            <w:vAlign w:val="center"/>
          </w:tcPr>
          <w:p>
            <w:pPr>
              <w:pStyle w:val="TableContents"/>
              <w:spacing w:before="0" w:after="283"/>
              <w:rPr/>
            </w:pPr>
            <w:r>
              <w:rPr/>
              <w:t>) </w:t>
            </w:r>
          </w:p>
        </w:tc>
        <w:tc>
          <w:tcPr>
            <w:tcW w:w="38" w:type="dxa"/>
            <w:tcBorders/>
            <w:shd w:fill="CCEEFF" w:val="clear"/>
          </w:tcPr>
          <w:p>
            <w:pPr>
              <w:pStyle w:val="TableContents"/>
              <w:spacing w:before="0" w:after="283"/>
              <w:rPr>
                <w:sz w:val="4"/>
                <w:szCs w:val="4"/>
              </w:rPr>
            </w:pPr>
            <w:r>
              <w:rPr>
                <w:sz w:val="4"/>
                <w:szCs w:val="4"/>
              </w:rPr>
            </w:r>
          </w:p>
        </w:tc>
      </w:tr>
      <w:tr>
        <w:trPr/>
        <w:tc>
          <w:tcPr>
            <w:tcW w:w="42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cash (used in) provided by investing activities</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329" w:type="dxa"/>
            <w:tcBorders/>
            <w:shd w:fill="auto" w:val="clear"/>
            <w:vAlign w:val="center"/>
          </w:tcPr>
          <w:p>
            <w:pPr>
              <w:pStyle w:val="TableContents"/>
              <w:spacing w:before="0" w:after="283"/>
              <w:jc w:val="right"/>
              <w:rPr/>
            </w:pPr>
            <w:r>
              <w:rPr/>
              <w:t>(186,864</w:t>
            </w:r>
          </w:p>
        </w:tc>
        <w:tc>
          <w:tcPr>
            <w:tcW w:w="235"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49" w:type="dxa"/>
            <w:tcBorders/>
            <w:shd w:fill="auto" w:val="clear"/>
            <w:vAlign w:val="center"/>
          </w:tcPr>
          <w:p>
            <w:pPr>
              <w:pStyle w:val="TableContents"/>
              <w:spacing w:before="0" w:after="283"/>
              <w:jc w:val="right"/>
              <w:rPr/>
            </w:pPr>
            <w:r>
              <w:rPr/>
              <w:t>55,926</w:t>
            </w:r>
          </w:p>
        </w:tc>
        <w:tc>
          <w:tcPr>
            <w:tcW w:w="155" w:type="dxa"/>
            <w:tcBorders/>
            <w:shd w:fill="auto" w:val="clear"/>
            <w:vAlign w:val="center"/>
          </w:tcPr>
          <w:p>
            <w:pPr>
              <w:pStyle w:val="TableContents"/>
              <w:spacing w:before="0" w:after="283"/>
              <w:rPr/>
            </w:pPr>
            <w:r>
              <w:rPr/>
              <w:t> </w:t>
            </w:r>
          </w:p>
        </w:tc>
        <w:tc>
          <w:tcPr>
            <w:tcW w:w="38" w:type="dxa"/>
            <w:tcBorders/>
            <w:shd w:fill="auto" w:val="clear"/>
          </w:tcPr>
          <w:p>
            <w:pPr>
              <w:pStyle w:val="TableContents"/>
              <w:spacing w:before="0" w:after="283"/>
              <w:rPr>
                <w:sz w:val="4"/>
                <w:szCs w:val="4"/>
              </w:rPr>
            </w:pPr>
            <w:r>
              <w:rPr>
                <w:sz w:val="4"/>
                <w:szCs w:val="4"/>
              </w:rPr>
            </w:r>
          </w:p>
        </w:tc>
      </w:tr>
      <w:tr>
        <w:trPr/>
        <w:tc>
          <w:tcPr>
            <w:tcW w:w="42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1329" w:type="dxa"/>
            <w:tcBorders/>
            <w:shd w:fill="CCEEFF" w:val="clear"/>
            <w:vAlign w:val="center"/>
          </w:tcPr>
          <w:p>
            <w:pPr>
              <w:pStyle w:val="TableContents"/>
              <w:spacing w:before="0" w:after="283"/>
              <w:jc w:val="right"/>
              <w:rPr/>
            </w:pPr>
            <w:r>
              <w:rPr/>
              <w:t>52,690</w:t>
            </w:r>
          </w:p>
        </w:tc>
        <w:tc>
          <w:tcPr>
            <w:tcW w:w="235"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1149"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38" w:type="dxa"/>
            <w:tcBorders/>
            <w:shd w:fill="CCEEFF" w:val="clear"/>
          </w:tcPr>
          <w:p>
            <w:pPr>
              <w:pStyle w:val="TableContents"/>
              <w:spacing w:before="0" w:after="283"/>
              <w:rPr>
                <w:sz w:val="4"/>
                <w:szCs w:val="4"/>
              </w:rPr>
            </w:pPr>
            <w:r>
              <w:rPr>
                <w:sz w:val="4"/>
                <w:szCs w:val="4"/>
              </w:rPr>
            </w:r>
          </w:p>
        </w:tc>
      </w:tr>
      <w:tr>
        <w:trPr/>
        <w:tc>
          <w:tcPr>
            <w:tcW w:w="4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pBdr>
                <w:top w:val="single" w:sz="2" w:space="1" w:color="000000"/>
              </w:pBdr>
              <w:spacing w:before="0" w:after="0"/>
              <w:rPr/>
            </w:pPr>
            <w:r>
              <w:rPr/>
              <w:t> </w:t>
            </w:r>
          </w:p>
        </w:tc>
        <w:tc>
          <w:tcPr>
            <w:tcW w:w="1329" w:type="dxa"/>
            <w:tcBorders/>
            <w:shd w:fill="auto" w:val="clear"/>
            <w:vAlign w:val="center"/>
          </w:tcPr>
          <w:p>
            <w:pPr>
              <w:pStyle w:val="TableContents"/>
              <w:pBdr>
                <w:top w:val="single" w:sz="2" w:space="1" w:color="000000"/>
              </w:pBdr>
              <w:spacing w:before="0" w:after="0"/>
              <w:rPr/>
            </w:pPr>
            <w:r>
              <w:rPr/>
              <w:t> </w:t>
            </w:r>
          </w:p>
        </w:tc>
        <w:tc>
          <w:tcPr>
            <w:tcW w:w="235"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pBdr>
                <w:top w:val="single" w:sz="2" w:space="1" w:color="000000"/>
              </w:pBdr>
              <w:spacing w:before="0" w:after="0"/>
              <w:rPr/>
            </w:pPr>
            <w:r>
              <w:rPr/>
              <w:t> </w:t>
            </w:r>
          </w:p>
        </w:tc>
        <w:tc>
          <w:tcPr>
            <w:tcW w:w="1149"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8" w:type="dxa"/>
            <w:tcBorders/>
            <w:shd w:fill="auto" w:val="clear"/>
          </w:tcPr>
          <w:p>
            <w:pPr>
              <w:pStyle w:val="TableContents"/>
              <w:spacing w:before="0" w:after="283"/>
              <w:rPr>
                <w:sz w:val="4"/>
                <w:szCs w:val="4"/>
              </w:rPr>
            </w:pPr>
            <w:r>
              <w:rPr>
                <w:sz w:val="4"/>
                <w:szCs w:val="4"/>
              </w:rPr>
            </w:r>
          </w:p>
        </w:tc>
      </w:tr>
      <w:tr>
        <w:trPr/>
        <w:tc>
          <w:tcPr>
            <w:tcW w:w="42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increase (decrease) in cash and cash equivalents</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w:t>
            </w:r>
          </w:p>
        </w:tc>
        <w:tc>
          <w:tcPr>
            <w:tcW w:w="1329" w:type="dxa"/>
            <w:tcBorders/>
            <w:shd w:fill="auto" w:val="clear"/>
            <w:vAlign w:val="center"/>
          </w:tcPr>
          <w:p>
            <w:pPr>
              <w:pStyle w:val="TableContents"/>
              <w:spacing w:before="0" w:after="283"/>
              <w:jc w:val="right"/>
              <w:rPr/>
            </w:pPr>
            <w:r>
              <w:rPr/>
              <w:t>(218,241</w:t>
            </w:r>
          </w:p>
        </w:tc>
        <w:tc>
          <w:tcPr>
            <w:tcW w:w="235"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w:t>
            </w:r>
          </w:p>
        </w:tc>
        <w:tc>
          <w:tcPr>
            <w:tcW w:w="1149" w:type="dxa"/>
            <w:tcBorders/>
            <w:shd w:fill="auto" w:val="clear"/>
            <w:vAlign w:val="center"/>
          </w:tcPr>
          <w:p>
            <w:pPr>
              <w:pStyle w:val="TableContents"/>
              <w:spacing w:before="0" w:after="283"/>
              <w:jc w:val="right"/>
              <w:rPr/>
            </w:pPr>
            <w:r>
              <w:rPr/>
              <w:t>6,013</w:t>
            </w:r>
          </w:p>
        </w:tc>
        <w:tc>
          <w:tcPr>
            <w:tcW w:w="155" w:type="dxa"/>
            <w:tcBorders/>
            <w:shd w:fill="auto" w:val="clear"/>
            <w:vAlign w:val="center"/>
          </w:tcPr>
          <w:p>
            <w:pPr>
              <w:pStyle w:val="TableContents"/>
              <w:spacing w:before="0" w:after="283"/>
              <w:rPr/>
            </w:pPr>
            <w:r>
              <w:rPr/>
              <w:t> </w:t>
            </w:r>
          </w:p>
        </w:tc>
        <w:tc>
          <w:tcPr>
            <w:tcW w:w="38" w:type="dxa"/>
            <w:tcBorders/>
            <w:shd w:fill="auto" w:val="clear"/>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Net cash used in operating activities was $84.1 million for the three months ended March 31, 2023, compared to $49.9 million for the corresponding period in 2022. The use of cash in these periods resulted primarily from our losses from operations, as adjusted for non-cash charges for stock-based compensation, and changes in our working capital accounts. </w:t>
      </w:r>
    </w:p>
    <w:p>
      <w:pPr>
        <w:pStyle w:val="TextBody"/>
        <w:spacing w:before="240" w:after="0"/>
        <w:jc w:val="left"/>
        <w:rPr>
          <w:rFonts w:ascii="Times New Roman" w:hAnsi="Times New Roman"/>
          <w:sz w:val="20"/>
        </w:rPr>
      </w:pPr>
      <w:r>
        <w:rPr>
          <w:rFonts w:ascii="Times New Roman" w:hAnsi="Times New Roman"/>
          <w:sz w:val="20"/>
        </w:rPr>
        <w:t xml:space="preserve">Net cash used in investing activities was $186.9 million for the three months ended March 31, 2023, compared to $55.9 million provided by for the corresponding period in 2022. Net cash used in investing activities for the three months ended March 31, 2023 consisted of $198.8 million of purchases of marketable securities for our investment portfolio, partially offset by $12.0 million from sales and maturities of marketable securities. Net cash provided by for the corresponding period in 2022 consisted of $93.5 million from sales and maturities of marketable securities, partially offset by $37.6 million of purchases of marketable securities for our investment portfolio. </w:t>
      </w:r>
    </w:p>
    <w:p>
      <w:pPr>
        <w:pStyle w:val="TextBody"/>
        <w:spacing w:before="240" w:after="0"/>
        <w:jc w:val="left"/>
        <w:rPr>
          <w:rFonts w:ascii="Times New Roman" w:hAnsi="Times New Roman"/>
          <w:sz w:val="20"/>
        </w:rPr>
      </w:pPr>
      <w:r>
        <w:rPr>
          <w:rFonts w:ascii="Times New Roman" w:hAnsi="Times New Roman"/>
          <w:sz w:val="20"/>
        </w:rPr>
        <w:t xml:space="preserve">Net cash provided by financing activities was $52.7 million for the three months ended March 31, 2023, compared to $0 million for the corresponding period in 2022. Financing activities for the three months ended March 31, 2023 consisted of $35.0 million from issuance of the Loan Facility and $17.9 million from proceeds from the exercise of common stock options, partially offset by $0.2 million of loan issuance costs. </w:t>
      </w:r>
    </w:p>
    <w:p>
      <w:pPr>
        <w:pStyle w:val="TextBody"/>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spacing w:before="120" w:after="0"/>
        <w:jc w:val="left"/>
        <w:rPr>
          <w:rFonts w:ascii="Times New Roman" w:hAnsi="Times New Roman"/>
          <w:sz w:val="20"/>
        </w:rPr>
      </w:pPr>
      <w:r>
        <w:rPr>
          <w:rFonts w:ascii="Times New Roman" w:hAnsi="Times New Roman"/>
          <w:sz w:val="20"/>
        </w:rPr>
        <w:t xml:space="preserve">Except for the future minimum payments due on the Loan Facility with Hercules set forth in “Note 6 – Long Term Debt” to the condensed consolidated financial statements included in this Quarterly Report on Form 10-Q, no significant changes to contractual obligations and commitments occurred during the three months ended March 31, 2023, as compared to those disclosed in our Annual Report on Form 10-K for the fiscal year ended December 31, 2022 filed with the SEC on February 23,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rPr/>
      </w:pPr>
      <w:r>
        <w:rPr/>
      </w:r>
    </w:p>
    <w:tbl>
      <w:tblPr>
        <w:tblW w:w="5950" w:type="dxa"/>
        <w:jc w:val="left"/>
        <w:tblInd w:w="0" w:type="dxa"/>
        <w:tblCellMar>
          <w:top w:w="0" w:type="dxa"/>
          <w:left w:w="0" w:type="dxa"/>
          <w:bottom w:w="0" w:type="dxa"/>
          <w:right w:w="0" w:type="dxa"/>
        </w:tblCellMar>
      </w:tblPr>
      <w:tblGrid>
        <w:gridCol w:w="740"/>
        <w:gridCol w:w="5210"/>
      </w:tblGrid>
      <w:tr>
        <w:trPr/>
        <w:tc>
          <w:tcPr>
            <w:tcW w:w="740" w:type="dxa"/>
            <w:tcBorders/>
            <w:shd w:fill="auto" w:val="clear"/>
            <w:vAlign w:val="center"/>
          </w:tcPr>
          <w:p>
            <w:pPr>
              <w:pStyle w:val="TableContents"/>
              <w:spacing w:before="0" w:after="283"/>
              <w:jc w:val="left"/>
              <w:rPr>
                <w:b/>
              </w:rPr>
            </w:pPr>
            <w:bookmarkStart w:id="5" w:name="tx431523_10"/>
            <w:bookmarkEnd w:id="5"/>
            <w:r>
              <w:rPr>
                <w:b/>
              </w:rPr>
              <w:t>Item 3.</w:t>
            </w:r>
          </w:p>
        </w:tc>
        <w:tc>
          <w:tcPr>
            <w:tcW w:w="521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spacing w:before="120" w:after="0"/>
        <w:jc w:val="left"/>
        <w:rPr>
          <w:rFonts w:ascii="Times New Roman" w:hAnsi="Times New Roman"/>
          <w:b/>
          <w:i/>
          <w:sz w:val="20"/>
        </w:rPr>
      </w:pPr>
      <w:r>
        <w:rPr>
          <w:rFonts w:ascii="Times New Roman" w:hAnsi="Times New Roman"/>
          <w:b/>
          <w:i/>
          <w:sz w:val="20"/>
        </w:rPr>
        <w:t xml:space="preserve">Interest Rate Risk </w:t>
      </w:r>
    </w:p>
    <w:p>
      <w:pPr>
        <w:pStyle w:val="TextBody"/>
        <w:spacing w:before="120" w:after="0"/>
        <w:jc w:val="left"/>
        <w:rPr>
          <w:rFonts w:ascii="Times New Roman" w:hAnsi="Times New Roman"/>
          <w:sz w:val="20"/>
        </w:rPr>
      </w:pPr>
      <w:r>
        <w:rPr>
          <w:rFonts w:ascii="Times New Roman" w:hAnsi="Times New Roman"/>
          <w:sz w:val="20"/>
        </w:rPr>
        <w:t xml:space="preserve">Our exposure to market risk is confined to our cash, cash equivalents and marketable securities and Loan Facility. We regularly review our investments and monitor the financial markets. We invest in high-quality financial instruments, primarily money market funds, U.S. government and agency securities, government- 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 </w:t>
      </w:r>
    </w:p>
    <w:p>
      <w:pPr>
        <w:pStyle w:val="TextBody"/>
        <w:spacing w:before="240" w:after="0"/>
        <w:jc w:val="left"/>
        <w:rPr>
          <w:rFonts w:ascii="Times New Roman" w:hAnsi="Times New Roman"/>
          <w:sz w:val="20"/>
        </w:rPr>
      </w:pPr>
      <w:r>
        <w:rPr>
          <w:rFonts w:ascii="Times New Roman" w:hAnsi="Times New Roman"/>
          <w:sz w:val="20"/>
        </w:rPr>
        <w:t xml:space="preserve">In May 2022 we entered into a Loan Facility, which has an interest rate that is linked to the prime rate. We do not believe that we have any material exposure to interest rate risk given the current principal amount of the loan. </w:t>
      </w:r>
    </w:p>
    <w:p>
      <w:pPr>
        <w:pStyle w:val="TextBody"/>
        <w:spacing w:before="360" w:after="0"/>
        <w:jc w:val="left"/>
        <w:rPr>
          <w:rFonts w:ascii="Times New Roman" w:hAnsi="Times New Roman"/>
          <w:b/>
          <w:i/>
          <w:sz w:val="20"/>
        </w:rPr>
      </w:pPr>
      <w:r>
        <w:rPr>
          <w:rFonts w:ascii="Times New Roman" w:hAnsi="Times New Roman"/>
          <w:b/>
          <w:i/>
          <w:sz w:val="20"/>
        </w:rPr>
        <w:t xml:space="preserve">Capital Market Risk </w:t>
      </w:r>
    </w:p>
    <w:p>
      <w:pPr>
        <w:pStyle w:val="TextBody"/>
        <w:spacing w:before="120" w:after="0"/>
        <w:jc w:val="left"/>
        <w:rPr>
          <w:rFonts w:ascii="Times New Roman" w:hAnsi="Times New Roman"/>
          <w:sz w:val="20"/>
        </w:rPr>
      </w:pPr>
      <w:r>
        <w:rPr>
          <w:rFonts w:ascii="Times New Roman" w:hAnsi="Times New Roman"/>
          <w:sz w:val="20"/>
        </w:rPr>
        <w:t xml:space="preserve">We currently have no product revenues and depend on funds raised through other sources. One source of funding is through future debt or equity offerings. Our ability to raise funds in this manner depends upon, among other things, capital market forces affecting our stock price and the factors described in our “Cautionary Note Regarding Forward-Looking “Statements.” “Liquidity and Capital Resources” and “Risk Factors” disclosures included or referred to in this filing. </w:t>
      </w:r>
    </w:p>
    <w:p>
      <w:pPr>
        <w:pStyle w:val="TextBody"/>
        <w:spacing w:before="360" w:after="0"/>
        <w:jc w:val="left"/>
        <w:rPr>
          <w:rFonts w:ascii="Times New Roman" w:hAnsi="Times New Roman"/>
          <w:b/>
          <w:i/>
          <w:sz w:val="20"/>
        </w:rPr>
      </w:pPr>
      <w:r>
        <w:rPr>
          <w:rFonts w:ascii="Times New Roman" w:hAnsi="Times New Roman"/>
          <w:b/>
          <w:i/>
          <w:sz w:val="20"/>
        </w:rPr>
        <w:t xml:space="preserve">Effects of Inflation </w:t>
      </w:r>
    </w:p>
    <w:p>
      <w:pPr>
        <w:pStyle w:val="TextBody"/>
        <w:spacing w:before="120" w:after="0"/>
        <w:jc w:val="left"/>
        <w:rPr>
          <w:rFonts w:ascii="Times New Roman" w:hAnsi="Times New Roman"/>
          <w:sz w:val="20"/>
        </w:rPr>
      </w:pPr>
      <w:r>
        <w:rPr>
          <w:rFonts w:ascii="Times New Roman" w:hAnsi="Times New Roman"/>
          <w:sz w:val="20"/>
        </w:rPr>
        <w:t xml:space="preserve">Inflation generally affects us with increased cost of labor and clinical trial costs. We do not believe that inflation and changing prices had a significant impact on our results of operations for any periods presented herein. </w:t>
      </w:r>
    </w:p>
    <w:p>
      <w:pPr>
        <w:pStyle w:val="TextBody"/>
        <w:spacing w:before="0" w:after="0"/>
        <w:jc w:val="left"/>
        <w:rPr/>
      </w:pPr>
      <w:r>
        <w:rPr/>
        <w:t> </w:t>
      </w:r>
    </w:p>
    <w:tbl>
      <w:tblPr>
        <w:tblW w:w="2965" w:type="dxa"/>
        <w:jc w:val="left"/>
        <w:tblInd w:w="0" w:type="dxa"/>
        <w:tblCellMar>
          <w:top w:w="0" w:type="dxa"/>
          <w:left w:w="0" w:type="dxa"/>
          <w:bottom w:w="0" w:type="dxa"/>
          <w:right w:w="0" w:type="dxa"/>
        </w:tblCellMar>
      </w:tblPr>
      <w:tblGrid>
        <w:gridCol w:w="740"/>
        <w:gridCol w:w="2225"/>
      </w:tblGrid>
      <w:tr>
        <w:trPr/>
        <w:tc>
          <w:tcPr>
            <w:tcW w:w="740" w:type="dxa"/>
            <w:tcBorders/>
            <w:shd w:fill="auto" w:val="clear"/>
            <w:vAlign w:val="center"/>
          </w:tcPr>
          <w:p>
            <w:pPr>
              <w:pStyle w:val="TableContents"/>
              <w:spacing w:before="0" w:after="283"/>
              <w:jc w:val="left"/>
              <w:rPr>
                <w:b/>
              </w:rPr>
            </w:pPr>
            <w:bookmarkStart w:id="6" w:name="tx431523_11"/>
            <w:bookmarkEnd w:id="6"/>
            <w:r>
              <w:rPr>
                <w:b/>
              </w:rPr>
              <w:t>Item 4.</w:t>
            </w:r>
          </w:p>
        </w:tc>
        <w:tc>
          <w:tcPr>
            <w:tcW w:w="22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spacing w:before="120" w:after="0"/>
        <w:jc w:val="left"/>
        <w:rPr>
          <w:rFonts w:ascii="Times New Roman" w:hAnsi="Times New Roman"/>
          <w:b/>
          <w:i/>
          <w:sz w:val="20"/>
        </w:rPr>
      </w:pPr>
      <w:r>
        <w:rPr>
          <w:rFonts w:ascii="Times New Roman" w:hAnsi="Times New Roman"/>
          <w:b/>
          <w:i/>
          <w:sz w:val="20"/>
        </w:rPr>
        <w:t xml:space="preserve">Definition and Limitations of Disclosure Controls </w:t>
      </w:r>
    </w:p>
    <w:p>
      <w:pPr>
        <w:pStyle w:val="TextBody"/>
        <w:spacing w:before="120" w:after="0"/>
        <w:jc w:val="left"/>
        <w:rPr>
          <w:rFonts w:ascii="Times New Roman" w:hAnsi="Times New Roman"/>
          <w:sz w:val="20"/>
        </w:rPr>
      </w:pPr>
      <w:r>
        <w:rPr>
          <w:rFonts w:ascii="Times New Roman" w:hAnsi="Times New Roman"/>
          <w:sz w:val="20"/>
        </w:rPr>
        <w:t xml:space="preserve">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 </w:t>
      </w:r>
    </w:p>
    <w:p>
      <w:pPr>
        <w:pStyle w:val="TextBody"/>
        <w:spacing w:before="240" w:after="0"/>
        <w:jc w:val="left"/>
        <w:rPr>
          <w:rFonts w:ascii="Times New Roman" w:hAnsi="Times New Roman"/>
          <w:sz w:val="20"/>
        </w:rPr>
      </w:pPr>
      <w:r>
        <w:rPr>
          <w:rFonts w:ascii="Times New Roman" w:hAnsi="Times New Roman"/>
          <w:sz w:val="20"/>
        </w:rPr>
        <w:t xml:space="preserve">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 </w:t>
      </w:r>
    </w:p>
    <w:p>
      <w:pPr>
        <w:pStyle w:val="TextBody"/>
        <w:spacing w:before="360" w:after="0"/>
        <w:jc w:val="left"/>
        <w:rPr>
          <w:rFonts w:ascii="Times New Roman" w:hAnsi="Times New Roman"/>
          <w:b/>
          <w:i/>
          <w:sz w:val="20"/>
        </w:rPr>
      </w:pPr>
      <w:r>
        <w:rPr>
          <w:rFonts w:ascii="Times New Roman" w:hAnsi="Times New Roman"/>
          <w:b/>
          <w:i/>
          <w:sz w:val="20"/>
        </w:rPr>
        <w:t xml:space="preserve">Limitations on the Effectiveness of Controls and Procedures </w:t>
      </w:r>
    </w:p>
    <w:p>
      <w:pPr>
        <w:pStyle w:val="TextBody"/>
        <w:spacing w:before="120" w:after="0"/>
        <w:jc w:val="left"/>
        <w:rPr>
          <w:rFonts w:ascii="Times New Roman" w:hAnsi="Times New Roman"/>
          <w:sz w:val="20"/>
        </w:rPr>
      </w:pPr>
      <w:r>
        <w:rPr>
          <w:rFonts w:ascii="Times New Roman" w:hAnsi="Times New Roman"/>
          <w:sz w:val="20"/>
        </w:rPr>
        <w:t xml:space="preserve">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w:t>
      </w:r>
    </w:p>
    <w:p>
      <w:pPr>
        <w:pStyle w:val="TextBody"/>
        <w:spacing w:before="360" w:after="0"/>
        <w:jc w:val="left"/>
        <w:rPr>
          <w:rFonts w:ascii="Times New Roman" w:hAnsi="Times New Roman"/>
          <w:b/>
          <w:i/>
          <w:sz w:val="20"/>
        </w:rPr>
      </w:pPr>
      <w:r>
        <w:rPr>
          <w:rFonts w:ascii="Times New Roman" w:hAnsi="Times New Roman"/>
          <w:b/>
          <w:i/>
          <w:sz w:val="20"/>
        </w:rPr>
        <w:t xml:space="preserve">Changes in Internal Control over Financial Reporting </w:t>
      </w:r>
    </w:p>
    <w:p>
      <w:pPr>
        <w:pStyle w:val="TextBody"/>
        <w:spacing w:before="120" w:after="0"/>
        <w:jc w:val="left"/>
        <w:rPr>
          <w:rFonts w:ascii="Times New Roman" w:hAnsi="Times New Roman"/>
          <w:sz w:val="20"/>
        </w:rPr>
      </w:pPr>
      <w:r>
        <w:rPr>
          <w:rFonts w:ascii="Times New Roman" w:hAnsi="Times New Roman"/>
          <w:sz w:val="20"/>
        </w:rPr>
        <w:t xml:space="preserve">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rPr/>
      </w:pPr>
      <w:r>
        <w:rPr/>
      </w:r>
    </w:p>
    <w:p>
      <w:pPr>
        <w:pStyle w:val="TextBody"/>
        <w:spacing w:before="0" w:after="0"/>
        <w:jc w:val="center"/>
        <w:rPr>
          <w:rFonts w:ascii="Times New Roman" w:hAnsi="Times New Roman"/>
          <w:b/>
          <w:sz w:val="20"/>
        </w:rPr>
      </w:pPr>
      <w:bookmarkStart w:id="7" w:name="tx431523_12"/>
      <w:bookmarkEnd w:id="7"/>
      <w:r>
        <w:rPr>
          <w:rFonts w:ascii="Times New Roman" w:hAnsi="Times New Roman"/>
          <w:b/>
          <w:sz w:val="20"/>
        </w:rPr>
        <w:t xml:space="preserve">PART II – OTHER INFORMATION </w:t>
      </w:r>
    </w:p>
    <w:p>
      <w:pPr>
        <w:pStyle w:val="TextBody"/>
        <w:spacing w:before="0" w:after="0"/>
        <w:jc w:val="left"/>
        <w:rPr/>
      </w:pPr>
      <w:r>
        <w:rPr/>
        <w:t> </w:t>
      </w:r>
    </w:p>
    <w:tbl>
      <w:tblPr>
        <w:tblW w:w="2440" w:type="dxa"/>
        <w:jc w:val="left"/>
        <w:tblInd w:w="0" w:type="dxa"/>
        <w:tblCellMar>
          <w:top w:w="0" w:type="dxa"/>
          <w:left w:w="0" w:type="dxa"/>
          <w:bottom w:w="0" w:type="dxa"/>
          <w:right w:w="0" w:type="dxa"/>
        </w:tblCellMar>
      </w:tblPr>
      <w:tblGrid>
        <w:gridCol w:w="740"/>
        <w:gridCol w:w="1700"/>
      </w:tblGrid>
      <w:tr>
        <w:trPr/>
        <w:tc>
          <w:tcPr>
            <w:tcW w:w="740" w:type="dxa"/>
            <w:tcBorders/>
            <w:shd w:fill="auto" w:val="clear"/>
            <w:vAlign w:val="center"/>
          </w:tcPr>
          <w:p>
            <w:pPr>
              <w:pStyle w:val="TableContents"/>
              <w:spacing w:before="0" w:after="283"/>
              <w:jc w:val="left"/>
              <w:rPr>
                <w:b/>
              </w:rPr>
            </w:pPr>
            <w:bookmarkStart w:id="8" w:name="tx431523_13"/>
            <w:bookmarkEnd w:id="8"/>
            <w:r>
              <w:rPr>
                <w:b/>
              </w:rPr>
              <w:t>Item 1.</w:t>
            </w:r>
          </w:p>
        </w:tc>
        <w:tc>
          <w:tcPr>
            <w:tcW w:w="170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Legal Proceedings. </w:t>
            </w:r>
          </w:p>
        </w:tc>
      </w:tr>
    </w:tbl>
    <w:p>
      <w:pPr>
        <w:pStyle w:val="TextBody"/>
        <w:spacing w:before="120" w:after="0"/>
        <w:jc w:val="left"/>
        <w:rPr>
          <w:rFonts w:ascii="Times New Roman" w:hAnsi="Times New Roman"/>
          <w:sz w:val="20"/>
        </w:rPr>
      </w:pPr>
      <w:r>
        <w:rPr>
          <w:rFonts w:ascii="Times New Roman" w:hAnsi="Times New Roman"/>
          <w:sz w:val="20"/>
        </w:rPr>
        <w:t xml:space="preserve">We are not party to any material pending legal proceedings. From time to time, we may be involved in legal proceedings arising in the ordinary course of business. </w:t>
      </w:r>
    </w:p>
    <w:p>
      <w:pPr>
        <w:pStyle w:val="TextBody"/>
        <w:spacing w:before="0" w:after="0"/>
        <w:jc w:val="left"/>
        <w:rPr/>
      </w:pPr>
      <w:r>
        <w:rPr/>
        <w:t> </w:t>
      </w:r>
    </w:p>
    <w:tbl>
      <w:tblPr>
        <w:tblW w:w="2110" w:type="dxa"/>
        <w:jc w:val="left"/>
        <w:tblInd w:w="0" w:type="dxa"/>
        <w:tblCellMar>
          <w:top w:w="0" w:type="dxa"/>
          <w:left w:w="0" w:type="dxa"/>
          <w:bottom w:w="0" w:type="dxa"/>
          <w:right w:w="0" w:type="dxa"/>
        </w:tblCellMar>
      </w:tblPr>
      <w:tblGrid>
        <w:gridCol w:w="920"/>
        <w:gridCol w:w="1190"/>
      </w:tblGrid>
      <w:tr>
        <w:trPr/>
        <w:tc>
          <w:tcPr>
            <w:tcW w:w="920" w:type="dxa"/>
            <w:tcBorders/>
            <w:shd w:fill="auto" w:val="clear"/>
            <w:vAlign w:val="center"/>
          </w:tcPr>
          <w:p>
            <w:pPr>
              <w:pStyle w:val="TableContents"/>
              <w:spacing w:before="0" w:after="283"/>
              <w:jc w:val="left"/>
              <w:rPr>
                <w:b/>
              </w:rPr>
            </w:pPr>
            <w:bookmarkStart w:id="9" w:name="tx431523_14"/>
            <w:bookmarkEnd w:id="9"/>
            <w:r>
              <w:rPr>
                <w:b/>
              </w:rPr>
              <w:t>Item 1A.</w:t>
            </w:r>
          </w:p>
        </w:tc>
        <w:tc>
          <w:tcPr>
            <w:tcW w:w="119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Risk Factors. </w:t>
            </w:r>
          </w:p>
        </w:tc>
      </w:tr>
    </w:tbl>
    <w:p>
      <w:pPr>
        <w:pStyle w:val="TextBody"/>
        <w:spacing w:before="120" w:after="0"/>
        <w:jc w:val="left"/>
        <w:rPr>
          <w:rFonts w:ascii="Times New Roman" w:hAnsi="Times New Roman"/>
          <w:sz w:val="20"/>
        </w:rPr>
      </w:pPr>
      <w:r>
        <w:rPr>
          <w:rFonts w:ascii="Times New Roman" w:hAnsi="Times New Roman"/>
          <w:sz w:val="20"/>
        </w:rPr>
        <w:t xml:space="preserve">There have been no material changes to the risk factors included in detail in the “Risk Factors” sections appearing in Part I, Item 1A of our Annual Report on Form 10-K for the year ended December 31, 2022, filed with the SEC on February 23, 2023 (the “Annual Report”). </w:t>
      </w:r>
    </w:p>
    <w:p>
      <w:pPr>
        <w:pStyle w:val="TextBody"/>
        <w:spacing w:before="0" w:after="0"/>
        <w:jc w:val="left"/>
        <w:rPr/>
      </w:pPr>
      <w:r>
        <w:rPr/>
        <w:t> </w:t>
      </w:r>
    </w:p>
    <w:tbl>
      <w:tblPr>
        <w:tblW w:w="5860" w:type="dxa"/>
        <w:jc w:val="left"/>
        <w:tblInd w:w="0" w:type="dxa"/>
        <w:tblCellMar>
          <w:top w:w="0" w:type="dxa"/>
          <w:left w:w="0" w:type="dxa"/>
          <w:bottom w:w="0" w:type="dxa"/>
          <w:right w:w="0" w:type="dxa"/>
        </w:tblCellMar>
      </w:tblPr>
      <w:tblGrid>
        <w:gridCol w:w="740"/>
        <w:gridCol w:w="5120"/>
      </w:tblGrid>
      <w:tr>
        <w:trPr/>
        <w:tc>
          <w:tcPr>
            <w:tcW w:w="740" w:type="dxa"/>
            <w:tcBorders/>
            <w:shd w:fill="auto" w:val="clear"/>
            <w:vAlign w:val="center"/>
          </w:tcPr>
          <w:p>
            <w:pPr>
              <w:pStyle w:val="TableContents"/>
              <w:spacing w:before="0" w:after="283"/>
              <w:jc w:val="left"/>
              <w:rPr>
                <w:b/>
              </w:rPr>
            </w:pPr>
            <w:bookmarkStart w:id="10" w:name="tx431523_15"/>
            <w:bookmarkEnd w:id="10"/>
            <w:r>
              <w:rPr>
                <w:b/>
              </w:rPr>
              <w:t>Item 2.</w:t>
            </w:r>
          </w:p>
        </w:tc>
        <w:tc>
          <w:tcPr>
            <w:tcW w:w="512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Unregistered Sales of Equity Securities and Use of Proceeds. </w:t>
            </w:r>
          </w:p>
        </w:tc>
      </w:tr>
    </w:tbl>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0" w:after="0"/>
        <w:jc w:val="left"/>
        <w:rPr/>
      </w:pPr>
      <w:r>
        <w:rPr/>
        <w:t> </w:t>
      </w:r>
    </w:p>
    <w:tbl>
      <w:tblPr>
        <w:tblW w:w="3520" w:type="dxa"/>
        <w:jc w:val="left"/>
        <w:tblInd w:w="0" w:type="dxa"/>
        <w:tblCellMar>
          <w:top w:w="0" w:type="dxa"/>
          <w:left w:w="0" w:type="dxa"/>
          <w:bottom w:w="0" w:type="dxa"/>
          <w:right w:w="0" w:type="dxa"/>
        </w:tblCellMar>
      </w:tblPr>
      <w:tblGrid>
        <w:gridCol w:w="740"/>
        <w:gridCol w:w="2780"/>
      </w:tblGrid>
      <w:tr>
        <w:trPr/>
        <w:tc>
          <w:tcPr>
            <w:tcW w:w="740" w:type="dxa"/>
            <w:tcBorders/>
            <w:shd w:fill="auto" w:val="clear"/>
            <w:vAlign w:val="center"/>
          </w:tcPr>
          <w:p>
            <w:pPr>
              <w:pStyle w:val="TableContents"/>
              <w:spacing w:before="0" w:after="283"/>
              <w:jc w:val="left"/>
              <w:rPr>
                <w:b/>
              </w:rPr>
            </w:pPr>
            <w:bookmarkStart w:id="11" w:name="tx431523_16"/>
            <w:bookmarkEnd w:id="11"/>
            <w:r>
              <w:rPr>
                <w:b/>
              </w:rPr>
              <w:t>Item 3.</w:t>
            </w:r>
          </w:p>
        </w:tc>
        <w:tc>
          <w:tcPr>
            <w:tcW w:w="27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Defaults Upon Senior Securities. </w:t>
            </w:r>
          </w:p>
        </w:tc>
      </w:tr>
    </w:tbl>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0" w:after="0"/>
        <w:jc w:val="left"/>
        <w:rPr/>
      </w:pPr>
      <w:r>
        <w:rPr/>
        <w:t> </w:t>
      </w:r>
    </w:p>
    <w:tbl>
      <w:tblPr>
        <w:tblW w:w="2875" w:type="dxa"/>
        <w:jc w:val="left"/>
        <w:tblInd w:w="0" w:type="dxa"/>
        <w:tblCellMar>
          <w:top w:w="0" w:type="dxa"/>
          <w:left w:w="0" w:type="dxa"/>
          <w:bottom w:w="0" w:type="dxa"/>
          <w:right w:w="0" w:type="dxa"/>
        </w:tblCellMar>
      </w:tblPr>
      <w:tblGrid>
        <w:gridCol w:w="740"/>
        <w:gridCol w:w="2135"/>
      </w:tblGrid>
      <w:tr>
        <w:trPr/>
        <w:tc>
          <w:tcPr>
            <w:tcW w:w="740" w:type="dxa"/>
            <w:tcBorders/>
            <w:shd w:fill="auto" w:val="clear"/>
            <w:vAlign w:val="center"/>
          </w:tcPr>
          <w:p>
            <w:pPr>
              <w:pStyle w:val="TableContents"/>
              <w:spacing w:before="0" w:after="283"/>
              <w:jc w:val="left"/>
              <w:rPr>
                <w:b/>
              </w:rPr>
            </w:pPr>
            <w:bookmarkStart w:id="12" w:name="tx431523_17"/>
            <w:bookmarkEnd w:id="12"/>
            <w:r>
              <w:rPr>
                <w:b/>
              </w:rPr>
              <w:t>Item 4.</w:t>
            </w:r>
          </w:p>
        </w:tc>
        <w:tc>
          <w:tcPr>
            <w:tcW w:w="21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Mine Safety Disclosures.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2440" w:type="dxa"/>
        <w:jc w:val="left"/>
        <w:tblInd w:w="0" w:type="dxa"/>
        <w:tblCellMar>
          <w:top w:w="0" w:type="dxa"/>
          <w:left w:w="0" w:type="dxa"/>
          <w:bottom w:w="0" w:type="dxa"/>
          <w:right w:w="0" w:type="dxa"/>
        </w:tblCellMar>
      </w:tblPr>
      <w:tblGrid>
        <w:gridCol w:w="740"/>
        <w:gridCol w:w="1700"/>
      </w:tblGrid>
      <w:tr>
        <w:trPr/>
        <w:tc>
          <w:tcPr>
            <w:tcW w:w="740" w:type="dxa"/>
            <w:tcBorders/>
            <w:shd w:fill="auto" w:val="clear"/>
            <w:vAlign w:val="center"/>
          </w:tcPr>
          <w:p>
            <w:pPr>
              <w:pStyle w:val="TableContents"/>
              <w:spacing w:before="0" w:after="283"/>
              <w:jc w:val="left"/>
              <w:rPr>
                <w:b/>
              </w:rPr>
            </w:pPr>
            <w:bookmarkStart w:id="13" w:name="tx431523_18"/>
            <w:bookmarkEnd w:id="13"/>
            <w:r>
              <w:rPr>
                <w:b/>
              </w:rPr>
              <w:t>Item 5.</w:t>
            </w:r>
          </w:p>
        </w:tc>
        <w:tc>
          <w:tcPr>
            <w:tcW w:w="170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Other Information. </w:t>
            </w:r>
          </w:p>
        </w:tc>
      </w:tr>
    </w:tbl>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0" w:after="0"/>
        <w:jc w:val="left"/>
        <w:rPr/>
      </w:pPr>
      <w:r>
        <w:rPr/>
        <w:t> </w:t>
      </w:r>
    </w:p>
    <w:tbl>
      <w:tblPr>
        <w:tblW w:w="1570" w:type="dxa"/>
        <w:jc w:val="left"/>
        <w:tblInd w:w="0" w:type="dxa"/>
        <w:tblCellMar>
          <w:top w:w="0" w:type="dxa"/>
          <w:left w:w="0" w:type="dxa"/>
          <w:bottom w:w="0" w:type="dxa"/>
          <w:right w:w="0" w:type="dxa"/>
        </w:tblCellMar>
      </w:tblPr>
      <w:tblGrid>
        <w:gridCol w:w="740"/>
        <w:gridCol w:w="830"/>
      </w:tblGrid>
      <w:tr>
        <w:trPr/>
        <w:tc>
          <w:tcPr>
            <w:tcW w:w="740" w:type="dxa"/>
            <w:tcBorders/>
            <w:shd w:fill="auto" w:val="clear"/>
            <w:vAlign w:val="center"/>
          </w:tcPr>
          <w:p>
            <w:pPr>
              <w:pStyle w:val="TableContents"/>
              <w:spacing w:before="0" w:after="283"/>
              <w:jc w:val="left"/>
              <w:rPr>
                <w:b/>
              </w:rPr>
            </w:pPr>
            <w:bookmarkStart w:id="14" w:name="tx431523_19"/>
            <w:bookmarkEnd w:id="14"/>
            <w:r>
              <w:rPr>
                <w:b/>
              </w:rPr>
              <w:t>Item 6.</w:t>
            </w:r>
          </w:p>
        </w:tc>
        <w:tc>
          <w:tcPr>
            <w:tcW w:w="83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spacing w:before="120" w:after="0"/>
        <w:jc w:val="left"/>
        <w:rPr>
          <w:rFonts w:ascii="Times New Roman" w:hAnsi="Times New Roman"/>
          <w:sz w:val="20"/>
        </w:rPr>
      </w:pPr>
      <w:r>
        <w:rPr>
          <w:rFonts w:ascii="Times New Roman" w:hAnsi="Times New Roman"/>
          <w:sz w:val="20"/>
        </w:rPr>
        <w:t xml:space="preserve">The exhibits filed or furnished as part of this Quarterly Report on Form 10-Q are set forth on the Exhibit Index, which Exhibit Index is incorporated herein by reference.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50"/>
        <w:gridCol w:w="120"/>
        <w:gridCol w:w="4463"/>
        <w:gridCol w:w="120"/>
        <w:gridCol w:w="801"/>
        <w:gridCol w:w="120"/>
        <w:gridCol w:w="837"/>
        <w:gridCol w:w="120"/>
        <w:gridCol w:w="770"/>
        <w:gridCol w:w="120"/>
        <w:gridCol w:w="1192"/>
        <w:gridCol w:w="120"/>
        <w:gridCol w:w="160"/>
        <w:gridCol w:w="535"/>
        <w:gridCol w:w="77"/>
      </w:tblGrid>
      <w:tr>
        <w:trPr/>
        <w:tc>
          <w:tcPr>
            <w:tcW w:w="6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6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650" w:type="dxa"/>
            <w:vMerge w:val="restart"/>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spacing w:before="0" w:after="20"/>
              <w:jc w:val="center"/>
              <w:rPr>
                <w:rFonts w:ascii="Times New Roman" w:hAnsi="Times New Roman"/>
                <w:b/>
                <w:sz w:val="16"/>
              </w:rPr>
            </w:pPr>
            <w:r>
              <w:rPr>
                <w:rFonts w:ascii="Times New Roman" w:hAnsi="Times New Roman"/>
                <w:b/>
                <w:sz w:val="16"/>
              </w:rPr>
              <w:t>Number</w:t>
            </w:r>
          </w:p>
        </w:tc>
        <w:tc>
          <w:tcPr>
            <w:tcW w:w="120" w:type="dxa"/>
            <w:vMerge w:val="restart"/>
            <w:tcBorders/>
            <w:shd w:fill="auto" w:val="clear"/>
            <w:vAlign w:val="center"/>
          </w:tcPr>
          <w:p>
            <w:pPr>
              <w:pStyle w:val="TableContents"/>
              <w:spacing w:before="0" w:after="283"/>
              <w:rPr/>
            </w:pPr>
            <w:r>
              <w:rPr/>
              <w:t>  </w:t>
            </w:r>
          </w:p>
        </w:tc>
        <w:tc>
          <w:tcPr>
            <w:tcW w:w="4463" w:type="dxa"/>
            <w:vMerge w:val="restart"/>
            <w:tcBorders/>
            <w:shd w:fill="auto" w:val="clear"/>
            <w:vAlign w:val="center"/>
          </w:tcPr>
          <w:p>
            <w:pPr>
              <w:pStyle w:val="TableContents"/>
              <w:spacing w:before="0" w:after="283"/>
              <w:jc w:val="center"/>
              <w:rPr>
                <w:b/>
              </w:rPr>
            </w:pPr>
            <w:r>
              <w:rPr>
                <w:b/>
              </w:rPr>
              <w:t>Exhibit Description</w:t>
            </w:r>
          </w:p>
        </w:tc>
        <w:tc>
          <w:tcPr>
            <w:tcW w:w="120" w:type="dxa"/>
            <w:tcBorders/>
            <w:shd w:fill="auto" w:val="clear"/>
            <w:vAlign w:val="center"/>
          </w:tcPr>
          <w:p>
            <w:pPr>
              <w:pStyle w:val="TableContents"/>
              <w:spacing w:before="0" w:after="283"/>
              <w:rPr/>
            </w:pPr>
            <w:r>
              <w:rPr/>
              <w:t>  </w:t>
            </w:r>
          </w:p>
        </w:tc>
        <w:tc>
          <w:tcPr>
            <w:tcW w:w="3960" w:type="dxa"/>
            <w:gridSpan w:val="7"/>
            <w:tcBorders/>
            <w:shd w:fill="auto" w:val="clear"/>
            <w:vAlign w:val="center"/>
          </w:tcPr>
          <w:p>
            <w:pPr>
              <w:pStyle w:val="TableContents"/>
              <w:spacing w:before="0" w:after="283"/>
              <w:jc w:val="center"/>
              <w:rPr>
                <w:b/>
              </w:rPr>
            </w:pPr>
            <w:r>
              <w:rPr>
                <w:b/>
              </w:rPr>
              <w:t>Incorporated by Reference</w:t>
            </w:r>
          </w:p>
        </w:tc>
        <w:tc>
          <w:tcPr>
            <w:tcW w:w="120" w:type="dxa"/>
            <w:vMerge w:val="restart"/>
            <w:tcBorders/>
            <w:shd w:fill="auto" w:val="clear"/>
            <w:vAlign w:val="center"/>
          </w:tcPr>
          <w:p>
            <w:pPr>
              <w:pStyle w:val="TableContents"/>
              <w:spacing w:before="0" w:after="283"/>
              <w:rPr/>
            </w:pPr>
            <w:r>
              <w:rPr/>
              <w:t>  </w:t>
            </w:r>
          </w:p>
        </w:tc>
        <w:tc>
          <w:tcPr>
            <w:tcW w:w="695" w:type="dxa"/>
            <w:gridSpan w:val="2"/>
            <w:vMerge w:val="restart"/>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Filed</w:t>
            </w:r>
          </w:p>
          <w:p>
            <w:pPr>
              <w:pStyle w:val="TableContents"/>
              <w:spacing w:before="0" w:after="20"/>
              <w:jc w:val="center"/>
              <w:rPr>
                <w:rFonts w:ascii="Times New Roman" w:hAnsi="Times New Roman"/>
                <w:b/>
                <w:sz w:val="16"/>
              </w:rPr>
            </w:pPr>
            <w:r>
              <w:rPr>
                <w:rFonts w:ascii="Times New Roman" w:hAnsi="Times New Roman"/>
                <w:b/>
                <w:sz w:val="16"/>
              </w:rPr>
              <w:t>Herewith</w:t>
            </w:r>
          </w:p>
        </w:tc>
        <w:tc>
          <w:tcPr>
            <w:tcW w:w="77" w:type="dxa"/>
            <w:vMerge w:val="restart"/>
            <w:tcBorders/>
            <w:shd w:fill="auto" w:val="clear"/>
            <w:vAlign w:val="center"/>
          </w:tcPr>
          <w:p>
            <w:pPr>
              <w:pStyle w:val="TableContents"/>
              <w:spacing w:before="0" w:after="283"/>
              <w:rPr/>
            </w:pPr>
            <w:r>
              <w:rPr/>
              <w:t> </w:t>
            </w:r>
          </w:p>
        </w:tc>
      </w:tr>
      <w:tr>
        <w:trPr/>
        <w:tc>
          <w:tcPr>
            <w:tcW w:w="650"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4463"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jc w:val="center"/>
              <w:rPr>
                <w:b/>
              </w:rPr>
            </w:pPr>
            <w:r>
              <w:rPr>
                <w:b/>
              </w:rPr>
              <w:t>Form</w:t>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jc w:val="center"/>
              <w:rPr>
                <w:b/>
              </w:rPr>
            </w:pPr>
            <w:r>
              <w:rPr>
                <w:b/>
              </w:rPr>
              <w:t>File No.</w:t>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center"/>
              <w:rPr>
                <w:b/>
              </w:rPr>
            </w:pPr>
            <w:r>
              <w:rPr>
                <w:b/>
              </w:rPr>
              <w:t>Exhibit</w:t>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center"/>
              <w:rPr>
                <w:b/>
              </w:rPr>
            </w:pPr>
            <w:r>
              <w:rPr>
                <w:b/>
              </w:rPr>
              <w:t>Filing Date</w:t>
            </w:r>
          </w:p>
        </w:tc>
        <w:tc>
          <w:tcPr>
            <w:tcW w:w="120" w:type="dxa"/>
            <w:vMerge w:val="continue"/>
            <w:tcBorders/>
            <w:shd w:fill="auto" w:val="clear"/>
            <w:vAlign w:val="center"/>
          </w:tcPr>
          <w:p>
            <w:pPr>
              <w:pStyle w:val="Normal"/>
              <w:rPr/>
            </w:pPr>
            <w:r>
              <w:rPr/>
            </w:r>
          </w:p>
        </w:tc>
        <w:tc>
          <w:tcPr>
            <w:tcW w:w="695" w:type="dxa"/>
            <w:gridSpan w:val="2"/>
            <w:vMerge w:val="continue"/>
            <w:tcBorders/>
            <w:shd w:fill="auto" w:val="clear"/>
            <w:vAlign w:val="center"/>
          </w:tcPr>
          <w:p>
            <w:pPr>
              <w:pStyle w:val="Normal"/>
              <w:rPr/>
            </w:pPr>
            <w:r>
              <w:rPr/>
            </w:r>
          </w:p>
        </w:tc>
        <w:tc>
          <w:tcPr>
            <w:tcW w:w="77" w:type="dxa"/>
            <w:vMerge w:val="continue"/>
            <w:tcBorders/>
            <w:shd w:fill="auto" w:val="clear"/>
            <w:vAlign w:val="center"/>
          </w:tcPr>
          <w:p>
            <w:pPr>
              <w:pStyle w:val="Normal"/>
              <w:rPr/>
            </w:pPr>
            <w:r>
              <w:rPr/>
            </w:r>
          </w:p>
        </w:tc>
      </w:tr>
      <w:tr>
        <w:trPr/>
        <w:tc>
          <w:tcPr>
            <w:tcW w:w="650" w:type="dxa"/>
            <w:tcBorders/>
            <w:shd w:fill="auto" w:val="clear"/>
            <w:vAlign w:val="center"/>
          </w:tcPr>
          <w:p>
            <w:pPr>
              <w:pStyle w:val="TableContents"/>
              <w:spacing w:before="0" w:after="283"/>
              <w:rPr>
                <w:sz w:val="4"/>
                <w:szCs w:val="4"/>
              </w:rPr>
            </w:pPr>
            <w:r>
              <w:rPr>
                <w:sz w:val="4"/>
                <w:szCs w:val="4"/>
              </w:rPr>
            </w:r>
          </w:p>
        </w:tc>
        <w:tc>
          <w:tcPr>
            <w:tcW w:w="4583" w:type="dxa"/>
            <w:gridSpan w:val="2"/>
            <w:tcBorders/>
            <w:shd w:fill="auto" w:val="clear"/>
            <w:vAlign w:val="center"/>
          </w:tcPr>
          <w:p>
            <w:pPr>
              <w:pStyle w:val="TableContents"/>
              <w:spacing w:before="0" w:after="283"/>
              <w:rPr>
                <w:sz w:val="4"/>
                <w:szCs w:val="4"/>
              </w:rPr>
            </w:pPr>
            <w:r>
              <w:rPr>
                <w:sz w:val="4"/>
                <w:szCs w:val="4"/>
              </w:rPr>
            </w:r>
          </w:p>
        </w:tc>
        <w:tc>
          <w:tcPr>
            <w:tcW w:w="921" w:type="dxa"/>
            <w:gridSpan w:val="2"/>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c>
          <w:tcPr>
            <w:tcW w:w="892" w:type="dxa"/>
            <w:gridSpan w:val="4"/>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pPr>
            <w:r>
              <w:rPr/>
              <w:t>  </w:t>
            </w:r>
            <w:r>
              <w:rPr/>
              <w:t>4.1</w:t>
            </w:r>
          </w:p>
        </w:tc>
        <w:tc>
          <w:tcPr>
            <w:tcW w:w="120" w:type="dxa"/>
            <w:tcBorders/>
            <w:shd w:fill="auto" w:val="clear"/>
            <w:vAlign w:val="center"/>
          </w:tcPr>
          <w:p>
            <w:pPr>
              <w:pStyle w:val="TableContents"/>
              <w:spacing w:before="0" w:after="283"/>
              <w:rPr/>
            </w:pPr>
            <w:r>
              <w:rPr/>
              <w:t>  </w:t>
            </w:r>
          </w:p>
        </w:tc>
        <w:tc>
          <w:tcPr>
            <w:tcW w:w="4463" w:type="dxa"/>
            <w:tcBorders/>
            <w:shd w:fill="auto" w:val="clear"/>
            <w:vAlign w:val="center"/>
          </w:tcPr>
          <w:p>
            <w:pPr>
              <w:pStyle w:val="TableContents"/>
              <w:spacing w:before="0" w:after="283"/>
              <w:rPr/>
            </w:pPr>
            <w:hyperlink r:id="rId2">
              <w:r>
                <w:rPr>
                  <w:rStyle w:val="InternetLink"/>
                </w:rPr>
                <w:t xml:space="preserve">Form of Tranche 2 Warrant Agreement, dated February 3, 2023, by and among Madrigal Pharmaceuticals, Inc. and Hercules Capital, Inc. and affiliates. </w:t>
              </w:r>
            </w:hyperlink>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jc w:val="center"/>
              <w:rPr/>
            </w:pPr>
            <w:r>
              <w:rPr/>
              <w:t>Form 8-K</w:t>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jc w:val="center"/>
              <w:rPr/>
            </w:pPr>
            <w:r>
              <w:rPr/>
              <w:t>001-33277</w:t>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center"/>
              <w:rPr/>
            </w:pPr>
            <w:r>
              <w:rPr/>
              <w:t>4.1</w:t>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center"/>
              <w:rPr/>
            </w:pPr>
            <w:r>
              <w:rPr/>
              <w:t>February 9, 2023</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sz w:val="4"/>
                <w:szCs w:val="4"/>
              </w:rPr>
            </w:pPr>
            <w:r>
              <w:rPr>
                <w:sz w:val="4"/>
                <w:szCs w:val="4"/>
              </w:rPr>
            </w:r>
          </w:p>
        </w:tc>
        <w:tc>
          <w:tcPr>
            <w:tcW w:w="4583" w:type="dxa"/>
            <w:gridSpan w:val="2"/>
            <w:tcBorders/>
            <w:shd w:fill="auto" w:val="clear"/>
            <w:vAlign w:val="center"/>
          </w:tcPr>
          <w:p>
            <w:pPr>
              <w:pStyle w:val="TableContents"/>
              <w:spacing w:before="0" w:after="283"/>
              <w:rPr>
                <w:sz w:val="4"/>
                <w:szCs w:val="4"/>
              </w:rPr>
            </w:pPr>
            <w:r>
              <w:rPr>
                <w:sz w:val="4"/>
                <w:szCs w:val="4"/>
              </w:rPr>
            </w:r>
          </w:p>
        </w:tc>
        <w:tc>
          <w:tcPr>
            <w:tcW w:w="921" w:type="dxa"/>
            <w:gridSpan w:val="2"/>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c>
          <w:tcPr>
            <w:tcW w:w="892" w:type="dxa"/>
            <w:gridSpan w:val="4"/>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pPr>
            <w:r>
              <w:rPr/>
              <w:t>10.1†</w:t>
            </w:r>
          </w:p>
        </w:tc>
        <w:tc>
          <w:tcPr>
            <w:tcW w:w="120" w:type="dxa"/>
            <w:tcBorders/>
            <w:shd w:fill="auto" w:val="clear"/>
            <w:vAlign w:val="center"/>
          </w:tcPr>
          <w:p>
            <w:pPr>
              <w:pStyle w:val="TableContents"/>
              <w:spacing w:before="0" w:after="283"/>
              <w:rPr/>
            </w:pPr>
            <w:r>
              <w:rPr/>
              <w:t>  </w:t>
            </w:r>
          </w:p>
        </w:tc>
        <w:tc>
          <w:tcPr>
            <w:tcW w:w="4463" w:type="dxa"/>
            <w:tcBorders/>
            <w:shd w:fill="auto" w:val="clear"/>
            <w:vAlign w:val="center"/>
          </w:tcPr>
          <w:p>
            <w:pPr>
              <w:pStyle w:val="TableContents"/>
              <w:spacing w:before="0" w:after="283"/>
              <w:rPr/>
            </w:pPr>
            <w:hyperlink r:id="rId3">
              <w:r>
                <w:rPr>
                  <w:rStyle w:val="InternetLink"/>
                </w:rPr>
                <w:t xml:space="preserve">Loan and Security Agreement, dated May 9, 2022, as amended by the First Amendment to Loan and Security Agreement, dated February 3, 2023, by and among Madrigal Pharmaceuticals, Inc., Canticle Pharmaceuticals, Inc., the several banks and other financial institutions or entities from time to time party thereto and Hercules Capital, Inc. </w:t>
              </w:r>
            </w:hyperlink>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jc w:val="center"/>
              <w:rPr/>
            </w:pPr>
            <w:r>
              <w:rPr/>
              <w:t>Form 8-K</w:t>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jc w:val="center"/>
              <w:rPr/>
            </w:pPr>
            <w:r>
              <w:rPr/>
              <w:t>001-33277</w:t>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center"/>
              <w:rPr/>
            </w:pPr>
            <w:r>
              <w:rPr/>
              <w:t>10.1</w:t>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jc w:val="center"/>
              <w:rPr/>
            </w:pPr>
            <w:r>
              <w:rPr/>
              <w:t>February 9, 2023</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sz w:val="4"/>
                <w:szCs w:val="4"/>
              </w:rPr>
            </w:pPr>
            <w:r>
              <w:rPr>
                <w:sz w:val="4"/>
                <w:szCs w:val="4"/>
              </w:rPr>
            </w:r>
          </w:p>
        </w:tc>
        <w:tc>
          <w:tcPr>
            <w:tcW w:w="4583" w:type="dxa"/>
            <w:gridSpan w:val="2"/>
            <w:tcBorders/>
            <w:shd w:fill="auto" w:val="clear"/>
            <w:vAlign w:val="center"/>
          </w:tcPr>
          <w:p>
            <w:pPr>
              <w:pStyle w:val="TableContents"/>
              <w:spacing w:before="0" w:after="283"/>
              <w:rPr>
                <w:sz w:val="4"/>
                <w:szCs w:val="4"/>
              </w:rPr>
            </w:pPr>
            <w:r>
              <w:rPr>
                <w:sz w:val="4"/>
                <w:szCs w:val="4"/>
              </w:rPr>
            </w:r>
          </w:p>
        </w:tc>
        <w:tc>
          <w:tcPr>
            <w:tcW w:w="921" w:type="dxa"/>
            <w:gridSpan w:val="2"/>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c>
          <w:tcPr>
            <w:tcW w:w="892" w:type="dxa"/>
            <w:gridSpan w:val="4"/>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pPr>
            <w:r>
              <w:rPr/>
              <w:t>  </w:t>
            </w:r>
            <w:r>
              <w:rPr/>
              <w:t>31.1</w:t>
            </w:r>
          </w:p>
        </w:tc>
        <w:tc>
          <w:tcPr>
            <w:tcW w:w="120" w:type="dxa"/>
            <w:tcBorders/>
            <w:shd w:fill="auto" w:val="clear"/>
            <w:vAlign w:val="center"/>
          </w:tcPr>
          <w:p>
            <w:pPr>
              <w:pStyle w:val="TableContents"/>
              <w:spacing w:before="0" w:after="283"/>
              <w:rPr/>
            </w:pPr>
            <w:r>
              <w:rPr/>
              <w:t>  </w:t>
            </w:r>
          </w:p>
        </w:tc>
        <w:tc>
          <w:tcPr>
            <w:tcW w:w="4463" w:type="dxa"/>
            <w:tcBorders/>
            <w:shd w:fill="auto" w:val="clear"/>
            <w:vAlign w:val="center"/>
          </w:tcPr>
          <w:p>
            <w:pPr>
              <w:pStyle w:val="TableContents"/>
              <w:spacing w:before="0" w:after="283"/>
              <w:rPr/>
            </w:pPr>
            <w:hyperlink w:anchor="d431523dex311.htm">
              <w:r>
                <w:rPr>
                  <w:rStyle w:val="InternetLink"/>
                </w:rPr>
                <w:t xml:space="preserve">Certification of Principal Executive Officer pursuant to Rule 13a-14(a) or Rule 15d-14(a) of the Securities Exchange Act of 1934, as adopted pursuant to Section 302 of the Sarbanes-Oxley Act of 2002. </w:t>
              </w:r>
            </w:hyperlink>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535" w:type="dxa"/>
            <w:tcBorders/>
            <w:shd w:fill="auto" w:val="clear"/>
            <w:vAlign w:val="center"/>
          </w:tcPr>
          <w:p>
            <w:pPr>
              <w:pStyle w:val="TableContents"/>
              <w:spacing w:before="0" w:after="283"/>
              <w:jc w:val="right"/>
              <w:rPr/>
            </w:pPr>
            <w:r>
              <w:rPr/>
              <w:t>X</w:t>
            </w:r>
          </w:p>
        </w:tc>
        <w:tc>
          <w:tcPr>
            <w:tcW w:w="77"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sz w:val="4"/>
                <w:szCs w:val="4"/>
              </w:rPr>
            </w:pPr>
            <w:r>
              <w:rPr>
                <w:sz w:val="4"/>
                <w:szCs w:val="4"/>
              </w:rPr>
            </w:r>
          </w:p>
        </w:tc>
        <w:tc>
          <w:tcPr>
            <w:tcW w:w="4583" w:type="dxa"/>
            <w:gridSpan w:val="2"/>
            <w:tcBorders/>
            <w:shd w:fill="auto" w:val="clear"/>
            <w:vAlign w:val="center"/>
          </w:tcPr>
          <w:p>
            <w:pPr>
              <w:pStyle w:val="TableContents"/>
              <w:spacing w:before="0" w:after="283"/>
              <w:rPr>
                <w:sz w:val="4"/>
                <w:szCs w:val="4"/>
              </w:rPr>
            </w:pPr>
            <w:r>
              <w:rPr>
                <w:sz w:val="4"/>
                <w:szCs w:val="4"/>
              </w:rPr>
            </w:r>
          </w:p>
        </w:tc>
        <w:tc>
          <w:tcPr>
            <w:tcW w:w="921" w:type="dxa"/>
            <w:gridSpan w:val="2"/>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c>
          <w:tcPr>
            <w:tcW w:w="892" w:type="dxa"/>
            <w:gridSpan w:val="4"/>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pPr>
            <w:r>
              <w:rPr/>
              <w:t>  </w:t>
            </w:r>
            <w:r>
              <w:rPr/>
              <w:t>31.2</w:t>
            </w:r>
          </w:p>
        </w:tc>
        <w:tc>
          <w:tcPr>
            <w:tcW w:w="120" w:type="dxa"/>
            <w:tcBorders/>
            <w:shd w:fill="auto" w:val="clear"/>
            <w:vAlign w:val="center"/>
          </w:tcPr>
          <w:p>
            <w:pPr>
              <w:pStyle w:val="TableContents"/>
              <w:spacing w:before="0" w:after="283"/>
              <w:rPr/>
            </w:pPr>
            <w:r>
              <w:rPr/>
              <w:t>  </w:t>
            </w:r>
          </w:p>
        </w:tc>
        <w:tc>
          <w:tcPr>
            <w:tcW w:w="4463" w:type="dxa"/>
            <w:tcBorders/>
            <w:shd w:fill="auto" w:val="clear"/>
            <w:vAlign w:val="center"/>
          </w:tcPr>
          <w:p>
            <w:pPr>
              <w:pStyle w:val="TableContents"/>
              <w:spacing w:before="0" w:after="283"/>
              <w:rPr/>
            </w:pPr>
            <w:hyperlink w:anchor="d431523dex312.htm">
              <w:r>
                <w:rPr>
                  <w:rStyle w:val="InternetLink"/>
                </w:rPr>
                <w:t xml:space="preserve">Certification of Principal Financial Officer pursuant to Rule 13a-14(a) or Rule 15d-14(a) of the Securities Exchange Act of 1934, as adopted pursuant to Section 302 of the Sarbanes-Oxley Act of 2002. </w:t>
              </w:r>
            </w:hyperlink>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535" w:type="dxa"/>
            <w:tcBorders/>
            <w:shd w:fill="auto" w:val="clear"/>
            <w:vAlign w:val="center"/>
          </w:tcPr>
          <w:p>
            <w:pPr>
              <w:pStyle w:val="TableContents"/>
              <w:spacing w:before="0" w:after="283"/>
              <w:jc w:val="right"/>
              <w:rPr/>
            </w:pPr>
            <w:r>
              <w:rPr/>
              <w:t>X</w:t>
            </w:r>
          </w:p>
        </w:tc>
        <w:tc>
          <w:tcPr>
            <w:tcW w:w="77"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sz w:val="4"/>
                <w:szCs w:val="4"/>
              </w:rPr>
            </w:pPr>
            <w:r>
              <w:rPr>
                <w:sz w:val="4"/>
                <w:szCs w:val="4"/>
              </w:rPr>
            </w:r>
          </w:p>
        </w:tc>
        <w:tc>
          <w:tcPr>
            <w:tcW w:w="4583" w:type="dxa"/>
            <w:gridSpan w:val="2"/>
            <w:tcBorders/>
            <w:shd w:fill="auto" w:val="clear"/>
            <w:vAlign w:val="center"/>
          </w:tcPr>
          <w:p>
            <w:pPr>
              <w:pStyle w:val="TableContents"/>
              <w:spacing w:before="0" w:after="283"/>
              <w:rPr>
                <w:sz w:val="4"/>
                <w:szCs w:val="4"/>
              </w:rPr>
            </w:pPr>
            <w:r>
              <w:rPr>
                <w:sz w:val="4"/>
                <w:szCs w:val="4"/>
              </w:rPr>
            </w:r>
          </w:p>
        </w:tc>
        <w:tc>
          <w:tcPr>
            <w:tcW w:w="921" w:type="dxa"/>
            <w:gridSpan w:val="2"/>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c>
          <w:tcPr>
            <w:tcW w:w="892" w:type="dxa"/>
            <w:gridSpan w:val="4"/>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pPr>
            <w:r>
              <w:rPr/>
              <w:t>  </w:t>
            </w:r>
            <w:r>
              <w:rPr/>
              <w:t>32.1*</w:t>
            </w:r>
          </w:p>
        </w:tc>
        <w:tc>
          <w:tcPr>
            <w:tcW w:w="120" w:type="dxa"/>
            <w:tcBorders/>
            <w:shd w:fill="auto" w:val="clear"/>
            <w:vAlign w:val="center"/>
          </w:tcPr>
          <w:p>
            <w:pPr>
              <w:pStyle w:val="TableContents"/>
              <w:spacing w:before="0" w:after="283"/>
              <w:rPr/>
            </w:pPr>
            <w:r>
              <w:rPr/>
              <w:t>  </w:t>
            </w:r>
          </w:p>
        </w:tc>
        <w:tc>
          <w:tcPr>
            <w:tcW w:w="4463" w:type="dxa"/>
            <w:tcBorders/>
            <w:shd w:fill="auto" w:val="clear"/>
            <w:vAlign w:val="center"/>
          </w:tcPr>
          <w:p>
            <w:pPr>
              <w:pStyle w:val="TableContents"/>
              <w:spacing w:before="0" w:after="283"/>
              <w:rPr/>
            </w:pPr>
            <w:hyperlink w:anchor="d431523dex321.htm">
              <w:r>
                <w:rPr>
                  <w:rStyle w:val="InternetLink"/>
                </w:rPr>
                <w:t xml:space="preserve">Certifications of Principal Executive Officer and Principal Financial Officer, pursuant to 18 U.S.C. Section 1350, as adopted pursuant to Section 906 of the Sarbanes-Oxley Act of 2002. </w:t>
              </w:r>
            </w:hyperlink>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535" w:type="dxa"/>
            <w:tcBorders/>
            <w:shd w:fill="auto" w:val="clear"/>
            <w:vAlign w:val="center"/>
          </w:tcPr>
          <w:p>
            <w:pPr>
              <w:pStyle w:val="TableContents"/>
              <w:spacing w:before="0" w:after="283"/>
              <w:jc w:val="right"/>
              <w:rPr/>
            </w:pPr>
            <w:r>
              <w:rPr/>
              <w:t>X</w:t>
            </w:r>
          </w:p>
        </w:tc>
        <w:tc>
          <w:tcPr>
            <w:tcW w:w="77"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sz w:val="4"/>
                <w:szCs w:val="4"/>
              </w:rPr>
            </w:pPr>
            <w:r>
              <w:rPr>
                <w:sz w:val="4"/>
                <w:szCs w:val="4"/>
              </w:rPr>
            </w:r>
          </w:p>
        </w:tc>
        <w:tc>
          <w:tcPr>
            <w:tcW w:w="4583" w:type="dxa"/>
            <w:gridSpan w:val="2"/>
            <w:tcBorders/>
            <w:shd w:fill="auto" w:val="clear"/>
            <w:vAlign w:val="center"/>
          </w:tcPr>
          <w:p>
            <w:pPr>
              <w:pStyle w:val="TableContents"/>
              <w:spacing w:before="0" w:after="283"/>
              <w:rPr>
                <w:sz w:val="4"/>
                <w:szCs w:val="4"/>
              </w:rPr>
            </w:pPr>
            <w:r>
              <w:rPr>
                <w:sz w:val="4"/>
                <w:szCs w:val="4"/>
              </w:rPr>
            </w:r>
          </w:p>
        </w:tc>
        <w:tc>
          <w:tcPr>
            <w:tcW w:w="921" w:type="dxa"/>
            <w:gridSpan w:val="2"/>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c>
          <w:tcPr>
            <w:tcW w:w="892" w:type="dxa"/>
            <w:gridSpan w:val="4"/>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pPr>
            <w:r>
              <w:rPr/>
              <w:t>101.INS</w:t>
            </w:r>
          </w:p>
        </w:tc>
        <w:tc>
          <w:tcPr>
            <w:tcW w:w="120" w:type="dxa"/>
            <w:tcBorders/>
            <w:shd w:fill="auto" w:val="clear"/>
            <w:vAlign w:val="center"/>
          </w:tcPr>
          <w:p>
            <w:pPr>
              <w:pStyle w:val="TableContents"/>
              <w:spacing w:before="0" w:after="283"/>
              <w:rPr/>
            </w:pPr>
            <w:r>
              <w:rPr/>
              <w:t>  </w:t>
            </w:r>
          </w:p>
        </w:tc>
        <w:tc>
          <w:tcPr>
            <w:tcW w:w="4463" w:type="dxa"/>
            <w:tcBorders/>
            <w:shd w:fill="auto" w:val="clear"/>
            <w:vAlign w:val="center"/>
          </w:tcPr>
          <w:p>
            <w:pPr>
              <w:pStyle w:val="TableContents"/>
              <w:spacing w:before="0" w:after="283"/>
              <w:rPr/>
            </w:pPr>
            <w:r>
              <w:rPr/>
              <w:t>Inline XBRL Instance Document.</w:t>
            </w:r>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535" w:type="dxa"/>
            <w:tcBorders/>
            <w:shd w:fill="auto" w:val="clear"/>
            <w:vAlign w:val="center"/>
          </w:tcPr>
          <w:p>
            <w:pPr>
              <w:pStyle w:val="TableContents"/>
              <w:spacing w:before="0" w:after="283"/>
              <w:jc w:val="right"/>
              <w:rPr/>
            </w:pPr>
            <w:r>
              <w:rPr/>
              <w:t>X</w:t>
            </w:r>
          </w:p>
        </w:tc>
        <w:tc>
          <w:tcPr>
            <w:tcW w:w="77"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sz w:val="4"/>
                <w:szCs w:val="4"/>
              </w:rPr>
            </w:pPr>
            <w:r>
              <w:rPr>
                <w:sz w:val="4"/>
                <w:szCs w:val="4"/>
              </w:rPr>
            </w:r>
          </w:p>
        </w:tc>
        <w:tc>
          <w:tcPr>
            <w:tcW w:w="4583" w:type="dxa"/>
            <w:gridSpan w:val="2"/>
            <w:tcBorders/>
            <w:shd w:fill="auto" w:val="clear"/>
            <w:vAlign w:val="center"/>
          </w:tcPr>
          <w:p>
            <w:pPr>
              <w:pStyle w:val="TableContents"/>
              <w:spacing w:before="0" w:after="283"/>
              <w:rPr>
                <w:sz w:val="4"/>
                <w:szCs w:val="4"/>
              </w:rPr>
            </w:pPr>
            <w:r>
              <w:rPr>
                <w:sz w:val="4"/>
                <w:szCs w:val="4"/>
              </w:rPr>
            </w:r>
          </w:p>
        </w:tc>
        <w:tc>
          <w:tcPr>
            <w:tcW w:w="921" w:type="dxa"/>
            <w:gridSpan w:val="2"/>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c>
          <w:tcPr>
            <w:tcW w:w="892" w:type="dxa"/>
            <w:gridSpan w:val="4"/>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pPr>
            <w:r>
              <w:rPr/>
              <w:t>101.SCH</w:t>
            </w:r>
          </w:p>
        </w:tc>
        <w:tc>
          <w:tcPr>
            <w:tcW w:w="120" w:type="dxa"/>
            <w:tcBorders/>
            <w:shd w:fill="auto" w:val="clear"/>
            <w:vAlign w:val="center"/>
          </w:tcPr>
          <w:p>
            <w:pPr>
              <w:pStyle w:val="TableContents"/>
              <w:spacing w:before="0" w:after="283"/>
              <w:rPr/>
            </w:pPr>
            <w:r>
              <w:rPr/>
              <w:t>  </w:t>
            </w:r>
          </w:p>
        </w:tc>
        <w:tc>
          <w:tcPr>
            <w:tcW w:w="4463" w:type="dxa"/>
            <w:tcBorders/>
            <w:shd w:fill="auto" w:val="clear"/>
            <w:vAlign w:val="center"/>
          </w:tcPr>
          <w:p>
            <w:pPr>
              <w:pStyle w:val="TableContents"/>
              <w:spacing w:before="0" w:after="283"/>
              <w:rPr/>
            </w:pPr>
            <w:r>
              <w:rPr/>
              <w:t>Inline XBRL Taxonomy Extension Schema Document.</w:t>
            </w:r>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535" w:type="dxa"/>
            <w:tcBorders/>
            <w:shd w:fill="auto" w:val="clear"/>
            <w:vAlign w:val="center"/>
          </w:tcPr>
          <w:p>
            <w:pPr>
              <w:pStyle w:val="TableContents"/>
              <w:spacing w:before="0" w:after="283"/>
              <w:jc w:val="right"/>
              <w:rPr/>
            </w:pPr>
            <w:r>
              <w:rPr/>
              <w:t>X</w:t>
            </w:r>
          </w:p>
        </w:tc>
        <w:tc>
          <w:tcPr>
            <w:tcW w:w="77"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sz w:val="4"/>
                <w:szCs w:val="4"/>
              </w:rPr>
            </w:pPr>
            <w:r>
              <w:rPr>
                <w:sz w:val="4"/>
                <w:szCs w:val="4"/>
              </w:rPr>
            </w:r>
          </w:p>
        </w:tc>
        <w:tc>
          <w:tcPr>
            <w:tcW w:w="4583" w:type="dxa"/>
            <w:gridSpan w:val="2"/>
            <w:tcBorders/>
            <w:shd w:fill="auto" w:val="clear"/>
            <w:vAlign w:val="center"/>
          </w:tcPr>
          <w:p>
            <w:pPr>
              <w:pStyle w:val="TableContents"/>
              <w:spacing w:before="0" w:after="283"/>
              <w:rPr>
                <w:sz w:val="4"/>
                <w:szCs w:val="4"/>
              </w:rPr>
            </w:pPr>
            <w:r>
              <w:rPr>
                <w:sz w:val="4"/>
                <w:szCs w:val="4"/>
              </w:rPr>
            </w:r>
          </w:p>
        </w:tc>
        <w:tc>
          <w:tcPr>
            <w:tcW w:w="921" w:type="dxa"/>
            <w:gridSpan w:val="2"/>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c>
          <w:tcPr>
            <w:tcW w:w="892" w:type="dxa"/>
            <w:gridSpan w:val="4"/>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pPr>
            <w:r>
              <w:rPr/>
              <w:t>101.CAL</w:t>
            </w:r>
          </w:p>
        </w:tc>
        <w:tc>
          <w:tcPr>
            <w:tcW w:w="120" w:type="dxa"/>
            <w:tcBorders/>
            <w:shd w:fill="auto" w:val="clear"/>
            <w:vAlign w:val="center"/>
          </w:tcPr>
          <w:p>
            <w:pPr>
              <w:pStyle w:val="TableContents"/>
              <w:spacing w:before="0" w:after="283"/>
              <w:rPr/>
            </w:pPr>
            <w:r>
              <w:rPr/>
              <w:t>  </w:t>
            </w:r>
          </w:p>
        </w:tc>
        <w:tc>
          <w:tcPr>
            <w:tcW w:w="4463" w:type="dxa"/>
            <w:tcBorders/>
            <w:shd w:fill="auto" w:val="clear"/>
            <w:vAlign w:val="center"/>
          </w:tcPr>
          <w:p>
            <w:pPr>
              <w:pStyle w:val="TableContents"/>
              <w:spacing w:before="0" w:after="283"/>
              <w:rPr/>
            </w:pPr>
            <w:r>
              <w:rPr/>
              <w:t>Inline XBRL Taxonomy Extension Calculation Linkbase Document.</w:t>
            </w:r>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535" w:type="dxa"/>
            <w:tcBorders/>
            <w:shd w:fill="auto" w:val="clear"/>
            <w:vAlign w:val="center"/>
          </w:tcPr>
          <w:p>
            <w:pPr>
              <w:pStyle w:val="TableContents"/>
              <w:spacing w:before="0" w:after="283"/>
              <w:jc w:val="right"/>
              <w:rPr/>
            </w:pPr>
            <w:r>
              <w:rPr/>
              <w:t>X</w:t>
            </w:r>
          </w:p>
        </w:tc>
        <w:tc>
          <w:tcPr>
            <w:tcW w:w="77"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sz w:val="4"/>
                <w:szCs w:val="4"/>
              </w:rPr>
            </w:pPr>
            <w:r>
              <w:rPr>
                <w:sz w:val="4"/>
                <w:szCs w:val="4"/>
              </w:rPr>
            </w:r>
          </w:p>
        </w:tc>
        <w:tc>
          <w:tcPr>
            <w:tcW w:w="4583" w:type="dxa"/>
            <w:gridSpan w:val="2"/>
            <w:tcBorders/>
            <w:shd w:fill="auto" w:val="clear"/>
            <w:vAlign w:val="center"/>
          </w:tcPr>
          <w:p>
            <w:pPr>
              <w:pStyle w:val="TableContents"/>
              <w:spacing w:before="0" w:after="283"/>
              <w:rPr>
                <w:sz w:val="4"/>
                <w:szCs w:val="4"/>
              </w:rPr>
            </w:pPr>
            <w:r>
              <w:rPr>
                <w:sz w:val="4"/>
                <w:szCs w:val="4"/>
              </w:rPr>
            </w:r>
          </w:p>
        </w:tc>
        <w:tc>
          <w:tcPr>
            <w:tcW w:w="921" w:type="dxa"/>
            <w:gridSpan w:val="2"/>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c>
          <w:tcPr>
            <w:tcW w:w="892" w:type="dxa"/>
            <w:gridSpan w:val="4"/>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pPr>
            <w:r>
              <w:rPr/>
              <w:t>101.LAB</w:t>
            </w:r>
          </w:p>
        </w:tc>
        <w:tc>
          <w:tcPr>
            <w:tcW w:w="120" w:type="dxa"/>
            <w:tcBorders/>
            <w:shd w:fill="auto" w:val="clear"/>
            <w:vAlign w:val="center"/>
          </w:tcPr>
          <w:p>
            <w:pPr>
              <w:pStyle w:val="TableContents"/>
              <w:spacing w:before="0" w:after="283"/>
              <w:rPr/>
            </w:pPr>
            <w:r>
              <w:rPr/>
              <w:t>  </w:t>
            </w:r>
          </w:p>
        </w:tc>
        <w:tc>
          <w:tcPr>
            <w:tcW w:w="4463" w:type="dxa"/>
            <w:tcBorders/>
            <w:shd w:fill="auto" w:val="clear"/>
            <w:vAlign w:val="center"/>
          </w:tcPr>
          <w:p>
            <w:pPr>
              <w:pStyle w:val="TableContents"/>
              <w:spacing w:before="0" w:after="283"/>
              <w:rPr/>
            </w:pPr>
            <w:r>
              <w:rPr/>
              <w:t>Inline XBRL Taxonomy Extension Label Linkbase Document.</w:t>
            </w:r>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535" w:type="dxa"/>
            <w:tcBorders/>
            <w:shd w:fill="auto" w:val="clear"/>
            <w:vAlign w:val="center"/>
          </w:tcPr>
          <w:p>
            <w:pPr>
              <w:pStyle w:val="TableContents"/>
              <w:spacing w:before="0" w:after="283"/>
              <w:jc w:val="right"/>
              <w:rPr/>
            </w:pPr>
            <w:r>
              <w:rPr/>
              <w:t>X</w:t>
            </w:r>
          </w:p>
        </w:tc>
        <w:tc>
          <w:tcPr>
            <w:tcW w:w="77"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sz w:val="4"/>
                <w:szCs w:val="4"/>
              </w:rPr>
            </w:pPr>
            <w:r>
              <w:rPr>
                <w:sz w:val="4"/>
                <w:szCs w:val="4"/>
              </w:rPr>
            </w:r>
          </w:p>
        </w:tc>
        <w:tc>
          <w:tcPr>
            <w:tcW w:w="4583" w:type="dxa"/>
            <w:gridSpan w:val="2"/>
            <w:tcBorders/>
            <w:shd w:fill="auto" w:val="clear"/>
            <w:vAlign w:val="center"/>
          </w:tcPr>
          <w:p>
            <w:pPr>
              <w:pStyle w:val="TableContents"/>
              <w:spacing w:before="0" w:after="283"/>
              <w:rPr>
                <w:sz w:val="4"/>
                <w:szCs w:val="4"/>
              </w:rPr>
            </w:pPr>
            <w:r>
              <w:rPr>
                <w:sz w:val="4"/>
                <w:szCs w:val="4"/>
              </w:rPr>
            </w:r>
          </w:p>
        </w:tc>
        <w:tc>
          <w:tcPr>
            <w:tcW w:w="921" w:type="dxa"/>
            <w:gridSpan w:val="2"/>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c>
          <w:tcPr>
            <w:tcW w:w="892" w:type="dxa"/>
            <w:gridSpan w:val="4"/>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pPr>
            <w:r>
              <w:rPr/>
              <w:t>101.PRE</w:t>
            </w:r>
          </w:p>
        </w:tc>
        <w:tc>
          <w:tcPr>
            <w:tcW w:w="120" w:type="dxa"/>
            <w:tcBorders/>
            <w:shd w:fill="auto" w:val="clear"/>
            <w:vAlign w:val="center"/>
          </w:tcPr>
          <w:p>
            <w:pPr>
              <w:pStyle w:val="TableContents"/>
              <w:spacing w:before="0" w:after="283"/>
              <w:rPr/>
            </w:pPr>
            <w:r>
              <w:rPr/>
              <w:t>  </w:t>
            </w:r>
          </w:p>
        </w:tc>
        <w:tc>
          <w:tcPr>
            <w:tcW w:w="4463" w:type="dxa"/>
            <w:tcBorders/>
            <w:shd w:fill="auto" w:val="clear"/>
            <w:vAlign w:val="center"/>
          </w:tcPr>
          <w:p>
            <w:pPr>
              <w:pStyle w:val="TableContents"/>
              <w:spacing w:before="0" w:after="283"/>
              <w:rPr/>
            </w:pPr>
            <w:r>
              <w:rPr/>
              <w:t>Inline XBRL Taxonomy Extension Presentation Linkbase Document.</w:t>
            </w:r>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535" w:type="dxa"/>
            <w:tcBorders/>
            <w:shd w:fill="auto" w:val="clear"/>
            <w:vAlign w:val="center"/>
          </w:tcPr>
          <w:p>
            <w:pPr>
              <w:pStyle w:val="TableContents"/>
              <w:spacing w:before="0" w:after="283"/>
              <w:jc w:val="right"/>
              <w:rPr/>
            </w:pPr>
            <w:r>
              <w:rPr/>
              <w:t>X</w:t>
            </w:r>
          </w:p>
        </w:tc>
        <w:tc>
          <w:tcPr>
            <w:tcW w:w="77"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sz w:val="4"/>
                <w:szCs w:val="4"/>
              </w:rPr>
            </w:pPr>
            <w:r>
              <w:rPr>
                <w:sz w:val="4"/>
                <w:szCs w:val="4"/>
              </w:rPr>
            </w:r>
          </w:p>
        </w:tc>
        <w:tc>
          <w:tcPr>
            <w:tcW w:w="4583" w:type="dxa"/>
            <w:gridSpan w:val="2"/>
            <w:tcBorders/>
            <w:shd w:fill="auto" w:val="clear"/>
            <w:vAlign w:val="center"/>
          </w:tcPr>
          <w:p>
            <w:pPr>
              <w:pStyle w:val="TableContents"/>
              <w:spacing w:before="0" w:after="283"/>
              <w:rPr>
                <w:sz w:val="4"/>
                <w:szCs w:val="4"/>
              </w:rPr>
            </w:pPr>
            <w:r>
              <w:rPr>
                <w:sz w:val="4"/>
                <w:szCs w:val="4"/>
              </w:rPr>
            </w:r>
          </w:p>
        </w:tc>
        <w:tc>
          <w:tcPr>
            <w:tcW w:w="921" w:type="dxa"/>
            <w:gridSpan w:val="2"/>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c>
          <w:tcPr>
            <w:tcW w:w="892" w:type="dxa"/>
            <w:gridSpan w:val="4"/>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pPr>
            <w:r>
              <w:rPr/>
              <w:t>101.DEF</w:t>
            </w:r>
          </w:p>
        </w:tc>
        <w:tc>
          <w:tcPr>
            <w:tcW w:w="120" w:type="dxa"/>
            <w:tcBorders/>
            <w:shd w:fill="auto" w:val="clear"/>
            <w:vAlign w:val="center"/>
          </w:tcPr>
          <w:p>
            <w:pPr>
              <w:pStyle w:val="TableContents"/>
              <w:spacing w:before="0" w:after="283"/>
              <w:rPr/>
            </w:pPr>
            <w:r>
              <w:rPr/>
              <w:t>  </w:t>
            </w:r>
          </w:p>
        </w:tc>
        <w:tc>
          <w:tcPr>
            <w:tcW w:w="4463" w:type="dxa"/>
            <w:tcBorders/>
            <w:shd w:fill="auto" w:val="clear"/>
            <w:vAlign w:val="center"/>
          </w:tcPr>
          <w:p>
            <w:pPr>
              <w:pStyle w:val="TableContents"/>
              <w:spacing w:before="0" w:after="283"/>
              <w:rPr/>
            </w:pPr>
            <w:r>
              <w:rPr/>
              <w:t>Inline XBRL Taxonomy Extension Definition Linkbase Document.</w:t>
            </w:r>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535" w:type="dxa"/>
            <w:tcBorders/>
            <w:shd w:fill="auto" w:val="clear"/>
            <w:vAlign w:val="center"/>
          </w:tcPr>
          <w:p>
            <w:pPr>
              <w:pStyle w:val="TableContents"/>
              <w:spacing w:before="0" w:after="283"/>
              <w:jc w:val="right"/>
              <w:rPr/>
            </w:pPr>
            <w:r>
              <w:rPr/>
              <w:t>X</w:t>
            </w:r>
          </w:p>
        </w:tc>
        <w:tc>
          <w:tcPr>
            <w:tcW w:w="77"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sz w:val="4"/>
                <w:szCs w:val="4"/>
              </w:rPr>
            </w:pPr>
            <w:r>
              <w:rPr>
                <w:sz w:val="4"/>
                <w:szCs w:val="4"/>
              </w:rPr>
            </w:r>
          </w:p>
        </w:tc>
        <w:tc>
          <w:tcPr>
            <w:tcW w:w="4583" w:type="dxa"/>
            <w:gridSpan w:val="2"/>
            <w:tcBorders/>
            <w:shd w:fill="auto" w:val="clear"/>
            <w:vAlign w:val="center"/>
          </w:tcPr>
          <w:p>
            <w:pPr>
              <w:pStyle w:val="TableContents"/>
              <w:spacing w:before="0" w:after="283"/>
              <w:rPr>
                <w:sz w:val="4"/>
                <w:szCs w:val="4"/>
              </w:rPr>
            </w:pPr>
            <w:r>
              <w:rPr>
                <w:sz w:val="4"/>
                <w:szCs w:val="4"/>
              </w:rPr>
            </w:r>
          </w:p>
        </w:tc>
        <w:tc>
          <w:tcPr>
            <w:tcW w:w="921" w:type="dxa"/>
            <w:gridSpan w:val="2"/>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c>
          <w:tcPr>
            <w:tcW w:w="892" w:type="dxa"/>
            <w:gridSpan w:val="4"/>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4463" w:type="dxa"/>
            <w:tcBorders/>
            <w:shd w:fill="auto" w:val="clear"/>
            <w:vAlign w:val="center"/>
          </w:tcPr>
          <w:p>
            <w:pPr>
              <w:pStyle w:val="TableContents"/>
              <w:spacing w:before="0" w:after="283"/>
              <w:rPr/>
            </w:pPr>
            <w:r>
              <w:rPr/>
              <w:t>Inline XBRL for the cover page of this Quarterly Report on Form 10-Q, included in the Exhibit 101 Inline XBRL Document Set.</w:t>
            </w:r>
          </w:p>
        </w:tc>
        <w:tc>
          <w:tcPr>
            <w:tcW w:w="120"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 </w:t>
            </w:r>
          </w:p>
        </w:tc>
      </w:tr>
    </w:tbl>
    <w:p>
      <w:pPr>
        <w:pStyle w:val="TextBody"/>
        <w:spacing w:before="0" w:after="0"/>
        <w:jc w:val="left"/>
        <w:rPr/>
      </w:pPr>
      <w:r>
        <w:rPr/>
        <w:t> </w:t>
      </w:r>
    </w:p>
    <w:tbl>
      <w:tblPr>
        <w:tblW w:w="8410" w:type="dxa"/>
        <w:jc w:val="left"/>
        <w:tblInd w:w="0" w:type="dxa"/>
        <w:tblCellMar>
          <w:top w:w="0" w:type="dxa"/>
          <w:left w:w="0" w:type="dxa"/>
          <w:bottom w:w="0" w:type="dxa"/>
          <w:right w:w="0" w:type="dxa"/>
        </w:tblCellMar>
      </w:tblPr>
      <w:tblGrid>
        <w:gridCol w:w="155"/>
        <w:gridCol w:w="8255"/>
      </w:tblGrid>
      <w:tr>
        <w:trPr/>
        <w:tc>
          <w:tcPr>
            <w:tcW w:w="155" w:type="dxa"/>
            <w:tcBorders/>
            <w:shd w:fill="auto" w:val="clear"/>
            <w:vAlign w:val="center"/>
          </w:tcPr>
          <w:p>
            <w:pPr>
              <w:pStyle w:val="TableContents"/>
              <w:spacing w:before="0" w:after="283"/>
              <w:jc w:val="left"/>
              <w:rPr/>
            </w:pPr>
            <w:r>
              <w:rPr/>
              <w:t>†</w:t>
            </w:r>
          </w:p>
        </w:tc>
        <w:tc>
          <w:tcPr>
            <w:tcW w:w="82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Certain portions of this exhibit have been omitted pursuant to Item 601(b)(10)(iv) of Regulation S-K.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rPr/>
      </w:pPr>
      <w:r>
        <w:rPr/>
      </w:r>
    </w:p>
    <w:p>
      <w:pPr>
        <w:pStyle w:val="TextBody"/>
        <w:spacing w:before="0" w:after="0"/>
        <w:jc w:val="center"/>
        <w:rPr>
          <w:rFonts w:ascii="Times New Roman" w:hAnsi="Times New Roman"/>
          <w:b/>
          <w:sz w:val="20"/>
        </w:rPr>
      </w:pPr>
      <w:bookmarkStart w:id="15" w:name="tx431523_20"/>
      <w:bookmarkEnd w:id="15"/>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jc w:val="left"/>
        <w:rPr/>
      </w:pPr>
      <w:r>
        <w:rPr/>
        <w:t> </w:t>
      </w:r>
    </w:p>
    <w:tbl>
      <w:tblPr>
        <w:tblW w:w="7328" w:type="dxa"/>
        <w:jc w:val="left"/>
        <w:tblInd w:w="0" w:type="dxa"/>
        <w:tblCellMar>
          <w:top w:w="0" w:type="dxa"/>
          <w:left w:w="0" w:type="dxa"/>
          <w:bottom w:w="0" w:type="dxa"/>
          <w:right w:w="0" w:type="dxa"/>
        </w:tblCellMar>
      </w:tblPr>
      <w:tblGrid>
        <w:gridCol w:w="1820"/>
        <w:gridCol w:w="60"/>
        <w:gridCol w:w="23"/>
        <w:gridCol w:w="60"/>
        <w:gridCol w:w="365"/>
        <w:gridCol w:w="60"/>
        <w:gridCol w:w="4940"/>
      </w:tblGrid>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940" w:type="dxa"/>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365" w:type="dxa"/>
            <w:gridSpan w:val="3"/>
            <w:tcBorders/>
            <w:shd w:fill="auto" w:val="clear"/>
            <w:vAlign w:val="center"/>
          </w:tcPr>
          <w:p>
            <w:pPr>
              <w:pStyle w:val="TableContents"/>
              <w:spacing w:before="0" w:after="283"/>
              <w:rPr/>
            </w:pPr>
            <w:r>
              <w:rPr/>
              <w:t>MADRIGAL PHARMACEUTICALS, INC.</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283"/>
              <w:rPr/>
            </w:pPr>
            <w:r>
              <w:rPr/>
              <w:t>Date: May 9, 2023</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Paul A. Friedman, M.D.</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pPr>
            <w:r>
              <w:rPr/>
              <w:t>Paul A. Friedman, M.D.</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pPr>
            <w:r>
              <w:rPr/>
              <w:t>Chief Executive Officer and Chairman of the Board</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pPr>
            <w:r>
              <w:rPr/>
              <w:t>(Principal Executive Officer)</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283"/>
              <w:rPr/>
            </w:pPr>
            <w:r>
              <w:rPr/>
              <w:t>Date: May 9, 2023</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Alex G. Howarth</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pPr>
            <w:r>
              <w:rPr/>
              <w:t>Alex G. Howarth</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pPr>
            <w:r>
              <w:rPr/>
              <w:t>Senior Vice President and Chief Financial Officer</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283"/>
              <w:rPr/>
            </w:pPr>
            <w:r>
              <w:rPr/>
              <w:t>(Principal Financial and Accounting Officer)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TextBody"/>
        <w:spacing w:before="0" w:after="0"/>
        <w:jc w:val="right"/>
        <w:rPr>
          <w:rFonts w:ascii="Times New Roman" w:hAnsi="Times New Roman"/>
          <w:b/>
          <w:sz w:val="20"/>
        </w:rPr>
      </w:pPr>
      <w:bookmarkStart w:id="16" w:name="d431523dex311.htm"/>
      <w:bookmarkStart w:id="17" w:name="ksd431523dex311"/>
      <w:bookmarkEnd w:id="16"/>
      <w:bookmarkEnd w:id="17"/>
      <w:r>
        <w:rPr>
          <w:rFonts w:ascii="Times New Roman" w:hAnsi="Times New Roman"/>
          <w:b/>
          <w:sz w:val="20"/>
        </w:rPr>
        <w:t xml:space="preserve">Exhibit 31.1 </w:t>
      </w:r>
    </w:p>
    <w:p>
      <w:pPr>
        <w:pStyle w:val="TextBody"/>
        <w:spacing w:before="240" w:after="0"/>
        <w:jc w:val="center"/>
        <w:rPr>
          <w:rFonts w:ascii="Times New Roman" w:hAnsi="Times New Roman"/>
          <w:b/>
          <w:sz w:val="20"/>
        </w:rPr>
      </w:pPr>
      <w:r>
        <w:rPr>
          <w:rFonts w:ascii="Times New Roman" w:hAnsi="Times New Roman"/>
          <w:b/>
          <w:sz w:val="20"/>
        </w:rPr>
        <w:t xml:space="preserve">CERTIFICATION OF PRINCIPAL EXECUTIVE OFFICER PURSUANT TO EXCHANGE ACT RULES 13a-14(a) AND 15d-14(a) AS ADOPTED PURSUANT TO SECTION 302 OF THE SARBANES-OXLEY ACT OF 2002 </w:t>
      </w:r>
    </w:p>
    <w:p>
      <w:pPr>
        <w:pStyle w:val="TextBody"/>
        <w:spacing w:before="120" w:after="0"/>
        <w:jc w:val="left"/>
        <w:rPr>
          <w:rFonts w:ascii="Times New Roman" w:hAnsi="Times New Roman"/>
          <w:sz w:val="20"/>
        </w:rPr>
      </w:pPr>
      <w:r>
        <w:rPr>
          <w:rFonts w:ascii="Times New Roman" w:hAnsi="Times New Roman"/>
          <w:sz w:val="20"/>
        </w:rPr>
        <w:t xml:space="preserve">I, Paul A. Friedman, M.D.,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Quarterly Report on Form 10-Q of Madrigal Pharmaceuticals,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4.</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7"/>
        <w:gridCol w:w="9292"/>
      </w:tblGrid>
      <w:tr>
        <w:trPr/>
        <w:tc>
          <w:tcPr>
            <w:tcW w:w="406"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5.</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jc w:val="left"/>
        <w:rPr/>
      </w:pPr>
      <w:r>
        <w:rPr/>
        <w:t> </w:t>
      </w:r>
    </w:p>
    <w:tbl>
      <w:tblPr>
        <w:tblW w:w="4925" w:type="dxa"/>
        <w:jc w:val="left"/>
        <w:tblInd w:w="0" w:type="dxa"/>
        <w:tblCellMar>
          <w:top w:w="0" w:type="dxa"/>
          <w:left w:w="0" w:type="dxa"/>
          <w:bottom w:w="0" w:type="dxa"/>
          <w:right w:w="0" w:type="dxa"/>
        </w:tblCellMar>
      </w:tblPr>
      <w:tblGrid>
        <w:gridCol w:w="4925"/>
      </w:tblGrid>
      <w:tr>
        <w:trPr/>
        <w:tc>
          <w:tcPr>
            <w:tcW w:w="4925" w:type="dxa"/>
            <w:tcBorders/>
            <w:shd w:fill="auto" w:val="clear"/>
            <w:vAlign w:val="center"/>
          </w:tcPr>
          <w:p>
            <w:pPr>
              <w:pStyle w:val="TableContents"/>
              <w:spacing w:before="0" w:after="283"/>
              <w:rPr>
                <w:sz w:val="4"/>
                <w:szCs w:val="4"/>
              </w:rPr>
            </w:pPr>
            <w:r>
              <w:rPr>
                <w:sz w:val="4"/>
                <w:szCs w:val="4"/>
              </w:rPr>
            </w:r>
          </w:p>
        </w:tc>
      </w:tr>
      <w:tr>
        <w:trPr/>
        <w:tc>
          <w:tcPr>
            <w:tcW w:w="492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Paul A. Friedman, M.D.</w:t>
            </w:r>
          </w:p>
        </w:tc>
      </w:tr>
      <w:tr>
        <w:trPr/>
        <w:tc>
          <w:tcPr>
            <w:tcW w:w="4925" w:type="dxa"/>
            <w:tcBorders/>
            <w:shd w:fill="auto" w:val="clear"/>
          </w:tcPr>
          <w:p>
            <w:pPr>
              <w:pStyle w:val="TableContents"/>
              <w:spacing w:before="0" w:after="283"/>
              <w:rPr/>
            </w:pPr>
            <w:r>
              <w:rPr/>
              <w:t>Paul A. Friedman, M.D.</w:t>
            </w:r>
          </w:p>
        </w:tc>
      </w:tr>
      <w:tr>
        <w:trPr/>
        <w:tc>
          <w:tcPr>
            <w:tcW w:w="4925" w:type="dxa"/>
            <w:tcBorders/>
            <w:shd w:fill="auto" w:val="clear"/>
          </w:tcPr>
          <w:p>
            <w:pPr>
              <w:pStyle w:val="TableContents"/>
              <w:spacing w:before="0" w:after="283"/>
              <w:rPr/>
            </w:pPr>
            <w:r>
              <w:rPr/>
              <w:t>Chief Executive Officer and Chairman of the Board</w:t>
            </w:r>
          </w:p>
        </w:tc>
      </w:tr>
      <w:tr>
        <w:trPr/>
        <w:tc>
          <w:tcPr>
            <w:tcW w:w="4925" w:type="dxa"/>
            <w:tcBorders/>
            <w:shd w:fill="auto" w:val="clear"/>
          </w:tcPr>
          <w:p>
            <w:pPr>
              <w:pStyle w:val="TableContents"/>
              <w:spacing w:before="0" w:after="283"/>
              <w:rPr/>
            </w:pPr>
            <w:r>
              <w:rPr/>
              <w:t>(Principal Executive Officer)</w:t>
            </w:r>
          </w:p>
        </w:tc>
      </w:tr>
      <w:tr>
        <w:trPr/>
        <w:tc>
          <w:tcPr>
            <w:tcW w:w="4925" w:type="dxa"/>
            <w:tcBorders/>
            <w:shd w:fill="auto" w:val="clear"/>
          </w:tcPr>
          <w:p>
            <w:pPr>
              <w:pStyle w:val="TableContents"/>
              <w:spacing w:before="0" w:after="283"/>
              <w:rPr/>
            </w:pPr>
            <w:r>
              <w:rPr/>
              <w:t>Date: May 9, 2023</w:t>
            </w:r>
          </w:p>
        </w:tc>
      </w:tr>
    </w:tbl>
    <w:p>
      <w:pPr>
        <w:pStyle w:val="TextBody"/>
        <w:spacing w:before="0" w:after="0"/>
        <w:jc w:val="right"/>
        <w:rPr>
          <w:rFonts w:ascii="Times New Roman" w:hAnsi="Times New Roman"/>
          <w:b/>
          <w:sz w:val="20"/>
        </w:rPr>
      </w:pPr>
      <w:r>
        <w:br w:type="page"/>
      </w:r>
      <w:bookmarkStart w:id="18" w:name="d431523dex312.htm"/>
      <w:bookmarkStart w:id="19" w:name="ksd431523dex312"/>
      <w:bookmarkEnd w:id="18"/>
      <w:bookmarkEnd w:id="19"/>
      <w:r>
        <w:rPr>
          <w:rFonts w:ascii="Times New Roman" w:hAnsi="Times New Roman"/>
          <w:b/>
          <w:sz w:val="20"/>
        </w:rPr>
        <w:t xml:space="preserve">Exhibit 31.2 </w:t>
      </w:r>
    </w:p>
    <w:p>
      <w:pPr>
        <w:pStyle w:val="TextBody"/>
        <w:spacing w:before="240" w:after="0"/>
        <w:jc w:val="center"/>
        <w:rPr>
          <w:rFonts w:ascii="Times New Roman" w:hAnsi="Times New Roman"/>
          <w:b/>
          <w:sz w:val="20"/>
        </w:rPr>
      </w:pPr>
      <w:r>
        <w:rPr>
          <w:rFonts w:ascii="Times New Roman" w:hAnsi="Times New Roman"/>
          <w:b/>
          <w:sz w:val="20"/>
        </w:rPr>
        <w:t xml:space="preserve">CERTIFICATION OF PRINCIPAL FINANCIAL OFFICER PURSUANT TO EXCHANGE ACT RULES 13a-14(a) AND 15d-14(a) AS ADOPTED PURSUANT TO SECTION 302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 Alex G. Howarth,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Quarterly Report on Form 10-Q of Madrigal Pharmaceuticals,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4.</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7"/>
        <w:gridCol w:w="9292"/>
      </w:tblGrid>
      <w:tr>
        <w:trPr/>
        <w:tc>
          <w:tcPr>
            <w:tcW w:w="406"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5.</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Alex G. Howarth</w:t>
            </w:r>
          </w:p>
        </w:tc>
      </w:tr>
      <w:tr>
        <w:trPr/>
        <w:tc>
          <w:tcPr>
            <w:tcW w:w="4082" w:type="dxa"/>
            <w:tcBorders/>
            <w:shd w:fill="auto" w:val="clear"/>
          </w:tcPr>
          <w:p>
            <w:pPr>
              <w:pStyle w:val="TableContents"/>
              <w:spacing w:before="0" w:after="283"/>
              <w:rPr/>
            </w:pPr>
            <w:r>
              <w:rPr/>
              <w:t>Alex G. Howarth</w:t>
            </w:r>
          </w:p>
        </w:tc>
      </w:tr>
      <w:tr>
        <w:trPr/>
        <w:tc>
          <w:tcPr>
            <w:tcW w:w="4082" w:type="dxa"/>
            <w:tcBorders/>
            <w:shd w:fill="auto" w:val="clear"/>
          </w:tcPr>
          <w:p>
            <w:pPr>
              <w:pStyle w:val="TableContents"/>
              <w:spacing w:before="0" w:after="283"/>
              <w:rPr/>
            </w:pPr>
            <w:r>
              <w:rPr/>
              <w:t>Senior Vice President and Chief Financial Officer</w:t>
            </w:r>
          </w:p>
        </w:tc>
      </w:tr>
      <w:tr>
        <w:trPr/>
        <w:tc>
          <w:tcPr>
            <w:tcW w:w="4082" w:type="dxa"/>
            <w:tcBorders/>
            <w:shd w:fill="auto" w:val="clear"/>
          </w:tcPr>
          <w:p>
            <w:pPr>
              <w:pStyle w:val="TableContents"/>
              <w:spacing w:before="0" w:after="283"/>
              <w:rPr/>
            </w:pPr>
            <w:r>
              <w:rPr/>
              <w:t>(Principal Financial and Accounting Officer)</w:t>
            </w:r>
          </w:p>
        </w:tc>
      </w:tr>
      <w:tr>
        <w:trPr/>
        <w:tc>
          <w:tcPr>
            <w:tcW w:w="4082" w:type="dxa"/>
            <w:tcBorders/>
            <w:shd w:fill="auto" w:val="clear"/>
          </w:tcPr>
          <w:p>
            <w:pPr>
              <w:pStyle w:val="TableContents"/>
              <w:spacing w:before="0" w:after="283"/>
              <w:rPr/>
            </w:pPr>
            <w:r>
              <w:rPr/>
              <w:t>Date: May 9, 2023</w:t>
            </w:r>
          </w:p>
        </w:tc>
      </w:tr>
    </w:tbl>
    <w:p>
      <w:pPr>
        <w:pStyle w:val="TextBody"/>
        <w:spacing w:before="0" w:after="0"/>
        <w:jc w:val="right"/>
        <w:rPr>
          <w:rFonts w:ascii="Times New Roman" w:hAnsi="Times New Roman"/>
          <w:b/>
          <w:sz w:val="20"/>
        </w:rPr>
      </w:pPr>
      <w:r>
        <w:br w:type="page"/>
      </w:r>
      <w:bookmarkStart w:id="20" w:name="d431523dex321.htm"/>
      <w:bookmarkStart w:id="21" w:name="ksd431523dex321"/>
      <w:bookmarkEnd w:id="20"/>
      <w:bookmarkEnd w:id="21"/>
      <w:r>
        <w:rPr>
          <w:rFonts w:ascii="Times New Roman" w:hAnsi="Times New Roman"/>
          <w:b/>
          <w:sz w:val="20"/>
        </w:rPr>
        <w:t xml:space="preserve">Exhibit 32.1 </w:t>
      </w:r>
    </w:p>
    <w:p>
      <w:pPr>
        <w:pStyle w:val="TextBody"/>
        <w:spacing w:before="240" w:after="0"/>
        <w:jc w:val="center"/>
        <w:rPr>
          <w:rFonts w:ascii="Times New Roman" w:hAnsi="Times New Roman"/>
          <w:b/>
          <w:sz w:val="20"/>
        </w:rPr>
      </w:pPr>
      <w:r>
        <w:rPr>
          <w:rFonts w:ascii="Times New Roman" w:hAnsi="Times New Roman"/>
          <w:b/>
          <w:sz w:val="20"/>
        </w:rPr>
        <w:t xml:space="preserve">CERTIFICATIONS PURSUANT TO 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906 </w:t>
      </w:r>
    </w:p>
    <w:p>
      <w:pPr>
        <w:pStyle w:val="TextBody"/>
        <w:spacing w:before="0" w:after="0"/>
        <w:jc w:val="center"/>
        <w:rPr>
          <w:rFonts w:ascii="Times New Roman" w:hAnsi="Times New Roman"/>
          <w:b/>
          <w:sz w:val="20"/>
        </w:rPr>
      </w:pPr>
      <w:r>
        <w:rPr>
          <w:rFonts w:ascii="Times New Roman" w:hAnsi="Times New Roman"/>
          <w:b/>
          <w:sz w:val="20"/>
        </w:rPr>
        <w:t xml:space="preserve">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 </w:t>
      </w:r>
    </w:p>
    <w:p>
      <w:pPr>
        <w:pStyle w:val="TextBody"/>
        <w:spacing w:before="240" w:after="0"/>
        <w:jc w:val="left"/>
        <w:rPr>
          <w:rFonts w:ascii="Times New Roman" w:hAnsi="Times New Roman"/>
          <w:sz w:val="20"/>
        </w:rPr>
      </w:pPr>
      <w:r>
        <w:rPr>
          <w:rFonts w:ascii="Times New Roman" w:hAnsi="Times New Roman"/>
          <w:sz w:val="20"/>
        </w:rPr>
        <w:t xml:space="preserve">The Quarterly Report on Form 10-Q for the quarterly period ended March 31,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806"/>
        <w:gridCol w:w="101"/>
        <w:gridCol w:w="409"/>
        <w:gridCol w:w="60"/>
        <w:gridCol w:w="23"/>
        <w:gridCol w:w="101"/>
        <w:gridCol w:w="4705"/>
      </w:tblGrid>
      <w:tr>
        <w:trPr/>
        <w:tc>
          <w:tcPr>
            <w:tcW w:w="48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05" w:type="dxa"/>
            <w:tcBorders/>
            <w:shd w:fill="auto" w:val="clear"/>
            <w:vAlign w:val="center"/>
          </w:tcPr>
          <w:p>
            <w:pPr>
              <w:pStyle w:val="TableContents"/>
              <w:spacing w:before="0" w:after="283"/>
              <w:rPr>
                <w:sz w:val="4"/>
                <w:szCs w:val="4"/>
              </w:rPr>
            </w:pPr>
            <w:r>
              <w:rPr>
                <w:sz w:val="4"/>
                <w:szCs w:val="4"/>
              </w:rPr>
            </w:r>
          </w:p>
        </w:tc>
      </w:tr>
      <w:tr>
        <w:trPr/>
        <w:tc>
          <w:tcPr>
            <w:tcW w:w="4806" w:type="dxa"/>
            <w:tcBorders/>
            <w:shd w:fill="auto" w:val="clear"/>
          </w:tcPr>
          <w:p>
            <w:pPr>
              <w:pStyle w:val="TableContents"/>
              <w:spacing w:before="0" w:after="283"/>
              <w:rPr/>
            </w:pPr>
            <w:r>
              <w:rPr/>
              <w:t>Dated: May 9, 2023</w:t>
            </w:r>
          </w:p>
        </w:tc>
        <w:tc>
          <w:tcPr>
            <w:tcW w:w="101"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Paul A. Friedman, M.D.</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Paul A. Friedman, M.D.</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Chief Executive Officer and Chairman of the Board</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(Principal Executive Officer)</w:t>
            </w:r>
          </w:p>
        </w:tc>
      </w:tr>
      <w:tr>
        <w:trPr>
          <w:trHeight w:val="240" w:hRule="atLeast"/>
        </w:trPr>
        <w:tc>
          <w:tcPr>
            <w:tcW w:w="4806"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806" w:type="dxa"/>
            <w:gridSpan w:val="2"/>
            <w:tcBorders/>
            <w:shd w:fill="auto" w:val="clear"/>
            <w:vAlign w:val="center"/>
          </w:tcPr>
          <w:p>
            <w:pPr>
              <w:pStyle w:val="TableContents"/>
              <w:spacing w:before="0" w:after="283"/>
              <w:rPr>
                <w:sz w:val="4"/>
                <w:szCs w:val="4"/>
              </w:rPr>
            </w:pPr>
            <w:r>
              <w:rPr>
                <w:sz w:val="4"/>
                <w:szCs w:val="4"/>
              </w:rPr>
            </w:r>
          </w:p>
        </w:tc>
      </w:tr>
      <w:tr>
        <w:trPr/>
        <w:tc>
          <w:tcPr>
            <w:tcW w:w="4806" w:type="dxa"/>
            <w:tcBorders/>
            <w:shd w:fill="auto" w:val="clear"/>
          </w:tcPr>
          <w:p>
            <w:pPr>
              <w:pStyle w:val="TableContents"/>
              <w:spacing w:before="0" w:after="283"/>
              <w:rPr/>
            </w:pPr>
            <w:r>
              <w:rPr/>
              <w:t>Dated: May 9, 2023</w:t>
            </w:r>
          </w:p>
        </w:tc>
        <w:tc>
          <w:tcPr>
            <w:tcW w:w="101"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Alex G. Howarth</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Alex G. Howarth</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Senior Vice President and Chief Financial Officer</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(Principal Financial and Accounting Officer)</w:t>
            </w:r>
          </w:p>
        </w:tc>
      </w:tr>
    </w:tbl>
    <w:p>
      <w:pPr>
        <w:pStyle w:val="TextBody"/>
        <w:spacing w:before="240" w:after="0"/>
        <w:jc w:val="left"/>
        <w:rPr>
          <w:rFonts w:ascii="Times New Roman" w:hAnsi="Times New Roman"/>
          <w:sz w:val="20"/>
        </w:rPr>
      </w:pPr>
      <w:r>
        <w:rPr>
          <w:rFonts w:ascii="Times New Roman" w:hAnsi="Times New Roman"/>
          <w:sz w:val="20"/>
        </w:rPr>
        <w:t xml:space="preserve">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57601/000119312523030281/d457771dex41.htm" TargetMode="External"/><Relationship Id="rId3" Type="http://schemas.openxmlformats.org/officeDocument/2006/relationships/hyperlink" Target="http://www.sec.gov/Archives/edgar/data/1157601/000119312523030281/d457771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13970</Words>
  <CharactersWithSpaces>94524</CharactersWithSpaces>
  <Paragraphs>3604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EX-32.1</dc:title>
</cp:coreProperties>
</file>