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393700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0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3" w:lineRule="exact"/>
        <w:rPr>
          <w:sz w:val="24"/>
          <w:szCs w:val="24"/>
          <w:color w:val="auto"/>
        </w:rPr>
      </w:pPr>
    </w:p>
    <w:p>
      <w:pPr>
        <w:ind w:left="480" w:hanging="461"/>
        <w:spacing w:after="0"/>
        <w:tabs>
          <w:tab w:leader="none" w:pos="48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1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2" w:lineRule="exact"/>
        <w:rPr>
          <w:sz w:val="24"/>
          <w:szCs w:val="24"/>
          <w:color w:val="auto"/>
        </w:rPr>
      </w:pPr>
    </w:p>
    <w:p>
      <w:pPr>
        <w:ind w:left="460" w:hanging="441"/>
        <w:spacing w:after="0"/>
        <w:tabs>
          <w:tab w:leader="none" w:pos="4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0" w:lineRule="exact"/>
        <w:rPr>
          <w:sz w:val="24"/>
          <w:szCs w:val="24"/>
          <w:color w:val="auto"/>
        </w:rPr>
      </w:pPr>
    </w:p>
    <w:p>
      <w:pPr>
        <w:jc w:val="center"/>
        <w:ind w:right="40"/>
        <w:spacing w:after="0"/>
        <w:tabs>
          <w:tab w:leader="none" w:pos="120" w:val="left"/>
        </w:tabs>
        <w:rPr>
          <w:sz w:val="20"/>
          <w:szCs w:val="20"/>
          <w:color w:val="auto"/>
        </w:rPr>
      </w:pPr>
      <w:r>
        <w:rPr>
          <w:rFonts w:ascii="Times New Roman" w:cs="Times New Roman" w:eastAsia="Times New Roman" w:hAnsi="Times New Roman"/>
          <w:sz w:val="14"/>
          <w:szCs w:val="14"/>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3666490</wp:posOffset>
            </wp:positionH>
            <wp:positionV relativeFrom="paragraph">
              <wp:posOffset>-3175</wp:posOffset>
            </wp:positionV>
            <wp:extent cx="10179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7905" cy="6985"/>
                    </a:xfrm>
                    <a:prstGeom prst="rect">
                      <a:avLst/>
                    </a:prstGeom>
                    <a:noFill/>
                  </pic:spPr>
                </pic:pic>
              </a:graphicData>
            </a:graphic>
          </wp:anchor>
        </w:drawing>
      </w:r>
    </w:p>
    <w:p>
      <w:pPr>
        <w:spacing w:after="0" w:line="1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001-33277</w:t>
      </w:r>
    </w:p>
    <w:p>
      <w:pPr>
        <w:spacing w:after="0" w:line="94"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1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4"/>
          <w:szCs w:val="34"/>
          <w:b w:val="1"/>
          <w:bCs w:val="1"/>
          <w:color w:val="auto"/>
        </w:rPr>
        <w:t>MADRIGAL PHARMACEUTICALS, INC.</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65"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221" w:lineRule="exact"/>
        <w:rPr>
          <w:sz w:val="24"/>
          <w:szCs w:val="24"/>
          <w:color w:val="auto"/>
        </w:rPr>
      </w:pPr>
    </w:p>
    <w:p>
      <w:pPr>
        <w:ind w:left="2520"/>
        <w:spacing w:after="0"/>
        <w:tabs>
          <w:tab w:leader="none" w:pos="810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04-3508648</w:t>
      </w:r>
    </w:p>
    <w:p>
      <w:pPr>
        <w:sectPr>
          <w:pgSz w:w="11900" w:h="16838" w:orient="portrait"/>
          <w:cols w:equalWidth="0" w:num="1">
            <w:col w:w="11240"/>
          </w:cols>
          <w:pgMar w:left="300" w:top="208" w:right="359" w:bottom="1440" w:gutter="0" w:footer="0" w:header="0"/>
        </w:sectPr>
      </w:pPr>
    </w:p>
    <w:p>
      <w:pPr>
        <w:spacing w:after="0" w:line="38"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15"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265"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Four Tower Bridge</w:t>
      </w:r>
    </w:p>
    <w:p>
      <w:pPr>
        <w:spacing w:after="0" w:line="14"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200 Barr Harbor Drive, Suite 200</w:t>
      </w:r>
    </w:p>
    <w:p>
      <w:pPr>
        <w:jc w:val="center"/>
        <w:ind w:right="1680"/>
        <w:spacing w:after="0"/>
        <w:rPr>
          <w:sz w:val="20"/>
          <w:szCs w:val="20"/>
          <w:color w:val="auto"/>
        </w:rPr>
      </w:pPr>
      <w:r>
        <w:rPr>
          <w:rFonts w:ascii="Times New Roman" w:cs="Times New Roman" w:eastAsia="Times New Roman" w:hAnsi="Times New Roman"/>
          <w:sz w:val="14"/>
          <w:szCs w:val="14"/>
          <w:b w:val="1"/>
          <w:bCs w:val="1"/>
          <w:color w:val="auto"/>
        </w:rPr>
        <w:t>West Conshohocken, Pennsylvania</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19428</w:t>
      </w:r>
    </w:p>
    <w:p>
      <w:pPr>
        <w:spacing w:after="0" w:line="38" w:lineRule="exact"/>
        <w:rPr>
          <w:sz w:val="24"/>
          <w:szCs w:val="24"/>
          <w:color w:val="auto"/>
        </w:rPr>
      </w:pPr>
    </w:p>
    <w:p>
      <w:pPr>
        <w:sectPr>
          <w:pgSz w:w="11900" w:h="16838" w:orient="portrait"/>
          <w:cols w:equalWidth="0" w:num="2">
            <w:col w:w="7300" w:space="720"/>
            <w:col w:w="3220"/>
          </w:cols>
          <w:pgMar w:left="300" w:top="208" w:right="359" w:bottom="1440" w:gutter="0" w:footer="0" w:header="0"/>
          <w:type w:val="continuous"/>
        </w:sectPr>
      </w:pPr>
    </w:p>
    <w:p>
      <w:pPr>
        <w:ind w:left="1880"/>
        <w:spacing w:after="0"/>
        <w:tabs>
          <w:tab w:leader="none" w:pos="8180"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1"/>
          <w:szCs w:val="11"/>
          <w:b w:val="1"/>
          <w:bCs w:val="1"/>
          <w:color w:val="auto"/>
        </w:rPr>
        <w:t>(Zip Code)</w:t>
      </w:r>
    </w:p>
    <w:p>
      <w:pPr>
        <w:spacing w:after="0" w:line="2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(267) 824-2827</w:t>
      </w:r>
    </w:p>
    <w:p>
      <w:pPr>
        <w:spacing w:after="0" w:line="3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1"/>
          <w:szCs w:val="11"/>
          <w:b w:val="1"/>
          <w:bCs w:val="1"/>
          <w:color w:val="auto"/>
        </w:rPr>
        <w:t>Former name, former address and former fiscal year, if changed since last report:</w:t>
      </w:r>
    </w:p>
    <w:p>
      <w:pPr>
        <w:spacing w:after="0" w:line="8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4"/>
          <w:szCs w:val="14"/>
          <w:b w:val="1"/>
          <w:bCs w:val="1"/>
          <w:color w:val="auto"/>
        </w:rPr>
        <w:t>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4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4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r>
      <w:tr>
        <w:trPr>
          <w:trHeight w:val="169"/>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4"/>
                <w:szCs w:val="14"/>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4"/>
                <w:szCs w:val="14"/>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r>
      <w:tr>
        <w:trPr>
          <w:trHeight w:val="191"/>
        </w:trPr>
        <w:tc>
          <w:tcPr>
            <w:tcW w:w="4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$0.0001 Par Value Per Share</w:t>
            </w: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MDGL</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700"/>
        </w:trPr>
        <w:tc>
          <w:tcPr>
            <w:tcW w:w="4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_________________________</w:t>
            </w:r>
          </w:p>
        </w:tc>
        <w:tc>
          <w:tcPr>
            <w:tcW w:w="8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145" w:lineRule="exact"/>
        <w:rPr>
          <w:sz w:val="24"/>
          <w:szCs w:val="24"/>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14" w:lineRule="exact"/>
        <w:rPr>
          <w:sz w:val="24"/>
          <w:szCs w:val="24"/>
          <w:color w:val="auto"/>
        </w:rPr>
      </w:pPr>
    </w:p>
    <w:p>
      <w:pPr>
        <w:ind w:right="280"/>
        <w:spacing w:after="0" w:line="27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w:t>
      </w:r>
    </w:p>
    <w:p>
      <w:pPr>
        <w:spacing w:after="0" w:line="135" w:lineRule="exact"/>
        <w:rPr>
          <w:sz w:val="24"/>
          <w:szCs w:val="24"/>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7"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980" w:type="dxa"/>
            <w:vAlign w:val="bottom"/>
          </w:tcPr>
          <w:p>
            <w:pPr>
              <w:ind w:left="1120"/>
              <w:spacing w:after="0"/>
              <w:rPr>
                <w:sz w:val="20"/>
                <w:szCs w:val="20"/>
                <w:color w:val="auto"/>
              </w:rPr>
            </w:pPr>
            <w:r>
              <w:rPr>
                <w:rFonts w:ascii="Wingdings" w:cs="Wingdings" w:eastAsia="Wingdings" w:hAnsi="Wingdings"/>
                <w:sz w:val="14"/>
                <w:szCs w:val="14"/>
                <w:b w:val="1"/>
                <w:bCs w:val="1"/>
                <w:color w:val="auto"/>
              </w:rPr>
              <w:t>x</w:t>
            </w:r>
          </w:p>
        </w:tc>
        <w:tc>
          <w:tcPr>
            <w:tcW w:w="44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Accelerated filer</w:t>
            </w:r>
          </w:p>
        </w:tc>
        <w:tc>
          <w:tcPr>
            <w:tcW w:w="1280" w:type="dxa"/>
            <w:vAlign w:val="bottom"/>
          </w:tcPr>
          <w:p>
            <w:pPr>
              <w:ind w:left="114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980" w:type="dxa"/>
            <w:vAlign w:val="bottom"/>
          </w:tcPr>
          <w:p>
            <w:pPr>
              <w:ind w:left="1120"/>
              <w:spacing w:after="0"/>
              <w:rPr>
                <w:sz w:val="20"/>
                <w:szCs w:val="20"/>
                <w:color w:val="auto"/>
              </w:rPr>
            </w:pPr>
            <w:r>
              <w:rPr>
                <w:rFonts w:ascii="Wingdings" w:cs="Wingdings" w:eastAsia="Wingdings" w:hAnsi="Wingdings"/>
                <w:sz w:val="14"/>
                <w:szCs w:val="14"/>
                <w:b w:val="1"/>
                <w:bCs w:val="1"/>
                <w:color w:val="auto"/>
              </w:rPr>
              <w:t>o</w:t>
            </w:r>
          </w:p>
        </w:tc>
        <w:tc>
          <w:tcPr>
            <w:tcW w:w="44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80" w:type="dxa"/>
            <w:vAlign w:val="bottom"/>
          </w:tcPr>
          <w:p>
            <w:pPr>
              <w:ind w:left="114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4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400" w:type="dxa"/>
            <w:vAlign w:val="bottom"/>
          </w:tcPr>
          <w:p>
            <w:pPr>
              <w:ind w:left="17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280" w:type="dxa"/>
            <w:vAlign w:val="bottom"/>
          </w:tcPr>
          <w:p>
            <w:pPr>
              <w:ind w:left="11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40" w:lineRule="exact"/>
        <w:rPr>
          <w:sz w:val="24"/>
          <w:szCs w:val="24"/>
          <w:color w:val="auto"/>
        </w:rPr>
      </w:pPr>
    </w:p>
    <w:p>
      <w:pPr>
        <w:jc w:val="both"/>
        <w:ind w:right="180"/>
        <w:spacing w:after="0" w:line="27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4"/>
          <w:szCs w:val="14"/>
          <w:b w:val="1"/>
          <w:bCs w:val="1"/>
          <w:color w:val="auto"/>
        </w:rPr>
        <w:t>o</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October 28, 2024, the registrant had 21,810,407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601980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95885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40"/>
          </w:cols>
          <w:pgMar w:left="300" w:top="208"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1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Item</w:t>
            </w:r>
          </w:p>
        </w:tc>
        <w:tc>
          <w:tcPr>
            <w:tcW w:w="8520" w:type="dxa"/>
            <w:vAlign w:val="bottom"/>
            <w:gridSpan w:val="19"/>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71"/>
        </w:trPr>
        <w:tc>
          <w:tcPr>
            <w:tcW w:w="240" w:type="dxa"/>
            <w:vAlign w:val="bottom"/>
            <w:tcBorders>
              <w:top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1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Part I. Financial Information</w:t>
            </w:r>
          </w:p>
        </w:tc>
        <w:tc>
          <w:tcPr>
            <w:tcW w:w="6900" w:type="dxa"/>
            <w:vAlign w:val="bottom"/>
            <w:gridSpan w:val="11"/>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19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9"/>
              </w:rPr>
              <w:t>Financial Statements (Unaudited):</w:t>
            </w:r>
          </w:p>
        </w:tc>
        <w:tc>
          <w:tcPr>
            <w:tcW w:w="6580" w:type="dxa"/>
            <w:vAlign w:val="bottom"/>
            <w:gridSpan w:val="9"/>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Condensed Consolidated Balance Sheets at September 30, 2024 and December 31, 2023</w:t>
            </w:r>
          </w:p>
        </w:tc>
        <w:tc>
          <w:tcPr>
            <w:tcW w:w="3520" w:type="dxa"/>
            <w:vAlign w:val="bottom"/>
            <w:gridSpan w:val="5"/>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for the Three and Nine Months Ended September 30, 2024 and 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360" w:type="dxa"/>
            <w:vAlign w:val="bottom"/>
            <w:tcBorders>
              <w:bottom w:val="single" w:sz="8" w:color="661DE8"/>
            </w:tcBorders>
            <w:gridSpan w:val="18"/>
          </w:tcPr>
          <w:p>
            <w:pPr>
              <w:spacing w:after="0"/>
              <w:rPr>
                <w:sz w:val="20"/>
                <w:szCs w:val="20"/>
                <w:color w:val="auto"/>
              </w:rPr>
            </w:pPr>
            <w:r>
              <w:rPr>
                <w:rFonts w:ascii="Times New Roman" w:cs="Times New Roman" w:eastAsia="Times New Roman" w:hAnsi="Times New Roman"/>
                <w:sz w:val="14"/>
                <w:szCs w:val="14"/>
                <w:color w:val="661DE8"/>
              </w:rPr>
              <w:t>Condensed Consolidated Statements of Comprehensive Loss for the Three and Nine Months Ended September 30, 2024 and 2023</w:t>
            </w:r>
          </w:p>
        </w:tc>
        <w:tc>
          <w:tcPr>
            <w:tcW w:w="1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Equity for the Three and Nine Months Ended September 30, 2024 and 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3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Nine Months Ended September 30, 2024 and 2023</w:t>
            </w:r>
          </w:p>
        </w:tc>
        <w:tc>
          <w:tcPr>
            <w:tcW w:w="1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1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3080" w:type="dxa"/>
            <w:vAlign w:val="bottom"/>
            <w:tcBorders>
              <w:top w:val="single" w:sz="8" w:color="0000FF"/>
            </w:tcBorders>
            <w:gridSpan w:val="5"/>
          </w:tcPr>
          <w:p>
            <w:pPr>
              <w:spacing w:after="0"/>
              <w:rPr>
                <w:sz w:val="13"/>
                <w:szCs w:val="13"/>
                <w:color w:val="auto"/>
              </w:rPr>
            </w:pPr>
          </w:p>
        </w:tc>
        <w:tc>
          <w:tcPr>
            <w:tcW w:w="2300" w:type="dxa"/>
            <w:vAlign w:val="bottom"/>
            <w:gridSpan w:val="3"/>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34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2"/>
          </w:tcPr>
          <w:p>
            <w:pPr>
              <w:spacing w:after="0"/>
              <w:rPr>
                <w:sz w:val="13"/>
                <w:szCs w:val="13"/>
                <w:color w:val="auto"/>
              </w:rPr>
            </w:pPr>
          </w:p>
        </w:tc>
        <w:tc>
          <w:tcPr>
            <w:tcW w:w="3460" w:type="dxa"/>
            <w:vAlign w:val="bottom"/>
            <w:gridSpan w:val="4"/>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9"/>
              </w:rPr>
              <w:t>Part II. Other Information</w:t>
            </w:r>
          </w:p>
        </w:tc>
        <w:tc>
          <w:tcPr>
            <w:tcW w:w="7060" w:type="dxa"/>
            <w:vAlign w:val="bottom"/>
            <w:gridSpan w:val="12"/>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10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7480" w:type="dxa"/>
            <w:vAlign w:val="bottom"/>
            <w:gridSpan w:val="14"/>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20"/>
        </w:trPr>
        <w:tc>
          <w:tcPr>
            <w:tcW w:w="112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18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Defaults Upon Senior Securities</w:t>
            </w:r>
          </w:p>
        </w:tc>
        <w:tc>
          <w:tcPr>
            <w:tcW w:w="1580" w:type="dxa"/>
            <w:vAlign w:val="bottom"/>
            <w:tcBorders>
              <w:top w:val="single" w:sz="8" w:color="0000FF"/>
            </w:tcBorders>
            <w:gridSpan w:val="3"/>
          </w:tcPr>
          <w:p>
            <w:pPr>
              <w:spacing w:after="0"/>
              <w:rPr>
                <w:sz w:val="13"/>
                <w:szCs w:val="13"/>
                <w:color w:val="auto"/>
              </w:rPr>
            </w:pPr>
          </w:p>
        </w:tc>
        <w:tc>
          <w:tcPr>
            <w:tcW w:w="5120" w:type="dxa"/>
            <w:vAlign w:val="bottom"/>
            <w:gridSpan w:val="7"/>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852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1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140" w:type="dxa"/>
            <w:vAlign w:val="bottom"/>
            <w:gridSpan w:val="13"/>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10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Exhibits</w:t>
            </w:r>
          </w:p>
        </w:tc>
        <w:tc>
          <w:tcPr>
            <w:tcW w:w="7500" w:type="dxa"/>
            <w:vAlign w:val="bottom"/>
            <w:gridSpan w:val="15"/>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920" w:type="dxa"/>
            <w:vAlign w:val="bottom"/>
            <w:gridSpan w:val="17"/>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0"/>
        </w:trPr>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7920" w:type="dxa"/>
            <w:vAlign w:val="bottom"/>
            <w:gridSpan w:val="17"/>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6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1.</w:t>
        <w:tab/>
        <w:t>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40" w:type="dxa"/>
            <w:vAlign w:val="bottom"/>
          </w:tcPr>
          <w:p>
            <w:pPr>
              <w:spacing w:after="0"/>
              <w:rPr>
                <w:sz w:val="11"/>
                <w:szCs w:val="11"/>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9"/>
        </w:trPr>
        <w:tc>
          <w:tcPr>
            <w:tcW w:w="8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30"/>
        </w:trPr>
        <w:tc>
          <w:tcPr>
            <w:tcW w:w="8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99,915</w:t>
            </w:r>
          </w:p>
        </w:tc>
        <w:tc>
          <w:tcPr>
            <w:tcW w:w="0" w:type="dxa"/>
            <w:vAlign w:val="bottom"/>
          </w:tcPr>
          <w:p>
            <w:pPr>
              <w:spacing w:after="0"/>
              <w:rPr>
                <w:sz w:val="1"/>
                <w:szCs w:val="1"/>
                <w:color w:val="auto"/>
              </w:rPr>
            </w:pP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Marketable securities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765,943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534,216</w:t>
            </w:r>
          </w:p>
        </w:tc>
        <w:tc>
          <w:tcPr>
            <w:tcW w:w="0" w:type="dxa"/>
            <w:vAlign w:val="bottom"/>
          </w:tcPr>
          <w:p>
            <w:pPr>
              <w:spacing w:after="0"/>
              <w:rPr>
                <w:sz w:val="1"/>
                <w:szCs w:val="1"/>
                <w:color w:val="auto"/>
              </w:rPr>
            </w:pP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 receivables, net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20,861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3,150</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1,063,666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637,281</w:t>
            </w:r>
          </w:p>
        </w:tc>
        <w:tc>
          <w:tcPr>
            <w:tcW w:w="0" w:type="dxa"/>
            <w:vAlign w:val="bottom"/>
          </w:tcPr>
          <w:p>
            <w:pPr>
              <w:spacing w:after="0"/>
              <w:rPr>
                <w:sz w:val="1"/>
                <w:szCs w:val="1"/>
                <w:color w:val="auto"/>
              </w:rPr>
            </w:pP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Right-of-use asset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1,073,265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640,547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45,966</w:t>
            </w:r>
          </w:p>
        </w:tc>
        <w:tc>
          <w:tcPr>
            <w:tcW w:w="10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28,041</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89,980</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177,847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118,548</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liabilities: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Loan payable, net of discount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115,480</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Lease liability</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long 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118,263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116,666</w:t>
            </w:r>
          </w:p>
        </w:tc>
        <w:tc>
          <w:tcPr>
            <w:tcW w:w="0" w:type="dxa"/>
            <w:vAlign w:val="bottom"/>
          </w:tcPr>
          <w:p>
            <w:pPr>
              <w:spacing w:after="0"/>
              <w:rPr>
                <w:sz w:val="1"/>
                <w:szCs w:val="1"/>
                <w:color w:val="auto"/>
              </w:rPr>
            </w:pPr>
          </w:p>
        </w:tc>
      </w:tr>
      <w:tr>
        <w:trPr>
          <w:trHeight w:val="187"/>
        </w:trPr>
        <w:tc>
          <w:tcPr>
            <w:tcW w:w="82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296,110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235,214</w:t>
            </w:r>
          </w:p>
        </w:tc>
        <w:tc>
          <w:tcPr>
            <w:tcW w:w="0" w:type="dxa"/>
            <w:vAlign w:val="bottom"/>
          </w:tcPr>
          <w:p>
            <w:pPr>
              <w:spacing w:after="0"/>
              <w:rPr>
                <w:sz w:val="1"/>
                <w:szCs w:val="1"/>
                <w:color w:val="auto"/>
              </w:rPr>
            </w:pPr>
          </w:p>
        </w:tc>
      </w:tr>
      <w:tr>
        <w:trPr>
          <w:trHeight w:val="18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Preferred stock, par value $0.0001 per share authorized: 5,000,000 shares at September 30, 2024 and December 31, 2023; 2,369,797 and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2,369,797 shares issued and outstanding at September 30, 2024 and December 31, 2023, respectively</w:t>
            </w:r>
          </w:p>
        </w:tc>
        <w:tc>
          <w:tcPr>
            <w:tcW w:w="2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Common stock, par value $0.0001 per share authorized: 200,000,000 at September 30, 2024 and December 31, 2023; 21,806,436 and</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19,875,427 shares issued and outstanding at September 30, 2024 and December 31, 2023, respectively</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8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2,518,648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1,741,153</w:t>
            </w: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(1,742,766)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(1,336,290)</w:t>
            </w:r>
          </w:p>
        </w:tc>
        <w:tc>
          <w:tcPr>
            <w:tcW w:w="0" w:type="dxa"/>
            <w:vAlign w:val="bottom"/>
          </w:tcPr>
          <w:p>
            <w:pPr>
              <w:spacing w:after="0"/>
              <w:rPr>
                <w:sz w:val="1"/>
                <w:szCs w:val="1"/>
                <w:color w:val="auto"/>
              </w:rPr>
            </w:pPr>
          </w:p>
        </w:tc>
      </w:tr>
      <w:tr>
        <w:trPr>
          <w:trHeight w:val="198"/>
        </w:trPr>
        <w:tc>
          <w:tcPr>
            <w:tcW w:w="8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777,155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405,333</w:t>
            </w:r>
          </w:p>
        </w:tc>
        <w:tc>
          <w:tcPr>
            <w:tcW w:w="0" w:type="dxa"/>
            <w:vAlign w:val="bottom"/>
          </w:tcPr>
          <w:p>
            <w:pPr>
              <w:spacing w:after="0"/>
              <w:rPr>
                <w:sz w:val="1"/>
                <w:szCs w:val="1"/>
                <w:color w:val="auto"/>
              </w:rPr>
            </w:pPr>
          </w:p>
        </w:tc>
      </w:tr>
      <w:tr>
        <w:trPr>
          <w:trHeight w:val="187"/>
        </w:trPr>
        <w:tc>
          <w:tcPr>
            <w:tcW w:w="82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1,073,265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640,547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8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360" w:type="dxa"/>
            <w:vAlign w:val="bottom"/>
          </w:tcPr>
          <w:p>
            <w:pPr>
              <w:spacing w:after="0"/>
              <w:rPr>
                <w:sz w:val="12"/>
                <w:szCs w:val="12"/>
                <w:color w:val="auto"/>
              </w:rPr>
            </w:pPr>
          </w:p>
        </w:tc>
        <w:tc>
          <w:tcPr>
            <w:tcW w:w="2680" w:type="dxa"/>
            <w:vAlign w:val="bottom"/>
            <w:gridSpan w:val="4"/>
          </w:tcPr>
          <w:p>
            <w:pPr>
              <w:jc w:val="right"/>
              <w:ind w:right="61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30"/>
        </w:trPr>
        <w:tc>
          <w:tcPr>
            <w:tcW w:w="5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50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91"/>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Product revenue, net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62,175</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76,813</w:t>
            </w:r>
          </w:p>
        </w:tc>
        <w:tc>
          <w:tcPr>
            <w:tcW w:w="80" w:type="dxa"/>
            <w:vAlign w:val="bottom"/>
          </w:tcPr>
          <w:p>
            <w:pPr>
              <w:spacing w:after="0"/>
              <w:rPr>
                <w:sz w:val="17"/>
                <w:szCs w:val="17"/>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Cost of sales</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70,951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201,710</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107,585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27,583</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293,834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61,610</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178,479</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98,534</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507,692</w:t>
            </w:r>
          </w:p>
        </w:tc>
        <w:tc>
          <w:tcPr>
            <w:tcW w:w="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263,320</w:t>
            </w:r>
          </w:p>
        </w:tc>
        <w:tc>
          <w:tcPr>
            <w:tcW w:w="0" w:type="dxa"/>
            <w:vAlign w:val="bottom"/>
          </w:tcPr>
          <w:p>
            <w:pPr>
              <w:spacing w:after="0"/>
              <w:rPr>
                <w:sz w:val="1"/>
                <w:szCs w:val="1"/>
                <w:color w:val="auto"/>
              </w:rPr>
            </w:pPr>
          </w:p>
        </w:tc>
      </w:tr>
      <w:tr>
        <w:trPr>
          <w:trHeight w:val="187"/>
        </w:trPr>
        <w:tc>
          <w:tcPr>
            <w:tcW w:w="5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from operations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(116,304)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(98,534)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(430,879)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(263,320)</w:t>
            </w: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10,625</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(8,741)</w:t>
            </w:r>
          </w:p>
        </w:tc>
        <w:tc>
          <w:tcPr>
            <w:tcW w:w="0" w:type="dxa"/>
            <w:vAlign w:val="bottom"/>
          </w:tcPr>
          <w:p>
            <w:pPr>
              <w:spacing w:after="0"/>
              <w:rPr>
                <w:sz w:val="1"/>
                <w:szCs w:val="1"/>
                <w:color w:val="auto"/>
              </w:rPr>
            </w:pPr>
          </w:p>
        </w:tc>
      </w:tr>
      <w:tr>
        <w:trPr>
          <w:trHeight w:val="217"/>
        </w:trPr>
        <w:tc>
          <w:tcPr>
            <w:tcW w:w="5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(106,964)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(406,476)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(261,436)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Net loss per common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and diluted net loss per common share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0" w:type="dxa"/>
            <w:vAlign w:val="bottom"/>
          </w:tcPr>
          <w:p>
            <w:pPr>
              <w:spacing w:after="0"/>
              <w:rPr>
                <w:sz w:val="1"/>
                <w:szCs w:val="1"/>
                <w:color w:val="auto"/>
              </w:rPr>
            </w:pPr>
          </w:p>
        </w:tc>
      </w:tr>
      <w:tr>
        <w:trPr>
          <w:trHeight w:val="191"/>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 weighted average number of common shares outstanding</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21,745,929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18,476,414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21,052,544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18,326,154</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5080" w:type="dxa"/>
            <w:vAlign w:val="bottom"/>
          </w:tcPr>
          <w:p>
            <w:pPr>
              <w:spacing w:after="0"/>
              <w:rPr>
                <w:sz w:val="13"/>
                <w:szCs w:val="13"/>
                <w:color w:val="auto"/>
              </w:rPr>
            </w:pPr>
          </w:p>
        </w:tc>
        <w:tc>
          <w:tcPr>
            <w:tcW w:w="24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4"/>
          </w:tcPr>
          <w:p>
            <w:pPr>
              <w:jc w:val="right"/>
              <w:ind w:right="63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60"/>
        </w:trPr>
        <w:tc>
          <w:tcPr>
            <w:tcW w:w="50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(106,964)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(406,476)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(261,436)</w:t>
            </w:r>
          </w:p>
        </w:tc>
      </w:tr>
      <w:tr>
        <w:trPr>
          <w:trHeight w:val="196"/>
        </w:trPr>
        <w:tc>
          <w:tcPr>
            <w:tcW w:w="50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7"/>
        </w:trPr>
        <w:tc>
          <w:tcPr>
            <w:tcW w:w="5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gain (loss) on available-for-sale securities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7"/>
        </w:trPr>
        <w:tc>
          <w:tcPr>
            <w:tcW w:w="508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Comprehensive loss</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(105,325)</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(98,693)</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(405,673)</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(261,446)</w:t>
            </w:r>
          </w:p>
        </w:tc>
      </w:tr>
      <w:tr>
        <w:trPr>
          <w:trHeight w:val="20"/>
        </w:trPr>
        <w:tc>
          <w:tcPr>
            <w:tcW w:w="5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 in thousands, except share and per share amounts)</w:t>
      </w:r>
    </w:p>
    <w:p>
      <w:pPr>
        <w:sectPr>
          <w:pgSz w:w="11900" w:h="16838" w:orient="portrait"/>
          <w:cols w:equalWidth="0" w:num="1">
            <w:col w:w="11280"/>
          </w:cols>
          <w:pgMar w:left="300" w:top="123" w:right="319" w:bottom="1440" w:gutter="0" w:footer="0" w:header="0"/>
        </w:sectPr>
      </w:pP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500" w:type="dxa"/>
            <w:vAlign w:val="bottom"/>
          </w:tcPr>
          <w:p>
            <w:pPr>
              <w:spacing w:after="0"/>
              <w:rPr>
                <w:sz w:val="13"/>
                <w:szCs w:val="13"/>
                <w:color w:val="auto"/>
              </w:rPr>
            </w:pPr>
          </w:p>
        </w:tc>
        <w:tc>
          <w:tcPr>
            <w:tcW w:w="182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1"/>
                <w:szCs w:val="11"/>
                <w:b w:val="1"/>
                <w:bCs w:val="1"/>
                <w:color w:val="auto"/>
              </w:rPr>
              <w:t>Preferred stock</w:t>
            </w:r>
          </w:p>
        </w:tc>
      </w:tr>
      <w:tr>
        <w:trPr>
          <w:trHeight w:val="182"/>
        </w:trPr>
        <w:tc>
          <w:tcPr>
            <w:tcW w:w="3500" w:type="dxa"/>
            <w:vAlign w:val="bottom"/>
          </w:tcPr>
          <w:p>
            <w:pPr>
              <w:spacing w:after="0"/>
              <w:rPr>
                <w:sz w:val="15"/>
                <w:szCs w:val="15"/>
                <w:color w:val="auto"/>
              </w:rPr>
            </w:pP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5"/>
                <w:szCs w:val="15"/>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91"/>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shares and sale of warrants in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59"/>
        </w:trPr>
        <w:tc>
          <w:tcPr>
            <w:tcW w:w="3500" w:type="dxa"/>
            <w:vAlign w:val="bottom"/>
          </w:tcPr>
          <w:p>
            <w:pPr>
              <w:ind w:left="380"/>
              <w:spacing w:after="0" w:line="159" w:lineRule="exact"/>
              <w:rPr>
                <w:sz w:val="20"/>
                <w:szCs w:val="20"/>
                <w:color w:val="auto"/>
              </w:rPr>
            </w:pPr>
            <w:r>
              <w:rPr>
                <w:rFonts w:ascii="Times New Roman" w:cs="Times New Roman" w:eastAsia="Times New Roman" w:hAnsi="Times New Roman"/>
                <w:sz w:val="14"/>
                <w:szCs w:val="14"/>
                <w:color w:val="auto"/>
              </w:rPr>
              <w:t>equity offerings, excluding to related parties, net of</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5"/>
        </w:trPr>
        <w:tc>
          <w:tcPr>
            <w:tcW w:w="3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transaction costs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Sale of warrants to related parties in equity offerings,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59"/>
        </w:trPr>
        <w:tc>
          <w:tcPr>
            <w:tcW w:w="3500" w:type="dxa"/>
            <w:vAlign w:val="bottom"/>
          </w:tcPr>
          <w:p>
            <w:pPr>
              <w:ind w:left="380"/>
              <w:spacing w:after="0" w:line="159" w:lineRule="exact"/>
              <w:rPr>
                <w:sz w:val="20"/>
                <w:szCs w:val="20"/>
                <w:color w:val="auto"/>
              </w:rPr>
            </w:pPr>
            <w:r>
              <w:rPr>
                <w:rFonts w:ascii="Times New Roman" w:cs="Times New Roman" w:eastAsia="Times New Roman" w:hAnsi="Times New Roman"/>
                <w:sz w:val="14"/>
                <w:szCs w:val="14"/>
                <w:color w:val="auto"/>
              </w:rPr>
              <w:t>exercise of common stock options, and restricted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5"/>
        </w:trPr>
        <w:tc>
          <w:tcPr>
            <w:tcW w:w="3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stock vesting, net of transaction costs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4"/>
        </w:trPr>
        <w:tc>
          <w:tcPr>
            <w:tcW w:w="3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Balance at March 31,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Issuance of common shares in equity offering, excluding</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4"/>
        </w:trPr>
        <w:tc>
          <w:tcPr>
            <w:tcW w:w="3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 related parties, net of transaction costs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Sale of common shares to related parties and exercise of</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4"/>
        </w:trPr>
        <w:tc>
          <w:tcPr>
            <w:tcW w:w="3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common stock options, net of transaction costs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4"/>
        </w:trPr>
        <w:tc>
          <w:tcPr>
            <w:tcW w:w="3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91"/>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Balance at June 30, 2024</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Sale of common shares to related parties and exercise of</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4"/>
        </w:trPr>
        <w:tc>
          <w:tcPr>
            <w:tcW w:w="3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common stock options, net of transaction costs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4"/>
        </w:trPr>
        <w:tc>
          <w:tcPr>
            <w:tcW w:w="35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3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3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00" w:type="dxa"/>
            <w:vAlign w:val="bottom"/>
            <w:gridSpan w:val="3"/>
            <w:vMerge w:val="restart"/>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1"/>
                <w:szCs w:val="11"/>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7"/>
        </w:trPr>
        <w:tc>
          <w:tcPr>
            <w:tcW w:w="1600" w:type="dxa"/>
            <w:vAlign w:val="bottom"/>
            <w:tcBorders>
              <w:bottom w:val="single" w:sz="8" w:color="auto"/>
            </w:tcBorders>
            <w:gridSpan w:val="3"/>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tcPr>
          <w:p>
            <w:pPr>
              <w:jc w:val="center"/>
              <w:ind w:right="200"/>
              <w:spacing w:after="0" w:line="107"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9"/>
                <w:szCs w:val="9"/>
                <w:color w:val="auto"/>
              </w:rPr>
            </w:pPr>
          </w:p>
        </w:tc>
        <w:tc>
          <w:tcPr>
            <w:tcW w:w="94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9"/>
                <w:szCs w:val="9"/>
                <w:color w:val="auto"/>
              </w:rPr>
            </w:pPr>
          </w:p>
        </w:tc>
        <w:tc>
          <w:tcPr>
            <w:tcW w:w="940" w:type="dxa"/>
            <w:vAlign w:val="bottom"/>
            <w:gridSpan w:val="2"/>
          </w:tcPr>
          <w:p>
            <w:pPr>
              <w:ind w:left="40"/>
              <w:spacing w:after="0" w:line="10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9"/>
                <w:szCs w:val="9"/>
                <w:color w:val="auto"/>
              </w:rPr>
            </w:pPr>
          </w:p>
        </w:tc>
        <w:tc>
          <w:tcPr>
            <w:tcW w:w="800" w:type="dxa"/>
            <w:vAlign w:val="bottom"/>
          </w:tcPr>
          <w:p>
            <w:pPr>
              <w:jc w:val="center"/>
              <w:ind w:right="31"/>
              <w:spacing w:after="0" w:line="10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69"/>
        </w:trPr>
        <w:tc>
          <w:tcPr>
            <w:tcW w:w="9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4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4"/>
                <w:szCs w:val="14"/>
                <w:color w:val="auto"/>
              </w:rPr>
            </w:pPr>
          </w:p>
        </w:tc>
        <w:tc>
          <w:tcPr>
            <w:tcW w:w="800" w:type="dxa"/>
            <w:vAlign w:val="bottom"/>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91"/>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19,875,427</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1,741,153</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(1,336,290)</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405,333</w:t>
            </w:r>
          </w:p>
        </w:tc>
        <w:tc>
          <w:tcPr>
            <w:tcW w:w="0" w:type="dxa"/>
            <w:vAlign w:val="bottom"/>
          </w:tcPr>
          <w:p>
            <w:pPr>
              <w:spacing w:after="0"/>
              <w:rPr>
                <w:sz w:val="1"/>
                <w:szCs w:val="1"/>
                <w:color w:val="auto"/>
              </w:rPr>
            </w:pPr>
          </w:p>
        </w:tc>
      </w:tr>
      <w:tr>
        <w:trPr>
          <w:trHeight w:val="530"/>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311,560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311,560</w:t>
            </w:r>
          </w:p>
        </w:tc>
        <w:tc>
          <w:tcPr>
            <w:tcW w:w="0" w:type="dxa"/>
            <w:vAlign w:val="bottom"/>
          </w:tcPr>
          <w:p>
            <w:pPr>
              <w:spacing w:after="0"/>
              <w:rPr>
                <w:sz w:val="1"/>
                <w:szCs w:val="1"/>
                <w:color w:val="auto"/>
              </w:rPr>
            </w:pPr>
          </w:p>
        </w:tc>
      </w:tr>
      <w:tr>
        <w:trPr>
          <w:trHeight w:val="530"/>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59,236</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262,145</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262,145</w:t>
            </w:r>
          </w:p>
        </w:tc>
        <w:tc>
          <w:tcPr>
            <w:tcW w:w="0" w:type="dxa"/>
            <w:vAlign w:val="bottom"/>
          </w:tcPr>
          <w:p>
            <w:pPr>
              <w:spacing w:after="0"/>
              <w:rPr>
                <w:sz w:val="1"/>
                <w:szCs w:val="1"/>
                <w:color w:val="auto"/>
              </w:rPr>
            </w:pPr>
          </w:p>
        </w:tc>
      </w:tr>
      <w:tr>
        <w:trPr>
          <w:trHeight w:val="361"/>
        </w:trPr>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19,902</w:t>
            </w:r>
          </w:p>
        </w:tc>
        <w:tc>
          <w:tcPr>
            <w:tcW w:w="0" w:type="dxa"/>
            <w:vAlign w:val="bottom"/>
          </w:tcPr>
          <w:p>
            <w:pPr>
              <w:spacing w:after="0"/>
              <w:rPr>
                <w:sz w:val="1"/>
                <w:szCs w:val="1"/>
                <w:color w:val="auto"/>
              </w:rPr>
            </w:pPr>
          </w:p>
        </w:tc>
      </w:tr>
      <w:tr>
        <w:trPr>
          <w:trHeight w:val="202"/>
        </w:trPr>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207"/>
        </w:trPr>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(147,541)</w:t>
            </w:r>
          </w:p>
        </w:tc>
        <w:tc>
          <w:tcPr>
            <w:tcW w:w="0" w:type="dxa"/>
            <w:vAlign w:val="bottom"/>
          </w:tcPr>
          <w:p>
            <w:pPr>
              <w:spacing w:after="0"/>
              <w:rPr>
                <w:sz w:val="1"/>
                <w:szCs w:val="1"/>
                <w:color w:val="auto"/>
              </w:rPr>
            </w:pPr>
          </w:p>
        </w:tc>
      </w:tr>
      <w:tr>
        <w:trPr>
          <w:trHeight w:val="187"/>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20,684,663</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2,334,760</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(1,483,831)</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850,759</w:t>
            </w:r>
          </w:p>
        </w:tc>
        <w:tc>
          <w:tcPr>
            <w:tcW w:w="0" w:type="dxa"/>
            <w:vAlign w:val="bottom"/>
          </w:tcPr>
          <w:p>
            <w:pPr>
              <w:spacing w:after="0"/>
              <w:rPr>
                <w:sz w:val="1"/>
                <w:szCs w:val="1"/>
                <w:color w:val="auto"/>
              </w:rPr>
            </w:pPr>
          </w:p>
        </w:tc>
      </w:tr>
      <w:tr>
        <w:trPr>
          <w:trHeight w:val="36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346,153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85,950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85,950</w:t>
            </w:r>
          </w:p>
        </w:tc>
        <w:tc>
          <w:tcPr>
            <w:tcW w:w="0" w:type="dxa"/>
            <w:vAlign w:val="bottom"/>
          </w:tcPr>
          <w:p>
            <w:pPr>
              <w:spacing w:after="0"/>
              <w:rPr>
                <w:sz w:val="1"/>
                <w:szCs w:val="1"/>
                <w:color w:val="auto"/>
              </w:rPr>
            </w:pPr>
          </w:p>
        </w:tc>
      </w:tr>
      <w:tr>
        <w:trPr>
          <w:trHeight w:val="36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670,077</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48,174</w:t>
            </w:r>
          </w:p>
        </w:tc>
        <w:tc>
          <w:tcPr>
            <w:tcW w:w="0" w:type="dxa"/>
            <w:vAlign w:val="bottom"/>
          </w:tcPr>
          <w:p>
            <w:pPr>
              <w:spacing w:after="0"/>
              <w:rPr>
                <w:sz w:val="1"/>
                <w:szCs w:val="1"/>
                <w:color w:val="auto"/>
              </w:rPr>
            </w:pPr>
          </w:p>
        </w:tc>
      </w:tr>
      <w:tr>
        <w:trPr>
          <w:trHeight w:val="361"/>
        </w:trPr>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24,404</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24,404</w:t>
            </w:r>
          </w:p>
        </w:tc>
        <w:tc>
          <w:tcPr>
            <w:tcW w:w="0" w:type="dxa"/>
            <w:vAlign w:val="bottom"/>
          </w:tcPr>
          <w:p>
            <w:pPr>
              <w:spacing w:after="0"/>
              <w:rPr>
                <w:sz w:val="1"/>
                <w:szCs w:val="1"/>
                <w:color w:val="auto"/>
              </w:rPr>
            </w:pPr>
          </w:p>
        </w:tc>
      </w:tr>
      <w:tr>
        <w:trPr>
          <w:trHeight w:val="202"/>
        </w:trPr>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0" w:type="dxa"/>
            <w:vAlign w:val="bottom"/>
          </w:tcPr>
          <w:p>
            <w:pPr>
              <w:spacing w:after="0"/>
              <w:rPr>
                <w:sz w:val="1"/>
                <w:szCs w:val="1"/>
                <w:color w:val="auto"/>
              </w:rPr>
            </w:pPr>
          </w:p>
        </w:tc>
      </w:tr>
      <w:tr>
        <w:trPr>
          <w:trHeight w:val="207"/>
        </w:trPr>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(151,971)</w:t>
            </w:r>
          </w:p>
        </w:tc>
        <w:tc>
          <w:tcPr>
            <w:tcW w:w="0" w:type="dxa"/>
            <w:vAlign w:val="bottom"/>
          </w:tcPr>
          <w:p>
            <w:pPr>
              <w:spacing w:after="0"/>
              <w:rPr>
                <w:sz w:val="1"/>
                <w:szCs w:val="1"/>
                <w:color w:val="auto"/>
              </w:rPr>
            </w:pPr>
          </w:p>
        </w:tc>
      </w:tr>
      <w:tr>
        <w:trPr>
          <w:trHeight w:val="187"/>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21,700,893</w:t>
            </w:r>
          </w:p>
        </w:tc>
        <w:tc>
          <w:tcPr>
            <w:tcW w:w="80" w:type="dxa"/>
            <w:vAlign w:val="bottom"/>
          </w:tcPr>
          <w:p>
            <w:pPr>
              <w:spacing w:after="0"/>
              <w:rPr>
                <w:sz w:val="16"/>
                <w:szCs w:val="16"/>
                <w:color w:val="auto"/>
              </w:rPr>
            </w:pPr>
          </w:p>
        </w:tc>
        <w:tc>
          <w:tcPr>
            <w:tcW w:w="620" w:type="dxa"/>
            <w:vAlign w:val="bottom"/>
            <w:tcBorders>
              <w:top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2,493,288</w:t>
            </w:r>
          </w:p>
        </w:tc>
        <w:tc>
          <w:tcPr>
            <w:tcW w:w="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(1,635,802)</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857,120</w:t>
            </w:r>
          </w:p>
        </w:tc>
        <w:tc>
          <w:tcPr>
            <w:tcW w:w="0" w:type="dxa"/>
            <w:vAlign w:val="bottom"/>
          </w:tcPr>
          <w:p>
            <w:pPr>
              <w:spacing w:after="0"/>
              <w:rPr>
                <w:sz w:val="1"/>
                <w:szCs w:val="1"/>
                <w:color w:val="auto"/>
              </w:rPr>
            </w:pPr>
          </w:p>
        </w:tc>
      </w:tr>
      <w:tr>
        <w:trPr>
          <w:trHeight w:val="361"/>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105,543</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7,462</w:t>
            </w:r>
          </w:p>
        </w:tc>
        <w:tc>
          <w:tcPr>
            <w:tcW w:w="0" w:type="dxa"/>
            <w:vAlign w:val="bottom"/>
          </w:tcPr>
          <w:p>
            <w:pPr>
              <w:spacing w:after="0"/>
              <w:rPr>
                <w:sz w:val="1"/>
                <w:szCs w:val="1"/>
                <w:color w:val="auto"/>
              </w:rPr>
            </w:pPr>
          </w:p>
        </w:tc>
      </w:tr>
      <w:tr>
        <w:trPr>
          <w:trHeight w:val="361"/>
        </w:trPr>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17,898</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17,898</w:t>
            </w:r>
          </w:p>
        </w:tc>
        <w:tc>
          <w:tcPr>
            <w:tcW w:w="0" w:type="dxa"/>
            <w:vAlign w:val="bottom"/>
          </w:tcPr>
          <w:p>
            <w:pPr>
              <w:spacing w:after="0"/>
              <w:rPr>
                <w:sz w:val="1"/>
                <w:szCs w:val="1"/>
                <w:color w:val="auto"/>
              </w:rPr>
            </w:pPr>
          </w:p>
        </w:tc>
      </w:tr>
      <w:tr>
        <w:trPr>
          <w:trHeight w:val="202"/>
        </w:trPr>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1,639</w:t>
            </w:r>
          </w:p>
        </w:tc>
        <w:tc>
          <w:tcPr>
            <w:tcW w:w="0" w:type="dxa"/>
            <w:vAlign w:val="bottom"/>
          </w:tcPr>
          <w:p>
            <w:pPr>
              <w:spacing w:after="0"/>
              <w:rPr>
                <w:sz w:val="1"/>
                <w:szCs w:val="1"/>
                <w:color w:val="auto"/>
              </w:rPr>
            </w:pPr>
          </w:p>
        </w:tc>
      </w:tr>
      <w:tr>
        <w:trPr>
          <w:trHeight w:val="207"/>
        </w:trPr>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(106,964)</w:t>
            </w:r>
          </w:p>
        </w:tc>
        <w:tc>
          <w:tcPr>
            <w:tcW w:w="0" w:type="dxa"/>
            <w:vAlign w:val="bottom"/>
          </w:tcPr>
          <w:p>
            <w:pPr>
              <w:spacing w:after="0"/>
              <w:rPr>
                <w:sz w:val="1"/>
                <w:szCs w:val="1"/>
                <w:color w:val="auto"/>
              </w:rPr>
            </w:pPr>
          </w:p>
        </w:tc>
      </w:tr>
      <w:tr>
        <w:trPr>
          <w:trHeight w:val="177"/>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21,806,436</w:t>
            </w:r>
          </w:p>
        </w:tc>
        <w:tc>
          <w:tcPr>
            <w:tcW w:w="8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2,518,648</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w:t>
            </w:r>
          </w:p>
        </w:tc>
        <w:tc>
          <w:tcPr>
            <w:tcW w:w="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(1,742,766)</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777,155</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-3368040</wp:posOffset>
            </wp:positionV>
            <wp:extent cx="7161530" cy="134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-2896235</wp:posOffset>
            </wp:positionV>
            <wp:extent cx="7161530" cy="336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33655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-2330450</wp:posOffset>
            </wp:positionV>
            <wp:extent cx="7161530" cy="128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-2074545</wp:posOffset>
            </wp:positionV>
            <wp:extent cx="716153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-1710690</wp:posOffset>
            </wp:positionV>
            <wp:extent cx="7161530" cy="229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22923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-1252220</wp:posOffset>
            </wp:positionV>
            <wp:extent cx="7161530"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-996315</wp:posOffset>
            </wp:positionV>
            <wp:extent cx="716153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-632460</wp:posOffset>
            </wp:positionV>
            <wp:extent cx="7161530" cy="229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22923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-275590</wp:posOffset>
            </wp:positionV>
            <wp:extent cx="7161530"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-12700</wp:posOffset>
            </wp:positionV>
            <wp:extent cx="7161530" cy="134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60"/>
            <w:col w:w="5880"/>
          </w:cols>
          <w:pgMar w:left="300" w:top="123" w:right="31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866"/>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24"/>
                <w:szCs w:val="2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18,102,523</w:t>
            </w:r>
          </w:p>
        </w:tc>
        <w:tc>
          <w:tcPr>
            <w:tcW w:w="60" w:type="dxa"/>
            <w:vAlign w:val="bottom"/>
          </w:tcPr>
          <w:p>
            <w:pPr>
              <w:spacing w:after="0"/>
              <w:rPr>
                <w:sz w:val="24"/>
                <w:szCs w:val="24"/>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1,160,079</w:t>
            </w:r>
          </w:p>
        </w:tc>
        <w:tc>
          <w:tcPr>
            <w:tcW w:w="60" w:type="dxa"/>
            <w:vAlign w:val="bottom"/>
          </w:tcPr>
          <w:p>
            <w:pPr>
              <w:spacing w:after="0"/>
              <w:rPr>
                <w:sz w:val="24"/>
                <w:szCs w:val="24"/>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24"/>
                <w:szCs w:val="24"/>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(962,660)</w:t>
            </w:r>
          </w:p>
        </w:tc>
        <w:tc>
          <w:tcPr>
            <w:tcW w:w="80" w:type="dxa"/>
            <w:vAlign w:val="bottom"/>
          </w:tcPr>
          <w:p>
            <w:pPr>
              <w:spacing w:after="0"/>
              <w:rPr>
                <w:sz w:val="24"/>
                <w:szCs w:val="24"/>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197,389</w:t>
            </w:r>
          </w:p>
        </w:tc>
      </w:tr>
      <w:tr>
        <w:trPr>
          <w:trHeight w:val="171"/>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Sale of common shares to related parties and exercise of</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95"/>
        </w:trPr>
        <w:tc>
          <w:tcPr>
            <w:tcW w:w="3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common stock options, net of transaction costs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180,551</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17,903</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17,903</w:t>
            </w:r>
          </w:p>
        </w:tc>
      </w:tr>
      <w:tr>
        <w:trPr>
          <w:trHeight w:val="16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 related to equity-</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0"/>
        </w:trPr>
        <w:tc>
          <w:tcPr>
            <w:tcW w:w="35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classified awards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11,250</w:t>
            </w:r>
          </w:p>
        </w:tc>
      </w:tr>
      <w:tr>
        <w:trPr>
          <w:trHeight w:val="207"/>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Hercules warrant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207"/>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(76,896)</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(76,896)</w:t>
            </w:r>
          </w:p>
        </w:tc>
      </w:tr>
      <w:tr>
        <w:trPr>
          <w:trHeight w:val="18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18,283,074</w:t>
            </w:r>
          </w:p>
        </w:tc>
        <w:tc>
          <w:tcPr>
            <w:tcW w:w="6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1,189,776</w:t>
            </w:r>
          </w:p>
        </w:tc>
        <w:tc>
          <w:tcPr>
            <w:tcW w:w="6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6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(1,039,556)</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150,136</w:t>
            </w:r>
          </w:p>
        </w:tc>
      </w:tr>
      <w:tr>
        <w:trPr>
          <w:trHeight w:val="171"/>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Issuance of common shares in equity offering, excluding</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95"/>
        </w:trPr>
        <w:tc>
          <w:tcPr>
            <w:tcW w:w="3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 related parties, net of transaction costs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85,901</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21,754</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21,754</w:t>
            </w:r>
          </w:p>
        </w:tc>
      </w:tr>
      <w:tr>
        <w:trPr>
          <w:trHeight w:val="16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Sale of common shares to related parties and exercise of</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0"/>
        </w:trPr>
        <w:tc>
          <w:tcPr>
            <w:tcW w:w="35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common stock options, net of transaction costs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90,058</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w:t>
            </w:r>
          </w:p>
        </w:tc>
      </w:tr>
      <w:tr>
        <w:trPr>
          <w:trHeight w:val="171"/>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Compensation expense related to stock options for</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95"/>
        </w:trPr>
        <w:tc>
          <w:tcPr>
            <w:tcW w:w="3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services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10,973</w:t>
            </w:r>
          </w:p>
        </w:tc>
      </w:tr>
      <w:tr>
        <w:trPr>
          <w:trHeight w:val="19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7"/>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Hercules warrant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96"/>
        </w:trPr>
        <w:tc>
          <w:tcPr>
            <w:tcW w:w="35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(85,800)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(85,800)</w:t>
            </w:r>
          </w:p>
        </w:tc>
      </w:tr>
      <w:tr>
        <w:trPr>
          <w:trHeight w:val="198"/>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18,459,033</w:t>
            </w: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1,228,949</w:t>
            </w: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(1,125,356)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103,506</w:t>
            </w:r>
          </w:p>
        </w:tc>
      </w:tr>
      <w:tr>
        <w:trPr>
          <w:trHeight w:val="16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Issuance of common shares in equity offering, excluding</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0"/>
        </w:trPr>
        <w:tc>
          <w:tcPr>
            <w:tcW w:w="35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to related parties, net of transaction costs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12,200</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w:t>
            </w:r>
          </w:p>
        </w:tc>
      </w:tr>
      <w:tr>
        <w:trPr>
          <w:trHeight w:val="171"/>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Sale of common shares to related parties and exercise of</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95"/>
        </w:trPr>
        <w:tc>
          <w:tcPr>
            <w:tcW w:w="3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common stock options, net of transaction costs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22,959</w:t>
            </w: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w:t>
            </w:r>
          </w:p>
        </w:tc>
      </w:tr>
      <w:tr>
        <w:trPr>
          <w:trHeight w:val="16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Compensation expense related to stock options for</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90"/>
        </w:trPr>
        <w:tc>
          <w:tcPr>
            <w:tcW w:w="35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services</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12,660</w:t>
            </w:r>
          </w:p>
        </w:tc>
      </w:tr>
      <w:tr>
        <w:trPr>
          <w:trHeight w:val="207"/>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Unrealized gain on marketable securities</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47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96"/>
        </w:trPr>
        <w:tc>
          <w:tcPr>
            <w:tcW w:w="35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Hercules warrant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07"/>
        </w:trPr>
        <w:tc>
          <w:tcPr>
            <w:tcW w:w="3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(98,740)</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(98,740)</w:t>
            </w:r>
          </w:p>
        </w:tc>
      </w:tr>
      <w:tr>
        <w:trPr>
          <w:trHeight w:val="187"/>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c>
          <w:tcPr>
            <w:tcW w:w="6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18,494,192</w:t>
            </w:r>
          </w:p>
        </w:tc>
        <w:tc>
          <w:tcPr>
            <w:tcW w:w="6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1,246,385</w:t>
            </w:r>
          </w:p>
        </w:tc>
        <w:tc>
          <w:tcPr>
            <w:tcW w:w="6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60" w:type="dxa"/>
            <w:vAlign w:val="bottom"/>
          </w:tcPr>
          <w:p>
            <w:pPr>
              <w:spacing w:after="0"/>
              <w:rPr>
                <w:sz w:val="16"/>
                <w:szCs w:val="16"/>
                <w:color w:val="auto"/>
              </w:rPr>
            </w:pPr>
          </w:p>
        </w:tc>
        <w:tc>
          <w:tcPr>
            <w:tcW w:w="2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(1,224,096)</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22,249</w:t>
            </w:r>
          </w:p>
        </w:tc>
      </w:tr>
      <w:tr>
        <w:trPr>
          <w:trHeight w:val="20"/>
        </w:trPr>
        <w:tc>
          <w:tcPr>
            <w:tcW w:w="10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 in thousands)</w:t>
      </w:r>
    </w:p>
    <w:p>
      <w:pPr>
        <w:spacing w:after="0" w:line="192"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1"/>
          <w:szCs w:val="11"/>
          <w:b w:val="1"/>
          <w:bCs w:val="1"/>
          <w:color w:val="auto"/>
        </w:rPr>
        <w:t>Nine Months Ended</w:t>
      </w:r>
    </w:p>
    <w:p>
      <w:pPr>
        <w:spacing w:after="0" w:line="1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8360" w:type="dxa"/>
            <w:vAlign w:val="bottom"/>
            <w:tcBorders>
              <w:bottom w:val="single" w:sz="8" w:color="CCEEFF"/>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91"/>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6"/>
        </w:trPr>
        <w:tc>
          <w:tcPr>
            <w:tcW w:w="8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(406,476)</w:t>
            </w:r>
          </w:p>
        </w:tc>
        <w:tc>
          <w:tcPr>
            <w:tcW w:w="10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(261,436)</w:t>
            </w:r>
          </w:p>
        </w:tc>
      </w:tr>
      <w:tr>
        <w:trPr>
          <w:trHeight w:val="207"/>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34,883</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Amortization of debt issuance costs and discount</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Amortization and interest accretion related to operating leases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Trade receivables, net</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r>
      <w:tr>
        <w:trPr>
          <w:trHeight w:val="207"/>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Inventory</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(7,289)</w:t>
            </w:r>
          </w:p>
        </w:tc>
      </w:tr>
      <w:tr>
        <w:trPr>
          <w:trHeight w:val="207"/>
        </w:trPr>
        <w:tc>
          <w:tcPr>
            <w:tcW w:w="83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Accrued liabilities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(8,851)</w:t>
            </w:r>
          </w:p>
        </w:tc>
      </w:tr>
      <w:tr>
        <w:trPr>
          <w:trHeight w:val="196"/>
        </w:trPr>
        <w:tc>
          <w:tcPr>
            <w:tcW w:w="83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Accrued interest, net of interest received on maturity of investments</w:t>
            </w:r>
          </w:p>
        </w:tc>
        <w:tc>
          <w:tcPr>
            <w:tcW w:w="8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(3,127)</w:t>
            </w:r>
          </w:p>
        </w:tc>
      </w:tr>
      <w:tr>
        <w:trPr>
          <w:trHeight w:val="198"/>
        </w:trPr>
        <w:tc>
          <w:tcPr>
            <w:tcW w:w="8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(351,086)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(244,297)</w:t>
            </w:r>
          </w:p>
        </w:tc>
      </w:tr>
      <w:tr>
        <w:trPr>
          <w:trHeight w:val="176"/>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(781,021)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(359,549)</w:t>
            </w: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560,852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219,595</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Acquisition of intangible asset</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3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Purchases of property and equipment, net of disposals</w:t>
            </w:r>
          </w:p>
        </w:tc>
        <w:tc>
          <w:tcPr>
            <w:tcW w:w="8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w:t>
            </w:r>
          </w:p>
        </w:tc>
      </w:tr>
      <w:tr>
        <w:trPr>
          <w:trHeight w:val="198"/>
        </w:trPr>
        <w:tc>
          <w:tcPr>
            <w:tcW w:w="83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(226,436)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(140,397)</w:t>
            </w:r>
          </w:p>
        </w:tc>
      </w:tr>
      <w:tr>
        <w:trPr>
          <w:trHeight w:val="176"/>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Proceeds from issuances of stock, excluding related parties, net of transaction costs</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24,484</w:t>
            </w: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Proceeds from related parties - warrants, exercise of common stock options, net of transaction costs</w:t>
            </w:r>
          </w:p>
        </w:tc>
        <w:tc>
          <w:tcPr>
            <w:tcW w:w="8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317,781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26,079</w:t>
            </w: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Proceeds from issuance of loan payable</w:t>
            </w:r>
          </w:p>
        </w:tc>
        <w:tc>
          <w:tcPr>
            <w:tcW w:w="8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w:t>
            </w:r>
          </w:p>
        </w:tc>
      </w:tr>
      <w:tr>
        <w:trPr>
          <w:trHeight w:val="196"/>
        </w:trPr>
        <w:tc>
          <w:tcPr>
            <w:tcW w:w="83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82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98"/>
        </w:trPr>
        <w:tc>
          <w:tcPr>
            <w:tcW w:w="8360" w:type="dxa"/>
            <w:vAlign w:val="bottom"/>
            <w:tcBorders>
              <w:top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715,291</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115,200</w:t>
            </w:r>
          </w:p>
        </w:tc>
      </w:tr>
      <w:tr>
        <w:trPr>
          <w:trHeight w:val="187"/>
        </w:trPr>
        <w:tc>
          <w:tcPr>
            <w:tcW w:w="836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(269,494)</w:t>
            </w:r>
          </w:p>
        </w:tc>
      </w:tr>
      <w:tr>
        <w:trPr>
          <w:trHeight w:val="207"/>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99,915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331,549</w:t>
            </w:r>
          </w:p>
        </w:tc>
      </w:tr>
      <w:tr>
        <w:trPr>
          <w:trHeight w:val="187"/>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8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237,684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62,055</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9"/>
        </w:trPr>
        <w:tc>
          <w:tcPr>
            <w:tcW w:w="8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6"/>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7"/>
        </w:trPr>
        <w:tc>
          <w:tcPr>
            <w:tcW w:w="83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Obtaining a right-of-use asset in exchange for a lease liability</w:t>
            </w:r>
          </w:p>
        </w:tc>
        <w:tc>
          <w:tcPr>
            <w:tcW w:w="82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w:t>
            </w: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MADRIGAL PHARMACEUTICALS, INC.</w:t>
      </w:r>
    </w:p>
    <w:p>
      <w:pPr>
        <w:spacing w:after="0" w:line="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2" w:lineRule="exact"/>
        <w:rPr>
          <w:sz w:val="20"/>
          <w:szCs w:val="20"/>
          <w:color w:val="auto"/>
        </w:rPr>
      </w:pPr>
    </w:p>
    <w:p>
      <w:pPr>
        <w:ind w:right="8100" w:firstLine="5"/>
        <w:spacing w:after="0" w:line="373" w:lineRule="auto"/>
        <w:tabs>
          <w:tab w:leader="none" w:pos="141"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Organization, Business, and Basis of Presentation Organization and Business</w:t>
      </w:r>
    </w:p>
    <w:p>
      <w:pPr>
        <w:ind w:right="60" w:firstLine="509"/>
        <w:spacing w:after="0" w:line="247" w:lineRule="auto"/>
        <w:rPr>
          <w:sz w:val="20"/>
          <w:szCs w:val="20"/>
          <w:color w:val="auto"/>
        </w:rPr>
      </w:pPr>
      <w:r>
        <w:rPr>
          <w:rFonts w:ascii="Times New Roman" w:cs="Times New Roman" w:eastAsia="Times New Roman" w:hAnsi="Times New Roman"/>
          <w:sz w:val="14"/>
          <w:szCs w:val="14"/>
          <w:color w:val="auto"/>
        </w:rPr>
        <w:t>Madrigal Pharmaceuticals, Inc. (the “Company” or “Madrigal”) is a biopharmaceutical company focused on delivering novel therapeutics for nonalcoholic steatohepatitis (“NASH”), a serious liver disease with high unmet medical need that can lead to cirrhosis, liver failure and premature mortality. NASH is expected to become the leading cause of liver transplantation in the U.S. and is already the leading cause of liver transplantation among women in the U.S. The Company’s medication, Rezdiffra (resmetirom), is a once-daily, oral, liver-directed THR-β agonist designed to target key underlying causes of NASH. In March 2024, Rezdiffra became the first and only FDA-approved therapy for patients with NASH. Rezdiffra became commercially available in the United States in April 2024. Rezdiffra is indicated in conjunction with diet and exercise for the treatment of adults with noncirrhotic NASH with moderate to advanced liver fibrosis (consistent with stages F2 to F3 fibrosis).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85"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the Company believes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the Company will have for the full year ending December 31, 2024 or any subsequent period. These unaudited condensed consolidated financial statements should be read in conjunction with the audited consolidated financial statements and the notes to those statements for the year ended December 31, 2023.</w:t>
      </w:r>
    </w:p>
    <w:p>
      <w:pPr>
        <w:spacing w:after="0" w:line="223" w:lineRule="exact"/>
        <w:rPr>
          <w:sz w:val="20"/>
          <w:szCs w:val="20"/>
          <w:color w:val="auto"/>
        </w:rPr>
      </w:pPr>
    </w:p>
    <w:p>
      <w:pPr>
        <w:ind w:right="8440" w:firstLine="5"/>
        <w:spacing w:after="0" w:line="373" w:lineRule="auto"/>
        <w:tabs>
          <w:tab w:leader="none" w:pos="141"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 Principle of Consolidation</w:t>
      </w: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The consolidated financial statements include the financial statements of the Company and its wholly owned subsidiaries. All significant intercompany balances and transactions have been eliminated in consolidation.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6" w:lineRule="exact"/>
        <w:rPr>
          <w:sz w:val="20"/>
          <w:szCs w:val="20"/>
          <w:color w:val="auto"/>
        </w:rPr>
      </w:pPr>
    </w:p>
    <w:p>
      <w:pPr>
        <w:jc w:val="both"/>
        <w:ind w:right="40" w:firstLine="509"/>
        <w:spacing w:after="0" w:line="25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5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The Company recognizes revenue in accordance with ASC Topic 606 - Revenue from Contracts with Customers. Revenue is recognized at a point in time when the customer obtains control of promised goods or services in an amount that reflects the consideration to which the entity expects to be entitled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Product Revenue, Net</w:t>
      </w:r>
    </w:p>
    <w:p>
      <w:pPr>
        <w:spacing w:after="0" w:line="170" w:lineRule="exact"/>
        <w:rPr>
          <w:sz w:val="20"/>
          <w:szCs w:val="20"/>
          <w:color w:val="auto"/>
        </w:rPr>
      </w:pPr>
    </w:p>
    <w:p>
      <w:pPr>
        <w:ind w:right="300" w:firstLine="509"/>
        <w:spacing w:after="0" w:line="271" w:lineRule="auto"/>
        <w:rPr>
          <w:sz w:val="20"/>
          <w:szCs w:val="20"/>
          <w:color w:val="auto"/>
        </w:rPr>
      </w:pPr>
      <w:r>
        <w:rPr>
          <w:rFonts w:ascii="Times New Roman" w:cs="Times New Roman" w:eastAsia="Times New Roman" w:hAnsi="Times New Roman"/>
          <w:sz w:val="14"/>
          <w:szCs w:val="14"/>
          <w:color w:val="auto"/>
        </w:rPr>
        <w:t>On March 14, 2024, the Company announced that the U.S. Food and Drug Administration (“FDA”) granted accelerated approval of Rezdiffra (resmetirom) in conjunction with diet and exercise for the treatment of adults with noncirrhotic nonalcoholic steatohepatitis (“NASH”) with moderate to advanced liver fibrosis (consistent with stages F2 to</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color w:val="auto"/>
        </w:rPr>
        <w:t>F3 fibrosis). The Company enters into agreements with specialty pharmacies and specialty distributors, each a “Customer” and collectively the “Customers”, to sell Rezdiffra in the U.S. Revenues from product sales are recognized when the Customer obtains control of the Company’s product, which occurs at a point in time, typically upon delivery to the Customer.</w:t>
      </w:r>
    </w:p>
    <w:p>
      <w:pPr>
        <w:spacing w:after="0" w:line="124" w:lineRule="exact"/>
        <w:rPr>
          <w:sz w:val="20"/>
          <w:szCs w:val="20"/>
          <w:color w:val="auto"/>
        </w:rPr>
      </w:pPr>
    </w:p>
    <w:p>
      <w:pPr>
        <w:ind w:right="80" w:firstLine="509"/>
        <w:spacing w:after="0" w:line="248" w:lineRule="auto"/>
        <w:rPr>
          <w:sz w:val="20"/>
          <w:szCs w:val="20"/>
          <w:color w:val="auto"/>
        </w:rPr>
      </w:pPr>
      <w:r>
        <w:rPr>
          <w:rFonts w:ascii="Times New Roman" w:cs="Times New Roman" w:eastAsia="Times New Roman" w:hAnsi="Times New Roman"/>
          <w:sz w:val="14"/>
          <w:szCs w:val="14"/>
          <w:color w:val="auto"/>
        </w:rPr>
        <w:t>Revenue is recorded net of variable consideration, which includes prompt pay discounts, returns, chargebacks, rebates, and co-payment assistance. The variable consideration is estimated based on contractual terms as well as management assumptions.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14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4"/>
          <w:szCs w:val="14"/>
          <w:color w:val="auto"/>
        </w:rPr>
        <w:t>Accruals are established for gross to net deductions and actual amounts incurred are offset against applicable accruals. The Company reflects these accruals as either a reduction in the related account receivable from the customer or as an accrued liability, depending on the means by which the deduction is settled. Sales deductions are based on management’s estimates that involve a substantial degree of judgment.</w:t>
      </w:r>
    </w:p>
    <w:p>
      <w:pPr>
        <w:spacing w:after="0" w:line="140" w:lineRule="exact"/>
        <w:rPr>
          <w:sz w:val="20"/>
          <w:szCs w:val="20"/>
          <w:color w:val="auto"/>
        </w:rPr>
      </w:pPr>
    </w:p>
    <w:p>
      <w:pPr>
        <w:ind w:right="14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Prompt Pay</w:t>
      </w:r>
      <w:r>
        <w:rPr>
          <w:rFonts w:ascii="Times New Roman" w:cs="Times New Roman" w:eastAsia="Times New Roman" w:hAnsi="Times New Roman"/>
          <w:sz w:val="14"/>
          <w:szCs w:val="14"/>
          <w:color w:val="auto"/>
        </w:rPr>
        <w:t>: Customers receive a prompt pay discount for payments made within a contractually agreed number of days before the due date. The discounts are accounted for as a reduction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transaction price and recorded as a contra receivable.</w:t>
      </w:r>
    </w:p>
    <w:p>
      <w:pPr>
        <w:spacing w:after="0" w:line="120" w:lineRule="exact"/>
        <w:rPr>
          <w:sz w:val="20"/>
          <w:szCs w:val="20"/>
          <w:color w:val="auto"/>
        </w:rPr>
      </w:pPr>
    </w:p>
    <w:p>
      <w:pPr>
        <w:ind w:right="200" w:firstLine="509"/>
        <w:spacing w:after="0" w:line="274" w:lineRule="auto"/>
        <w:rPr>
          <w:sz w:val="20"/>
          <w:szCs w:val="20"/>
          <w:color w:val="auto"/>
        </w:rPr>
      </w:pPr>
      <w:r>
        <w:rPr>
          <w:rFonts w:ascii="Times New Roman" w:cs="Times New Roman" w:eastAsia="Times New Roman" w:hAnsi="Times New Roman"/>
          <w:sz w:val="14"/>
          <w:szCs w:val="14"/>
          <w:i w:val="1"/>
          <w:iCs w:val="1"/>
          <w:color w:val="auto"/>
        </w:rPr>
        <w:t>Returns</w:t>
      </w:r>
      <w:r>
        <w:rPr>
          <w:rFonts w:ascii="Times New Roman" w:cs="Times New Roman" w:eastAsia="Times New Roman" w:hAnsi="Times New Roman"/>
          <w:sz w:val="14"/>
          <w:szCs w:val="14"/>
          <w:color w:val="auto"/>
        </w:rPr>
        <w:t>: The Company records allowances for product returns as a reduction of revenue at the time product sales are recorded. Product returns are estimated based on forecasted sales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historical and industry data. Returns are permitted in accordance with the return goods policy defined within each customer agreement. A returns reserve is recorded as an accrued liability.</w:t>
      </w:r>
    </w:p>
    <w:p>
      <w:pPr>
        <w:spacing w:after="0" w:line="120"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4"/>
          <w:szCs w:val="14"/>
          <w:i w:val="1"/>
          <w:iCs w:val="1"/>
          <w:color w:val="auto"/>
        </w:rPr>
        <w:t>Chargebacks</w:t>
      </w:r>
      <w:r>
        <w:rPr>
          <w:rFonts w:ascii="Times New Roman" w:cs="Times New Roman" w:eastAsia="Times New Roman" w:hAnsi="Times New Roman"/>
          <w:sz w:val="14"/>
          <w:szCs w:val="14"/>
          <w:color w:val="auto"/>
        </w:rPr>
        <w:t>: The Company estimates obligations resulting from contractual commitments with the government and other entities to sell products to qualified healthcare providers at prices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lower than the list prices charged to the customer who directly purchases from the Company. The customer charges the Company for the difference between what it pays to the Company for the product and the selling price to the qualified healthcare providers, with the difference recorded as a contra receivable.</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Co-Payment Assistance</w:t>
      </w:r>
      <w:r>
        <w:rPr>
          <w:rFonts w:ascii="Times New Roman" w:cs="Times New Roman" w:eastAsia="Times New Roman" w:hAnsi="Times New Roman"/>
          <w:sz w:val="14"/>
          <w:szCs w:val="14"/>
          <w:color w:val="auto"/>
        </w:rPr>
        <w:t>: Co-payment assistance programs are offered to eligible end-users as price concessions and are recorded as accrued liabilities and a reduction of the transaction price.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uses a third-party to administer the co-payment program for pharmacy benefit claims.</w:t>
      </w:r>
    </w:p>
    <w:p>
      <w:pPr>
        <w:spacing w:after="0" w:line="150"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4"/>
          <w:szCs w:val="14"/>
          <w:i w:val="1"/>
          <w:iCs w:val="1"/>
          <w:color w:val="auto"/>
        </w:rPr>
        <w:t>Rebates</w:t>
      </w:r>
      <w:r>
        <w:rPr>
          <w:rFonts w:ascii="Times New Roman" w:cs="Times New Roman" w:eastAsia="Times New Roman" w:hAnsi="Times New Roman"/>
          <w:sz w:val="14"/>
          <w:szCs w:val="14"/>
          <w:color w:val="auto"/>
        </w:rPr>
        <w:t>: The Company is subject to discount obligations under government programs, including Medicaid and Medicare. Reserves for rebates are recorded in the same period the related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 revenue is recognized, resulting in a reduction of product revenues and a current liability that is included in accrued expenses on the consolidated balance sheet. The Company’s estimate for rebates is based on statutory discount rates, expected utilization or an estimated number of patients on treatment, as applicable.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Concentrations of Credit Risk and Significant Customers</w:t>
      </w:r>
    </w:p>
    <w:p>
      <w:pPr>
        <w:spacing w:after="0" w:line="170"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The Company generates revenue from a small number of large, reputable customers. The following customers accounted for over 10% of total gross product revenue during three and nine months ended September 30, 2024. As Rezdiffra was made commercially available in April 2024, there were no sales and no corresponding customer concentrations in 2023.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40" w:type="dxa"/>
            <w:vAlign w:val="bottom"/>
            <w:gridSpan w:val="3"/>
          </w:tcPr>
          <w:p>
            <w:pPr>
              <w:ind w:left="1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3"/>
          </w:tcPr>
          <w:p>
            <w:pPr>
              <w:ind w:left="140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12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53"/>
        </w:trPr>
        <w:tc>
          <w:tcPr>
            <w:tcW w:w="1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540" w:type="dxa"/>
            <w:vAlign w:val="bottom"/>
            <w:tcBorders>
              <w:bottom w:val="single" w:sz="8" w:color="auto"/>
            </w:tcBorders>
            <w:gridSpan w:val="3"/>
          </w:tcPr>
          <w:p>
            <w:pPr>
              <w:ind w:left="15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20" w:type="dxa"/>
            <w:vAlign w:val="bottom"/>
            <w:tcBorders>
              <w:bottom w:val="single" w:sz="8" w:color="auto"/>
            </w:tcBorders>
          </w:tcPr>
          <w:p>
            <w:pPr>
              <w:spacing w:after="0"/>
              <w:rPr>
                <w:sz w:val="13"/>
                <w:szCs w:val="13"/>
                <w:color w:val="auto"/>
              </w:rPr>
            </w:pPr>
          </w:p>
        </w:tc>
        <w:tc>
          <w:tcPr>
            <w:tcW w:w="78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18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780" w:type="dxa"/>
            <w:vAlign w:val="bottom"/>
          </w:tcPr>
          <w:p>
            <w:pPr>
              <w:spacing w:after="0"/>
              <w:rPr>
                <w:sz w:val="13"/>
                <w:szCs w:val="13"/>
                <w:color w:val="auto"/>
              </w:rPr>
            </w:pPr>
          </w:p>
        </w:tc>
      </w:tr>
      <w:tr>
        <w:trPr>
          <w:trHeight w:val="202"/>
        </w:trPr>
        <w:tc>
          <w:tcPr>
            <w:tcW w:w="1300" w:type="dxa"/>
            <w:vAlign w:val="bottom"/>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A</w:t>
            </w: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18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spacing w:after="0"/>
              <w:rPr>
                <w:sz w:val="17"/>
                <w:szCs w:val="17"/>
                <w:color w:val="auto"/>
              </w:rPr>
            </w:pPr>
          </w:p>
        </w:tc>
      </w:tr>
      <w:tr>
        <w:trPr>
          <w:trHeight w:val="201"/>
        </w:trPr>
        <w:tc>
          <w:tcPr>
            <w:tcW w:w="130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Customer B</w:t>
            </w:r>
          </w:p>
        </w:tc>
        <w:tc>
          <w:tcPr>
            <w:tcW w:w="6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194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 %</w:t>
            </w:r>
          </w:p>
        </w:tc>
      </w:tr>
      <w:tr>
        <w:trPr>
          <w:trHeight w:val="202"/>
        </w:trPr>
        <w:tc>
          <w:tcPr>
            <w:tcW w:w="1300" w:type="dxa"/>
            <w:vAlign w:val="bottom"/>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C</w:t>
            </w: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184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4"/>
                <w:szCs w:val="14"/>
                <w:color w:val="auto"/>
              </w:rPr>
              <w:t>16 %</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spacing w:after="0"/>
              <w:rPr>
                <w:sz w:val="17"/>
                <w:szCs w:val="17"/>
                <w:color w:val="auto"/>
              </w:rPr>
            </w:pPr>
          </w:p>
        </w:tc>
      </w:tr>
      <w:tr>
        <w:trPr>
          <w:trHeight w:val="201"/>
        </w:trPr>
        <w:tc>
          <w:tcPr>
            <w:tcW w:w="130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Customer D</w:t>
            </w:r>
          </w:p>
        </w:tc>
        <w:tc>
          <w:tcPr>
            <w:tcW w:w="64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11 %</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1940" w:type="dxa"/>
            <w:vAlign w:val="bottom"/>
            <w:gridSpan w:val="2"/>
          </w:tcPr>
          <w:p>
            <w:pPr>
              <w:ind w:left="1620"/>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 %</w:t>
            </w:r>
          </w:p>
        </w:tc>
      </w:tr>
      <w:tr>
        <w:trPr>
          <w:trHeight w:val="711"/>
        </w:trPr>
        <w:tc>
          <w:tcPr>
            <w:tcW w:w="1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7"/>
        </w:trPr>
        <w:tc>
          <w:tcPr>
            <w:tcW w:w="130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85"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114" w:lineRule="exact"/>
        <w:rPr>
          <w:sz w:val="20"/>
          <w:szCs w:val="20"/>
          <w:color w:val="auto"/>
        </w:rPr>
      </w:pPr>
    </w:p>
    <w:p>
      <w:pPr>
        <w:jc w:val="both"/>
        <w:ind w:right="60" w:firstLine="509"/>
        <w:spacing w:after="0" w:line="262" w:lineRule="auto"/>
        <w:rPr>
          <w:sz w:val="20"/>
          <w:szCs w:val="20"/>
          <w:color w:val="auto"/>
        </w:rPr>
      </w:pPr>
      <w:r>
        <w:rPr>
          <w:rFonts w:ascii="Times New Roman" w:cs="Times New Roman" w:eastAsia="Times New Roman" w:hAnsi="Times New Roman"/>
          <w:sz w:val="14"/>
          <w:szCs w:val="14"/>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Marketable Securities</w:t>
      </w:r>
    </w:p>
    <w:p>
      <w:pPr>
        <w:spacing w:after="0" w:line="85" w:lineRule="exact"/>
        <w:rPr>
          <w:sz w:val="20"/>
          <w:szCs w:val="20"/>
          <w:color w:val="auto"/>
        </w:rPr>
      </w:pPr>
    </w:p>
    <w:p>
      <w:pPr>
        <w:ind w:right="300" w:firstLine="509"/>
        <w:spacing w:after="0" w:line="287" w:lineRule="auto"/>
        <w:rPr>
          <w:sz w:val="20"/>
          <w:szCs w:val="20"/>
          <w:color w:val="auto"/>
        </w:rPr>
      </w:pPr>
      <w:r>
        <w:rPr>
          <w:rFonts w:ascii="Times New Roman" w:cs="Times New Roman" w:eastAsia="Times New Roman" w:hAnsi="Times New Roman"/>
          <w:sz w:val="14"/>
          <w:szCs w:val="14"/>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14"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4"/>
          <w:szCs w:val="14"/>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nine months ended September 30, 2024 and 2023, the Company determined it did not have any securities that were other-than-temporarily impaired.</w:t>
      </w:r>
    </w:p>
    <w:p>
      <w:pPr>
        <w:spacing w:after="0" w:line="140" w:lineRule="exact"/>
        <w:rPr>
          <w:sz w:val="20"/>
          <w:szCs w:val="20"/>
          <w:color w:val="auto"/>
        </w:rPr>
      </w:pPr>
    </w:p>
    <w:p>
      <w:pPr>
        <w:jc w:val="both"/>
        <w:ind w:right="20" w:firstLine="509"/>
        <w:spacing w:after="0" w:line="262" w:lineRule="auto"/>
        <w:rPr>
          <w:sz w:val="20"/>
          <w:szCs w:val="20"/>
          <w:color w:val="auto"/>
        </w:rPr>
      </w:pPr>
      <w:r>
        <w:rPr>
          <w:rFonts w:ascii="Times New Roman" w:cs="Times New Roman" w:eastAsia="Times New Roman" w:hAnsi="Times New Roman"/>
          <w:sz w:val="14"/>
          <w:szCs w:val="14"/>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nine months ended September 30, 2024 and 2023, realized gains and losses on marketable securities were not material.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Financial Instruments</w:t>
      </w:r>
    </w:p>
    <w:p>
      <w:pPr>
        <w:spacing w:after="0" w:line="8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4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Level 1—quoted prices in active markets for identical assets and liabilities.</w:t>
      </w:r>
    </w:p>
    <w:p>
      <w:pPr>
        <w:spacing w:after="0" w:line="94" w:lineRule="exact"/>
        <w:rPr>
          <w:sz w:val="20"/>
          <w:szCs w:val="20"/>
          <w:color w:val="auto"/>
        </w:rPr>
      </w:pPr>
    </w:p>
    <w:p>
      <w:pPr>
        <w:ind w:left="860" w:right="60"/>
        <w:spacing w:after="0" w:line="271" w:lineRule="auto"/>
        <w:rPr>
          <w:sz w:val="20"/>
          <w:szCs w:val="20"/>
          <w:color w:val="auto"/>
        </w:rPr>
      </w:pPr>
      <w:r>
        <w:rPr>
          <w:rFonts w:ascii="Times New Roman" w:cs="Times New Roman" w:eastAsia="Times New Roman" w:hAnsi="Times New Roman"/>
          <w:sz w:val="14"/>
          <w:szCs w:val="14"/>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color w:val="auto"/>
        </w:rPr>
        <w:t>Level 3—unobservable inputs that reflect the Company’s own assumptions about the assumptions market participants would use in pricing the asset or liability.</w:t>
      </w:r>
    </w:p>
    <w:p>
      <w:pPr>
        <w:spacing w:after="0" w:line="1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 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38"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As of September 30, 2024,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nine months ended September 30, 2024 and 2023, the Company did not have any transfers of financial assets between Levels 1 and 2. As of September 30, 2024 and December 31, 2023, the Company did not have any financial liabilities that were recorded at fair value on a recurring basis on the balance sheet.</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8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Inventory, which consists of work in process and finished goods, is stated at the lower of cost or estimated net realizable value, using actual cost, based on a first-in, first-out (“FIFO”) method. The balance sheet classification of inventory as current or non-current is determined by whether it will be consumed within the Company’s normal operating cycle. The Company analyzes its inventory levels quarterly and writes down inventory subject to expiry or in excess of expected requirements, or that has a cost basis in excess of its expected net realizable value. These write downs are charged to cost of sales in the accompanying Consolidated Statements of Income. The Company capitalizes inventory costs when future commercial sale in the ordinary course of business is probable.</w:t>
      </w:r>
    </w:p>
    <w:p>
      <w:pPr>
        <w:spacing w:after="0" w:line="305" w:lineRule="exact"/>
        <w:rPr>
          <w:sz w:val="20"/>
          <w:szCs w:val="20"/>
          <w:color w:val="auto"/>
        </w:rPr>
      </w:pPr>
    </w:p>
    <w:p>
      <w:pPr>
        <w:ind w:right="340" w:firstLine="509"/>
        <w:spacing w:after="0" w:line="262" w:lineRule="auto"/>
        <w:rPr>
          <w:sz w:val="20"/>
          <w:szCs w:val="20"/>
          <w:color w:val="auto"/>
        </w:rPr>
      </w:pPr>
      <w:r>
        <w:rPr>
          <w:rFonts w:ascii="Times New Roman" w:cs="Times New Roman" w:eastAsia="Times New Roman" w:hAnsi="Times New Roman"/>
          <w:sz w:val="14"/>
          <w:szCs w:val="14"/>
          <w:color w:val="auto"/>
        </w:rPr>
        <w:t>The Company considered regulatory approval of its product candidate to be uncertain and product manufactured prior to regulatory approval could not have been sold unless regulatory approval was obtained. As such, the manufacturing costs incurred prior to regulatory approval were not capitalized as inventory, rather were expensed as incurred as research and development expenses. The Company began capitalizing inventory in March 2024 after FDA approval was granted.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 Costs</w:t>
      </w:r>
    </w:p>
    <w:p>
      <w:pPr>
        <w:spacing w:after="0" w:line="8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Research and development costs are expensed as incurred. Research and development costs are comprised of costs incurred in performing research and development activities, including internal costs (including cash compensation and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its drug,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Costs to secure and defend patents are expensed as incurred and are classified as selling, general and administrative expense in the Company’s consolidated statements of operations.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Intangible Assets</w:t>
      </w:r>
    </w:p>
    <w:p>
      <w:pPr>
        <w:spacing w:after="0" w:line="85"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Intangible assets with finite lives are amortized to cost of sales over their estimated useful lives using the straight-line method. Intangible assets are tested for recoverability whenever events or changes in circumstances indicate that the carrying amounts may not be recoverable.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85"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w:t>
      </w:r>
    </w:p>
    <w:p>
      <w:pPr>
        <w:spacing w:after="0" w:line="114" w:lineRule="exact"/>
        <w:rPr>
          <w:sz w:val="20"/>
          <w:szCs w:val="20"/>
          <w:color w:val="auto"/>
        </w:rPr>
      </w:pPr>
    </w:p>
    <w:p>
      <w:pPr>
        <w:ind w:right="80" w:firstLine="509"/>
        <w:spacing w:after="0" w:line="249" w:lineRule="auto"/>
        <w:rPr>
          <w:sz w:val="20"/>
          <w:szCs w:val="20"/>
          <w:color w:val="auto"/>
        </w:rPr>
      </w:pPr>
      <w:r>
        <w:rPr>
          <w:rFonts w:ascii="Times New Roman" w:cs="Times New Roman" w:eastAsia="Times New Roman" w:hAnsi="Times New Roman"/>
          <w:sz w:val="14"/>
          <w:szCs w:val="14"/>
          <w:color w:val="auto"/>
        </w:rPr>
        <w:t>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5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4"/>
          <w:szCs w:val="14"/>
          <w:color w:val="auto"/>
        </w:rPr>
        <w:t>For other stock-based compensation awards granted to employees and directors that vest based on market conditions, such as the trading price of the Company’s common stock achieving or exceeding certain price targets,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w:t>
      </w:r>
    </w:p>
    <w:p>
      <w:pPr>
        <w:spacing w:after="0" w:line="135" w:lineRule="exact"/>
        <w:rPr>
          <w:sz w:val="20"/>
          <w:szCs w:val="20"/>
          <w:color w:val="auto"/>
        </w:rPr>
      </w:pPr>
    </w:p>
    <w:p>
      <w:pPr>
        <w:ind w:right="60" w:firstLine="509"/>
        <w:spacing w:after="0" w:line="249" w:lineRule="auto"/>
        <w:rPr>
          <w:sz w:val="20"/>
          <w:szCs w:val="20"/>
          <w:color w:val="auto"/>
        </w:rPr>
      </w:pPr>
      <w:r>
        <w:rPr>
          <w:rFonts w:ascii="Times New Roman" w:cs="Times New Roman" w:eastAsia="Times New Roman" w:hAnsi="Times New Roman"/>
          <w:sz w:val="14"/>
          <w:szCs w:val="14"/>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stock-based compensation arrangements due to the fact that the Company does not believe it is more likely than not it will realize the related deferred tax assets.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ind w:right="180" w:firstLine="509"/>
        <w:spacing w:after="0" w:line="249" w:lineRule="auto"/>
        <w:rPr>
          <w:sz w:val="20"/>
          <w:szCs w:val="20"/>
          <w:color w:val="auto"/>
        </w:rPr>
      </w:pPr>
      <w:r>
        <w:rPr>
          <w:rFonts w:ascii="Times New Roman" w:cs="Times New Roman" w:eastAsia="Times New Roman" w:hAnsi="Times New Roman"/>
          <w:sz w:val="14"/>
          <w:szCs w:val="14"/>
          <w:color w:val="auto"/>
        </w:rPr>
        <w:t>The Company accounts for income taxes in accordance with ASC 740, "Income Taxes", which prescribes the use of the liability method where deferred tax asset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The Company currently maintains a 100% valuation allowance on its deferred tax assets.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p>
      <w:pPr>
        <w:spacing w:after="0" w:line="96"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Basic and Diluted Loss Per Common Share</w:t>
      </w:r>
    </w:p>
    <w:p>
      <w:pPr>
        <w:spacing w:after="0" w:line="96"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14"/>
          <w:szCs w:val="14"/>
          <w:color w:val="auto"/>
        </w:rPr>
        <w:t>Basic net loss per share is computed using the weighted average number of common shares outstanding during the period. Diluted net loss per common share is computed using the weighted average number of common shares outstanding and the weighted average dilutive potential common shares outstanding using the treasury stock method. However, for the nine months ended September 30, 2024 and 2023, diluted net loss per share is the same as basic net loss per share because the inclusion of weighted average shares of common stock issuable upon the exercise of stock options and warrants or vesting of restricted stock units, and common stock issuable upon the conversion of preferred stock would be anti-dilutive. The following table summarizes outstanding securities not included in the computation of diluted net loss per common share, as their inclusion would be anti-dilutive:</w:t>
      </w:r>
    </w:p>
    <w:p>
      <w:pPr>
        <w:spacing w:after="0" w:line="17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1"/>
          <w:szCs w:val="11"/>
          <w:b w:val="1"/>
          <w:bCs w:val="1"/>
          <w:color w:val="auto"/>
        </w:rPr>
        <w:t>Outstanding at September 30,</w:t>
      </w:r>
    </w:p>
    <w:p>
      <w:pPr>
        <w:spacing w:after="0" w:line="22" w:lineRule="exact"/>
        <w:rPr>
          <w:sz w:val="20"/>
          <w:szCs w:val="20"/>
          <w:color w:val="auto"/>
        </w:rPr>
      </w:pPr>
    </w:p>
    <w:tbl>
      <w:tblPr>
        <w:tblLayout w:type="fixed"/>
        <w:tblInd w:w="1280" w:type="dxa"/>
        <w:tblCellMar>
          <w:top w:w="0" w:type="dxa"/>
          <w:left w:w="0" w:type="dxa"/>
          <w:bottom w:w="0" w:type="dxa"/>
          <w:right w:w="0" w:type="dxa"/>
        </w:tblCellMar>
      </w:tblPr>
      <w:tr>
        <w:trPr>
          <w:trHeight w:val="170"/>
        </w:trPr>
        <w:tc>
          <w:tcPr>
            <w:tcW w:w="566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02"/>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stock options</w:t>
            </w:r>
          </w:p>
        </w:tc>
        <w:tc>
          <w:tcPr>
            <w:tcW w:w="8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1,701,618</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2,518,612</w:t>
            </w:r>
          </w:p>
        </w:tc>
      </w:tr>
      <w:tr>
        <w:trPr>
          <w:trHeight w:val="196"/>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502,867</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311,767</w:t>
            </w:r>
          </w:p>
        </w:tc>
      </w:tr>
      <w:tr>
        <w:trPr>
          <w:trHeight w:val="207"/>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Performance-based restricted stock units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235,520</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r>
      <w:tr>
        <w:trPr>
          <w:trHeight w:val="196"/>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2,369,797</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2,369,797</w:t>
            </w:r>
          </w:p>
        </w:tc>
      </w:tr>
      <w:tr>
        <w:trPr>
          <w:trHeight w:val="207"/>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3,625,244</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19,454</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5"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4"/>
          <w:szCs w:val="14"/>
          <w:color w:val="auto"/>
        </w:rPr>
        <w:t>In November 2023, the Financial Accounting Standards Board (“FASB”) issued ASU 2023-07, Segment Reporting (Topic 280): Improvements to Reportable Segment Disclosures, which enhances the disclosures required for operating segments in the Company's annual and interim consolidated financial statements. The amendments are effective for fiscal years beginning after December 15, 2023, and interim periods beginning after December 15, 2024. The Company does not expect the adoption of ASU 2023-07 to have a significant impact on its financial statements.</w:t>
      </w:r>
    </w:p>
    <w:p>
      <w:pPr>
        <w:spacing w:after="0" w:line="131"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which enhances the disclosures required for income taxes in the Company's annual consolidated financial</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statements. The amendments are effective for annual periods beginning after December 15, 2024. Early adoption is permitted. The Company does not expect the adoption of ASU 2023-09 to have a significant impact on its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Liquidity and Uncertainties</w:t>
      </w:r>
    </w:p>
    <w:p>
      <w:pPr>
        <w:spacing w:after="0" w:line="85"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4"/>
          <w:szCs w:val="14"/>
          <w:color w:val="auto"/>
        </w:rPr>
        <w:t>The Company is subject to risks common to development stage companies and early commercial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FDA and other government regulations.</w:t>
      </w:r>
    </w:p>
    <w:p>
      <w:pPr>
        <w:spacing w:after="0" w:line="120" w:lineRule="exact"/>
        <w:rPr>
          <w:sz w:val="20"/>
          <w:szCs w:val="20"/>
          <w:color w:val="auto"/>
        </w:rPr>
      </w:pPr>
    </w:p>
    <w:p>
      <w:pPr>
        <w:ind w:firstLine="509"/>
        <w:spacing w:after="0" w:line="230" w:lineRule="auto"/>
        <w:rPr>
          <w:sz w:val="20"/>
          <w:szCs w:val="20"/>
          <w:color w:val="auto"/>
        </w:rPr>
      </w:pPr>
      <w:r>
        <w:rPr>
          <w:rFonts w:ascii="Times New Roman" w:cs="Times New Roman" w:eastAsia="Times New Roman" w:hAnsi="Times New Roman"/>
          <w:sz w:val="14"/>
          <w:szCs w:val="14"/>
          <w:color w:val="auto"/>
        </w:rPr>
        <w:t>The Company has incurred losses since inception, including approximately $406.5 million for the nine months ended September 30, 2024, resulting in an accumulated deficit of approximately $1,742.8 million as of September 30, 2024. To date, the Company has funded its operations primarily through proceeds from sales of the Company’s capital stock and debt financings. In March 2024, the FDA approved Rezdiffra in the U.S. for the treatment of adults with noncirrhotic NASH with moderate to advanced liver fibrosis (consistent with stages F2 to F3 fibrosis). Rezdiffra became commercially available in the U.S. in April 2024. In March 2024, the Company completed a public offering and received approximately $574.0 million net cash proceeds. In April 2024, underwriters exercised in full their option to purchase additional shares as part of the public offering, resulting in additional net cash proceeds of approximately $85.9 million. The Company believes that its cash, cash equivalents and marketable securities will be sufficient to fund operations past one year from the issuance of these financial statements. The Company’s future long-term liquidity requirements will be substantial and will depend on many factors, including the Company’s ability to effectively commercialize Rezdiffra.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 delay certain commercial activities, geographic expansion activities, and certain research activities and related clinical expenses if necessary due to liquidity concerns until a date when those concerns are relieved.</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Cash, Cash Equivalents and Marketable Securities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held restricted cash of $5.0 million as of September 30, 2024 as collateral to its corporate credit card program. The Company had no restricted cash as of December 31, 2023.</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cash, cash equivalents and available-for-sale marketable securities held by the Company as of September 30, 2024 and December 31, 2023 is as follows (in thousands):</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56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29"/>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center"/>
              <w:ind w:left="21"/>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center"/>
              <w:ind w:right="212"/>
              <w:spacing w:after="0"/>
              <w:rPr>
                <w:sz w:val="20"/>
                <w:szCs w:val="20"/>
                <w:color w:val="auto"/>
              </w:rPr>
            </w:pPr>
            <w:r>
              <w:rPr>
                <w:rFonts w:ascii="Times New Roman" w:cs="Times New Roman" w:eastAsia="Times New Roman" w:hAnsi="Times New Roman"/>
                <w:sz w:val="11"/>
                <w:szCs w:val="11"/>
                <w:b w:val="1"/>
                <w:bCs w:val="1"/>
                <w:color w:val="auto"/>
                <w:w w:val="98"/>
              </w:rPr>
              <w:t>Fair</w:t>
            </w:r>
          </w:p>
        </w:tc>
      </w:tr>
      <w:tr>
        <w:trPr>
          <w:trHeight w:val="169"/>
        </w:trPr>
        <w:tc>
          <w:tcPr>
            <w:tcW w:w="5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w w:val="93"/>
              </w:rPr>
              <w:t>Cost</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1"/>
                <w:szCs w:val="11"/>
                <w:b w:val="1"/>
                <w:bCs w:val="1"/>
                <w:color w:val="auto"/>
                <w:w w:val="97"/>
              </w:rPr>
              <w:t>gains</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9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(Level 1)</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25,242</w:t>
            </w:r>
          </w:p>
        </w:tc>
        <w:tc>
          <w:tcPr>
            <w:tcW w:w="8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25,242</w:t>
            </w:r>
          </w:p>
        </w:tc>
      </w:tr>
      <w:tr>
        <w:trPr>
          <w:trHeight w:val="20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 (Level 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86,060</w:t>
            </w: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sponsored entities due within 3 months (Level 1)</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67,541</w:t>
            </w:r>
          </w:p>
        </w:tc>
      </w:tr>
      <w:tr>
        <w:trPr>
          <w:trHeight w:val="20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 due within 3 months of date of purchase (Level 2)</w:t>
            </w:r>
          </w:p>
        </w:tc>
        <w:tc>
          <w:tcPr>
            <w:tcW w:w="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58,841</w:t>
            </w:r>
          </w:p>
        </w:tc>
      </w:tr>
      <w:tr>
        <w:trPr>
          <w:trHeight w:val="187"/>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237,684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237,684</w:t>
            </w:r>
          </w:p>
        </w:tc>
      </w:tr>
      <w:tr>
        <w:trPr>
          <w:trHeight w:val="20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 due within 1 year of date of purchase (Level 2)</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436,277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436,825</w:t>
            </w:r>
          </w:p>
        </w:tc>
      </w:tr>
      <w:tr>
        <w:trPr>
          <w:trHeight w:val="17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sponsored entities due within 1 year of date of purchase (Level</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5"/>
        </w:trPr>
        <w:tc>
          <w:tcPr>
            <w:tcW w:w="5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297,160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297,564</w:t>
            </w:r>
          </w:p>
        </w:tc>
      </w:tr>
      <w:tr>
        <w:trPr>
          <w:trHeight w:val="16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sponsored entities due within 1 to 2 years of date of purchase</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0"/>
        </w:trPr>
        <w:tc>
          <w:tcPr>
            <w:tcW w:w="56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(Level 2)</w:t>
            </w: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31,235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31,554</w:t>
            </w:r>
          </w:p>
        </w:tc>
      </w:tr>
      <w:tr>
        <w:trPr>
          <w:trHeight w:val="21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restricted cash, and marketable securities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1,002,356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1,003,627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94"/>
        </w:trPr>
        <w:tc>
          <w:tcPr>
            <w:tcW w:w="5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29"/>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center"/>
              <w:ind w:left="21"/>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Unrealized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center"/>
              <w:ind w:right="212"/>
              <w:spacing w:after="0"/>
              <w:rPr>
                <w:sz w:val="20"/>
                <w:szCs w:val="20"/>
                <w:color w:val="auto"/>
              </w:rPr>
            </w:pPr>
            <w:r>
              <w:rPr>
                <w:rFonts w:ascii="Times New Roman" w:cs="Times New Roman" w:eastAsia="Times New Roman" w:hAnsi="Times New Roman"/>
                <w:sz w:val="11"/>
                <w:szCs w:val="11"/>
                <w:b w:val="1"/>
                <w:bCs w:val="1"/>
                <w:color w:val="auto"/>
                <w:w w:val="98"/>
              </w:rPr>
              <w:t>Fair</w:t>
            </w:r>
          </w:p>
        </w:tc>
      </w:tr>
      <w:tr>
        <w:trPr>
          <w:trHeight w:val="169"/>
        </w:trPr>
        <w:tc>
          <w:tcPr>
            <w:tcW w:w="5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w w:val="93"/>
              </w:rPr>
              <w:t>Cost</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1"/>
                <w:szCs w:val="11"/>
                <w:b w:val="1"/>
                <w:bCs w:val="1"/>
                <w:color w:val="auto"/>
                <w:w w:val="97"/>
              </w:rPr>
              <w:t>gains</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9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(Level 1)</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w:t>
            </w:r>
          </w:p>
        </w:tc>
        <w:tc>
          <w:tcPr>
            <w:tcW w:w="8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2,729</w:t>
            </w:r>
          </w:p>
        </w:tc>
      </w:tr>
      <w:tr>
        <w:trPr>
          <w:trHeight w:val="20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 (Level 1)</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78,555</w:t>
            </w: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sponsored entities (Level 1)</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14,967</w:t>
            </w:r>
          </w:p>
        </w:tc>
      </w:tr>
      <w:tr>
        <w:trPr>
          <w:trHeight w:val="20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debt securities due within 3 months of date of purchase (Level 2)</w:t>
            </w:r>
          </w:p>
        </w:tc>
        <w:tc>
          <w:tcPr>
            <w:tcW w:w="3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r>
      <w:tr>
        <w:trPr>
          <w:trHeight w:val="187"/>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99,915</w:t>
            </w:r>
          </w:p>
        </w:tc>
      </w:tr>
      <w:tr>
        <w:trPr>
          <w:trHeight w:val="20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 due within 1 year of date of purchase (Level 2)</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382,028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382,216</w:t>
            </w:r>
          </w:p>
        </w:tc>
      </w:tr>
      <w:tr>
        <w:trPr>
          <w:trHeight w:val="17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sponsored entities due within 1 year of date of purchase (Level</w:t>
            </w: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95"/>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150,743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151,022</w:t>
            </w:r>
          </w:p>
        </w:tc>
      </w:tr>
      <w:tr>
        <w:trPr>
          <w:trHeight w:val="19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 due within 1 to 2 years of date of purchase (Level 2)</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r>
      <w:tr>
        <w:trPr>
          <w:trHeight w:val="217"/>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marketable securities</w:t>
            </w: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633,663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634,131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Inventory</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the Company's inventory balances as of September 30, 2024 and December 31, 2023 (in thousands):</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3"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2240" w:type="dxa"/>
            <w:vAlign w:val="bottom"/>
            <w:tcBorders>
              <w:bottom w:val="single" w:sz="8" w:color="CCEEFF"/>
            </w:tcBorders>
          </w:tcPr>
          <w:p>
            <w:pPr>
              <w:spacing w:after="0"/>
              <w:rPr>
                <w:sz w:val="13"/>
                <w:szCs w:val="13"/>
                <w:color w:val="auto"/>
              </w:rPr>
            </w:pPr>
          </w:p>
        </w:tc>
        <w:tc>
          <w:tcPr>
            <w:tcW w:w="17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September 30, 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1720" w:type="dxa"/>
            <w:vAlign w:val="bottom"/>
            <w:shd w:val="clear" w:color="auto" w:fill="CCEEFF"/>
          </w:tcPr>
          <w:p>
            <w:pPr>
              <w:jc w:val="right"/>
              <w:ind w:right="157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Work in process</w:t>
            </w:r>
          </w:p>
        </w:tc>
        <w:tc>
          <w:tcPr>
            <w:tcW w:w="1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tcPr>
          <w:p>
            <w:pPr>
              <w:ind w:left="16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17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ind w:left="168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Borders>
              <w:bottom w:val="single" w:sz="8" w:color="auto"/>
            </w:tcBorders>
          </w:tcPr>
          <w:p>
            <w:pPr>
              <w:jc w:val="right"/>
              <w:ind w:right="157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8,715</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Accrued Liabilities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Accrued liabilities as of September 30, 2024 and December 31, 2023 consisted of the following (in thousands):</w:t>
      </w:r>
    </w:p>
    <w:p>
      <w:pPr>
        <w:spacing w:after="0" w:line="185"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5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240" w:type="dxa"/>
            <w:vAlign w:val="bottom"/>
          </w:tcPr>
          <w:p>
            <w:pPr>
              <w:spacing w:after="0"/>
              <w:rPr>
                <w:sz w:val="11"/>
                <w:szCs w:val="11"/>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56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9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research organization costs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50,737</w:t>
            </w: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clinical study related costs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w:t>
            </w:r>
          </w:p>
        </w:tc>
      </w:tr>
      <w:tr>
        <w:trPr>
          <w:trHeight w:val="20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Manufacturing and drug supply</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9,705</w:t>
            </w: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17,030</w:t>
            </w:r>
          </w:p>
        </w:tc>
      </w:tr>
      <w:tr>
        <w:trPr>
          <w:trHeight w:val="20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6,814</w:t>
            </w:r>
          </w:p>
        </w:tc>
      </w:tr>
      <w:tr>
        <w:trPr>
          <w:trHeight w:val="19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to net accrued liabilities</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w:t>
            </w:r>
          </w:p>
        </w:tc>
      </w:tr>
      <w:tr>
        <w:trPr>
          <w:trHeight w:val="187"/>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accrued liabilities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131,003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89,980</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Long Term Debt</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May 2022, the Company and its wholly-owned subsidiary, Canticle Pharmaceuticals, Inc., entered into the $250.0 million Loan Facility with the several banks and other financial</w:t>
      </w:r>
    </w:p>
    <w:p>
      <w:pPr>
        <w:spacing w:after="0" w:line="2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institutions or entities party thereto (each, a “Lender” and collectively referred to as the “Lenders”), and Hercules Capital, Inc. (“Hercules”), in its capacity as administrative agent and collateral agent for itself and the Lenders. Under the terms of the Loan Facility, the first $50.0 million tranche was drawn at closing. The Company also could draw up to an additional $125.0 million in two separate tranches upon achievement of certain resmetirom clinical and regulatory milestones. A fourth tranche of $75.0 million could have been drawn by the Company, subject to the approval of Hercules.</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4"/>
          <w:szCs w:val="14"/>
          <w:color w:val="auto"/>
        </w:rPr>
        <w:t>The Loan Facility had a minimum interest rate of 7.45% and adjusted with changes in the prime rate. The Company was originally scheduled to pay interest-only monthly payments of accrued interest under the Loan Facility through May 1, 2025, for a period of 36 months. In March 2024, the interest-only period was extended to May 1, 2026 when the Company achieved a milestone when Rezdiffra received FDA approval. The interest only period can further be extended to May 3, 2027, upon the achievement of future revenue milestones, subject to compliance with applicable covenants. The Loan Facility originally matured in May 2026, but the maturity date was extended to May 2027 when the Company achieved a milestone upon receipt of FDA approval in March 2024. The Loan Facility is secured by a security interest in substantially all of the Company’s assets, other than intellectual property. It includes an end of term charge of 5.35% of the aggregate principal amount, which is accounted for in the loan discount. In connection with the first tranche drawn at closing, the Company issued Hercules a warrant to purchase 14,899 shares of Company common stock, which had a Black-Scholes value of $0.6 million.</w:t>
      </w:r>
    </w:p>
    <w:p>
      <w:pPr>
        <w:spacing w:after="0" w:line="14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On February 3, 2023, the Company entered into the First Amendment (the “First Amendment”) to the Loan Facility (as amended, the “Amended Loan Facility”). Under the Amended Loan Facility, an additional $35.0 million was drawn under a second, expanded, $65.0 million tranche (“Tranche 2”) in February of 2023 following the Company’s achievement of the Phase 3 clinical development milestone. An additional $15.0 million was drawn under Tranche 2 in June of 2023. The remaining $15.0 million available under Tranche 2 was drawn in September of 2023 in accordance with the Amended Loan Facility.</w:t>
      </w:r>
    </w:p>
    <w:p>
      <w:pPr>
        <w:spacing w:after="0" w:line="128" w:lineRule="exact"/>
        <w:rPr>
          <w:sz w:val="20"/>
          <w:szCs w:val="20"/>
          <w:color w:val="auto"/>
        </w:rPr>
      </w:pPr>
    </w:p>
    <w:p>
      <w:pPr>
        <w:ind w:right="200" w:firstLine="509"/>
        <w:spacing w:after="0" w:line="248" w:lineRule="auto"/>
        <w:rPr>
          <w:sz w:val="20"/>
          <w:szCs w:val="20"/>
          <w:color w:val="auto"/>
        </w:rPr>
      </w:pPr>
      <w:r>
        <w:rPr>
          <w:rFonts w:ascii="Times New Roman" w:cs="Times New Roman" w:eastAsia="Times New Roman" w:hAnsi="Times New Roman"/>
          <w:sz w:val="14"/>
          <w:szCs w:val="14"/>
          <w:color w:val="auto"/>
        </w:rPr>
        <w:t>The third tranche (“Tranche 3”) of $75.0 million was unchanged by the First Amendment, and such borrowings became available when the Company achieved a milestone with FDA approval for Rezdiffra in March 2024. The Company did not elect to draw Tranche 3 before it expired in June 2024, but subsequently entered into an amendment to extend the availability of these funds in August 2024. Coincident with the expansion of Tranche 2 borrowing capacity by $15.0 million, the First Amendment reduced the fourth tranche under the Loan Facility (“Tranche 4”) by $15.0 million to $60.0 million.</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In connection with the $35.0 million drawn under Tranche 2 at the closing of the First Amendment, $15.0 million drawn in June of 2023, and $15.0 million drawn in September 2023, the Company issued to Hercules and affiliates Tranche 2 Warrants to purchase an aggregate of 4,555 shares of common stock, which had a Black-Scholes value of $0.9 million. The First Amendment reduced the interest rate under the Amended Loan Facility to the greater of (i) the prime rate as reported in The Wall Street Journal plus 2.45% and (ii) 8.25%. The First Amendment and the Amended Loan Facility summary terms were disclosed in the Company’s Current Report on Form 8-K filed with the Securities and Exchange Commission on February 9, 2023.</w:t>
      </w:r>
    </w:p>
    <w:p>
      <w:pPr>
        <w:spacing w:after="0" w:line="173"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4"/>
          <w:szCs w:val="14"/>
          <w:color w:val="auto"/>
        </w:rPr>
        <w:t>On August 22, 2024, the Company entered into the Second Amendment (the “Second Amendment”) to the Loan Facility (as amended by the First Amendment and the Second Amendment, the “Second Amended Loan Facility”). Under the Second Amended Loan Facility, the Company’s borrowing capacity available under Tranche 4 is increased to include the $75.0 million available under Tranche 3 that was not utilized by the Company. After such increase, the Company’s current borrowing capacity is $135.0 million under Tranche 4, which is available subject to Hercules’ sole discretion.</w:t>
      </w:r>
    </w:p>
    <w:p>
      <w:pPr>
        <w:spacing w:after="0" w:line="154"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4"/>
          <w:szCs w:val="14"/>
          <w:color w:val="auto"/>
        </w:rPr>
        <w:t>The Loan Facility includes affirmative and restrictive financial covenants commencing on January 1, 2023, including maintenance of a minimum cash, cash equivalents and liquid funds covenant of $35.0 million, which may decrease in certain circumstances if the Company achieves certain clinical milestones and a revenue milestone, and a revenue-based covenant that may apply commencing at or after the time that financial reporting is due for the quarter ending September 30, 2024, subject to certain exceptions in the event that the Company maintains a specified market capitalization or an unrestricted cash balance as set forth in the Loan Facility. The Loan Facility contains event of default provisions for: the Company’s failure to make required payments or maintain compliance with covenants under the Loan Facility; the Company’s breach of certain representations or default under certain obligations outside the Loan Facility; insolvency, attachment or judgment events affecting the Company; and any circumstance which has occurred or could reasonably be expected to have a material adverse effect on the Company, provided that, any failure to achieve a clinical milestone or approval milestone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143" w:lineRule="exact"/>
        <w:rPr>
          <w:sz w:val="20"/>
          <w:szCs w:val="20"/>
          <w:color w:val="auto"/>
        </w:rPr>
      </w:pPr>
    </w:p>
    <w:p>
      <w:pPr>
        <w:ind w:right="340" w:firstLine="509"/>
        <w:spacing w:after="0" w:line="287" w:lineRule="auto"/>
        <w:rPr>
          <w:sz w:val="20"/>
          <w:szCs w:val="20"/>
          <w:color w:val="auto"/>
        </w:rPr>
      </w:pPr>
      <w:r>
        <w:rPr>
          <w:rFonts w:ascii="Times New Roman" w:cs="Times New Roman" w:eastAsia="Times New Roman" w:hAnsi="Times New Roman"/>
          <w:sz w:val="14"/>
          <w:szCs w:val="14"/>
          <w:color w:val="auto"/>
        </w:rPr>
        <w:t>As of September 30, 2024, the outstanding principal under the Loan Facility was $115.0 million. The interest rate as of September 30, 2024 was 10.45%. As of September 30, 2024, the Company was in compliance with all loan covenants and provisions.</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Future minimum payments, including interest and principal, under the loans payable outstanding as of September 30, 2024 are as follows (in thousands):</w:t>
      </w:r>
    </w:p>
    <w:p>
      <w:pPr>
        <w:spacing w:after="0" w:line="205"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Period Ending September 30, 2024:</w:t>
            </w:r>
          </w:p>
        </w:tc>
        <w:tc>
          <w:tcPr>
            <w:tcW w:w="320" w:type="dxa"/>
            <w:vAlign w:val="bottom"/>
          </w:tcPr>
          <w:p>
            <w:pPr>
              <w:spacing w:after="0"/>
              <w:rPr>
                <w:sz w:val="11"/>
                <w:szCs w:val="11"/>
                <w:color w:val="auto"/>
              </w:rPr>
            </w:pPr>
          </w:p>
        </w:tc>
        <w:tc>
          <w:tcPr>
            <w:tcW w:w="1200" w:type="dxa"/>
            <w:vAlign w:val="bottom"/>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2"/>
        </w:trPr>
        <w:tc>
          <w:tcPr>
            <w:tcW w:w="1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2024</w:t>
            </w:r>
          </w:p>
        </w:tc>
        <w:tc>
          <w:tcPr>
            <w:tcW w:w="394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w:t>
            </w:r>
          </w:p>
        </w:tc>
      </w:tr>
      <w:tr>
        <w:trPr>
          <w:trHeight w:val="196"/>
        </w:trPr>
        <w:tc>
          <w:tcPr>
            <w:tcW w:w="17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2025</w:t>
            </w:r>
          </w:p>
        </w:tc>
        <w:tc>
          <w:tcPr>
            <w:tcW w:w="3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12,184</w:t>
            </w:r>
          </w:p>
        </w:tc>
      </w:tr>
      <w:tr>
        <w:trPr>
          <w:trHeight w:val="207"/>
        </w:trPr>
        <w:tc>
          <w:tcPr>
            <w:tcW w:w="1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2026</w:t>
            </w:r>
          </w:p>
        </w:tc>
        <w:tc>
          <w:tcPr>
            <w:tcW w:w="3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79,197</w:t>
            </w:r>
          </w:p>
        </w:tc>
      </w:tr>
      <w:tr>
        <w:trPr>
          <w:trHeight w:val="196"/>
        </w:trPr>
        <w:tc>
          <w:tcPr>
            <w:tcW w:w="20" w:type="dxa"/>
            <w:vAlign w:val="bottom"/>
            <w:tcBorders>
              <w:bottom w:val="single" w:sz="8" w:color="CCEEFF"/>
            </w:tcBorders>
          </w:tcPr>
          <w:p>
            <w:pPr>
              <w:spacing w:after="0"/>
              <w:rPr>
                <w:sz w:val="17"/>
                <w:szCs w:val="17"/>
                <w:color w:val="auto"/>
              </w:rPr>
            </w:pPr>
          </w:p>
        </w:tc>
        <w:tc>
          <w:tcPr>
            <w:tcW w:w="5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Thereafter</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53,247</w:t>
            </w:r>
          </w:p>
        </w:tc>
      </w:tr>
      <w:tr>
        <w:trPr>
          <w:trHeight w:val="198"/>
        </w:trPr>
        <w:tc>
          <w:tcPr>
            <w:tcW w:w="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147,695</w:t>
            </w:r>
          </w:p>
        </w:tc>
      </w:tr>
      <w:tr>
        <w:trPr>
          <w:trHeight w:val="196"/>
        </w:trPr>
        <w:tc>
          <w:tcPr>
            <w:tcW w:w="20" w:type="dxa"/>
            <w:vAlign w:val="bottom"/>
          </w:tcPr>
          <w:p>
            <w:pPr>
              <w:spacing w:after="0"/>
              <w:rPr>
                <w:sz w:val="17"/>
                <w:szCs w:val="17"/>
                <w:color w:val="auto"/>
              </w:rPr>
            </w:pPr>
          </w:p>
        </w:tc>
        <w:tc>
          <w:tcPr>
            <w:tcW w:w="56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(26,542)</w:t>
            </w:r>
          </w:p>
        </w:tc>
      </w:tr>
      <w:tr>
        <w:trPr>
          <w:trHeight w:val="207"/>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Less unamortized discount</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(4,066)</w:t>
            </w:r>
          </w:p>
        </w:tc>
      </w:tr>
      <w:tr>
        <w:trPr>
          <w:trHeight w:val="187"/>
        </w:trPr>
        <w:tc>
          <w:tcPr>
            <w:tcW w:w="20" w:type="dxa"/>
            <w:vAlign w:val="bottom"/>
          </w:tcPr>
          <w:p>
            <w:pPr>
              <w:spacing w:after="0"/>
              <w:rPr>
                <w:sz w:val="16"/>
                <w:szCs w:val="16"/>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payable, net of discount</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117,087</w:t>
            </w: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right="9860" w:firstLine="5"/>
        <w:spacing w:after="0" w:line="373" w:lineRule="auto"/>
        <w:tabs>
          <w:tab w:leader="none" w:pos="141"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Stockholders’ Equity Common Stock</w:t>
      </w:r>
    </w:p>
    <w:p>
      <w:pPr>
        <w:jc w:val="both"/>
        <w:ind w:right="200" w:firstLine="509"/>
        <w:spacing w:after="0" w:line="254" w:lineRule="auto"/>
        <w:rPr>
          <w:sz w:val="20"/>
          <w:szCs w:val="20"/>
          <w:color w:val="auto"/>
        </w:rPr>
      </w:pPr>
      <w:r>
        <w:rPr>
          <w:rFonts w:ascii="Times New Roman" w:cs="Times New Roman" w:eastAsia="Times New Roman" w:hAnsi="Times New Roman"/>
          <w:sz w:val="14"/>
          <w:szCs w:val="14"/>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85"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4"/>
          <w:szCs w:val="14"/>
          <w:color w:val="auto"/>
        </w:rPr>
        <w:t>The Series A and B Preferred Stock have a par value of $0.0001 per share and are convertible into shares of the common stock at a one-to-one ratio, subject to adjustment as provided in the Certificates of Designation of Preferences, Rights and Limitations of Series A Preferred Stock and Series B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pari passu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Public Offering</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March 18, 2024, the Company entered into an Underwriting Agreement with Goldman Sachs &amp; Co. LLC, Jefferies LLC, Cowen and Company, LLC, Evercore Group L.L.C. and Piper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Sandler &amp; Co, as representatives of the several underwriters named therein (the “2024 Underwriters”), pursuant to which the Company sold to the 2024 Underwriters in an underwritten public</w:t>
      </w:r>
    </w:p>
    <w:p>
      <w:pPr>
        <w:spacing w:after="0"/>
        <w:rPr>
          <w:sz w:val="20"/>
          <w:szCs w:val="20"/>
          <w:color w:val="auto"/>
        </w:rPr>
      </w:pPr>
      <w:r>
        <w:rPr>
          <w:rFonts w:ascii="Times New Roman" w:cs="Times New Roman" w:eastAsia="Times New Roman" w:hAnsi="Times New Roman"/>
          <w:sz w:val="14"/>
          <w:szCs w:val="14"/>
          <w:color w:val="auto"/>
        </w:rPr>
        <w:t>offering (the “2024 Offering”): (i) 750,000 shares of common stock at a public offering price of $260.00 per share, (ii) pre-funded warrants (the “2024 Pre-Funded Warrants”) to purchase 1,557,692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shares of common stock at a public offering price of $259.9999 per 2024 Pre-Funded Warrant, which represents the per share public offering price for the common stock less a $0.0001 per share</w:t>
      </w:r>
    </w:p>
    <w:p>
      <w:pPr>
        <w:spacing w:after="0" w:line="237" w:lineRule="auto"/>
        <w:rPr>
          <w:sz w:val="20"/>
          <w:szCs w:val="20"/>
          <w:color w:val="auto"/>
        </w:rPr>
      </w:pPr>
      <w:r>
        <w:rPr>
          <w:rFonts w:ascii="Times New Roman" w:cs="Times New Roman" w:eastAsia="Times New Roman" w:hAnsi="Times New Roman"/>
          <w:sz w:val="14"/>
          <w:szCs w:val="14"/>
          <w:color w:val="auto"/>
        </w:rPr>
        <w:t>exercise price for each such Pre-Funded Warrant, and (iii) a 30-day option for the 2024 Underwriters to purchase up to 346,153 additional shares of common stock at the public offering price of</w:t>
      </w:r>
    </w:p>
    <w:p>
      <w:pPr>
        <w:spacing w:after="0"/>
        <w:rPr>
          <w:sz w:val="20"/>
          <w:szCs w:val="20"/>
          <w:color w:val="auto"/>
        </w:rPr>
      </w:pPr>
      <w:r>
        <w:rPr>
          <w:rFonts w:ascii="Times New Roman" w:cs="Times New Roman" w:eastAsia="Times New Roman" w:hAnsi="Times New Roman"/>
          <w:sz w:val="14"/>
          <w:szCs w:val="14"/>
          <w:color w:val="auto"/>
        </w:rPr>
        <w:t>$260.00 per share (the “Underwriters’ Option”). The 2024 Offering closed on March 21, 2024. The gross proceeds of the 2024 Offering was $600.0 million, and the Company received net proceeds,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deducting the underwriting discount and commissions and other estimated offering expenses payable by the Company, of approximately $574.0 million.</w:t>
      </w:r>
    </w:p>
    <w:p>
      <w:pPr>
        <w:spacing w:after="0" w:line="154" w:lineRule="exact"/>
        <w:rPr>
          <w:sz w:val="20"/>
          <w:szCs w:val="20"/>
          <w:color w:val="auto"/>
        </w:rPr>
      </w:pPr>
    </w:p>
    <w:p>
      <w:pPr>
        <w:ind w:right="520" w:firstLine="509"/>
        <w:spacing w:after="0" w:line="271" w:lineRule="auto"/>
        <w:rPr>
          <w:sz w:val="20"/>
          <w:szCs w:val="20"/>
          <w:color w:val="auto"/>
        </w:rPr>
      </w:pPr>
      <w:r>
        <w:rPr>
          <w:rFonts w:ascii="Times New Roman" w:cs="Times New Roman" w:eastAsia="Times New Roman" w:hAnsi="Times New Roman"/>
          <w:sz w:val="14"/>
          <w:szCs w:val="14"/>
          <w:color w:val="auto"/>
        </w:rPr>
        <w:t>The Underwriters’ Option was later exercised in full, and closed on April 2, 2024. The net proceeds to the Company for the exercise of the Underwriters’ Option, after deducting the underwriting discounts and commissions and estimated offering expenses payable by the Company, was approximately $85.9 million.</w:t>
      </w:r>
    </w:p>
    <w:p>
      <w:pPr>
        <w:spacing w:after="0" w:line="13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4"/>
          <w:szCs w:val="14"/>
          <w:color w:val="auto"/>
        </w:rPr>
        <w:t>The Company intends to use the net proceeds from the 2024 Offering for its commercial activities in connection with the launch of Rezdiffra in the U.S.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14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the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 Public Offering</w:t>
      </w:r>
    </w:p>
    <w:p>
      <w:pPr>
        <w:spacing w:after="0" w:line="85" w:lineRule="exact"/>
        <w:rPr>
          <w:sz w:val="20"/>
          <w:szCs w:val="20"/>
          <w:color w:val="auto"/>
        </w:rPr>
      </w:pPr>
    </w:p>
    <w:p>
      <w:pPr>
        <w:ind w:right="20" w:firstLine="509"/>
        <w:spacing w:after="0" w:line="249" w:lineRule="auto"/>
        <w:rPr>
          <w:sz w:val="20"/>
          <w:szCs w:val="20"/>
          <w:color w:val="auto"/>
        </w:rPr>
      </w:pPr>
      <w:r>
        <w:rPr>
          <w:rFonts w:ascii="Times New Roman" w:cs="Times New Roman" w:eastAsia="Times New Roman" w:hAnsi="Times New Roman"/>
          <w:sz w:val="14"/>
          <w:szCs w:val="14"/>
          <w:color w:val="auto"/>
        </w:rPr>
        <w:t>On September 28, 2023, the Company entered into an Underwriting Agreement with Goldman Sachs &amp; Co. LLC, as representative of the several underwriters named therein (the “2023 Underwriters”), pursuant to which the Company sold to the 2023 Underwriters in an underwritten public offering (the “2023 Offering”): (i) 1,248,098 shares of common stock at a public offering price of $151.69 per share, and (ii) pre-funded warrants (the “2023 Pre-Funded Warrants”) to purchase 2,048,098 shares of common stock at a public offering price of $151.6899 per 2023 Pre-Funded Warrant, which represents the per share public offering price for the common stock less a $0.0001 per share exercise price for each such 2023 Pre-Funded Warrant. The 2023 Offering closed on October 3, 2023.</w:t>
      </w:r>
    </w:p>
    <w:p>
      <w:pPr>
        <w:spacing w:after="0" w:line="152" w:lineRule="exact"/>
        <w:rPr>
          <w:sz w:val="20"/>
          <w:szCs w:val="20"/>
          <w:color w:val="auto"/>
        </w:rPr>
      </w:pPr>
    </w:p>
    <w:p>
      <w:pPr>
        <w:ind w:right="460" w:firstLine="509"/>
        <w:spacing w:after="0" w:line="271" w:lineRule="auto"/>
        <w:rPr>
          <w:sz w:val="20"/>
          <w:szCs w:val="20"/>
          <w:color w:val="auto"/>
        </w:rPr>
      </w:pPr>
      <w:r>
        <w:rPr>
          <w:rFonts w:ascii="Times New Roman" w:cs="Times New Roman" w:eastAsia="Times New Roman" w:hAnsi="Times New Roman"/>
          <w:sz w:val="14"/>
          <w:szCs w:val="14"/>
          <w:color w:val="auto"/>
        </w:rPr>
        <w:t>The gross proceeds of the 2023 Offering was $500.0 million, and the Company received net proceeds, after deducting the underwriting discount and commissions and other estimated offering expenses payable by the Company, of approximately $472.0 million. The Company intends to use the net proceeds from the Offering for its clinical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commercial activities in preparation for the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The 2023 Pre-Funded Warrants are exercisable at any time after the date of issuance. A holder of 2023 Pre-Funded Warrants may not exercise the warrant if the holder, together with its affiliates, would beneficially own more than 9.99% of the number of shares of common stock outstanding immediately after giving effect to such exercise. A holder of 2023 Pre-Funded Warrants may increase or decrease this percentage, but not in excess of 19.99%, by providing at least 61 days prior notice to the Company.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At-The-Market Issuance Sales Agreement</w:t>
      </w:r>
    </w:p>
    <w:p>
      <w:pPr>
        <w:spacing w:after="0" w:line="85"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4"/>
          <w:szCs w:val="14"/>
          <w:color w:val="auto"/>
        </w:rPr>
        <w:t>In June 2021, the Company entered into an at-the-market sales agreement (the “2021 Sales Agreement”) with Cowen and Company, LLC (“Cowen”), pursuant to which the Company could, from time to time, issue and sell shares of its common stock. The 2021 Sales Agreement initially authorized an aggregate offering of up to $200.0 million in shares of the Company’s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2021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w:t>
      </w:r>
    </w:p>
    <w:p>
      <w:pPr>
        <w:spacing w:after="0" w:line="14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4"/>
          <w:szCs w:val="14"/>
          <w:color w:val="auto"/>
        </w:rPr>
        <w:t>In May 2023, the Company entered into an amendment to the 2021 Sales Agreement (the “Sales Agreement Amendment”), with Cowen, pursuant to which the Company could, from time to time, issue and sell an additional $200.0 million in shares of its common stock, until it was terminated in May 2024. The Company was not obligated to make any sales of its common stock under this arrangement. Any shares sold would be sold pursuant to the Registration Statement and prospectus supplement filed pursuant to the Registration Statement. The 2021 Sales Agreement, as amended by the Sales Agreement Amendment, authorized sales of shares of the Company’s common stock, from time to time, at the Company’s option, through Cowen as its sales agent. Sales of common stock through Cowen may be made by any method that is deemed an “at-the-market” offering as defined in Rule 415 promulgated under the Securities Act of 1933, as amended, and as described in the prospectus supplement.</w:t>
      </w:r>
    </w:p>
    <w:p>
      <w:pPr>
        <w:spacing w:after="0" w:line="14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Since the entry into the Sales Agreement Amendment in May 2023, the Company sold 98,101 shares in total under the 2021 Sales Agreement, as amended by the Sales Agreement Amendment, for an aggregate of $25.2 million in gross proceeds, with net proceeds to the Company of approximately $24.5 million after deducting commissions and other transaction costs. All shares were sold pursuant to the Company’s effective Registration Statement and the prospectus supplement relating thereto. In total, the Company sold 1,334,044 shares of Common Stock having an aggregate offering price of $225.1 million pursuant to the 2021 Sales Agreement, as amended by the Sales Agreement Amendment.</w:t>
      </w:r>
    </w:p>
    <w:p>
      <w:pPr>
        <w:spacing w:after="0" w:line="138" w:lineRule="exact"/>
        <w:rPr>
          <w:sz w:val="20"/>
          <w:szCs w:val="20"/>
          <w:color w:val="auto"/>
        </w:rPr>
      </w:pPr>
    </w:p>
    <w:p>
      <w:pPr>
        <w:ind w:right="140" w:firstLine="509"/>
        <w:spacing w:after="0" w:line="253" w:lineRule="auto"/>
        <w:rPr>
          <w:sz w:val="20"/>
          <w:szCs w:val="20"/>
          <w:color w:val="auto"/>
        </w:rPr>
      </w:pPr>
      <w:r>
        <w:rPr>
          <w:rFonts w:ascii="Times New Roman" w:cs="Times New Roman" w:eastAsia="Times New Roman" w:hAnsi="Times New Roman"/>
          <w:sz w:val="14"/>
          <w:szCs w:val="14"/>
          <w:color w:val="auto"/>
        </w:rPr>
        <w:t>In May 2024, the Company entered into a Sales Agreement (the “2024 Sales Agreement”) with Cowen, replacing and superseding the 2021 Sales Agreement, as amended by the Sales Agreement Amendment which was terminated effective upon the entry into the 2024 Sales Agreement. The Company is authorized to issue and sell up to $300.0 million in shares of the Company’s common stock under the 2024 Sales Agreement. The Company sold no shares in the three and nine months ended September 30, 2024 under either the 2021 Sales Agreement, as amended by the Sales Agreement Amendment, or the 2024 Sales Agreement.</w:t>
      </w:r>
    </w:p>
    <w:p>
      <w:pPr>
        <w:spacing w:after="0" w:line="232" w:lineRule="exact"/>
        <w:rPr>
          <w:sz w:val="20"/>
          <w:szCs w:val="20"/>
          <w:color w:val="auto"/>
        </w:rPr>
      </w:pPr>
    </w:p>
    <w:p>
      <w:pPr>
        <w:ind w:right="9500" w:firstLine="5"/>
        <w:spacing w:after="0" w:line="365" w:lineRule="auto"/>
        <w:tabs>
          <w:tab w:leader="none" w:pos="141"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Compensation 2015 Stock Plan</w:t>
      </w:r>
    </w:p>
    <w:p>
      <w:pPr>
        <w:ind w:right="60" w:firstLine="509"/>
        <w:spacing w:after="0" w:line="250" w:lineRule="auto"/>
        <w:rPr>
          <w:sz w:val="20"/>
          <w:szCs w:val="20"/>
          <w:color w:val="auto"/>
        </w:rPr>
      </w:pPr>
      <w:r>
        <w:rPr>
          <w:rFonts w:ascii="Times New Roman" w:cs="Times New Roman" w:eastAsia="Times New Roman" w:hAnsi="Times New Roman"/>
          <w:sz w:val="14"/>
          <w:szCs w:val="14"/>
          <w:color w:val="auto"/>
        </w:rPr>
        <w:t>The Company’s 2015 Stock Plan, as amended (the “2015 Stock Plan”), is one of the Company’s equity incentive compensation plans through which equity based grants are awarded. The 2015 Stock Plan provides for the grant of incentive stock options, non-statutory stock options, restricted stock, restricted stock units and other stock-based compensation awards to employees, officers, directors, and consultants of the Company. The administration of the 2015 Stock Plan is under the general supervision of the Compensation Committee of the Board.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On June 25, 2024, the Company’s stockholders approved an amendment to the 2015 Stock Plan to increase the total number of shares of common stock</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for issuance by 750,000 and extend its duration by ten years until April 23, 2035. As of September 30, 2024, 1,233,829 shares were available for future issuance under the 2015 Stock Plan.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2023 Inducement Plan</w:t>
      </w:r>
    </w:p>
    <w:p>
      <w:pPr>
        <w:spacing w:after="0" w:line="96"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In September 2023, the Company adopted the 2023 Inducement Plan (the “Inducement Plan”), pursuant to which the Company may from time to time make equity grants to new employees as a material inducement to their employment. The Inducement Plan was adopted without stockholder approval, pursuant to Nasdaq Listing Rule 5635(c)(4), and is administered by the Compensation Committee of the Board. The Inducement Plan provides for the granting of non-statutory stock options, restricted stock, restricted stock units, performance stock units and other stock-based compensation awards to new employees, but does not allow for the granting of incentive stock options. The terms of the stock options under the Inducement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or award is granted. A total of 500,000 shares of the Company’s common stock were reserved for issuance under the Inducement Plan. As of September 30, 2024, 21,193 shares were available for future issuance under the 2023 Inducement Plan.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stock option activity during the nine months ended September 30, 2024:</w:t>
      </w:r>
    </w:p>
    <w:p>
      <w:pPr>
        <w:spacing w:after="0" w:line="216" w:lineRule="exact"/>
        <w:rPr>
          <w:sz w:val="20"/>
          <w:szCs w:val="20"/>
          <w:color w:val="auto"/>
        </w:rPr>
      </w:pPr>
    </w:p>
    <w:tbl>
      <w:tblPr>
        <w:tblLayout w:type="fixed"/>
        <w:tblInd w:w="1280" w:type="dxa"/>
        <w:tblCellMar>
          <w:top w:w="0" w:type="dxa"/>
          <w:left w:w="0" w:type="dxa"/>
          <w:bottom w:w="0" w:type="dxa"/>
          <w:right w:w="0" w:type="dxa"/>
        </w:tblCellMar>
      </w:tblPr>
      <w:tr>
        <w:trPr>
          <w:trHeight w:val="127"/>
        </w:trPr>
        <w:tc>
          <w:tcPr>
            <w:tcW w:w="5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27"/>
        </w:trPr>
        <w:tc>
          <w:tcPr>
            <w:tcW w:w="5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average exercise</w:t>
            </w:r>
          </w:p>
        </w:tc>
        <w:tc>
          <w:tcPr>
            <w:tcW w:w="0" w:type="dxa"/>
            <w:vAlign w:val="bottom"/>
          </w:tcPr>
          <w:p>
            <w:pPr>
              <w:spacing w:after="0"/>
              <w:rPr>
                <w:sz w:val="1"/>
                <w:szCs w:val="1"/>
                <w:color w:val="auto"/>
              </w:rPr>
            </w:pPr>
          </w:p>
        </w:tc>
      </w:tr>
      <w:tr>
        <w:trPr>
          <w:trHeight w:val="169"/>
        </w:trPr>
        <w:tc>
          <w:tcPr>
            <w:tcW w:w="56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20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2,355,779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79.94</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 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162,517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234.84</w:t>
            </w:r>
          </w:p>
        </w:tc>
        <w:tc>
          <w:tcPr>
            <w:tcW w:w="0" w:type="dxa"/>
            <w:vAlign w:val="bottom"/>
          </w:tcPr>
          <w:p>
            <w:pPr>
              <w:spacing w:after="0"/>
              <w:rPr>
                <w:sz w:val="1"/>
                <w:szCs w:val="1"/>
                <w:color w:val="auto"/>
              </w:rPr>
            </w:pPr>
          </w:p>
        </w:tc>
      </w:tr>
      <w:tr>
        <w:trPr>
          <w:trHeight w:val="207"/>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(748,143)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 cancelled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(68,535)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121.89</w:t>
            </w:r>
          </w:p>
        </w:tc>
        <w:tc>
          <w:tcPr>
            <w:tcW w:w="0" w:type="dxa"/>
            <w:vAlign w:val="bottom"/>
          </w:tcPr>
          <w:p>
            <w:pPr>
              <w:spacing w:after="0"/>
              <w:rPr>
                <w:sz w:val="1"/>
                <w:szCs w:val="1"/>
                <w:color w:val="auto"/>
              </w:rPr>
            </w:pPr>
          </w:p>
        </w:tc>
      </w:tr>
      <w:tr>
        <w:trPr>
          <w:trHeight w:val="217"/>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1,701,618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Exercisable at September 30, 2024</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566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99"/>
              </w:rPr>
              <w:t>1,297,563</w:t>
            </w:r>
          </w:p>
        </w:tc>
        <w:tc>
          <w:tcPr>
            <w:tcW w:w="100" w:type="dxa"/>
            <w:vAlign w:val="bottom"/>
          </w:tcPr>
          <w:p>
            <w:pPr>
              <w:spacing w:after="0"/>
              <w:rPr>
                <w:sz w:val="13"/>
                <w:szCs w:val="13"/>
                <w:color w:val="auto"/>
              </w:rPr>
            </w:pPr>
          </w:p>
        </w:tc>
        <w:tc>
          <w:tcPr>
            <w:tcW w:w="220" w:type="dxa"/>
            <w:vAlign w:val="bottom"/>
          </w:tcPr>
          <w:p>
            <w:pPr>
              <w:jc w:val="right"/>
              <w:ind w:right="69"/>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78.45</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The total cash received by the Company as a result of stock option exercises was $57.1 million and $26.2 million, respectively, for the nine months ended September 30, 2024 and 2023. The total intrinsic value of options exercised was $132.5 million and $51.0 million, respectively, for the nine months ended September 30, 2024 and 2023. The weighted-average grant date fair values, based on the Black-Scholes option model, of options granted during the nine months ended September 30, 2024 and 2023 were $155.41 and $219.02,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Stock Units</w:t>
      </w:r>
    </w:p>
    <w:p>
      <w:pPr>
        <w:spacing w:after="0" w:line="9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The Company’s 2015 Stock Plan provides for awards of restricted stock units (“RSUs”) to employees, officers, directors and consultants to the Company. The Company’s Inducement Plan provides for awards of RSUs to new employees. RSUs vest over a period of months or years, or upon the occurrence of certain performance criteria or the attainment of stated goals or events, and are subject to forfeiture if employment or service terminates before vesting. As of September 30, 2024, the Company had 502,867 restricted stock units outstanding, with a weighted average grant date fair value of $233.42 per unit.</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RSU activity, excluding performance-based RSUs, during the nine months ended September 30, 2024:</w:t>
      </w:r>
    </w:p>
    <w:p>
      <w:pPr>
        <w:spacing w:after="0" w:line="195" w:lineRule="exact"/>
        <w:rPr>
          <w:sz w:val="20"/>
          <w:szCs w:val="20"/>
          <w:color w:val="auto"/>
        </w:rPr>
      </w:pPr>
    </w:p>
    <w:tbl>
      <w:tblPr>
        <w:tblLayout w:type="fixed"/>
        <w:tblInd w:w="1940" w:type="dxa"/>
        <w:tblCellMar>
          <w:top w:w="0" w:type="dxa"/>
          <w:left w:w="0" w:type="dxa"/>
          <w:bottom w:w="0" w:type="dxa"/>
          <w:right w:w="0" w:type="dxa"/>
        </w:tblCellMar>
      </w:tblPr>
      <w:tr>
        <w:trPr>
          <w:trHeight w:val="158"/>
        </w:trPr>
        <w:tc>
          <w:tcPr>
            <w:tcW w:w="332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Weighted average grant date fair value</w:t>
            </w:r>
          </w:p>
        </w:tc>
      </w:tr>
      <w:tr>
        <w:trPr>
          <w:trHeight w:val="18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December 31, 2023</w:t>
            </w:r>
          </w:p>
        </w:tc>
        <w:tc>
          <w:tcPr>
            <w:tcW w:w="15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376,117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241.45</w:t>
            </w:r>
          </w:p>
        </w:tc>
      </w:tr>
      <w:tr>
        <w:trPr>
          <w:trHeight w:val="18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granted</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275,278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234.64</w:t>
            </w:r>
          </w:p>
        </w:tc>
      </w:tr>
      <w:tr>
        <w:trPr>
          <w:trHeight w:val="18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vested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262.91</w:t>
            </w:r>
          </w:p>
        </w:tc>
      </w:tr>
      <w:tr>
        <w:trPr>
          <w:trHeight w:val="180"/>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RSUs forfeited</w:t>
            </w:r>
          </w:p>
        </w:tc>
        <w:tc>
          <w:tcPr>
            <w:tcW w:w="1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(55,356)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244.45</w:t>
            </w:r>
          </w:p>
        </w:tc>
      </w:tr>
      <w:tr>
        <w:trPr>
          <w:trHeight w:val="191"/>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502,867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233.42</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Restricted Stock Units</w:t>
      </w:r>
    </w:p>
    <w:p>
      <w:pPr>
        <w:spacing w:after="0" w:line="85" w:lineRule="exact"/>
        <w:rPr>
          <w:sz w:val="20"/>
          <w:szCs w:val="20"/>
          <w:color w:val="auto"/>
        </w:rPr>
      </w:pPr>
    </w:p>
    <w:p>
      <w:pPr>
        <w:jc w:val="both"/>
        <w:ind w:right="140" w:firstLine="509"/>
        <w:spacing w:after="0" w:line="262" w:lineRule="auto"/>
        <w:rPr>
          <w:sz w:val="20"/>
          <w:szCs w:val="20"/>
          <w:color w:val="auto"/>
        </w:rPr>
      </w:pPr>
      <w:r>
        <w:rPr>
          <w:rFonts w:ascii="Times New Roman" w:cs="Times New Roman" w:eastAsia="Times New Roman" w:hAnsi="Times New Roman"/>
          <w:sz w:val="14"/>
          <w:szCs w:val="14"/>
          <w:color w:val="auto"/>
        </w:rPr>
        <w:t>The Company has granted various performance-based restricted stock units (“PSUs”) to certain members of senior leadership. Depending on the terms of the PSUs and the outcome of the pre-established performance criteria, which may include a market and/or performance condition, a recipient may ultimately earn the target number of PSUs granted or a specified multiple thereof at the end of the vesting period.</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PSU activity during the nine months ended September 30, 2024:</w:t>
      </w:r>
    </w:p>
    <w:p>
      <w:pPr>
        <w:spacing w:after="0" w:line="194" w:lineRule="exact"/>
        <w:rPr>
          <w:sz w:val="20"/>
          <w:szCs w:val="20"/>
          <w:color w:val="auto"/>
        </w:rPr>
      </w:pPr>
    </w:p>
    <w:tbl>
      <w:tblPr>
        <w:tblLayout w:type="fixed"/>
        <w:tblInd w:w="52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120" w:type="dxa"/>
            <w:vAlign w:val="bottom"/>
            <w:vMerge w:val="restart"/>
          </w:tcPr>
          <w:p>
            <w:pPr>
              <w:ind w:left="720"/>
              <w:spacing w:after="0"/>
              <w:rPr>
                <w:sz w:val="20"/>
                <w:szCs w:val="20"/>
                <w:color w:val="auto"/>
              </w:rPr>
            </w:pPr>
            <w:r>
              <w:rPr>
                <w:rFonts w:ascii="Times New Roman" w:cs="Times New Roman" w:eastAsia="Times New Roman" w:hAnsi="Times New Roman"/>
                <w:sz w:val="11"/>
                <w:szCs w:val="11"/>
                <w:b w:val="1"/>
                <w:bCs w:val="1"/>
                <w:color w:val="auto"/>
              </w:rPr>
              <w:t>PSUs</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Eligible to Earn PSUs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 grant date fair</w:t>
            </w:r>
          </w:p>
        </w:tc>
        <w:tc>
          <w:tcPr>
            <w:tcW w:w="0" w:type="dxa"/>
            <w:vAlign w:val="bottom"/>
          </w:tcPr>
          <w:p>
            <w:pPr>
              <w:spacing w:after="0"/>
              <w:rPr>
                <w:sz w:val="1"/>
                <w:szCs w:val="1"/>
                <w:color w:val="auto"/>
              </w:rPr>
            </w:pPr>
          </w:p>
        </w:tc>
      </w:tr>
      <w:tr>
        <w:trPr>
          <w:trHeight w:val="154"/>
        </w:trPr>
        <w:tc>
          <w:tcPr>
            <w:tcW w:w="38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76"/>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PSUs at December 31, 2023</w:t>
            </w:r>
          </w:p>
        </w:tc>
        <w:tc>
          <w:tcPr>
            <w:tcW w:w="1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146.37</w:t>
            </w:r>
          </w:p>
        </w:tc>
        <w:tc>
          <w:tcPr>
            <w:tcW w:w="0" w:type="dxa"/>
            <w:vAlign w:val="bottom"/>
          </w:tcPr>
          <w:p>
            <w:pPr>
              <w:spacing w:after="0"/>
              <w:rPr>
                <w:sz w:val="1"/>
                <w:szCs w:val="1"/>
                <w:color w:val="auto"/>
              </w:rPr>
            </w:pPr>
          </w:p>
        </w:tc>
      </w:tr>
      <w:tr>
        <w:trPr>
          <w:trHeight w:val="180"/>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PSUs granted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51,202</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102,404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388.02</w:t>
            </w:r>
          </w:p>
        </w:tc>
        <w:tc>
          <w:tcPr>
            <w:tcW w:w="0" w:type="dxa"/>
            <w:vAlign w:val="bottom"/>
          </w:tcPr>
          <w:p>
            <w:pPr>
              <w:spacing w:after="0"/>
              <w:rPr>
                <w:sz w:val="1"/>
                <w:szCs w:val="1"/>
                <w:color w:val="auto"/>
              </w:rPr>
            </w:pPr>
          </w:p>
        </w:tc>
      </w:tr>
      <w:tr>
        <w:trPr>
          <w:trHeight w:val="202"/>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PSUs attained</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PSUs forfeited</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(8,442)</w:t>
            </w:r>
          </w:p>
        </w:tc>
        <w:tc>
          <w:tcPr>
            <w:tcW w:w="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(16,884)</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388.02</w:t>
            </w:r>
          </w:p>
        </w:tc>
        <w:tc>
          <w:tcPr>
            <w:tcW w:w="0" w:type="dxa"/>
            <w:vAlign w:val="bottom"/>
          </w:tcPr>
          <w:p>
            <w:pPr>
              <w:spacing w:after="0"/>
              <w:rPr>
                <w:sz w:val="1"/>
                <w:szCs w:val="1"/>
                <w:color w:val="auto"/>
              </w:rPr>
            </w:pPr>
          </w:p>
        </w:tc>
      </w:tr>
      <w:tr>
        <w:trPr>
          <w:trHeight w:val="171"/>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Outstanding at September 30, 2024</w:t>
            </w:r>
          </w:p>
        </w:tc>
        <w:tc>
          <w:tcPr>
            <w:tcW w:w="1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92,760</w:t>
            </w: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235,520</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257.77</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Awards</w:t>
      </w:r>
    </w:p>
    <w:p>
      <w:pPr>
        <w:spacing w:after="0" w:line="96"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As of September 30, 2024, the Company had restricted stock units, performance stock units, and options outstanding pursuant to which an aggregate of 2,440,005 shares of its common stock may be issued pursuant to the terms of all awards granted under the 2015 Stock Plan and Inducement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 Expense</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Stock-based compensation expense during the three and nine months ended September 30, 2024 and 2023 was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420" w:type="dxa"/>
            <w:vAlign w:val="bottom"/>
          </w:tcPr>
          <w:p>
            <w:pPr>
              <w:spacing w:after="0"/>
              <w:rPr>
                <w:sz w:val="13"/>
                <w:szCs w:val="13"/>
                <w:color w:val="auto"/>
              </w:rPr>
            </w:pPr>
          </w:p>
        </w:tc>
        <w:tc>
          <w:tcPr>
            <w:tcW w:w="2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60"/>
        </w:trPr>
        <w:tc>
          <w:tcPr>
            <w:tcW w:w="54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9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by type of award:</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 options</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w:t>
            </w:r>
          </w:p>
        </w:tc>
        <w:tc>
          <w:tcPr>
            <w:tcW w:w="80" w:type="dxa"/>
            <w:vAlign w:val="bottom"/>
          </w:tcPr>
          <w:p>
            <w:pPr>
              <w:spacing w:after="0"/>
              <w:rPr>
                <w:sz w:val="17"/>
                <w:szCs w:val="17"/>
                <w:color w:val="auto"/>
              </w:rPr>
            </w:pPr>
          </w:p>
        </w:tc>
        <w:tc>
          <w:tcPr>
            <w:tcW w:w="90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8,375</w:t>
            </w:r>
          </w:p>
        </w:tc>
        <w:tc>
          <w:tcPr>
            <w:tcW w:w="6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21,891</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24,404</w:t>
            </w: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Restricted stock units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26,835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9,846</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Performance-based restricted stock units</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13,478</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17,898</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Effect of stock-based compensation expense by line item:</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15,703</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12,328</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7,527</w:t>
            </w: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45,145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19,180</w:t>
            </w:r>
          </w:p>
        </w:tc>
        <w:tc>
          <w:tcPr>
            <w:tcW w:w="0" w:type="dxa"/>
            <w:vAlign w:val="bottom"/>
          </w:tcPr>
          <w:p>
            <w:pPr>
              <w:spacing w:after="0"/>
              <w:rPr>
                <w:sz w:val="1"/>
                <w:szCs w:val="1"/>
                <w:color w:val="auto"/>
              </w:rPr>
            </w:pPr>
          </w:p>
        </w:tc>
      </w:tr>
      <w:tr>
        <w:trPr>
          <w:trHeight w:val="21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 included in net loss</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17,898</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62,204</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8"/>
        </w:trPr>
        <w:tc>
          <w:tcPr>
            <w:tcW w:w="5420" w:type="dxa"/>
            <w:vAlign w:val="bottom"/>
          </w:tcPr>
          <w:p>
            <w:pPr>
              <w:spacing w:after="0"/>
              <w:rPr>
                <w:sz w:val="24"/>
                <w:szCs w:val="24"/>
                <w:color w:val="auto"/>
              </w:rPr>
            </w:pPr>
          </w:p>
        </w:tc>
        <w:tc>
          <w:tcPr>
            <w:tcW w:w="880" w:type="dxa"/>
            <w:vAlign w:val="bottom"/>
          </w:tcPr>
          <w:p>
            <w:pPr>
              <w:jc w:val="right"/>
              <w:ind w:right="513"/>
              <w:spacing w:after="0"/>
              <w:rPr>
                <w:sz w:val="20"/>
                <w:szCs w:val="20"/>
                <w:color w:val="auto"/>
              </w:rPr>
            </w:pPr>
            <w:r>
              <w:rPr>
                <w:rFonts w:ascii="Times New Roman" w:cs="Times New Roman" w:eastAsia="Times New Roman" w:hAnsi="Times New Roman"/>
                <w:sz w:val="14"/>
                <w:szCs w:val="14"/>
                <w:color w:val="auto"/>
              </w:rPr>
              <w:t>21</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4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Unrecognized stock-based compensation expense as of September 30, 2024 was $139.1 million with a weighted average remaining period of 2.71 years.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entered into customary contractual arrangements and letters of intent in preparation for and in support of operations in the normal course of business.</w:t>
      </w:r>
    </w:p>
    <w:p>
      <w:pPr>
        <w:spacing w:after="0" w:line="168"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35" w:lineRule="exact"/>
        <w:rPr>
          <w:sz w:val="20"/>
          <w:szCs w:val="20"/>
          <w:color w:val="auto"/>
        </w:rPr>
      </w:pPr>
    </w:p>
    <w:p>
      <w:pPr>
        <w:ind w:right="120" w:firstLine="509"/>
        <w:spacing w:after="0" w:line="249" w:lineRule="auto"/>
        <w:rPr>
          <w:sz w:val="20"/>
          <w:szCs w:val="20"/>
          <w:color w:val="auto"/>
        </w:rPr>
      </w:pPr>
      <w:r>
        <w:rPr>
          <w:rFonts w:ascii="Times New Roman" w:cs="Times New Roman" w:eastAsia="Times New Roman" w:hAnsi="Times New Roman"/>
          <w:sz w:val="14"/>
          <w:szCs w:val="14"/>
          <w:color w:val="auto"/>
        </w:rPr>
        <w:t>The agreement requires future milestone payments to Roche. In March 2024, upon receiving FDA approval of Rezdiffra, a milestone was achieved and $5.0 million became due to Roche. Remaining milestones under the agreement total $3.0 million and are payable upon the Company achieving specified objectives related to future regulatory approval in Europe of resmetirom or a product developed from resmetirom. Furthermore, a tiered single-digit royalty is payable on net sales of resmetirom or a product developed from resmetirom, subject to certain reductions. The Company began accruing for royalty payments following its commercial launch of Rezdiffra in April 2024. The Company did not achieve any product development or regulatory milestones for the nine months ended September 30, 2023.</w:t>
      </w:r>
    </w:p>
    <w:p>
      <w:pPr>
        <w:spacing w:after="0" w:line="152" w:lineRule="exact"/>
        <w:rPr>
          <w:sz w:val="20"/>
          <w:szCs w:val="20"/>
          <w:color w:val="auto"/>
        </w:rPr>
      </w:pPr>
    </w:p>
    <w:p>
      <w:pPr>
        <w:ind w:right="40" w:firstLine="509"/>
        <w:spacing w:after="0" w:line="248" w:lineRule="auto"/>
        <w:rPr>
          <w:sz w:val="20"/>
          <w:szCs w:val="20"/>
          <w:color w:val="auto"/>
        </w:rPr>
      </w:pPr>
      <w:r>
        <w:rPr>
          <w:rFonts w:ascii="Times New Roman" w:cs="Times New Roman" w:eastAsia="Times New Roman" w:hAnsi="Times New Roman"/>
          <w:sz w:val="14"/>
          <w:szCs w:val="14"/>
          <w:color w:val="auto"/>
        </w:rPr>
        <w:t>In 2019, the Company entered into an operating lease for office space located in West Conshohocken, PA (the “Office Lease”), which was later updated by three amendments entered into from 2019 to 2022. In May 2023, the Company entered into the Fourth Amendment to the Office Lease (the “Fourth Lease Amendment”), which did not have a financial impact. In August 2023, the Company entered into the Fifth Amendment to the Office Lease (the “Fifth Lease Amendment”). The Fifth Lease Amendment extended the term of the Office Lease through November 2026. As a result of the Fifth Lease Amendment, an incremental $1.6 million right-of-use asset and lease liabilities were recorded during the year ended December 31, 2023.</w:t>
      </w:r>
    </w:p>
    <w:p>
      <w:pPr>
        <w:spacing w:after="0" w:line="152"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In April 2024 and May 2024, the Company entered into the Sixth Amendment (the “Sixth Lease Amendment”) and the Seventh Amendment (the “Seventh Lease Amendment”) to the Office Lease, respectively, leasing additional office space in the same premises under the Office Lease. The lease for the additional office space commenced in September 2024 and resulted in an incremental $1.2 million right-of-use asset and lease liability being recorded for the quarter ended September 30, 2024.</w:t>
      </w:r>
    </w:p>
    <w:p>
      <w:pPr>
        <w:spacing w:after="0" w:line="131" w:lineRule="exact"/>
        <w:rPr>
          <w:sz w:val="20"/>
          <w:szCs w:val="20"/>
          <w:color w:val="auto"/>
        </w:rPr>
      </w:pPr>
    </w:p>
    <w:p>
      <w:pPr>
        <w:ind w:right="420" w:firstLine="509"/>
        <w:spacing w:after="0" w:line="262" w:lineRule="auto"/>
        <w:rPr>
          <w:sz w:val="20"/>
          <w:szCs w:val="20"/>
          <w:color w:val="auto"/>
        </w:rPr>
      </w:pPr>
      <w:r>
        <w:rPr>
          <w:rFonts w:ascii="Times New Roman" w:cs="Times New Roman" w:eastAsia="Times New Roman" w:hAnsi="Times New Roman"/>
          <w:sz w:val="14"/>
          <w:szCs w:val="14"/>
          <w:color w:val="auto"/>
        </w:rPr>
        <w:t>In August 2024, the Company entered into the Eighth (the “Eighth Lease Amendment”) and in October 2024, the Company entered into the Ninth Amendment (the “Ninth Lease Amendment”) to the Office Lease further expanding the amount of office space in the same premises. The commencement date of the Eighth and Ninth Lease Amendments did not occur as of September 30, 2024, therefore had no impact to the financial statements.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Subsequent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END OF FINANCIAL STATEMENTS **********</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8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This Quarterly Report on Form 10-Q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“allow,” “anticipates,” “appear,” “be,” “believes,” “can,” “continue,” “could,” “demonstrates,” “design,” “estimates,” “expectation,” “expects,” “forecasts,” “future,” “goal,” “help,” “hopeful,” “inform,” “informed,” “intends,” “may,” “might,” “on track,” “planned,” “planning,” “plans,” “positions,” “potential,” “powers,” “predicts,” ”predictive,” “projects,” “seeks,” “should,” “will,” “will achieve,” “will be,” “would” or similar expressions and the negatives of those terms. In particular, forward-looking statements contained in or incorporated by reference to this Quarterly Report relate to, among other things:</w:t>
      </w:r>
    </w:p>
    <w:p>
      <w:pPr>
        <w:spacing w:after="0" w:line="66" w:lineRule="exact"/>
        <w:rPr>
          <w:sz w:val="20"/>
          <w:szCs w:val="20"/>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or estimated future results, including the risks and uncertainties associated with our future operating performance and financial position;</w:t>
      </w:r>
    </w:p>
    <w:p>
      <w:pPr>
        <w:spacing w:after="0" w:line="83" w:lineRule="exact"/>
        <w:rPr>
          <w:rFonts w:ascii="Times New Roman" w:cs="Times New Roman" w:eastAsia="Times New Roman" w:hAnsi="Times New Roman"/>
          <w:sz w:val="14"/>
          <w:szCs w:val="14"/>
          <w:color w:val="auto"/>
        </w:rPr>
      </w:pPr>
    </w:p>
    <w:p>
      <w:pPr>
        <w:ind w:left="1020" w:right="100" w:hanging="251"/>
        <w:spacing w:after="0" w:line="262" w:lineRule="auto"/>
        <w:tabs>
          <w:tab w:leader="none" w:pos="10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possible or assumed future results of operations and expenses, business strategies and plans (including potential ex-U.S. commercial or partnering opportunities), capital needs and financing plans, including incurrence of indebtedness and compliance with debt covenants under the Loan and Security Agreement with Hercules Capital, Inc., as agent and lender, market trends, market sizing, competitive position, industry environment and potential growth opportunities, among other things;</w:t>
      </w:r>
    </w:p>
    <w:p>
      <w:pPr>
        <w:spacing w:after="0" w:line="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Post-approval requirements and commitments, including verification of a clinical benefit in confirmatory trials;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delay certain commercial expansion activities and research activities and related expenses, as necessary;</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trials, including the anticipated timing of disclosure, presentations of data from, or outcomes from our trials;</w:t>
      </w:r>
    </w:p>
    <w:p>
      <w:pPr>
        <w:spacing w:after="0" w:line="83" w:lineRule="exact"/>
        <w:rPr>
          <w:rFonts w:ascii="Times New Roman" w:cs="Times New Roman" w:eastAsia="Times New Roman" w:hAnsi="Times New Roman"/>
          <w:sz w:val="14"/>
          <w:szCs w:val="14"/>
          <w:color w:val="auto"/>
        </w:rPr>
      </w:pPr>
    </w:p>
    <w:p>
      <w:pPr>
        <w:ind w:left="1020" w:right="500" w:hanging="251"/>
        <w:spacing w:after="0" w:line="271" w:lineRule="auto"/>
        <w:tabs>
          <w:tab w:leader="none" w:pos="10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and development activities, and the timing and results associated with the future development of our Rezdiffra/resmetirom, including projected market size, sector leadership, and patient treatment estimates for NASH and nonalcoholic fatty liver disease (“NAFLD”) patients;</w:t>
      </w:r>
    </w:p>
    <w:p>
      <w:pPr>
        <w:spacing w:after="0" w:line="5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completion of projected future clinical milestone events, including enrollment, additional studies, top-line data and open label projections;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Rezdiffra’s potential to be a cost-effective specialty therapy for NASH patients with significant liver fibrosis (consistent with fibrosis stages 2 and 3);</w:t>
      </w:r>
    </w:p>
    <w:p>
      <w:pPr>
        <w:spacing w:after="0" w:line="83" w:lineRule="exact"/>
        <w:rPr>
          <w:rFonts w:ascii="Times New Roman" w:cs="Times New Roman" w:eastAsia="Times New Roman" w:hAnsi="Times New Roman"/>
          <w:sz w:val="14"/>
          <w:szCs w:val="14"/>
          <w:color w:val="auto"/>
        </w:rPr>
      </w:pPr>
    </w:p>
    <w:p>
      <w:pPr>
        <w:ind w:left="1020" w:right="620" w:hanging="251"/>
        <w:spacing w:after="0" w:line="249" w:lineRule="auto"/>
        <w:tabs>
          <w:tab w:leader="none" w:pos="10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Projections or objectives for obtaining full approval for resmetirom for NASH patients with significant fibrosis (or non-cirrhotic NASH patients) and NASH patients with compensated cirrhosis, including all statements concerning potential clinical benefit to support approval and/or potential approval;</w:t>
      </w: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patients diagnosed with NASH, the relationship between NASH progression and adverse patient outcomes and the estimated clinical burden of uncontrolled NASH;</w:t>
      </w:r>
    </w:p>
    <w:p>
      <w:pPr>
        <w:spacing w:after="0" w:line="77" w:lineRule="exact"/>
        <w:rPr>
          <w:rFonts w:ascii="Times New Roman" w:cs="Times New Roman" w:eastAsia="Times New Roman" w:hAnsi="Times New Roman"/>
          <w:sz w:val="14"/>
          <w:szCs w:val="14"/>
          <w:color w:val="auto"/>
        </w:rPr>
      </w:pPr>
    </w:p>
    <w:p>
      <w:pPr>
        <w:ind w:left="1020" w:right="540" w:hanging="251"/>
        <w:spacing w:after="0" w:line="271" w:lineRule="auto"/>
        <w:tabs>
          <w:tab w:leader="none" w:pos="10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primary and key secondary study endpoints for resmetirom, and the potential for achieving such endpoints and projections, including NASH resolution, safety, fibrosis treatment, cardiovascular effects and lipid treatment with resmetirom;</w:t>
      </w:r>
    </w:p>
    <w:p>
      <w:pPr>
        <w:spacing w:after="0" w:line="39" w:lineRule="exact"/>
        <w:rPr>
          <w:rFonts w:ascii="Times New Roman" w:cs="Times New Roman" w:eastAsia="Times New Roman" w:hAnsi="Times New Roman"/>
          <w:sz w:val="14"/>
          <w:szCs w:val="14"/>
          <w:color w:val="auto"/>
        </w:rPr>
      </w:pPr>
    </w:p>
    <w:p>
      <w:pPr>
        <w:ind w:left="1020" w:right="360" w:hanging="251"/>
        <w:spacing w:after="0" w:line="287" w:lineRule="auto"/>
        <w:tabs>
          <w:tab w:leader="none" w:pos="10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Optimal dosing levels for resmetirom and projections regarding potential NASH or NAFLD and potential patient benefits with resmetirom, including future NASH resolution, safety, fibrosis treatment, cardiovascular effects, lipid treatment and/or biomarker effects with resmetirom;</w:t>
      </w:r>
    </w:p>
    <w:p>
      <w:pPr>
        <w:spacing w:after="0" w:line="28" w:lineRule="exact"/>
        <w:rPr>
          <w:rFonts w:ascii="Times New Roman" w:cs="Times New Roman" w:eastAsia="Times New Roman" w:hAnsi="Times New Roman"/>
          <w:sz w:val="14"/>
          <w:szCs w:val="14"/>
          <w:color w:val="auto"/>
        </w:rPr>
      </w:pPr>
    </w:p>
    <w:p>
      <w:pPr>
        <w:ind w:left="1020" w:right="40" w:hanging="251"/>
        <w:spacing w:after="0" w:line="271" w:lineRule="auto"/>
        <w:tabs>
          <w:tab w:leader="none" w:pos="10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Analyses for patients with NASH with significant fibrosis concerning potential progression to cirrhosis, decompensated cirrhosis, liver transplant or death, and cardiovascular risks, comorbidities and outcomes;</w:t>
      </w:r>
    </w:p>
    <w:p>
      <w:pPr>
        <w:spacing w:after="0" w:line="5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address the unmet needs of patients suffering from NASH with significant fibrosis,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efficacy and safety of resmetirom for non-cirrhotic NASH patients and cirrhotic NASH patients,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resmetirom to become the best-in-class treatment option for patients with NASH and significant fibrosis;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develop clinical evidence demonstrating the utility of non-invasive tools and techniques to screen and diagnose NASH and/or NAFLD patients;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1020" w:right="60" w:hanging="251"/>
        <w:spacing w:after="0" w:line="271"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predictive power of liver fat reduction with resmetirom, as measured by non-invasive tests, on NASH resolution and/or fibrosis reduction or improvement, and potential NASH or NAFLD patient risk profile benefits with resmetirom;</w:t>
      </w:r>
    </w:p>
    <w:p>
      <w:pPr>
        <w:spacing w:after="0" w:line="50"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predictive power of liver fat, liver volume changes or MAST scores for NASH and/or NAFLD patients;</w:t>
      </w:r>
    </w:p>
    <w:p>
      <w:pPr>
        <w:spacing w:after="0" w:line="83" w:lineRule="exact"/>
        <w:rPr>
          <w:rFonts w:ascii="Times New Roman" w:cs="Times New Roman" w:eastAsia="Times New Roman" w:hAnsi="Times New Roman"/>
          <w:sz w:val="14"/>
          <w:szCs w:val="14"/>
          <w:color w:val="auto"/>
        </w:rPr>
      </w:pPr>
    </w:p>
    <w:p>
      <w:pPr>
        <w:ind w:left="1020" w:right="260" w:hanging="251"/>
        <w:spacing w:after="0" w:line="271"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predictive power of NASH resolution and/or fibrosis reduction with resmetirom or improvement using non-invasive tests, including the use of ELF, FibroScan, MRE and/or MRI-PDFF;</w:t>
      </w:r>
    </w:p>
    <w:p>
      <w:pPr>
        <w:spacing w:after="0" w:line="50" w:lineRule="exact"/>
        <w:rPr>
          <w:rFonts w:ascii="Times New Roman" w:cs="Times New Roman" w:eastAsia="Times New Roman" w:hAnsi="Times New Roman"/>
          <w:sz w:val="14"/>
          <w:szCs w:val="14"/>
          <w:color w:val="auto"/>
        </w:rPr>
      </w:pPr>
    </w:p>
    <w:p>
      <w:pPr>
        <w:ind w:left="1020" w:right="60" w:hanging="251"/>
        <w:spacing w:after="0" w:line="271"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predictive power of non-invasive tests generally, including for purposes of diagnosing NASH, monitoring patient response to resmetirom, or recruiting and conducting a NASH clinical trial;</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demand for and acceptance of our products;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development and commercialization of new products;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resmetirom to be an effective treatment for other disease indications;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regulatory approvals, including, but not limited to, potential regulatory delays or rejections;</w:t>
      </w:r>
    </w:p>
    <w:p>
      <w:pPr>
        <w:spacing w:after="0" w:line="93" w:lineRule="exact"/>
        <w:rPr>
          <w:rFonts w:ascii="Times New Roman" w:cs="Times New Roman" w:eastAsia="Times New Roman" w:hAnsi="Times New Roman"/>
          <w:sz w:val="14"/>
          <w:szCs w:val="14"/>
          <w:color w:val="auto"/>
        </w:rPr>
      </w:pPr>
    </w:p>
    <w:p>
      <w:pPr>
        <w:ind w:left="1020" w:hanging="251"/>
        <w:spacing w:after="0" w:line="254"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w:t>
      </w:r>
    </w:p>
    <w:p>
      <w:pPr>
        <w:spacing w:after="0" w:line="6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impact of cyber attacks and other security incidents on our operations or business;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continued reliance on third-party contract manufacturers for the manufacture of our product candidates, including resmetirom;</w:t>
      </w:r>
    </w:p>
    <w:p>
      <w:pPr>
        <w:spacing w:after="0" w:line="83" w:lineRule="exact"/>
        <w:rPr>
          <w:rFonts w:ascii="Times New Roman" w:cs="Times New Roman" w:eastAsia="Times New Roman" w:hAnsi="Times New Roman"/>
          <w:sz w:val="14"/>
          <w:szCs w:val="14"/>
          <w:color w:val="auto"/>
        </w:rPr>
      </w:pPr>
    </w:p>
    <w:p>
      <w:pPr>
        <w:ind w:left="1020" w:right="120" w:hanging="251"/>
        <w:spacing w:after="0" w:line="287" w:lineRule="auto"/>
        <w:tabs>
          <w:tab w:leader="none" w:pos="10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effects of resmetirom’s mechanism of action and our ability to accomplish our business and business development objectives and realize the anticipated benefit of any such transactions; and</w:t>
      </w:r>
    </w:p>
    <w:p>
      <w:pPr>
        <w:spacing w:after="0" w:line="2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Assumptions underlying any of the foregoing.</w:t>
      </w:r>
    </w:p>
    <w:p>
      <w:pPr>
        <w:spacing w:after="0" w:line="168"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4"/>
          <w:szCs w:val="14"/>
          <w:color w:val="auto"/>
        </w:rPr>
        <w:t>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20"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4"/>
          <w:szCs w:val="14"/>
          <w:color w:val="auto"/>
        </w:rPr>
        <w:t>Forward-looking statements are subject to a number of risks and uncertainties including, but not limited to: our clinical and commercial development of resmetirom; the challenges with the commercial launch of a new product, particularly for a company that does not have commercial experience; enrollment and trial outlook uncertainties, generally, based on blinded, locked or limited trial data; our potential inability to raise sufficient capital to fund our ongoing operations as currently planned or to obtain financings on terms similar to those we have arranged in the past; our ability to meet post-approval commitments and requirements, including completion of enrollment of—and ability to obtain positive data from—any confirmatory studies required by the FDA; our ability to service our indebtedness and otherwise comply with our debt covenants; outcomes or trends from competitive studies; future topline data timing or results; the risks of achieving potential benefits in studies that includes substantially more patients, and patients with different disease states, than our prior studies; our ability to prevent and/or mitigate cybersecurity attacks, unauthorized exfiltration of data or other security incidents; limitations associated with early stage or non-placebo controlled study data; the timing and outcomes of clinical studies of resmetirom; and the uncertainties inherent in clinical testing; and uncertainties concerning analyses or assessments outside of a controlled clinical trial.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II, Item 1A of this Quarterly Report on Form 10-Q and Part I, Item 1A of our Annual Report on Form 10-K for the year ended December 31, 2023, filed with the SEC on February 28, 2024 (the “2023 Form 10-K”), as well as in our other filings with the SEC. You should read the 2023 Form 10-K, this Quarterly Report, and the other documents that we file or have filed with the SEC, with the understanding that our actual future results may be materially different from the results expressed or implied by these forward-looking statements.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31"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color w:val="auto"/>
        </w:rPr>
        <w:t>Except as required by applicable law,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2.</w:t>
        <w:tab/>
        <w:t>Management’s Discussion and Analysis of Financial Condition and Results of Operations.</w:t>
      </w:r>
    </w:p>
    <w:p>
      <w:pPr>
        <w:spacing w:after="0" w:line="83" w:lineRule="exact"/>
        <w:rPr>
          <w:sz w:val="20"/>
          <w:szCs w:val="20"/>
          <w:color w:val="auto"/>
        </w:rPr>
      </w:pPr>
    </w:p>
    <w:p>
      <w:pPr>
        <w:ind w:right="120" w:firstLine="509"/>
        <w:spacing w:after="0" w:line="248" w:lineRule="auto"/>
        <w:rPr>
          <w:sz w:val="20"/>
          <w:szCs w:val="20"/>
          <w:color w:val="auto"/>
        </w:rPr>
      </w:pPr>
      <w:r>
        <w:rPr>
          <w:rFonts w:ascii="Times New Roman" w:cs="Times New Roman" w:eastAsia="Times New Roman" w:hAnsi="Times New Roman"/>
          <w:sz w:val="14"/>
          <w:szCs w:val="14"/>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the year ended December 31, 2023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under “Cautionary Note Regarding Forward-Looking Statements,” our actual results could differ materially from those discussed in these forward-looking statements. Factors that could cause or contribute to such differences include, but are not limited to, those discussed in the “Cautionary Note Regarding Forward-Looking Statements” and “Risk Factors” sections contained in our Annual Report on Form 10-K for the year ended</w:t>
      </w:r>
    </w:p>
    <w:p>
      <w:pPr>
        <w:spacing w:after="0" w:line="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4"/>
          <w:szCs w:val="14"/>
          <w:i w:val="1"/>
          <w:iCs w:val="1"/>
          <w:color w:val="auto"/>
        </w:rPr>
        <w:t>December 31, 2023. Our operating results are not necessarily indicative of results that may occur for the full fiscal year or any other future period. As used herein, “Rezdiffra” refers to resmetirom approved by the FDA for the treatment of adults with NASH with moderate to advanced liver fibrosis, and “resmetirom” refers to, where applicable, Rezdiffra as well as resmetirom for the treatment of indications beyond NASH with moderate to advanced liver fibrosis.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Madrigal Pharmaceuticals, Inc.</w:t>
      </w:r>
    </w:p>
    <w:p>
      <w:pPr>
        <w:spacing w:after="0" w:line="74"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4"/>
          <w:szCs w:val="14"/>
          <w:color w:val="auto"/>
        </w:rPr>
        <w:t>We are a biopharmaceutical company focused on delivering novel therapeutics for nonalcoholic steatohepatitis (“NASH”), a serious liver disease with high unmet medical need that can lead to cirrhosis, liver failure and premature mortality. NASH is expected to become the leading cause of liver transplantation in the U.S. and is already the leading cause of liver transplantation among women in the U.S. Our medication, Rezdiffra (resmetirom), is a once-daily, oral, liver-directed THR-β agonist designed to target key underlying causes of NASH. In March 2024, Rezdiffra became the first and only FDA-approved therapy for patients with NASH. Rezdiffra became commercially available in the United States in April 2024. Rezdiffra is indicated in conjunction with diet and exercise for the treatment of adults with noncirrhotic NASH with moderate to advanced liver fibrosis (consistent with stages F2 to F3 fibrosis).</w:t>
      </w:r>
    </w:p>
    <w:p>
      <w:pPr>
        <w:spacing w:after="0" w:line="152"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NASH Disease State Overview. </w:t>
      </w:r>
      <w:r>
        <w:rPr>
          <w:rFonts w:ascii="Times New Roman" w:cs="Times New Roman" w:eastAsia="Times New Roman" w:hAnsi="Times New Roman"/>
          <w:sz w:val="14"/>
          <w:szCs w:val="14"/>
          <w:color w:val="auto"/>
        </w:rPr>
        <w:t>NASH is a more advanced form of nonalcoholic fatty liver disease (NAFLD). NAFLD has become the most common liver disease in the United States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developed countries and is characterized by an accumulation of fat in the liver with no other apparent causes. NASH can progress to cirrhosis or liver failure, require liver transplantation and can also result in liver cancer. Additionally, patients with NASH, especially those with more advanced metabolic risk factors (hypertension, concomitant type 2 diabetes), are at increased risk for adverse cardiovascular events and increased morbidity and mortality. Once patients progress to NASH with moderate to advanced fibrosis (consistent with fibrosis stages F2 and F3), the risk of adverse liver outcomes increases substantially.</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NASH is also known as metabolic dysfunction-associated steatohepatitis (“MASH”) following a change in disease nomenclature introduced by hepatology medical societies in 2023.</w:t>
      </w:r>
    </w:p>
    <w:p>
      <w:pPr>
        <w:spacing w:after="0" w:line="177" w:lineRule="exact"/>
        <w:rPr>
          <w:sz w:val="20"/>
          <w:szCs w:val="20"/>
          <w:color w:val="auto"/>
        </w:rPr>
      </w:pPr>
    </w:p>
    <w:p>
      <w:pPr>
        <w:ind w:right="380" w:firstLine="509"/>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Our Patient Focus. </w:t>
      </w:r>
      <w:r>
        <w:rPr>
          <w:rFonts w:ascii="Times New Roman" w:cs="Times New Roman" w:eastAsia="Times New Roman" w:hAnsi="Times New Roman"/>
          <w:sz w:val="14"/>
          <w:szCs w:val="14"/>
          <w:color w:val="auto"/>
        </w:rPr>
        <w:t>We estimate that approximately 1.5 million patients have been diagnosed with NASH in the U.S., of which approximately 525,000 have NASH with moderate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advanced fibrosis. We estimate that approximately 315,000 diagnosed patients with NASH with moderate to advanced fibrosis are under the care of specialist physicians which we are targeting during the commercial launch of Rezdiffra.</w:t>
      </w:r>
    </w:p>
    <w:p>
      <w:pPr>
        <w:spacing w:after="0" w:line="14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Our Clinical Development Program. </w:t>
      </w:r>
      <w:r>
        <w:rPr>
          <w:rFonts w:ascii="Times New Roman" w:cs="Times New Roman" w:eastAsia="Times New Roman" w:hAnsi="Times New Roman"/>
          <w:sz w:val="14"/>
          <w:szCs w:val="14"/>
          <w:color w:val="auto"/>
        </w:rPr>
        <w:t>We are currently conducting multiple Phase 3 clinical trials to evaluate the safety and efficacy of Rezdiffra for the treatment of NASH, including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pivotal MAESTRO-NASH biopsy study in patients with significant fibrosis, the MAESTRO-NASH Outcomes study in patients with NASH with compensated cirrhosis and the MAESTRO-NAFLD-1 OLE safety study. Positive results from the pivotal MAESTRO-NASH biopsy study were published in the </w:t>
      </w:r>
      <w:r>
        <w:rPr>
          <w:rFonts w:ascii="Times New Roman" w:cs="Times New Roman" w:eastAsia="Times New Roman" w:hAnsi="Times New Roman"/>
          <w:sz w:val="14"/>
          <w:szCs w:val="14"/>
          <w:i w:val="1"/>
          <w:iCs w:val="1"/>
          <w:color w:val="auto"/>
        </w:rPr>
        <w:t>New England Journal of Medicine</w:t>
      </w:r>
      <w:r>
        <w:rPr>
          <w:rFonts w:ascii="Times New Roman" w:cs="Times New Roman" w:eastAsia="Times New Roman" w:hAnsi="Times New Roman"/>
          <w:sz w:val="14"/>
          <w:szCs w:val="14"/>
          <w:color w:val="auto"/>
        </w:rPr>
        <w:t xml:space="preserve"> in February 2024.</w:t>
      </w:r>
    </w:p>
    <w:p>
      <w:pPr>
        <w:spacing w:after="0" w:line="147" w:lineRule="exact"/>
        <w:rPr>
          <w:sz w:val="20"/>
          <w:szCs w:val="20"/>
          <w:color w:val="auto"/>
        </w:rPr>
      </w:pPr>
    </w:p>
    <w:p>
      <w:pPr>
        <w:jc w:val="both"/>
        <w:ind w:right="20" w:firstLine="509"/>
        <w:spacing w:after="0" w:line="254" w:lineRule="auto"/>
        <w:rPr>
          <w:sz w:val="20"/>
          <w:szCs w:val="20"/>
          <w:color w:val="auto"/>
        </w:rPr>
      </w:pPr>
      <w:r>
        <w:rPr>
          <w:rFonts w:ascii="Times New Roman" w:cs="Times New Roman" w:eastAsia="Times New Roman" w:hAnsi="Times New Roman"/>
          <w:sz w:val="14"/>
          <w:szCs w:val="14"/>
          <w:color w:val="auto"/>
        </w:rPr>
        <w:t>Data from the 52-week first 1,000 patient portion of MAESTRO-NASH, together with data from MAESTRO-NAFLD-1, the open-label extension of the MAESTRO-NAFLD-1 study, Phase 2 and Phase 1 data, including safety parameters, formed the basis for our successful subpart H submission to the U.S. Food &amp; Drug Administration (“FDA”) for accelerated approval of Rezdiffra for treatment of NASH with moderate to advanced liver fibrosis.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Developments</w:t>
      </w:r>
    </w:p>
    <w:p>
      <w:pPr>
        <w:spacing w:after="0" w:line="25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On October 21, 2024, we announced that we completed enrollment in the MAESTRO-NASH OUTCOMES trial evaluating resmetirom for the treatment of patients with compensated NASH cirrhosis. MAESTRO-NASH OUTCOMES is a Phase 3, double-blind, randomized, placebo-controlled study that noninvasively measures progression to liver decompensation events. The study duration is expected to be two to three years for accrual of the required number of composite clinical outcome events.</w:t>
      </w:r>
    </w:p>
    <w:p>
      <w:pPr>
        <w:spacing w:after="0" w:line="46"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 xml:space="preserve">On September 30, 2024, we announced publication of health-related quality of life results from the Phase 3 MAESTRO-NASH trial of Rezdiffra. Patients treated with Rezdiffra experienced clinically meaningful and statistically significant improvements in emotional well-being and health distress. The results were published in the journal </w:t>
      </w:r>
      <w:r>
        <w:rPr>
          <w:rFonts w:ascii="Times New Roman" w:cs="Times New Roman" w:eastAsia="Times New Roman" w:hAnsi="Times New Roman"/>
          <w:sz w:val="14"/>
          <w:szCs w:val="14"/>
          <w:i w:val="1"/>
          <w:iCs w:val="1"/>
          <w:color w:val="auto"/>
        </w:rPr>
        <w:t>Hepatology</w:t>
      </w:r>
      <w:r>
        <w:rPr>
          <w:rFonts w:ascii="Times New Roman" w:cs="Times New Roman" w:eastAsia="Times New Roman" w:hAnsi="Times New Roman"/>
          <w:sz w:val="14"/>
          <w:szCs w:val="14"/>
          <w:color w:val="auto"/>
        </w:rPr>
        <w:t>.</w:t>
      </w:r>
    </w:p>
    <w:p>
      <w:pPr>
        <w:spacing w:after="0" w:line="2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4"/>
          <w:szCs w:val="14"/>
          <w:color w:val="auto"/>
        </w:rPr>
        <w:t>On June 6, 2024, we announced new data from the Phase 3 MAESTRO-NASH study of Rezdiffra presented at the European Association for the Study of the Liver (EASL) Congress. Our key Rezdiffra presentations at the EASL Congress included (i) a late-breaking artificial intelligence-based analysis of MAESTRO-NASH biopsy data; (ii) noninvasive test data that demonstrated durable treatment response to Rezdiffra; (iii) the first analysis of health-related quality of life data from MAESTRO-NASH; and (iv) the first analysis of Rezdiffra treatment in metabolic dysfunction and alcohol-associated liver disease (MetALD).</w:t>
      </w:r>
    </w:p>
    <w:p>
      <w:pPr>
        <w:spacing w:after="0" w:line="53"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4"/>
          <w:szCs w:val="14"/>
          <w:color w:val="auto"/>
        </w:rPr>
        <w:t>On May 7, 2024, we entered into a Sales Agreement (the “2024 Sales Agreement”) with TD Securities (USA) LLC, (“TD Cowen”), pursuant to which we may issue and sell through or to TD Cowen, acting as agent or principal, shares of our common stock, par value $0.0001 per share (the “Common Stock”), from time to time having an aggregate sales price of up to $300.0 million (the “ATM Offering”). The 2024 Sales Agreement replaces and supersedes the prior sales agreement, dated June 1, 2021 and amended on May 9, 2023, between the us and Cowen and Company, LLC, an affiliate of TD Cowen (the “Prior Sales Agreement”), which was terminated effective upon the entry into the 2024 Sales Agreement. We sold 1,334,044 shares of Common Stock having an aggregate offering price of $225.1 million pursuant to the Prior Sales Agreement.</w:t>
      </w:r>
    </w:p>
    <w:p>
      <w:pPr>
        <w:spacing w:after="0" w:line="53"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4"/>
          <w:szCs w:val="14"/>
          <w:color w:val="auto"/>
        </w:rPr>
        <w:t>On March 18, 2024, we announced we had commenced an underwritten public offering of $500.0 million in shares of our common stock and pre-funded warrants to purchase shares of our common stock. The size of the offering was increased by $100.0 million subsequent to the initial announcement, for a total of approximately $600.0 million gross proceeds before underwriting discounts, commissions, and other expenses. The $600.0 million offering closed on March 21, 2024, and we received net proceeds totaling approximately $574.0 million in the three months ended March, 31, 2024. The underwriters exercised in full their 30-day option to purchase additional shares of common stock, resulting in an additional $90.0 million gross proceeds. The exercise of the underwriters' option closed on April 2, 2024 and we received net proceeds totaling approximately $85.9 million. We collectively sold an aggregate of 1,096,153 shares of our common stock and pre-funded warrants to purchase 1,557,692 shares of our common stock in the underwritten offering.</w:t>
      </w:r>
    </w:p>
    <w:p>
      <w:pPr>
        <w:spacing w:after="0" w:line="140"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4"/>
          <w:szCs w:val="14"/>
          <w:color w:val="auto"/>
        </w:rPr>
        <w:t>On March 14, 2024, we announced that the FDA granted accelerated approval of Rezdiffra (resmetirom) in conjunction with diet and exercise for the treatment of adults with noncirrhotic nonalcoholic steatohepatitis (“NASH”) with moderate to advanced liver fibrosis (consistent with stages F2 to F3 fibrosis). On April 9, 2024, we announced U.S. availability of Rezdiffra for the treatment of patients with noncirrhotic NASH with moderate to advanced liver fibrosis.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Revenue, Net</w:t>
      </w:r>
    </w:p>
    <w:p>
      <w:pPr>
        <w:spacing w:after="0" w:line="96"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In March 2024, the FDA approved Rezdiffra for the treatment of noncirrhotic NASH with moderate to advanced liver fibrosis (consistent with stages F2 to F3 fibrosis). Rezdiffra is a once-daily, oral, liver-directed, THR-ß agonist designed to target key underlying causes of NASH. Rezdiffra was launched for sale in the U.S. in April 2024.</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96"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Cost of sales includes the cost of manufacturing and distribution of inventory related to sales of Rezdiffra. We expect cost of sales to increase in the future, as manufacturing costs incurred prior to regulatory approval were expensed to research and development rather than capitalized as inventory, as approval was considered uncertain.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4"/>
          <w:szCs w:val="14"/>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research and development expenses consist primarily of:</w:t>
      </w:r>
    </w:p>
    <w:p>
      <w:pPr>
        <w:spacing w:after="0" w:line="83" w:lineRule="exact"/>
        <w:rPr>
          <w:sz w:val="20"/>
          <w:szCs w:val="20"/>
          <w:color w:val="auto"/>
        </w:rPr>
      </w:pPr>
    </w:p>
    <w:p>
      <w:pPr>
        <w:ind w:left="1020" w:hanging="251"/>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and related expense, including stock-based compensation;</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expenses paid to clinical trial sites, contract research organizations, laboratories, database software and consultants that conduct clinical trials;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development and the production of nonclinical and clinical trial supplies, including fees paid to contract manufacturers;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preclinical studies;</w:t>
      </w:r>
    </w:p>
    <w:p>
      <w:pPr>
        <w:spacing w:after="0" w:line="9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related to compliance with drug development regulatory requirements; and</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allocated expenses, which include direct and allocated expenses for depreciation of equipment and other supplies.</w:t>
      </w:r>
    </w:p>
    <w:p>
      <w:pPr>
        <w:spacing w:after="0" w:line="168"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We expect to continue to incur substantial expenses related to our development activities for the foreseeable future as we conduct our clinical study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w:t>
      </w:r>
    </w:p>
    <w:p>
      <w:pPr>
        <w:spacing w:after="0" w:line="138" w:lineRule="exact"/>
        <w:rPr>
          <w:sz w:val="20"/>
          <w:szCs w:val="20"/>
          <w:color w:val="auto"/>
        </w:rPr>
      </w:pPr>
    </w:p>
    <w:p>
      <w:pPr>
        <w:ind w:right="20" w:firstLine="509"/>
        <w:spacing w:after="0" w:line="249" w:lineRule="auto"/>
        <w:rPr>
          <w:sz w:val="20"/>
          <w:szCs w:val="20"/>
          <w:color w:val="auto"/>
        </w:rPr>
      </w:pPr>
      <w:r>
        <w:rPr>
          <w:rFonts w:ascii="Times New Roman" w:cs="Times New Roman" w:eastAsia="Times New Roman" w:hAnsi="Times New Roman"/>
          <w:sz w:val="14"/>
          <w:szCs w:val="14"/>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Selling, general and administrative expenses consist primarily of salaries, benefits and stock-based compensation expenses for employees, management costs, costs associated 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commercial activities, costs associated with obtaining and maintaining our patent portfolio, professional fees for accounting, auditing, consulting and legal services, and allocated overhead expenses.</w:t>
      </w:r>
    </w:p>
    <w:p>
      <w:pPr>
        <w:spacing w:after="0" w:line="16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We expect that our selling, general and administrative expenses will increase in the future as we expand our operating activities, continue commercialization efforts, including evaluating expansion plans,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8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stock-based compensation expense, gross to net expenses, and inventory valuation. We base our estimates on historical experience, known trends and events, and various other factors that are believed to be reasonable under the circumstances, the results of which form the basis for making judgments about the carrying value of</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as compared to those disclosed in our Annual Report on Form 10-K for the fiscal year ended December 31, 2023 filed with the SEC on February 28, 2024, aside from the addition of estimates related to revenue recognition and inventory valuation. Refer to Note 2 to the condensed consolidated financial statements for details of accounting policies over revenue and inventory.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85"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4"/>
          <w:szCs w:val="14"/>
          <w:color w:val="auto"/>
        </w:rPr>
        <w:t>Our accounting policy over revenue recognition has a significant impact on the financial results and involves substantial judgement and estimation. The amount of revenue we recognize is impacted by variable consideration, as described in Note 2. Our gross to net estimates are based on contracts with customers, government agencies, healthcare providers, industry data, historical information, and other factors. The judgements and estimates involved in determining variable consideration are reviewed each reporting period, as all are subject to adjustments as new information becomes available.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Inventory</w:t>
      </w:r>
    </w:p>
    <w:p>
      <w:pPr>
        <w:spacing w:after="0" w:line="85"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4"/>
          <w:szCs w:val="14"/>
          <w:color w:val="auto"/>
        </w:rPr>
        <w:t>We value our inventories at the lower of cost or estimated net realizable value using the first-in, first-out (“FIFO”) method, as described in Note 2. The value of our inventories is impacted by excess, slow-moving, and obsolete items, which could lead to write downs in value. We periodically review our inventory for factors that could impact the future recoverability and realization of future sales, which requires estimates and judgements.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2024 and 2023</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comparative unaudited results of operations for the three months ended September 30, 2024 and 2023 (in thousands):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126"/>
        </w:trPr>
        <w:tc>
          <w:tcPr>
            <w:tcW w:w="4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Increase / (Decrease)</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Product revenue, net</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62,175</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96"/>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Operating expenses: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sales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201"/>
        </w:trPr>
        <w:tc>
          <w:tcPr>
            <w:tcW w:w="4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68,742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70,951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107,585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27,583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80,002</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0" w:type="dxa"/>
            <w:vAlign w:val="bottom"/>
          </w:tcPr>
          <w:p>
            <w:pPr>
              <w:spacing w:after="0"/>
              <w:rPr>
                <w:sz w:val="1"/>
                <w:szCs w:val="1"/>
                <w:color w:val="auto"/>
              </w:rPr>
            </w:pPr>
          </w:p>
        </w:tc>
      </w:tr>
      <w:tr>
        <w:trPr>
          <w:trHeight w:val="201"/>
        </w:trPr>
        <w:tc>
          <w:tcPr>
            <w:tcW w:w="4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(13,019)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0" w:type="dxa"/>
            <w:vAlign w:val="bottom"/>
          </w:tcPr>
          <w:p>
            <w:pPr>
              <w:spacing w:after="0"/>
              <w:rPr>
                <w:sz w:val="1"/>
                <w:szCs w:val="1"/>
                <w:color w:val="auto"/>
              </w:rPr>
            </w:pPr>
          </w:p>
        </w:tc>
      </w:tr>
      <w:tr>
        <w:trPr>
          <w:trHeight w:val="202"/>
        </w:trPr>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87"/>
        </w:trPr>
        <w:tc>
          <w:tcPr>
            <w:tcW w:w="4680" w:type="dxa"/>
            <w:vAlign w:val="bottom"/>
          </w:tcPr>
          <w:p>
            <w:pPr>
              <w:spacing w:after="0"/>
              <w:rPr>
                <w:sz w:val="16"/>
                <w:szCs w:val="16"/>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(106,964)</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(98,740)</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began selling Rezdiffra in April 2024. For the three months ended September 30, 2024, we recorded $62.2 million of product revenue, net.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Sales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Cost of sales were incurred as a result of sales of Rezdiffra. For the three months ended September 30, 2024, we recorded $2.2 million of cost of sales.</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represents our research and development expenses for the three months ended September 30, 2024 and 2023 (in thousands):</w:t>
      </w:r>
    </w:p>
    <w:p>
      <w:pPr>
        <w:spacing w:after="0" w:line="291" w:lineRule="exact"/>
        <w:rPr>
          <w:sz w:val="20"/>
          <w:szCs w:val="20"/>
          <w:color w:val="auto"/>
        </w:rPr>
      </w:pPr>
    </w:p>
    <w:tbl>
      <w:tblPr>
        <w:tblLayout w:type="fixed"/>
        <w:tblInd w:w="500" w:type="dxa"/>
        <w:tblCellMar>
          <w:top w:w="0" w:type="dxa"/>
          <w:left w:w="0" w:type="dxa"/>
          <w:bottom w:w="0" w:type="dxa"/>
          <w:right w:w="0" w:type="dxa"/>
        </w:tblCellMar>
      </w:tblPr>
      <w:tr>
        <w:trPr>
          <w:trHeight w:val="158"/>
        </w:trPr>
        <w:tc>
          <w:tcPr>
            <w:tcW w:w="3520" w:type="dxa"/>
            <w:vAlign w:val="bottom"/>
          </w:tcPr>
          <w:p>
            <w:pPr>
              <w:spacing w:after="0"/>
              <w:rPr>
                <w:sz w:val="13"/>
                <w:szCs w:val="13"/>
                <w:color w:val="auto"/>
              </w:rPr>
            </w:pPr>
          </w:p>
        </w:tc>
        <w:tc>
          <w:tcPr>
            <w:tcW w:w="272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1"/>
                <w:szCs w:val="11"/>
                <w:b w:val="1"/>
                <w:bCs w:val="1"/>
                <w:color w:val="auto"/>
              </w:rPr>
              <w:t>Increase / Decrease</w:t>
            </w:r>
          </w:p>
        </w:tc>
        <w:tc>
          <w:tcPr>
            <w:tcW w:w="1080" w:type="dxa"/>
            <w:vAlign w:val="bottom"/>
            <w:tcBorders>
              <w:bottom w:val="single" w:sz="8" w:color="auto"/>
            </w:tcBorders>
          </w:tcPr>
          <w:p>
            <w:pPr>
              <w:spacing w:after="0"/>
              <w:rPr>
                <w:sz w:val="13"/>
                <w:szCs w:val="13"/>
                <w:color w:val="auto"/>
              </w:rPr>
            </w:pPr>
          </w:p>
        </w:tc>
      </w:tr>
      <w:tr>
        <w:trPr>
          <w:trHeight w:val="180"/>
        </w:trPr>
        <w:tc>
          <w:tcPr>
            <w:tcW w:w="35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2024</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r>
      <w:tr>
        <w:trPr>
          <w:trHeight w:val="182"/>
        </w:trPr>
        <w:tc>
          <w:tcPr>
            <w:tcW w:w="3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Personnel and Internal Expense</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12,926</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center"/>
              <w:ind w:left="113"/>
              <w:spacing w:after="0"/>
              <w:rPr>
                <w:sz w:val="20"/>
                <w:szCs w:val="20"/>
                <w:color w:val="auto"/>
              </w:rPr>
            </w:pPr>
            <w:r>
              <w:rPr>
                <w:rFonts w:ascii="Times New Roman" w:cs="Times New Roman" w:eastAsia="Times New Roman" w:hAnsi="Times New Roman"/>
                <w:sz w:val="14"/>
                <w:szCs w:val="14"/>
                <w:color w:val="auto"/>
              </w:rPr>
              <w:t>4,985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201"/>
        </w:trPr>
        <w:tc>
          <w:tcPr>
            <w:tcW w:w="3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External Expense</w:t>
            </w: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50,831</w:t>
            </w: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58,025</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4"/>
                <w:szCs w:val="14"/>
                <w:color w:val="auto"/>
              </w:rPr>
              <w:t>(7,194)</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6"/>
        </w:trPr>
        <w:tc>
          <w:tcPr>
            <w:tcW w:w="3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68,742</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70,951</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center"/>
              <w:ind w:left="93"/>
              <w:spacing w:after="0"/>
              <w:rPr>
                <w:sz w:val="20"/>
                <w:szCs w:val="20"/>
                <w:color w:val="auto"/>
              </w:rPr>
            </w:pPr>
            <w:r>
              <w:rPr>
                <w:rFonts w:ascii="Times New Roman" w:cs="Times New Roman" w:eastAsia="Times New Roman" w:hAnsi="Times New Roman"/>
                <w:sz w:val="14"/>
                <w:szCs w:val="14"/>
                <w:color w:val="auto"/>
              </w:rPr>
              <w:t>(2,209)</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Our research and development expenses were $68.7 million for the three months ended September 30, 2024, compared to $71.0 million in the corresponding period in 2023. Research and development expenses decreased by $2.2 million in the 2024 period primarily due to the change in accounting for inventory costs following FDA approval of Rezdiffra in March 2024, partially offset by increases in headcount.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6" w:lineRule="exact"/>
        <w:rPr>
          <w:sz w:val="20"/>
          <w:szCs w:val="20"/>
          <w:color w:val="auto"/>
        </w:rPr>
      </w:pPr>
    </w:p>
    <w:p>
      <w:pPr>
        <w:jc w:val="both"/>
        <w:ind w:right="460" w:firstLine="509"/>
        <w:spacing w:after="0" w:line="254" w:lineRule="auto"/>
        <w:rPr>
          <w:sz w:val="20"/>
          <w:szCs w:val="20"/>
          <w:color w:val="auto"/>
        </w:rPr>
      </w:pPr>
      <w:r>
        <w:rPr>
          <w:rFonts w:ascii="Times New Roman" w:cs="Times New Roman" w:eastAsia="Times New Roman" w:hAnsi="Times New Roman"/>
          <w:sz w:val="14"/>
          <w:szCs w:val="14"/>
          <w:color w:val="auto"/>
        </w:rPr>
        <w:t>Our selling, general and administrative expenses were $107.6 million for the three months ended September 30, 2024, compared to $27.6 million in the corresponding period in 2023. Selling, general and administrative expenses increased by $80.0 million in the 2024 period due primarily to increases for commercial launch activities for Rezdiffra, including a corresponding increase in headcount, and an increase in stock compensation expense.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85"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Our net interest income was $13.0 million for the three months ended September 30, 2024, compared to $3.3 million in the corresponding period in 2023. The increase in interest income was due primarily to higher principal balances and interest rates in 2024.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74" w:lineRule="exact"/>
        <w:rPr>
          <w:sz w:val="20"/>
          <w:szCs w:val="20"/>
          <w:color w:val="auto"/>
        </w:rPr>
      </w:pPr>
    </w:p>
    <w:p>
      <w:pPr>
        <w:ind w:right="420" w:firstLine="509"/>
        <w:spacing w:after="0" w:line="303" w:lineRule="auto"/>
        <w:rPr>
          <w:sz w:val="20"/>
          <w:szCs w:val="20"/>
          <w:color w:val="auto"/>
        </w:rPr>
      </w:pPr>
      <w:r>
        <w:rPr>
          <w:rFonts w:ascii="Times New Roman" w:cs="Times New Roman" w:eastAsia="Times New Roman" w:hAnsi="Times New Roman"/>
          <w:sz w:val="14"/>
          <w:szCs w:val="14"/>
          <w:color w:val="auto"/>
        </w:rPr>
        <w:t>Our interest expense was $3.7 million for the three months ended September 30, 2024, compared to $3.5 million in the corresponding period in 2023. The increase of $0.2 million was primarily the result of a higher average outstanding principal balance during the period under the Loan Facility with Hercules.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2024 and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0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1"/>
                <w:szCs w:val="11"/>
                <w:b w:val="1"/>
                <w:bCs w:val="1"/>
                <w:color w:val="auto"/>
              </w:rPr>
              <w:t>Increase / (Decrease)</w:t>
            </w:r>
          </w:p>
        </w:tc>
        <w:tc>
          <w:tcPr>
            <w:tcW w:w="960" w:type="dxa"/>
            <w:vAlign w:val="bottom"/>
            <w:tcBorders>
              <w:bottom w:val="single" w:sz="8" w:color="auto"/>
            </w:tcBorders>
          </w:tcPr>
          <w:p>
            <w:pPr>
              <w:spacing w:after="0"/>
              <w:rPr>
                <w:sz w:val="13"/>
                <w:szCs w:val="13"/>
                <w:color w:val="auto"/>
              </w:rPr>
            </w:pPr>
          </w:p>
        </w:tc>
      </w:tr>
      <w:tr>
        <w:trPr>
          <w:trHeight w:val="160"/>
        </w:trPr>
        <w:tc>
          <w:tcPr>
            <w:tcW w:w="47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202"/>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Product revenue, net</w:t>
            </w:r>
          </w:p>
        </w:tc>
        <w:tc>
          <w:tcPr>
            <w:tcW w:w="86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76,813</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76,813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96"/>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expenses:</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sales</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01"/>
        </w:trPr>
        <w:tc>
          <w:tcPr>
            <w:tcW w:w="47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211,070</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2"/>
        </w:trPr>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293,834</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232,224</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377 %</w:t>
            </w:r>
          </w:p>
        </w:tc>
      </w:tr>
      <w:tr>
        <w:trPr>
          <w:trHeight w:val="201"/>
        </w:trPr>
        <w:tc>
          <w:tcPr>
            <w:tcW w:w="4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income</w:t>
            </w:r>
          </w:p>
        </w:tc>
        <w:tc>
          <w:tcPr>
            <w:tcW w:w="8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(35,575)</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24,950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235 %</w:t>
            </w:r>
          </w:p>
        </w:tc>
      </w:tr>
      <w:tr>
        <w:trPr>
          <w:trHeight w:val="202"/>
        </w:trPr>
        <w:tc>
          <w:tcPr>
            <w:tcW w:w="4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11,172</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87"/>
        </w:trPr>
        <w:tc>
          <w:tcPr>
            <w:tcW w:w="4700" w:type="dxa"/>
            <w:vAlign w:val="bottom"/>
          </w:tcPr>
          <w:p>
            <w:pPr>
              <w:spacing w:after="0"/>
              <w:rPr>
                <w:sz w:val="16"/>
                <w:szCs w:val="16"/>
                <w:color w:val="auto"/>
              </w:rPr>
            </w:pPr>
          </w:p>
        </w:tc>
        <w:tc>
          <w:tcPr>
            <w:tcW w:w="86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(406,476)</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(261,436)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(145,040)</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55 %</w:t>
            </w:r>
          </w:p>
        </w:tc>
      </w:tr>
      <w:tr>
        <w:trPr>
          <w:trHeight w:val="20"/>
        </w:trPr>
        <w:tc>
          <w:tcPr>
            <w:tcW w:w="4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began selling Rezdiffra in April 2024. For the nine months ended September 30, 2024, we recorded $76.8 million of product revenue, net.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Sales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Cost of sales were incurred as a result of sales of Rezdiffra. For the nine months ended September 30, 2024, we recorded $2.8 million of cost of sales.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2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represents our research and development expenses for the nine months ended September 30, 2024 and 2023 (in thousands):</w:t>
      </w:r>
    </w:p>
    <w:p>
      <w:pPr>
        <w:spacing w:after="0" w:line="287"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Increase / Decrease</w:t>
            </w:r>
          </w:p>
        </w:tc>
        <w:tc>
          <w:tcPr>
            <w:tcW w:w="720" w:type="dxa"/>
            <w:vAlign w:val="bottom"/>
            <w:tcBorders>
              <w:bottom w:val="single" w:sz="8" w:color="auto"/>
            </w:tcBorders>
          </w:tcPr>
          <w:p>
            <w:pPr>
              <w:spacing w:after="0"/>
              <w:rPr>
                <w:sz w:val="14"/>
                <w:szCs w:val="14"/>
                <w:color w:val="auto"/>
              </w:rPr>
            </w:pPr>
          </w:p>
        </w:tc>
      </w:tr>
      <w:tr>
        <w:trPr>
          <w:trHeight w:val="161"/>
        </w:trPr>
        <w:tc>
          <w:tcPr>
            <w:tcW w:w="29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Personnel and Internal Expense</w:t>
            </w:r>
          </w:p>
        </w:tc>
        <w:tc>
          <w:tcPr>
            <w:tcW w:w="106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51,923</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r>
        <w:trPr>
          <w:trHeight w:val="180"/>
        </w:trPr>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External Expense</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159,147</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163,874</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6"/>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60" w:type="dxa"/>
            <w:vAlign w:val="bottom"/>
            <w:tcBorders>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211,070</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91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201,710</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7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4"/>
          <w:szCs w:val="14"/>
          <w:color w:val="auto"/>
        </w:rPr>
        <w:t>Our research and development expenses were $211.1 million for the nine months ended September 30, 2024, compared to $201.7 million in the corresponding period in 2023. Research and development expenses increased by $9.4 million in the 2024 period due primarily to an increase in headcount and a corresponding increase in stock compensation expense, partially offset by a reduction in external expense due to the change in accounting for inventory costs following FDA approval of Rezdiffra in March 2024.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8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Our selling, general and administrative expenses were $293.8 million for the nine months ended September 30, 2024, compared to $61.6 million in the corresponding period in 2023. Selling, general and administrative expenses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increased by $232.2 million in the 2024 period due primarily to increases in commercial preparation and launch activities for Rezdiffra, including a corresponding increase in headcount, and an increase in stock compensation expense.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85" w:lineRule="exact"/>
        <w:rPr>
          <w:sz w:val="20"/>
          <w:szCs w:val="20"/>
          <w:color w:val="auto"/>
        </w:rPr>
      </w:pPr>
    </w:p>
    <w:p>
      <w:pPr>
        <w:ind w:right="220" w:firstLine="509"/>
        <w:spacing w:after="0" w:line="271" w:lineRule="auto"/>
        <w:rPr>
          <w:sz w:val="20"/>
          <w:szCs w:val="20"/>
          <w:color w:val="auto"/>
        </w:rPr>
      </w:pPr>
      <w:r>
        <w:rPr>
          <w:rFonts w:ascii="Times New Roman" w:cs="Times New Roman" w:eastAsia="Times New Roman" w:hAnsi="Times New Roman"/>
          <w:sz w:val="14"/>
          <w:szCs w:val="14"/>
          <w:color w:val="auto"/>
        </w:rPr>
        <w:t>Our net interest income was $35.6 million for the nine months ended September 30, 2024, compared to $10.6 million in the corresponding period in 2023. The increase in interest income was due primarily to higher principal balances and interest rates in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Expense</w:t>
      </w:r>
    </w:p>
    <w:p>
      <w:pPr>
        <w:spacing w:after="0" w:line="85"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Our interest expense was $11.2 million for the nine months ended September 30, 2024, compared to $8.7 million in the corresponding period in 2023. The increase in interest expense was primarily the result of a higher outstanding principal balance during the period under the Loan Facility with Hercules.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Since inception, we have incurred significant net losses and we have funded our operations primarily through proceeds from sales of our capital stock and debt financings.</w:t>
      </w:r>
    </w:p>
    <w:p>
      <w:pPr>
        <w:spacing w:after="0" w:line="168" w:lineRule="exact"/>
        <w:rPr>
          <w:sz w:val="20"/>
          <w:szCs w:val="20"/>
          <w:color w:val="auto"/>
        </w:rPr>
      </w:pPr>
    </w:p>
    <w:p>
      <w:pPr>
        <w:jc w:val="both"/>
        <w:ind w:right="40" w:firstLine="509"/>
        <w:spacing w:after="0" w:line="262" w:lineRule="auto"/>
        <w:rPr>
          <w:sz w:val="20"/>
          <w:szCs w:val="20"/>
          <w:color w:val="auto"/>
        </w:rPr>
      </w:pPr>
      <w:r>
        <w:rPr>
          <w:rFonts w:ascii="Times New Roman" w:cs="Times New Roman" w:eastAsia="Times New Roman" w:hAnsi="Times New Roman"/>
          <w:sz w:val="14"/>
          <w:szCs w:val="14"/>
          <w:color w:val="auto"/>
        </w:rPr>
        <w:t>As of September 30, 2024, we had cash, cash equivalents, restricted cash, and marketable securities totaling $1,003.6 million compared to $634.1 million as of December 31, 2023, with this increase attributable to our 2024 public offering, where we received net proceeds of approximately $574.0 million in March 2024, and net proceeds of approximately $85.9 million in April 2024 as a result of the underwriters’ exercise in full of their option to purchase additional shares as part of the March 2024 offering.</w:t>
      </w:r>
    </w:p>
    <w:p>
      <w:pPr>
        <w:spacing w:after="0" w:line="131"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While our rate of cash usage will likely increase in the future, in particular to support our product development and clinical trial efforts, as well as commercialization efforts and geographic expansion activities, we believe our available cash resources are sufficient to fund our operations past one year from the issuance of the financial statements contained herein. Our future long-term liquidity requirements will be substantial and will depend on many factors, including our ability to effectively commercialize Rezdiffra. To meet future long-term liquidity requirements, as well as maintain compliance with certain of our Loan Facility covenants, we may need to raise additional capital to fund our operations through equity or debt financings, collaborations, partnerships or other strategic transactions. Additional capital, if needed, may not be available on terms acceptable to us, or at all. If adequate funds are not available, or if the terms of potential funding sources are unfavorable, it could have a material adverse effect on our business, results of operations, and financial condition. We have the ability to delay certain commercial activities, geographic expansion activities, and certain research activities and related clinical expenses if necessary due to liquidity concerns until a date when those concerns are relieved.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At-the-Market Sales Agreement</w:t>
      </w:r>
    </w:p>
    <w:p>
      <w:pPr>
        <w:spacing w:after="0" w:line="9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In May 2023, we entered into Amendment No. 1 (the “Sales Agreement Amendment”) to our existing sales agreement (the “2021 Sales Agreement”) with Cowen, which was subsequently terminated in May 2024 when we entered into a Sales Agreement (the “2024 Sales Agreement”) with Cowen, replacing and superseding the 2021 Sales Agreement, as amended by the Sales Agreement Amendment. We are authorized to issue and sell up to $300.0 million in shares of our common stock under the 2024 Sales Agreement. We sold no shares during the three and nine months ended September 30, 2024 under either the 2021 Sales Agreement, as amended by the Sales Agreement Amendment or the 2024 Sales Agreement.</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September 30, 2024, $300.0 million remained reserved and available for sale under the 2024 Sales Agreement and our related prospectus supplement.</w:t>
      </w:r>
    </w:p>
    <w:p>
      <w:pPr>
        <w:spacing w:after="0" w:line="168" w:lineRule="exact"/>
        <w:rPr>
          <w:sz w:val="20"/>
          <w:szCs w:val="20"/>
          <w:color w:val="auto"/>
        </w:rPr>
      </w:pPr>
    </w:p>
    <w:p>
      <w:pPr>
        <w:ind w:right="260" w:firstLine="509"/>
        <w:spacing w:after="0" w:line="262" w:lineRule="auto"/>
        <w:rPr>
          <w:sz w:val="20"/>
          <w:szCs w:val="20"/>
          <w:color w:val="auto"/>
        </w:rPr>
      </w:pPr>
      <w:r>
        <w:rPr>
          <w:rFonts w:ascii="Times New Roman" w:cs="Times New Roman" w:eastAsia="Times New Roman" w:hAnsi="Times New Roman"/>
          <w:sz w:val="14"/>
          <w:szCs w:val="14"/>
          <w:color w:val="auto"/>
        </w:rPr>
        <w:t>Sales of our common stock, if any, under the 2024 Sales Agreement will be made by any method that is deemed to be an “at the market” offering as defined in Rule 415(a)(4) of the Securities Act of 1933, as amended. We have no obligation to sell any common stock and may at any time suspend offers under the 2024 Sales Agreement or terminate the 2024 Sales Agreement pursuant to its terms.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 Facility</w:t>
      </w:r>
    </w:p>
    <w:p>
      <w:pPr>
        <w:spacing w:after="0" w:line="6" w:lineRule="exact"/>
        <w:rPr>
          <w:sz w:val="20"/>
          <w:szCs w:val="20"/>
          <w:color w:val="auto"/>
        </w:rPr>
      </w:pPr>
    </w:p>
    <w:p>
      <w:pPr>
        <w:ind w:right="280" w:firstLine="509"/>
        <w:spacing w:after="0" w:line="247" w:lineRule="auto"/>
        <w:rPr>
          <w:sz w:val="20"/>
          <w:szCs w:val="20"/>
          <w:color w:val="auto"/>
        </w:rPr>
      </w:pPr>
      <w:r>
        <w:rPr>
          <w:rFonts w:ascii="Times New Roman" w:cs="Times New Roman" w:eastAsia="Times New Roman" w:hAnsi="Times New Roman"/>
          <w:sz w:val="14"/>
          <w:szCs w:val="14"/>
          <w:color w:val="auto"/>
        </w:rPr>
        <w:t>In May 2022 we entered into the $250.0 million Loan Facility (the “Loan Facility”) with Hercules Capital, Inc. (“Hercules”). Under the terms of the Loan Facility, the first $50.0 million tranche (“Tranche 1”) was drawn at closing. On February 3, 2023, we entered into the First Amendment (the “First Amendment”) to the Loan Facility (as amended, the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4"/>
          <w:szCs w:val="14"/>
          <w:color w:val="auto"/>
        </w:rPr>
        <w:t>“Amended Loan Facility”). Under the Amended Loan Facility, $65.0 million was drawn in 2023 under the second tranche (“Tranche 2”). The third tranche (“Tranche 3”) of $75.0 million became available to us when we obtained FDA approval for Rezdiffra in March 2024. We did not draw on Tranche 3 prior to its expiration in June 2024. On August 22, 2024, we entered into the Second Amendment (the “Second Amendment”) to the Loan Facility (as amended by the First Amendment and the Second Amendment, the “Second Amended Loan Facility”). Under the Second Amended Loan Facility, our borrowing capacity available under Tranche 4 is increased to include the $75.0 million available under Tranche 3 that was not utilized by us. After such increase, our current borrowing capacity $135.0 million under Tranche 4, which is available subject to Hercules’ sole discretion.</w:t>
      </w:r>
    </w:p>
    <w:p>
      <w:pPr>
        <w:spacing w:after="0" w:line="70" w:lineRule="exact"/>
        <w:rPr>
          <w:sz w:val="20"/>
          <w:szCs w:val="20"/>
          <w:color w:val="auto"/>
        </w:rPr>
      </w:pPr>
    </w:p>
    <w:p>
      <w:pPr>
        <w:ind w:right="260" w:firstLine="509"/>
        <w:spacing w:after="0" w:line="271" w:lineRule="auto"/>
        <w:rPr>
          <w:sz w:val="20"/>
          <w:szCs w:val="20"/>
          <w:color w:val="auto"/>
        </w:rPr>
      </w:pPr>
      <w:r>
        <w:rPr>
          <w:rFonts w:ascii="Times New Roman" w:cs="Times New Roman" w:eastAsia="Times New Roman" w:hAnsi="Times New Roman"/>
          <w:sz w:val="14"/>
          <w:szCs w:val="14"/>
          <w:color w:val="auto"/>
        </w:rPr>
        <w:t>In connection with Tranche 1, in 2022 we issued Hercules warrants to purchase 14,899 shares of our common stock, which had a Black-Scholes value of $0.6 million. In connection with Tranche 2, in 2023 we issued to Hercules warrants to purchase an aggregate of 4,555 shares of common stock, which had a Black-Scholes value of $0.9 million.</w:t>
      </w:r>
    </w:p>
    <w:p>
      <w:pPr>
        <w:spacing w:after="0" w:line="124"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The Loan Facility had a minimum interest rate of 7.45% and adjusted with changes in the prime rate. The Amendment reduced the interest rate under the Amended Loan Facility to the greater of (i) the prime rate as reported in The Wall Street Journal plus 2.45% and (ii) 8.25%. We were to originally pay interest-only monthly payments of accrued interest under the Loan Facility through May 1, 2025, for a period of 36 months. That period was extended in March 2024 to May 1, 2026 upon achievement of a milestone related to FDA approval. The period can further be extended to May 3, 2027, upon the achievement of a future revenue milestone, subject to compliance with applicable covenants. The Loan Facility originally matured in May 2026, but was extended to May 2027 upon the achievement a milestone related to FDA approval. The Loan Facility is secured by a security interest in substantially all of our assets, other than intellectual property. It includes an end of term charge of 5.35% of the aggregate principal amount, which is accounted for in the loan discount.</w:t>
      </w:r>
    </w:p>
    <w:p>
      <w:pPr>
        <w:spacing w:after="0" w:line="140"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4"/>
          <w:szCs w:val="14"/>
          <w:color w:val="auto"/>
        </w:rPr>
        <w:t>The Loan Facility includes affirmative and restrictive financial covenants which commenced on January 1, 2023, including maintenance of a minimum cash, cash equivalents and liquid funds covenant of $35.0 million, which may decrease in certain circumstances if we achieve certain clinical milestones and a revenue milestone, and a revenue-based covenant that may apply commencing at or after the time that financial reporting is due for the quarter ending September 30, 2024, subject to certain exceptions in the event that we maintain a specified market capitalization or an unrestricted cash balance as set forth in the Loan Facility. The Loan Facility contains event of default provisions for: our failure to make required payments or maintain compliance with covenants under the Loan Facility; our breach of certain representations or default under certain obligations outside the Loan Facility; insolvency, attachment or judgment events affecting us; and any circumstance which has occurred or could reasonably be expected to have a material adverse effect on us, provided that, any failure to achieve approval or certain other milestones under the Loan Facility shall not in and of itself constitute a material adverse effect. The Loan Facility also includes customary covenants associated with a secured loan facility, including covenants concerning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w:t>
      </w:r>
    </w:p>
    <w:p>
      <w:pPr>
        <w:spacing w:after="0" w:line="58"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As of September 30, 2024, the outstanding principal under the Loan Facility was $115.0 million. The interest rate as of September 30, 2024 was 10.45%. As of September 30, 2024, we were in compliance with all loan covenants and provisions.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March 2024 Public Offering</w:t>
      </w:r>
    </w:p>
    <w:p>
      <w:pPr>
        <w:spacing w:after="0" w:line="85"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4"/>
          <w:szCs w:val="14"/>
          <w:color w:val="auto"/>
        </w:rPr>
        <w:t>On March 18, 2024, we entered into an Underwriting Agreement with Goldman Sachs &amp; Co. LLC, Jefferies LLC, Cowen and Company, LLC, Evercore Group L.L.C. and Piper Sandler &amp; Co, as representatives of the several underwriters named therein (the “2024 Underwriters”), pursuant to which we sold to the 2024 Underwriters in an underwritten public offering (the “2024 Offering”): (i) 750,000 shares of common stock at a public offering price of $260.00 per share, (ii) pre-funded warrants (the “2024 Pre-Funded Warrants”) to purchase 1,557,692 shares of common stock at a public offering price of $259.9999 per 2024 Pre-Funded Warrant, which represents the per share public offering price for the common stock less a $0.0001 per share exercise price for each such Pre-Funded Warrant, and (iii) a 30-day option for the 2024 Underwriters to purchase up to 346,153 additional shares of common stock at the public offering price of $260.00 per share (the “Underwriters’ Option”). The 2024 Offering closed on March 21, 2024.</w:t>
      </w:r>
    </w:p>
    <w:p>
      <w:pPr>
        <w:spacing w:after="0" w:line="140"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color w:val="auto"/>
        </w:rPr>
        <w:t>The gross proceeds of the 2024 Offering was $600.0 million, and we received net proceeds, after deducting the underwriting discount and commissions and other estimated offering expenses payable by us, of approximately $574.0 million.</w:t>
      </w:r>
    </w:p>
    <w:p>
      <w:pPr>
        <w:spacing w:after="0" w:line="135" w:lineRule="exact"/>
        <w:rPr>
          <w:sz w:val="20"/>
          <w:szCs w:val="20"/>
          <w:color w:val="auto"/>
        </w:rPr>
      </w:pPr>
    </w:p>
    <w:p>
      <w:pPr>
        <w:ind w:right="220" w:firstLine="509"/>
        <w:spacing w:after="0" w:line="271" w:lineRule="auto"/>
        <w:rPr>
          <w:sz w:val="20"/>
          <w:szCs w:val="20"/>
          <w:color w:val="auto"/>
        </w:rPr>
      </w:pPr>
      <w:r>
        <w:rPr>
          <w:rFonts w:ascii="Times New Roman" w:cs="Times New Roman" w:eastAsia="Times New Roman" w:hAnsi="Times New Roman"/>
          <w:sz w:val="14"/>
          <w:szCs w:val="14"/>
          <w:color w:val="auto"/>
        </w:rPr>
        <w:t>The Underwriters’ Option was later exercised in full, and closed on April 2, 2024. We received net proceeds for the exercise of the Underwriters’ Option, after deducting the underwriting discounts and commissions and estimated offering expenses payable by us, of approximately $85.9 million.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4"/>
          <w:szCs w:val="14"/>
          <w:color w:val="auto"/>
        </w:rPr>
        <w:t>We intend to use the net proceeds from the 2024 Offering for our commercial activities in connection with the commercial launch of Rezdiffra in the U.S. and for general corporate purposes, including, without limitation, research and development expenditures, ongoing clinical trial expenditures, manufacture and supply of drug substance and drug products, potential ex-U.S. commercialization or partnering opportunities, potential acquisitions or licensing of new technologies, capital expenditures and working capital.</w:t>
      </w:r>
    </w:p>
    <w:p>
      <w:pPr>
        <w:spacing w:after="0" w:line="13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2024 Pre-Funded Warrants are exercisable at any time after the date of issuance. A holder of 2024 Pre-Funded Warrants may not exercise the warrant if the holder, together with its affiliates, would beneficially own more than 9.99% of the number of shares of common stock outstanding immediately after giving effect to such exercise. A holder of 2024 Pre-Funded Warrants may increase or decrease this percentage, but not in excess of 19.99%, by providing at least 61 days prior notice to us.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2023 Public Offering</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On September 28, 2023, we entered into an Underwriting Agreement with Goldman Sachs &amp; Co. LLC, as representative of the several underwriters named therein, pursuant to which we sold to the underwriters in an underwritten public offering (the “2023 Offering”): (i) 1,248,098 shares of common stock at a public offering price of $151.69 per share, and (ii) pre-funded warrants (the “2023 Pre-Funded Warrants”) to purchase 2,048,098 shares of common stock at a public offering price of $151.6899 per 2023 Pre-Funded Warrant, which represents the per share public offering price for the common stock less a $0.0001 per share exercise price for each such 2023 Pre-Funded Warrant. The 2023 Offering closed on October 3, 2023.</w:t>
      </w:r>
    </w:p>
    <w:p>
      <w:pPr>
        <w:spacing w:after="0" w:line="14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The gross proceeds of the 2023 Offering was $500.0 million, and we received net proceeds, after deducting the underwriting discount and commissions and other estimated offering expenses payable by us, of approximately $472.0 million. We intend to use the net proceeds from the 2023 Offering for our clinical and commercial activities for the launch of resmetirom in the U.S. and for general corporate purposes, including, without limitation, research and development expenditures, clinical trial expenditures, manufacture and supply of drug substance and drug products, potential acquisitions or licensing of new technologies, capital expenditures and working capital.</w:t>
      </w:r>
    </w:p>
    <w:p>
      <w:pPr>
        <w:spacing w:after="0" w:line="138"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color w:val="auto"/>
        </w:rPr>
        <w:t>The 2023 Pre-Funded Warrants are exercisable at any time after the date of issuance. A holder of 2023 Pre-Funded Warrants may not exercise the warrant if the holder, together with its affiliates, would beneficially own more than 9.99% of the number of shares of common stock outstanding immediately after giving effect to such exercise. A holder of 2023 Pre-Funded Warrants may increase or decrease this percentage, but not in excess of 19.99%, by providing at least 61 days prior notice to us.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a summary of our net cash flow activity (in thousands):</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58"/>
        </w:trPr>
        <w:tc>
          <w:tcPr>
            <w:tcW w:w="640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620" w:type="dxa"/>
            <w:vAlign w:val="bottom"/>
            <w:tcBorders>
              <w:bottom w:val="single" w:sz="8" w:color="auto"/>
            </w:tcBorders>
          </w:tcPr>
          <w:p>
            <w:pPr>
              <w:spacing w:after="0"/>
              <w:rPr>
                <w:sz w:val="13"/>
                <w:szCs w:val="13"/>
                <w:color w:val="auto"/>
              </w:rPr>
            </w:pPr>
          </w:p>
        </w:tc>
      </w:tr>
      <w:tr>
        <w:trPr>
          <w:trHeight w:val="235"/>
        </w:trPr>
        <w:tc>
          <w:tcPr>
            <w:tcW w:w="64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620" w:type="dxa"/>
            <w:vAlign w:val="bottom"/>
            <w:tcBorders>
              <w:bottom w:val="single" w:sz="8" w:color="auto"/>
            </w:tcBorders>
          </w:tcPr>
          <w:p>
            <w:pPr>
              <w:spacing w:after="0"/>
              <w:rPr>
                <w:sz w:val="20"/>
                <w:szCs w:val="20"/>
                <w:color w:val="auto"/>
              </w:rPr>
            </w:pPr>
          </w:p>
        </w:tc>
      </w:tr>
      <w:tr>
        <w:trPr>
          <w:trHeight w:val="202"/>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(351,086)</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(244,297)</w:t>
            </w:r>
          </w:p>
        </w:tc>
      </w:tr>
      <w:tr>
        <w:trPr>
          <w:trHeight w:val="196"/>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(226,436)</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(140,397)</w:t>
            </w:r>
          </w:p>
        </w:tc>
      </w:tr>
      <w:tr>
        <w:trPr>
          <w:trHeight w:val="20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715,291</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115,200</w:t>
            </w:r>
          </w:p>
        </w:tc>
      </w:tr>
      <w:tr>
        <w:trPr>
          <w:trHeight w:val="187"/>
        </w:trPr>
        <w:tc>
          <w:tcPr>
            <w:tcW w:w="6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137,769</w:t>
            </w:r>
          </w:p>
        </w:tc>
        <w:tc>
          <w:tcPr>
            <w:tcW w:w="80" w:type="dxa"/>
            <w:vAlign w:val="bottom"/>
          </w:tcPr>
          <w:p>
            <w:pPr>
              <w:spacing w:after="0"/>
              <w:rPr>
                <w:sz w:val="16"/>
                <w:szCs w:val="16"/>
                <w:color w:val="auto"/>
              </w:rPr>
            </w:pP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(269,494)</w:t>
            </w:r>
          </w:p>
        </w:tc>
      </w:tr>
      <w:tr>
        <w:trPr>
          <w:trHeight w:val="20"/>
        </w:trPr>
        <w:tc>
          <w:tcPr>
            <w:tcW w:w="6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81"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color w:val="auto"/>
        </w:rPr>
        <w:t>Net cash used in operating activities was $351.1 million for the nine months ended September 30, 2024, compared to $244.3 million for the corresponding period in 2023. The use of cash in these periods resulted primarily from our losses from operations, as adjusted for non-cash charges for stock-based compensation, and changes in our working capital accounts.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70"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Net cash used in investing activities was $226.4 million for the nine months ended September 30, 2024, compared to $140.4 million used in for the corresponding period in 2023. Net cash used in investing activities for the nine months ended September 30, 2024 primarily consisted of $781.0 million of purchases of marketable securities for our investment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portfolio, partially offset by $560.9 million from sales and maturities of marketable securities. Net cash used in investing activities for the corresponding period in 2023 primarily consisted of $359.5 million of purchases of marketable securities for our investment portfolio, partially offset by $219.6 million from sales and maturities of marketable securities.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70" w:lineRule="exact"/>
        <w:rPr>
          <w:sz w:val="20"/>
          <w:szCs w:val="20"/>
          <w:color w:val="auto"/>
        </w:rPr>
      </w:pPr>
    </w:p>
    <w:p>
      <w:pPr>
        <w:ind w:right="240" w:firstLine="509"/>
        <w:spacing w:after="0" w:line="253" w:lineRule="auto"/>
        <w:rPr>
          <w:sz w:val="20"/>
          <w:szCs w:val="20"/>
          <w:color w:val="auto"/>
        </w:rPr>
      </w:pPr>
      <w:r>
        <w:rPr>
          <w:rFonts w:ascii="Times New Roman" w:cs="Times New Roman" w:eastAsia="Times New Roman" w:hAnsi="Times New Roman"/>
          <w:sz w:val="14"/>
          <w:szCs w:val="14"/>
          <w:color w:val="auto"/>
        </w:rPr>
        <w:t>Net cash provided by financing activities was $715.3 million for the nine months ended September 30, 2024, compared to $115.2 million for the corresponding period in 2023. Financing activities for the nine months ended September 30, 2024 consisted of $574.0 million of net proceeds from our March 2024 public offering, $85.9 million of net proceeds from the Underwriter’s Option in April 2024, and $57.1 million from exercises of stock options. Net cash provided by financing activities for the corresponding period in 2023 consisted primarily of $65.0 million from issuance of the Loan Facility, $26.2 million from proceeds from the exercise of common stock options and $24.5 million from sales of our common stock under the 2023 Sales Agreement.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6" w:lineRule="exact"/>
        <w:rPr>
          <w:sz w:val="20"/>
          <w:szCs w:val="20"/>
          <w:color w:val="auto"/>
        </w:rPr>
      </w:pPr>
    </w:p>
    <w:p>
      <w:pPr>
        <w:ind w:right="20" w:firstLine="509"/>
        <w:spacing w:after="0" w:line="236" w:lineRule="auto"/>
        <w:rPr>
          <w:sz w:val="20"/>
          <w:szCs w:val="20"/>
          <w:color w:val="auto"/>
        </w:rPr>
      </w:pPr>
      <w:r>
        <w:rPr>
          <w:rFonts w:ascii="Times New Roman" w:cs="Times New Roman" w:eastAsia="Times New Roman" w:hAnsi="Times New Roman"/>
          <w:sz w:val="14"/>
          <w:szCs w:val="14"/>
          <w:color w:val="auto"/>
        </w:rPr>
        <w:t>In 2019, we entered into an operating lease for office space in certain premises located in West Conshohocken, PA (the “Office Lease), which was further amended by three amendments entered into from 2019 to 2022. In May 2023, we entered into the Fourth Amendment to the Office Lease (the “Fourth Lease Amendment”), which did not have a financial impact. In August 2023, we entered into the Fifth Amendment to the Office Lease (the “Fifth Lease Amendment”). The Fifth Lease Amendment extends the term of the Office Lease through November 2026. As a result of the Fifth Lease Amendment, an incremental $1.6 million right-of-use asset and lease liabilities were recorded during the year ended December 31, 2023. In April 2024 and May 2024, we entered into the Sixth Amendment (the “Sixth Lease Amendment”) and the Seventh Amendment (the “Seventh Lease Amendment”) to the Office Lease, respectively, leasing additional office space available in the same premises under the Office Lease. The lease for such additional office space commenced in September 2024 and resulted in an incremental $1.2 million right-of-use asset and lease liability being recorded for the quarter ending September 30, 2024. In August 2024, we entered into the Eighth Amendment (the “Eighth Lease Amendment”) and in October 2024, we entered into the Ninth Amendment (the “Ninth Lease Amendment”) to the Office Lease, furthering expanding the amount of office space in the same premises. The leases for the additional office space under the Eighth and Ninth Lease Amendment did not commence as of September 30, 2024, therefore there is no impact to the financial statements during the period ending September 30, 2024.</w:t>
      </w:r>
    </w:p>
    <w:p>
      <w:pPr>
        <w:spacing w:after="0" w:line="161" w:lineRule="exact"/>
        <w:rPr>
          <w:sz w:val="20"/>
          <w:szCs w:val="20"/>
          <w:color w:val="auto"/>
        </w:rPr>
      </w:pPr>
    </w:p>
    <w:p>
      <w:pPr>
        <w:ind w:right="280" w:firstLine="509"/>
        <w:spacing w:after="0" w:line="262" w:lineRule="auto"/>
        <w:rPr>
          <w:sz w:val="20"/>
          <w:szCs w:val="20"/>
          <w:color w:val="auto"/>
        </w:rPr>
      </w:pPr>
      <w:r>
        <w:rPr>
          <w:rFonts w:ascii="Times New Roman" w:cs="Times New Roman" w:eastAsia="Times New Roman" w:hAnsi="Times New Roman"/>
          <w:sz w:val="14"/>
          <w:szCs w:val="14"/>
          <w:color w:val="auto"/>
        </w:rPr>
        <w:t>In May 2022 we entered into the $250.0 million Loan Facility. As of September 30, 2024, we had drawn $115.0 million under the facility. We are scheduled to pay interest-only monthly payments of accrued interest under the Loan Facility through May 1, 2026, which period may be extended to May 3, 2027 upon the achievement of future revenue milestones, and subject to compliance with applicable covenants.</w:t>
      </w:r>
    </w:p>
    <w:p>
      <w:pPr>
        <w:spacing w:after="0" w:line="131"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4"/>
          <w:szCs w:val="14"/>
          <w:color w:val="auto"/>
        </w:rPr>
        <w:t>We have a Research, Development and Commercialization Agreement with Hoffmann-La Roche (“Roche”) which grants us a sole and exclusive license to develop, use, sell, offer for sale and import any Licensed Product as defined by the agreement. We received FDA approval for Rezdiffra in March 2024. A tiered single-digit royalty is payable to Roche on net sales of Rezdiffra, subject to certain reductions.</w:t>
      </w:r>
    </w:p>
    <w:p>
      <w:pPr>
        <w:spacing w:after="0" w:line="131" w:lineRule="exact"/>
        <w:rPr>
          <w:sz w:val="20"/>
          <w:szCs w:val="20"/>
          <w:color w:val="auto"/>
        </w:rPr>
      </w:pPr>
    </w:p>
    <w:p>
      <w:pPr>
        <w:jc w:val="both"/>
        <w:ind w:right="20" w:firstLine="509"/>
        <w:spacing w:after="0" w:line="262" w:lineRule="auto"/>
        <w:rPr>
          <w:sz w:val="20"/>
          <w:szCs w:val="20"/>
          <w:color w:val="auto"/>
        </w:rPr>
      </w:pPr>
      <w:r>
        <w:rPr>
          <w:rFonts w:ascii="Times New Roman" w:cs="Times New Roman" w:eastAsia="Times New Roman" w:hAnsi="Times New Roman"/>
          <w:sz w:val="14"/>
          <w:szCs w:val="14"/>
          <w:color w:val="auto"/>
        </w:rPr>
        <w:t>Except as noted above and the future minimum payments due on the Loan Facility with Hercules set forth in “Note 7 – Long Term Debt” to the condensed consolidated financial statements included in this Quarterly Report on Form 10-Q, no significant changes to contractual obligations and commitments occurred during the nine months ended September 30, 2024, as compared to those disclosed in our Annual Report on Form 10-K for the fiscal year ended December 31, 2023 filed with the SEC on February 28, 2024.</w:t>
      </w:r>
    </w:p>
    <w:p>
      <w:pPr>
        <w:spacing w:after="0" w:line="21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85"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4"/>
          <w:szCs w:val="14"/>
          <w:color w:val="auto"/>
        </w:rPr>
        <w:t>Our exposure to market risk is confined to our cash, cash equivalents and marketable securities and Loan Facility. We regularly review our investments and monitor the financial markets. We invest in high-quality financial instruments, primarily money market funds, U.S. government and agency securities, government- 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color w:val="auto"/>
        </w:rPr>
        <w:t>In May 2022 we entered into the Loan Facility, which has an interest rate that is linked to the prime rate. We do not believe that we have any material exposure to interest rate risk given the current principal amount of the loan.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 Market Risk</w:t>
      </w:r>
    </w:p>
    <w:p>
      <w:pPr>
        <w:spacing w:after="0" w:line="85"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We began generating revenue from the sale of Rezdiffra in the second quarter of 2024, but we have historically depended on, and will continue to depend on, funds raised through other sources. One source of funding is through future debt or equity offerings. Our ability to raise funds in this manner depends upon, among other things, capital market forces affecting our stock price.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Effects of Inflation</w:t>
      </w:r>
    </w:p>
    <w:p>
      <w:pPr>
        <w:spacing w:after="0" w:line="85" w:lineRule="exact"/>
        <w:rPr>
          <w:sz w:val="20"/>
          <w:szCs w:val="20"/>
          <w:color w:val="auto"/>
        </w:rPr>
      </w:pPr>
    </w:p>
    <w:p>
      <w:pPr>
        <w:ind w:right="60" w:firstLine="509"/>
        <w:spacing w:after="0" w:line="271" w:lineRule="auto"/>
        <w:rPr>
          <w:sz w:val="20"/>
          <w:szCs w:val="20"/>
          <w:color w:val="auto"/>
        </w:rPr>
      </w:pPr>
      <w:r>
        <w:rPr>
          <w:rFonts w:ascii="Times New Roman" w:cs="Times New Roman" w:eastAsia="Times New Roman" w:hAnsi="Times New Roman"/>
          <w:sz w:val="14"/>
          <w:szCs w:val="14"/>
          <w:color w:val="auto"/>
        </w:rPr>
        <w:t>We do not believe inflation has had a material effect on our business, financial condition or results of operations during three and nine months ended September 30, 2024 and September 30, 2023, respectively.</w:t>
      </w:r>
    </w:p>
    <w:p>
      <w:pPr>
        <w:spacing w:after="0" w:line="21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Disclosure Controls and Procedures</w:t>
      </w:r>
    </w:p>
    <w:p>
      <w:pPr>
        <w:spacing w:after="0" w:line="85"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49" w:lineRule="exact"/>
        <w:rPr>
          <w:sz w:val="20"/>
          <w:szCs w:val="20"/>
          <w:color w:val="auto"/>
        </w:rPr>
      </w:pPr>
    </w:p>
    <w:p>
      <w:pPr>
        <w:ind w:right="180" w:firstLine="509"/>
        <w:spacing w:after="0" w:line="249" w:lineRule="auto"/>
        <w:rPr>
          <w:sz w:val="20"/>
          <w:szCs w:val="20"/>
          <w:color w:val="auto"/>
        </w:rPr>
      </w:pPr>
      <w:r>
        <w:rPr>
          <w:rFonts w:ascii="Times New Roman" w:cs="Times New Roman" w:eastAsia="Times New Roman" w:hAnsi="Times New Roman"/>
          <w:sz w:val="14"/>
          <w:szCs w:val="14"/>
          <w:color w:val="auto"/>
        </w:rPr>
        <w:t>Under the supervision of our principal executive officer and principal financial officer, we evaluated the effectiveness of our disclosure controls and procedures as of the end of the period covered by this Report. Based on that</w:t>
      </w:r>
    </w:p>
    <w:p>
      <w:pPr>
        <w:ind w:right="740"/>
        <w:spacing w:after="0" w:line="263" w:lineRule="auto"/>
        <w:rPr>
          <w:sz w:val="20"/>
          <w:szCs w:val="20"/>
          <w:color w:val="auto"/>
        </w:rPr>
      </w:pPr>
      <w:r>
        <w:rPr>
          <w:rFonts w:ascii="Times New Roman" w:cs="Times New Roman" w:eastAsia="Times New Roman" w:hAnsi="Times New Roman"/>
          <w:sz w:val="14"/>
          <w:szCs w:val="14"/>
          <w:color w:val="auto"/>
        </w:rPr>
        <w:t>evaluation, our principal executive officer and principal financial officer have concluded that our disclosure controls and procedures were effective at the reasonable assurance level as of September 30, 2024.</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the Effectiveness of Controls and Procedures</w:t>
      </w:r>
    </w:p>
    <w:p>
      <w:pPr>
        <w:spacing w:after="0" w:line="8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8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4"/>
          <w:szCs w:val="14"/>
          <w:color w:val="auto"/>
        </w:rPr>
        <w:t>During the quarter ended September 30, 2024, we continued to evaluate and implement controls over revenue, trade receivables, and inventory which we determined to be a material change in our internal control over financial reporting after Rezdiffra became commercially available in the United States in April 2024. There were no other changes to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25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not party to any material legal proceedings.</w:t>
      </w:r>
    </w:p>
    <w:p>
      <w:pPr>
        <w:spacing w:after="0" w:line="25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85" w:lineRule="exact"/>
        <w:rPr>
          <w:sz w:val="20"/>
          <w:szCs w:val="20"/>
          <w:color w:val="auto"/>
        </w:rPr>
      </w:pPr>
    </w:p>
    <w:p>
      <w:pPr>
        <w:ind w:right="60" w:firstLine="509"/>
        <w:spacing w:after="0" w:line="287" w:lineRule="auto"/>
        <w:rPr>
          <w:sz w:val="20"/>
          <w:szCs w:val="20"/>
          <w:color w:val="auto"/>
        </w:rPr>
      </w:pPr>
      <w:r>
        <w:rPr>
          <w:rFonts w:ascii="Times New Roman" w:cs="Times New Roman" w:eastAsia="Times New Roman" w:hAnsi="Times New Roman"/>
          <w:sz w:val="14"/>
          <w:szCs w:val="14"/>
          <w:color w:val="auto"/>
        </w:rPr>
        <w:t>Except as set forth below, there have been no material changes to the risk factors included in detail in the “Risk Factors” sections appearing in Part I, Item 1A of our Annual Report on Form 10-K for the year ended December 31, 2023, filed with the SEC on February 28, 2024 (the “Annual Report”).</w:t>
      </w:r>
    </w:p>
    <w:p>
      <w:pPr>
        <w:spacing w:after="0" w:line="10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In order to execute our business plan and achieve profitability, we need to effectively commercialize Rezdiffra, which received FDA approval in March 2024 for the treatment of adults with NASH with moderate to advanced liver fibrosis. We may not be able to meet expectations with respect to sales of Rezdiffra or attain profitability and positive cash-flow from operations.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Rezdiffra is our only drug that has been approved for sale and it has been approved only for the treatment of adults with noncirrhotic NASH with moderate to advanced liver fibrosis in the</w:t>
      </w:r>
    </w:p>
    <w:p>
      <w:pPr>
        <w:spacing w:after="0" w:line="4" w:lineRule="exact"/>
        <w:rPr>
          <w:sz w:val="20"/>
          <w:szCs w:val="20"/>
          <w:color w:val="auto"/>
        </w:rPr>
      </w:pPr>
    </w:p>
    <w:p>
      <w:pPr>
        <w:ind w:right="240"/>
        <w:spacing w:after="0" w:line="213" w:lineRule="auto"/>
        <w:rPr>
          <w:sz w:val="20"/>
          <w:szCs w:val="20"/>
          <w:color w:val="auto"/>
        </w:rPr>
      </w:pPr>
      <w:r>
        <w:rPr>
          <w:rFonts w:ascii="Times New Roman" w:cs="Times New Roman" w:eastAsia="Times New Roman" w:hAnsi="Times New Roman"/>
          <w:sz w:val="14"/>
          <w:szCs w:val="14"/>
          <w:color w:val="auto"/>
        </w:rPr>
        <w:t>United States. Rezdiffra became commercially available in the United States in April 2024. We are focusing a significant portion of our activities and resources on Rezdiffra, and we believe our prospects are highly dependent on, and a significant portion of the value of our company relates to, our ability to successfully commercialize Rezdiffra for the treatment of adults with NASH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moderate to advanced liver fibrosis in the United States.</w:t>
      </w:r>
    </w:p>
    <w:p>
      <w:pPr>
        <w:spacing w:after="0" w:line="152" w:lineRule="exact"/>
        <w:rPr>
          <w:sz w:val="20"/>
          <w:szCs w:val="20"/>
          <w:color w:val="auto"/>
        </w:rPr>
      </w:pPr>
    </w:p>
    <w:p>
      <w:pPr>
        <w:ind w:right="140" w:firstLine="509"/>
        <w:spacing w:after="0" w:line="249" w:lineRule="auto"/>
        <w:rPr>
          <w:sz w:val="20"/>
          <w:szCs w:val="20"/>
          <w:color w:val="auto"/>
        </w:rPr>
      </w:pPr>
      <w:r>
        <w:rPr>
          <w:rFonts w:ascii="Times New Roman" w:cs="Times New Roman" w:eastAsia="Times New Roman" w:hAnsi="Times New Roman"/>
          <w:sz w:val="14"/>
          <w:szCs w:val="14"/>
          <w:color w:val="auto"/>
        </w:rPr>
        <w:t>Successful commercialization of Rezdiffra is subject to many risks. We have never, as an organization, launched or commercialized any product other than Rezdiffra, and there is no guarantee that we will be able to successfully commercialize Rezdiffra for its approved indication. There are numerous examples of failures to meet high expectations of market potential, including by pharmaceutical companies with more experience and resources than us. We have built our commercial organization and have hired our U.S. sales force and will continue to refine and further develop our commercial infrastructure in order to successfully commercialize Rezdiffra. We expect that the initial commercial success of Rezdiffra for the treatment of NASH will depend on many factors, including the following:</w:t>
      </w:r>
    </w:p>
    <w:p>
      <w:pPr>
        <w:spacing w:after="0" w:line="247" w:lineRule="exact"/>
        <w:rPr>
          <w:sz w:val="20"/>
          <w:szCs w:val="20"/>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cost, approved use, and side-effect profile of Rezdiffra regimens relative to competitive treatment regimens for the treatment of NASH;</w:t>
      </w:r>
    </w:p>
    <w:p>
      <w:pPr>
        <w:spacing w:after="0" w:line="72"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Rezdiffra may compete with the off-label use of currently marketed products and other therapies in development that may in the future obtain approval for NASH;</w:t>
      </w:r>
    </w:p>
    <w:p>
      <w:pPr>
        <w:spacing w:after="0" w:line="61" w:lineRule="exact"/>
        <w:rPr>
          <w:rFonts w:ascii="Times New Roman" w:cs="Times New Roman" w:eastAsia="Times New Roman" w:hAnsi="Times New Roman"/>
          <w:sz w:val="14"/>
          <w:szCs w:val="14"/>
          <w:color w:val="auto"/>
        </w:rPr>
      </w:pPr>
    </w:p>
    <w:p>
      <w:pPr>
        <w:ind w:left="1020" w:right="540" w:hanging="251"/>
        <w:spacing w:after="0" w:line="255" w:lineRule="auto"/>
        <w:tabs>
          <w:tab w:leader="none" w:pos="10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commercial strategy for the marketing of Rezdiffra, including our pricing strategy and the effectiveness of our efforts to obtain adequate third-party reimbursements;</w:t>
      </w:r>
    </w:p>
    <w:p>
      <w:pPr>
        <w:spacing w:after="0" w:line="39" w:lineRule="exact"/>
        <w:rPr>
          <w:rFonts w:ascii="Times New Roman" w:cs="Times New Roman" w:eastAsia="Times New Roman" w:hAnsi="Times New Roman"/>
          <w:sz w:val="14"/>
          <w:szCs w:val="14"/>
          <w:color w:val="auto"/>
        </w:rPr>
      </w:pPr>
    </w:p>
    <w:p>
      <w:pPr>
        <w:ind w:left="1020" w:right="160" w:hanging="251"/>
        <w:spacing w:after="0" w:line="255" w:lineRule="auto"/>
        <w:tabs>
          <w:tab w:leader="none" w:pos="10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maintaining and successfully monitoring commercial manufacturing arrangements for Rezdiffra with third-party manufacturers to ensure they meet our standards and those of regulatory authorities, including the FDA, which extensively regulate and monitor pharmaceutical manufacturing facilities;</w:t>
      </w:r>
    </w:p>
    <w:p>
      <w:pPr>
        <w:spacing w:after="0" w:line="39" w:lineRule="exact"/>
        <w:rPr>
          <w:rFonts w:ascii="Times New Roman" w:cs="Times New Roman" w:eastAsia="Times New Roman" w:hAnsi="Times New Roman"/>
          <w:sz w:val="14"/>
          <w:szCs w:val="14"/>
          <w:color w:val="auto"/>
        </w:rPr>
      </w:pPr>
    </w:p>
    <w:p>
      <w:pPr>
        <w:ind w:left="1020" w:right="60" w:hanging="251"/>
        <w:spacing w:after="0" w:line="255" w:lineRule="auto"/>
        <w:tabs>
          <w:tab w:leader="none" w:pos="10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negotiate and enter into any additional commercial, supply and distribution contracts to support commercialization efforts, and to hire and manage additional qualified personnel;</w:t>
      </w:r>
    </w:p>
    <w:p>
      <w:pPr>
        <w:spacing w:after="0" w:line="3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the demand for commercial supplies of Rezdiffra at acceptable costs;</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acceptance of Rezdiffra by physicians, patients and third-party payors;</w:t>
      </w:r>
    </w:p>
    <w:p>
      <w:pPr>
        <w:spacing w:after="0" w:line="72"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remain compliant with laws and regulations that apply to us and our commercial activities;</w:t>
      </w:r>
    </w:p>
    <w:p>
      <w:pPr>
        <w:spacing w:after="0" w:line="72"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market-size, ability to identify targeted patients and the demographics of patients eligible for Rezdiffra, which may be different than what we currently expect;</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side effects, adverse reactions or misuse, or any unfavorable publicity in these areas;</w:t>
      </w:r>
    </w:p>
    <w:p>
      <w:pPr>
        <w:spacing w:after="0" w:line="72"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or enforce our patents and other intellectual property rights; and</w:t>
      </w:r>
    </w:p>
    <w:p>
      <w:pPr>
        <w:spacing w:after="0" w:line="8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recent or potential health care legislation in the United States.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While we believe that Rezdiffra for the treatment of NASH should have a commercially competitive profile, we cannot accurately predict the amount of time needed to attain a commercially successful profile or the amount of revenue that would be generated from the sale of Rezdiffra. If we do not effectively commercialize Rezdiffra, we will not be able to</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4"/>
          <w:szCs w:val="14"/>
          <w:color w:val="auto"/>
        </w:rPr>
        <w:t>execute our business plan and may not be able to achieve profitability. If our revenues, market share and/or other indicators of market acceptance of Rezdiffra do not meet the expectations of investors or public market analysts, the market price of our common stock would likely decline.</w:t>
      </w:r>
    </w:p>
    <w:p>
      <w:pPr>
        <w:spacing w:after="0" w:line="14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Rezdiffra has received accelerated approval from the FDA, and therefore faces future post-approval development and regulatory requirements, which present additional challenges for us to successfully navigate.</w:t>
      </w:r>
    </w:p>
    <w:p>
      <w:pPr>
        <w:spacing w:after="0" w:line="133" w:lineRule="exact"/>
        <w:rPr>
          <w:sz w:val="20"/>
          <w:szCs w:val="20"/>
          <w:color w:val="auto"/>
        </w:rPr>
      </w:pPr>
    </w:p>
    <w:p>
      <w:pPr>
        <w:ind w:right="40" w:firstLine="509"/>
        <w:spacing w:after="0" w:line="228" w:lineRule="auto"/>
        <w:rPr>
          <w:sz w:val="20"/>
          <w:szCs w:val="20"/>
          <w:color w:val="auto"/>
        </w:rPr>
      </w:pPr>
      <w:r>
        <w:rPr>
          <w:rFonts w:ascii="Times New Roman" w:cs="Times New Roman" w:eastAsia="Times New Roman" w:hAnsi="Times New Roman"/>
          <w:sz w:val="14"/>
          <w:szCs w:val="14"/>
          <w:color w:val="auto"/>
        </w:rPr>
        <w:t>The FDA granted accelerated approval of Rezdiffra for the treatment of adults with noncirrhotic NASH with moderate to advanced liver fibrosis in the United States in March 2024. Under the accelerated approval pathway, continued approval may be contingent upon verification of a clinical benefit in confirmatory trials. These post- approval requirements and commitments may not be feasible and/or could impose significant burdens and costs on us; could negatively impact our development, manufacturing and supply of our products; and could negatively impact our financial results. Drugs granted accelerated approval must meet the same statutory standards for safety and effectiveness as those granted traditional approval. Failure to meet post-approval commitments and requirements, including completion of enrollment of—and in particular, any failure to obtain positive data from—any confirmatory studies required by the FDA, could result in negative regulatory action from the FDA and/or withdrawal of such accelerated approval. The recently enacted Food and Drug Omnibus Reform Act has expanded FDA’s expedited withdrawal procedures for drugs approved through the accelerated approval pathway if a sponsor fails to conduct any required post-approval study with due diligence.</w:t>
      </w:r>
    </w:p>
    <w:p>
      <w:pPr>
        <w:spacing w:after="0" w:line="150"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4"/>
          <w:szCs w:val="14"/>
          <w:color w:val="auto"/>
        </w:rPr>
        <w:t>Unless otherwise informed by the FDA, an applicant must submit to the FDA for consideration during the preapproval review period copies of all promotional materials, including promotional labeling as well as advertisements, intended for dissemination or publication within 120 days following marketing approval. After 120 days following marketing approval, unless otherwise informed by the FDA, the applicant must submit promotional materials at least 30 days prior to the intended time of initial dissemination of the labeling or initial publication of the advertisement. If we or the manufacturing facilities for our products fail to comply with applicable regulatory requirements, the FDA may, among other actions: issue warning letters or untitled letters; seek an injunction or impose civil or criminal penalties or monetary fines; suspend or withdraw or alter the conditions of our marketing approval; suspend any ongoing clinical trials; refuse to approve pending applications or supplements to applications submitted by us; suspend or impose restrictions on operations, including costly new manufacturing requirements; and seize or detain products, refuse to permit the import or export of products or require us to initiate a product recall.</w:t>
      </w:r>
    </w:p>
    <w:p>
      <w:pPr>
        <w:spacing w:after="0" w:line="24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6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3.</w:t>
        <w:tab/>
        <w:t>Defaults Upon Senior Securities.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5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5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5.</w:t>
        <w:tab/>
        <w:t>Other Information.</w:t>
      </w:r>
    </w:p>
    <w:p>
      <w:pPr>
        <w:spacing w:after="0" w:line="85"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During the quarter ended September 30, 2024, no director or officer of the Company adopted or terminated a “Rule 10b5-1 trading arrangement” or “non-Rule 10b5-1 trading arrangement,” as each term is defined in Item 408(a) of Regulation S-K.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Director and Executive Officer 10b5-1 Plans</w:t>
      </w:r>
    </w:p>
    <w:p>
      <w:pPr>
        <w:spacing w:after="0" w:line="19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Our Section 16 officers and directors may enter into plans or arrangements for the purchase or sale of our securities that are intended to satisfy the affirmative defense conditions of Rule 10b5-1(c) of the Exchange Act. Such plans and arrangements must comply in all respects with our insider trading policies, including our policy governing entry into and operation of 10b5-1 plans and arrangements.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shows the number of shares of our common stock subject to the current Rule 10b5-1 trading arrangements of our Section 16 officers and directors in place as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28,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Date of Adoption,</w:t>
            </w: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Aggregate Number of Shares of</w:t>
            </w:r>
          </w:p>
        </w:tc>
      </w:tr>
      <w:tr>
        <w:trPr>
          <w:trHeight w:val="138"/>
        </w:trPr>
        <w:tc>
          <w:tcPr>
            <w:tcW w:w="222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Name of Director or Section 16</w:t>
            </w:r>
          </w:p>
        </w:tc>
        <w:tc>
          <w:tcPr>
            <w:tcW w:w="1660" w:type="dxa"/>
            <w:vAlign w:val="bottom"/>
            <w:gridSpan w:val="2"/>
          </w:tcPr>
          <w:p>
            <w:pPr>
              <w:jc w:val="center"/>
              <w:ind w:right="120"/>
              <w:spacing w:after="0" w:line="138" w:lineRule="exact"/>
              <w:rPr>
                <w:sz w:val="20"/>
                <w:szCs w:val="20"/>
                <w:color w:val="auto"/>
              </w:rPr>
            </w:pPr>
            <w:r>
              <w:rPr>
                <w:rFonts w:ascii="Times New Roman" w:cs="Times New Roman" w:eastAsia="Times New Roman" w:hAnsi="Times New Roman"/>
                <w:sz w:val="13"/>
                <w:szCs w:val="13"/>
                <w:b w:val="1"/>
                <w:bCs w:val="1"/>
                <w:color w:val="auto"/>
                <w:w w:val="97"/>
              </w:rPr>
              <w:t>Title of Director or Section</w:t>
            </w:r>
          </w:p>
        </w:tc>
        <w:tc>
          <w:tcPr>
            <w:tcW w:w="1660" w:type="dxa"/>
            <w:vAlign w:val="bottom"/>
            <w:gridSpan w:val="2"/>
          </w:tcPr>
          <w:p>
            <w:pPr>
              <w:jc w:val="center"/>
              <w:ind w:right="100"/>
              <w:spacing w:after="0" w:line="138" w:lineRule="exact"/>
              <w:rPr>
                <w:sz w:val="20"/>
                <w:szCs w:val="20"/>
                <w:color w:val="auto"/>
              </w:rPr>
            </w:pPr>
            <w:r>
              <w:rPr>
                <w:rFonts w:ascii="Times New Roman" w:cs="Times New Roman" w:eastAsia="Times New Roman" w:hAnsi="Times New Roman"/>
                <w:sz w:val="13"/>
                <w:szCs w:val="13"/>
                <w:b w:val="1"/>
                <w:bCs w:val="1"/>
                <w:color w:val="auto"/>
                <w:w w:val="97"/>
              </w:rPr>
              <w:t>Modification, or</w:t>
            </w: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4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b w:val="1"/>
                <w:bCs w:val="1"/>
                <w:color w:val="auto"/>
                <w:w w:val="97"/>
              </w:rPr>
              <w:t>Common Stock that may be Sold under</w:t>
            </w:r>
          </w:p>
        </w:tc>
      </w:tr>
      <w:tr>
        <w:trPr>
          <w:trHeight w:val="186"/>
        </w:trPr>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16 Officer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Termination</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Duration of the Plan</w:t>
            </w:r>
          </w:p>
        </w:tc>
        <w:tc>
          <w:tcPr>
            <w:tcW w:w="2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the Plan</w:t>
            </w:r>
          </w:p>
        </w:tc>
      </w:tr>
      <w:tr>
        <w:trPr>
          <w:trHeight w:val="200"/>
        </w:trPr>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Richard Levy, MD</w:t>
            </w:r>
          </w:p>
        </w:tc>
        <w:tc>
          <w:tcPr>
            <w:tcW w:w="10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Director</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11/30/2023</w:t>
            </w:r>
          </w:p>
        </w:tc>
        <w:tc>
          <w:tcPr>
            <w:tcW w:w="8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June 16, 2025</w:t>
            </w:r>
          </w:p>
        </w:tc>
        <w:tc>
          <w:tcPr>
            <w:tcW w:w="8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15,000</w:t>
            </w:r>
          </w:p>
        </w:tc>
      </w:tr>
    </w:tbl>
    <w:p>
      <w:pPr>
        <w:spacing w:after="0" w:line="312"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rPr>
        <w:t>Item 6.</w:t>
        <w:tab/>
        <w:t>Exhibits.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exhibits filed or furnished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880" w:type="dxa"/>
            <w:vAlign w:val="bottom"/>
          </w:tcPr>
          <w:p>
            <w:pPr>
              <w:jc w:val="center"/>
              <w:ind w:right="291"/>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80" w:type="dxa"/>
            <w:vAlign w:val="bottom"/>
          </w:tcPr>
          <w:p>
            <w:pPr>
              <w:spacing w:after="0"/>
              <w:rPr>
                <w:sz w:val="11"/>
                <w:szCs w:val="11"/>
                <w:color w:val="auto"/>
              </w:rPr>
            </w:pPr>
          </w:p>
        </w:tc>
        <w:tc>
          <w:tcPr>
            <w:tcW w:w="4360" w:type="dxa"/>
            <w:vAlign w:val="bottom"/>
            <w:gridSpan w:val="20"/>
            <w:vMerge w:val="restart"/>
          </w:tcPr>
          <w:p>
            <w:pPr>
              <w:ind w:left="94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860" w:type="dxa"/>
            <w:vAlign w:val="bottom"/>
          </w:tcPr>
          <w:p>
            <w:pPr>
              <w:spacing w:after="0"/>
              <w:rPr>
                <w:sz w:val="11"/>
                <w:szCs w:val="11"/>
                <w:color w:val="auto"/>
              </w:rPr>
            </w:pPr>
          </w:p>
        </w:tc>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2300" w:type="dxa"/>
            <w:vAlign w:val="bottom"/>
          </w:tcPr>
          <w:p>
            <w:pPr>
              <w:jc w:val="center"/>
              <w:ind w:left="1772"/>
              <w:spacing w:after="0"/>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49"/>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80" w:type="dxa"/>
            <w:vAlign w:val="bottom"/>
          </w:tcPr>
          <w:p>
            <w:pPr>
              <w:spacing w:after="0"/>
              <w:rPr>
                <w:sz w:val="12"/>
                <w:szCs w:val="12"/>
                <w:color w:val="auto"/>
              </w:rPr>
            </w:pPr>
          </w:p>
        </w:tc>
        <w:tc>
          <w:tcPr>
            <w:tcW w:w="4360" w:type="dxa"/>
            <w:vAlign w:val="bottom"/>
            <w:gridSpan w:val="20"/>
            <w:vMerge w:val="continue"/>
          </w:tcPr>
          <w:p>
            <w:pPr>
              <w:spacing w:after="0"/>
              <w:rPr>
                <w:sz w:val="12"/>
                <w:szCs w:val="12"/>
                <w:color w:val="auto"/>
              </w:rPr>
            </w:pPr>
          </w:p>
        </w:tc>
        <w:tc>
          <w:tcPr>
            <w:tcW w:w="86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300" w:type="dxa"/>
            <w:vAlign w:val="bottom"/>
          </w:tcPr>
          <w:p>
            <w:pPr>
              <w:jc w:val="center"/>
              <w:ind w:left="1772"/>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860" w:type="dxa"/>
            <w:vAlign w:val="bottom"/>
          </w:tcPr>
          <w:p>
            <w:pPr>
              <w:ind w:left="32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740" w:type="dxa"/>
            <w:vAlign w:val="bottom"/>
          </w:tcPr>
          <w:p>
            <w:pPr>
              <w:ind w:left="5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30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210"/>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8"/>
              </w:rPr>
              <w:t>10.1*†</w:t>
            </w:r>
          </w:p>
        </w:tc>
        <w:tc>
          <w:tcPr>
            <w:tcW w:w="3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Letter Agreement, dated January 3, 2024, by and between Madrigal</w:t>
            </w:r>
          </w:p>
        </w:tc>
        <w:tc>
          <w:tcPr>
            <w:tcW w:w="1200" w:type="dxa"/>
            <w:vAlign w:val="bottom"/>
            <w:gridSpan w:val="11"/>
          </w:tcPr>
          <w:p>
            <w:pPr>
              <w:spacing w:after="0"/>
              <w:rPr>
                <w:sz w:val="18"/>
                <w:szCs w:val="18"/>
                <w:color w:val="auto"/>
              </w:rPr>
            </w:pPr>
          </w:p>
        </w:tc>
        <w:tc>
          <w:tcPr>
            <w:tcW w:w="8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5040" w:type="dxa"/>
            <w:vAlign w:val="bottom"/>
            <w:gridSpan w:val="21"/>
          </w:tcPr>
          <w:p>
            <w:pPr>
              <w:spacing w:after="0" w:line="129" w:lineRule="exact"/>
              <w:rPr>
                <w:sz w:val="20"/>
                <w:szCs w:val="20"/>
                <w:color w:val="auto"/>
              </w:rPr>
            </w:pPr>
            <w:r>
              <w:rPr>
                <w:rFonts w:ascii="Times New Roman" w:cs="Times New Roman" w:eastAsia="Times New Roman" w:hAnsi="Times New Roman"/>
                <w:sz w:val="14"/>
                <w:szCs w:val="14"/>
                <w:color w:val="0000FF"/>
              </w:rPr>
              <w:t>Pharmaceuticals, Inc. and Shannon Kelley, as amended and supplemented</w:t>
            </w:r>
          </w:p>
        </w:tc>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4200" w:type="dxa"/>
            <w:vAlign w:val="bottom"/>
            <w:tcBorders>
              <w:top w:val="single" w:sz="8" w:color="0000FF"/>
            </w:tcBorders>
            <w:gridSpan w:val="20"/>
          </w:tcPr>
          <w:p>
            <w:pPr>
              <w:spacing w:after="0" w:line="118" w:lineRule="exact"/>
              <w:rPr>
                <w:sz w:val="20"/>
                <w:szCs w:val="20"/>
                <w:color w:val="auto"/>
              </w:rPr>
            </w:pPr>
            <w:r>
              <w:rPr>
                <w:rFonts w:ascii="Times New Roman" w:cs="Times New Roman" w:eastAsia="Times New Roman" w:hAnsi="Times New Roman"/>
                <w:sz w:val="13"/>
                <w:szCs w:val="13"/>
                <w:color w:val="0000FF"/>
              </w:rPr>
              <w:t>by the Letter Agreement, dated August 2, 2024, by and between Madrigal</w:t>
            </w: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00" w:type="dxa"/>
            <w:vAlign w:val="bottom"/>
            <w:vMerge w:val="restart"/>
          </w:tcPr>
          <w:p>
            <w:pPr>
              <w:jc w:val="center"/>
              <w:ind w:left="17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4180" w:type="dxa"/>
            <w:vAlign w:val="bottom"/>
            <w:tcBorders>
              <w:top w:val="single" w:sz="8" w:color="0000FF"/>
            </w:tcBorders>
            <w:gridSpan w:val="19"/>
          </w:tcPr>
          <w:p>
            <w:pPr>
              <w:spacing w:after="0" w:line="118" w:lineRule="exact"/>
              <w:rPr>
                <w:sz w:val="20"/>
                <w:szCs w:val="20"/>
                <w:color w:val="auto"/>
              </w:rPr>
            </w:pPr>
            <w:r>
              <w:rPr>
                <w:rFonts w:ascii="Times New Roman" w:cs="Times New Roman" w:eastAsia="Times New Roman" w:hAnsi="Times New Roman"/>
                <w:sz w:val="13"/>
                <w:szCs w:val="13"/>
                <w:color w:val="0000FF"/>
              </w:rPr>
              <w:t>Pharmaceuticals, Inc. and Shannon Kelley</w:t>
            </w:r>
          </w:p>
        </w:tc>
        <w:tc>
          <w:tcPr>
            <w:tcW w:w="860" w:type="dxa"/>
            <w:vAlign w:val="bottom"/>
            <w:gridSpan w:val="2"/>
          </w:tcPr>
          <w:p>
            <w:pPr>
              <w:spacing w:after="0"/>
              <w:rPr>
                <w:sz w:val="10"/>
                <w:szCs w:val="10"/>
                <w:color w:val="auto"/>
              </w:rPr>
            </w:pPr>
          </w:p>
        </w:tc>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8"/>
              </w:rPr>
              <w:t>10.2†#</w:t>
            </w:r>
          </w:p>
        </w:tc>
        <w:tc>
          <w:tcPr>
            <w:tcW w:w="50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Loan and Security Agreement, dated May 9, 2022, as amended by the</w:t>
            </w: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960" w:type="dxa"/>
            <w:vAlign w:val="bottom"/>
            <w:tcBorders>
              <w:top w:val="single" w:sz="8" w:color="0000FF"/>
            </w:tcBorders>
            <w:gridSpan w:val="14"/>
          </w:tcPr>
          <w:p>
            <w:pPr>
              <w:spacing w:after="0" w:line="129" w:lineRule="exact"/>
              <w:rPr>
                <w:sz w:val="20"/>
                <w:szCs w:val="20"/>
                <w:color w:val="auto"/>
              </w:rPr>
            </w:pPr>
            <w:r>
              <w:rPr>
                <w:rFonts w:ascii="Times New Roman" w:cs="Times New Roman" w:eastAsia="Times New Roman" w:hAnsi="Times New Roman"/>
                <w:sz w:val="14"/>
                <w:szCs w:val="14"/>
                <w:color w:val="0000FF"/>
              </w:rPr>
              <w:t>First Amendment to Loan and Security Agreement, dated February 3,</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880" w:type="dxa"/>
            <w:vAlign w:val="bottom"/>
            <w:tcBorders>
              <w:top w:val="single" w:sz="8" w:color="0000FF"/>
              <w:bottom w:val="single" w:sz="8" w:color="0000FF"/>
            </w:tcBorders>
            <w:gridSpan w:val="12"/>
          </w:tcPr>
          <w:p>
            <w:pPr>
              <w:spacing w:after="0" w:line="118" w:lineRule="exact"/>
              <w:rPr>
                <w:sz w:val="20"/>
                <w:szCs w:val="20"/>
                <w:color w:val="auto"/>
              </w:rPr>
            </w:pPr>
            <w:r>
              <w:rPr>
                <w:rFonts w:ascii="Times New Roman" w:cs="Times New Roman" w:eastAsia="Times New Roman" w:hAnsi="Times New Roman"/>
                <w:sz w:val="13"/>
                <w:szCs w:val="13"/>
                <w:color w:val="0000FF"/>
              </w:rPr>
              <w:t>2023, and the Second Amendment to Loan and Security Agreement,</w:t>
            </w:r>
          </w:p>
        </w:tc>
        <w:tc>
          <w:tcPr>
            <w:tcW w:w="60" w:type="dxa"/>
            <w:vAlign w:val="bottom"/>
            <w:tcBorders>
              <w:top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spacing w:after="0"/>
              <w:rPr>
                <w:sz w:val="10"/>
                <w:szCs w:val="10"/>
                <w:color w:val="auto"/>
              </w:rPr>
            </w:pPr>
          </w:p>
        </w:tc>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5040" w:type="dxa"/>
            <w:vAlign w:val="bottom"/>
            <w:gridSpan w:val="21"/>
          </w:tcPr>
          <w:p>
            <w:pPr>
              <w:spacing w:after="0" w:line="118" w:lineRule="exact"/>
              <w:rPr>
                <w:sz w:val="20"/>
                <w:szCs w:val="20"/>
                <w:color w:val="auto"/>
              </w:rPr>
            </w:pPr>
            <w:r>
              <w:rPr>
                <w:rFonts w:ascii="Times New Roman" w:cs="Times New Roman" w:eastAsia="Times New Roman" w:hAnsi="Times New Roman"/>
                <w:sz w:val="13"/>
                <w:szCs w:val="13"/>
                <w:color w:val="0000FF"/>
              </w:rPr>
              <w:t>dated August 22, 2024, by and among Madrigal Pharmaceuticals, Inc.,</w:t>
            </w:r>
          </w:p>
        </w:tc>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980" w:type="dxa"/>
            <w:vAlign w:val="bottom"/>
            <w:tcBorders>
              <w:top w:val="single" w:sz="8" w:color="0000FF"/>
            </w:tcBorders>
            <w:gridSpan w:val="15"/>
          </w:tcPr>
          <w:p>
            <w:pPr>
              <w:spacing w:after="0" w:line="129" w:lineRule="exact"/>
              <w:rPr>
                <w:sz w:val="20"/>
                <w:szCs w:val="20"/>
                <w:color w:val="auto"/>
              </w:rPr>
            </w:pPr>
            <w:r>
              <w:rPr>
                <w:rFonts w:ascii="Times New Roman" w:cs="Times New Roman" w:eastAsia="Times New Roman" w:hAnsi="Times New Roman"/>
                <w:sz w:val="14"/>
                <w:szCs w:val="14"/>
                <w:color w:val="0000FF"/>
              </w:rPr>
              <w:t>Canticle Pharmaceuticals, Inc., the several banks and other financial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3"/>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860" w:type="dxa"/>
            <w:vAlign w:val="bottom"/>
            <w:tcBorders>
              <w:top w:val="single" w:sz="8" w:color="0000FF"/>
            </w:tcBorders>
            <w:gridSpan w:val="11"/>
          </w:tcPr>
          <w:p>
            <w:pPr>
              <w:spacing w:after="0" w:line="118" w:lineRule="exact"/>
              <w:rPr>
                <w:sz w:val="20"/>
                <w:szCs w:val="20"/>
                <w:color w:val="auto"/>
              </w:rPr>
            </w:pPr>
            <w:r>
              <w:rPr>
                <w:rFonts w:ascii="Times New Roman" w:cs="Times New Roman" w:eastAsia="Times New Roman" w:hAnsi="Times New Roman"/>
                <w:sz w:val="13"/>
                <w:szCs w:val="13"/>
                <w:color w:val="0000FF"/>
              </w:rPr>
              <w:t>institutions or entities from time to time party thereto and Hercules</w:t>
            </w:r>
          </w:p>
        </w:tc>
        <w:tc>
          <w:tcPr>
            <w:tcW w:w="160" w:type="dxa"/>
            <w:vAlign w:val="bottom"/>
            <w:gridSpan w:val="5"/>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spacing w:after="0"/>
              <w:rPr>
                <w:sz w:val="10"/>
                <w:szCs w:val="10"/>
                <w:color w:val="auto"/>
              </w:rPr>
            </w:pPr>
          </w:p>
        </w:tc>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00" w:type="dxa"/>
            <w:vAlign w:val="bottom"/>
            <w:vMerge w:val="restart"/>
          </w:tcPr>
          <w:p>
            <w:pPr>
              <w:jc w:val="center"/>
              <w:ind w:left="17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780" w:type="dxa"/>
            <w:vAlign w:val="bottom"/>
            <w:tcBorders>
              <w:top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Capital, Inc.</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6"/>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tcPr>
          <w:p>
            <w:pPr>
              <w:spacing w:after="0"/>
              <w:rPr>
                <w:sz w:val="10"/>
                <w:szCs w:val="10"/>
                <w:color w:val="auto"/>
              </w:rPr>
            </w:pPr>
          </w:p>
        </w:tc>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rPr>
              <w:t>31.1</w:t>
            </w:r>
          </w:p>
        </w:tc>
        <w:tc>
          <w:tcPr>
            <w:tcW w:w="50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 13a-14(a) or</w:t>
            </w: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4160" w:type="dxa"/>
            <w:vAlign w:val="bottom"/>
            <w:tcBorders>
              <w:top w:val="single" w:sz="8" w:color="0000FF"/>
            </w:tcBorders>
            <w:gridSpan w:val="18"/>
          </w:tcPr>
          <w:p>
            <w:pPr>
              <w:spacing w:after="0" w:line="129" w:lineRule="exact"/>
              <w:rPr>
                <w:sz w:val="20"/>
                <w:szCs w:val="20"/>
                <w:color w:val="auto"/>
              </w:rPr>
            </w:pPr>
            <w:r>
              <w:rPr>
                <w:rFonts w:ascii="Times New Roman" w:cs="Times New Roman" w:eastAsia="Times New Roman" w:hAnsi="Times New Roman"/>
                <w:sz w:val="14"/>
                <w:szCs w:val="14"/>
                <w:color w:val="0000FF"/>
              </w:rPr>
              <w:t>Rule 15d-14(a) of the Securities Exchange Act of 1934, as adopted</w:t>
            </w:r>
          </w:p>
        </w:tc>
        <w:tc>
          <w:tcPr>
            <w:tcW w:w="880" w:type="dxa"/>
            <w:vAlign w:val="bottom"/>
            <w:gridSpan w:val="3"/>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300" w:type="dxa"/>
            <w:vAlign w:val="bottom"/>
            <w:vMerge w:val="restart"/>
          </w:tcPr>
          <w:p>
            <w:pPr>
              <w:jc w:val="center"/>
              <w:ind w:left="17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pursuant to Section 302 of the Sarbanes-Oxley Act of 2002.</w:t>
            </w:r>
          </w:p>
        </w:tc>
        <w:tc>
          <w:tcPr>
            <w:tcW w:w="42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6"/>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4"/>
          </w:tcPr>
          <w:p>
            <w:pPr>
              <w:spacing w:after="0"/>
              <w:rPr>
                <w:sz w:val="10"/>
                <w:szCs w:val="10"/>
                <w:color w:val="auto"/>
              </w:rPr>
            </w:pPr>
          </w:p>
        </w:tc>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rPr>
              <w:t>31.2</w:t>
            </w:r>
          </w:p>
        </w:tc>
        <w:tc>
          <w:tcPr>
            <w:tcW w:w="50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 13a-14(a) or</w:t>
            </w: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4120" w:type="dxa"/>
            <w:vAlign w:val="bottom"/>
            <w:tcBorders>
              <w:top w:val="single" w:sz="8" w:color="0000FF"/>
            </w:tcBorders>
            <w:gridSpan w:val="17"/>
          </w:tcPr>
          <w:p>
            <w:pPr>
              <w:spacing w:after="0" w:line="129" w:lineRule="exact"/>
              <w:rPr>
                <w:sz w:val="20"/>
                <w:szCs w:val="20"/>
                <w:color w:val="auto"/>
              </w:rPr>
            </w:pPr>
            <w:r>
              <w:rPr>
                <w:rFonts w:ascii="Times New Roman" w:cs="Times New Roman" w:eastAsia="Times New Roman" w:hAnsi="Times New Roman"/>
                <w:sz w:val="14"/>
                <w:szCs w:val="14"/>
                <w:color w:val="0000FF"/>
              </w:rPr>
              <w:t>Rule 15d-14(a) of the Securities Exchange Act of 1934, as adopted</w:t>
            </w:r>
          </w:p>
        </w:tc>
        <w:tc>
          <w:tcPr>
            <w:tcW w:w="920" w:type="dxa"/>
            <w:vAlign w:val="bottom"/>
            <w:gridSpan w:val="4"/>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300" w:type="dxa"/>
            <w:vAlign w:val="bottom"/>
            <w:vMerge w:val="restart"/>
          </w:tcPr>
          <w:p>
            <w:pPr>
              <w:jc w:val="center"/>
              <w:ind w:left="17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380" w:type="dxa"/>
            <w:vAlign w:val="bottom"/>
            <w:tcBorders>
              <w:top w:val="single" w:sz="8" w:color="0000FF"/>
              <w:bottom w:val="single" w:sz="8" w:color="0000FF"/>
            </w:tcBorders>
            <w:gridSpan w:val="4"/>
          </w:tcPr>
          <w:p>
            <w:pPr>
              <w:spacing w:after="0" w:line="118" w:lineRule="exact"/>
              <w:rPr>
                <w:sz w:val="20"/>
                <w:szCs w:val="20"/>
                <w:color w:val="auto"/>
              </w:rPr>
            </w:pPr>
            <w:r>
              <w:rPr>
                <w:rFonts w:ascii="Times New Roman" w:cs="Times New Roman" w:eastAsia="Times New Roman" w:hAnsi="Times New Roman"/>
                <w:sz w:val="13"/>
                <w:szCs w:val="13"/>
                <w:color w:val="0000FF"/>
              </w:rPr>
              <w:t>pursuant to Section 302 of the Sarbanes-Oxley Act of 2002.</w:t>
            </w:r>
          </w:p>
        </w:tc>
        <w:tc>
          <w:tcPr>
            <w:tcW w:w="42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6"/>
          </w:tcPr>
          <w:p>
            <w:pPr>
              <w:spacing w:after="0"/>
              <w:rPr>
                <w:sz w:val="10"/>
                <w:szCs w:val="10"/>
                <w:color w:val="auto"/>
              </w:rPr>
            </w:pPr>
          </w:p>
        </w:tc>
        <w:tc>
          <w:tcPr>
            <w:tcW w:w="1020" w:type="dxa"/>
            <w:vAlign w:val="bottom"/>
            <w:gridSpan w:val="5"/>
          </w:tcPr>
          <w:p>
            <w:pPr>
              <w:spacing w:after="0"/>
              <w:rPr>
                <w:sz w:val="10"/>
                <w:szCs w:val="10"/>
                <w:color w:val="auto"/>
              </w:rPr>
            </w:pPr>
          </w:p>
        </w:tc>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8"/>
              </w:rPr>
              <w:t>32.1**</w:t>
            </w:r>
          </w:p>
        </w:tc>
        <w:tc>
          <w:tcPr>
            <w:tcW w:w="504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Certifications of Principal Executive Officer and Principal Financial</w:t>
            </w:r>
          </w:p>
        </w:tc>
        <w:tc>
          <w:tcPr>
            <w:tcW w:w="8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840" w:type="dxa"/>
            <w:vAlign w:val="bottom"/>
            <w:tcBorders>
              <w:top w:val="single" w:sz="8" w:color="0000FF"/>
            </w:tcBorders>
            <w:gridSpan w:val="10"/>
          </w:tcPr>
          <w:p>
            <w:pPr>
              <w:spacing w:after="0" w:line="129" w:lineRule="exact"/>
              <w:rPr>
                <w:sz w:val="20"/>
                <w:szCs w:val="20"/>
                <w:color w:val="auto"/>
              </w:rPr>
            </w:pPr>
            <w:r>
              <w:rPr>
                <w:rFonts w:ascii="Times New Roman" w:cs="Times New Roman" w:eastAsia="Times New Roman" w:hAnsi="Times New Roman"/>
                <w:sz w:val="14"/>
                <w:szCs w:val="14"/>
                <w:color w:val="0000FF"/>
              </w:rPr>
              <w:t>Officer, pursuant to 18 U.S.C. Section 1350, as adopted pursuant to</w:t>
            </w:r>
          </w:p>
        </w:tc>
        <w:tc>
          <w:tcPr>
            <w:tcW w:w="180" w:type="dxa"/>
            <w:vAlign w:val="bottom"/>
            <w:gridSpan w:val="6"/>
          </w:tcPr>
          <w:p>
            <w:pPr>
              <w:spacing w:after="0"/>
              <w:rPr>
                <w:sz w:val="11"/>
                <w:szCs w:val="11"/>
                <w:color w:val="auto"/>
              </w:rPr>
            </w:pPr>
          </w:p>
        </w:tc>
        <w:tc>
          <w:tcPr>
            <w:tcW w:w="1020" w:type="dxa"/>
            <w:vAlign w:val="bottom"/>
            <w:gridSpan w:val="5"/>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820" w:type="dxa"/>
            <w:vAlign w:val="bottom"/>
            <w:tcBorders>
              <w:top w:val="single" w:sz="8" w:color="0000FF"/>
            </w:tcBorders>
            <w:gridSpan w:val="9"/>
          </w:tcPr>
          <w:p>
            <w:pPr>
              <w:spacing w:after="0" w:line="118" w:lineRule="exact"/>
              <w:rPr>
                <w:sz w:val="20"/>
                <w:szCs w:val="20"/>
                <w:color w:val="auto"/>
              </w:rPr>
            </w:pPr>
            <w:r>
              <w:rPr>
                <w:rFonts w:ascii="Times New Roman" w:cs="Times New Roman" w:eastAsia="Times New Roman" w:hAnsi="Times New Roman"/>
                <w:sz w:val="13"/>
                <w:szCs w:val="13"/>
                <w:color w:val="0000FF"/>
              </w:rPr>
              <w:t>Section 906 of the Sarbanes-Oxley Act of 2002. Certifications of</w:t>
            </w:r>
          </w:p>
        </w:tc>
        <w:tc>
          <w:tcPr>
            <w:tcW w:w="200" w:type="dxa"/>
            <w:vAlign w:val="bottom"/>
            <w:gridSpan w:val="7"/>
          </w:tcPr>
          <w:p>
            <w:pPr>
              <w:spacing w:after="0"/>
              <w:rPr>
                <w:sz w:val="10"/>
                <w:szCs w:val="10"/>
                <w:color w:val="auto"/>
              </w:rPr>
            </w:pPr>
          </w:p>
        </w:tc>
        <w:tc>
          <w:tcPr>
            <w:tcW w:w="1020" w:type="dxa"/>
            <w:vAlign w:val="bottom"/>
            <w:gridSpan w:val="5"/>
          </w:tcPr>
          <w:p>
            <w:pPr>
              <w:spacing w:after="0"/>
              <w:rPr>
                <w:sz w:val="10"/>
                <w:szCs w:val="10"/>
                <w:color w:val="auto"/>
              </w:rPr>
            </w:pPr>
          </w:p>
        </w:tc>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80" w:type="dxa"/>
            <w:vAlign w:val="bottom"/>
          </w:tcPr>
          <w:p>
            <w:pPr>
              <w:spacing w:after="0"/>
              <w:rPr>
                <w:sz w:val="10"/>
                <w:szCs w:val="10"/>
                <w:color w:val="auto"/>
              </w:rPr>
            </w:pPr>
          </w:p>
        </w:tc>
        <w:tc>
          <w:tcPr>
            <w:tcW w:w="5040" w:type="dxa"/>
            <w:vAlign w:val="bottom"/>
            <w:gridSpan w:val="21"/>
          </w:tcPr>
          <w:p>
            <w:pPr>
              <w:spacing w:after="0" w:line="118" w:lineRule="exact"/>
              <w:rPr>
                <w:sz w:val="20"/>
                <w:szCs w:val="20"/>
                <w:color w:val="auto"/>
              </w:rPr>
            </w:pPr>
            <w:r>
              <w:rPr>
                <w:rFonts w:ascii="Times New Roman" w:cs="Times New Roman" w:eastAsia="Times New Roman" w:hAnsi="Times New Roman"/>
                <w:sz w:val="13"/>
                <w:szCs w:val="13"/>
                <w:color w:val="0000FF"/>
              </w:rPr>
              <w:t>Principal Executive Officer and Principal Financial Officer, pursuant to</w:t>
            </w:r>
          </w:p>
        </w:tc>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4020" w:type="dxa"/>
            <w:vAlign w:val="bottom"/>
            <w:tcBorders>
              <w:top w:val="single" w:sz="8" w:color="0000FF"/>
            </w:tcBorders>
            <w:gridSpan w:val="16"/>
          </w:tcPr>
          <w:p>
            <w:pPr>
              <w:spacing w:after="0" w:line="129" w:lineRule="exact"/>
              <w:rPr>
                <w:sz w:val="20"/>
                <w:szCs w:val="20"/>
                <w:color w:val="auto"/>
              </w:rPr>
            </w:pPr>
            <w:r>
              <w:rPr>
                <w:rFonts w:ascii="Times New Roman" w:cs="Times New Roman" w:eastAsia="Times New Roman" w:hAnsi="Times New Roman"/>
                <w:sz w:val="14"/>
                <w:szCs w:val="14"/>
                <w:color w:val="0000FF"/>
              </w:rPr>
              <w:t>18 U.S.C. Section 1350, as adopted pursuant to Section 906 of the</w:t>
            </w:r>
          </w:p>
        </w:tc>
        <w:tc>
          <w:tcPr>
            <w:tcW w:w="1020" w:type="dxa"/>
            <w:vAlign w:val="bottom"/>
            <w:gridSpan w:val="5"/>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300" w:type="dxa"/>
            <w:vAlign w:val="bottom"/>
            <w:vMerge w:val="restart"/>
          </w:tcPr>
          <w:p>
            <w:pPr>
              <w:jc w:val="center"/>
              <w:ind w:left="17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880" w:type="dxa"/>
            <w:vAlign w:val="bottom"/>
          </w:tcPr>
          <w:p>
            <w:pPr>
              <w:spacing w:after="0"/>
              <w:rPr>
                <w:sz w:val="10"/>
                <w:szCs w:val="10"/>
                <w:color w:val="auto"/>
              </w:rPr>
            </w:pPr>
          </w:p>
        </w:tc>
        <w:tc>
          <w:tcPr>
            <w:tcW w:w="3740" w:type="dxa"/>
            <w:vAlign w:val="bottom"/>
            <w:tcBorders>
              <w:top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Sarbanes-Oxley Act of 2002.</w:t>
            </w:r>
          </w:p>
        </w:tc>
        <w:tc>
          <w:tcPr>
            <w:tcW w:w="1300" w:type="dxa"/>
            <w:vAlign w:val="bottom"/>
            <w:gridSpan w:val="15"/>
          </w:tcPr>
          <w:p>
            <w:pPr>
              <w:spacing w:after="0"/>
              <w:rPr>
                <w:sz w:val="10"/>
                <w:szCs w:val="10"/>
                <w:color w:val="auto"/>
              </w:rPr>
            </w:pPr>
          </w:p>
        </w:tc>
        <w:tc>
          <w:tcPr>
            <w:tcW w:w="8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3400" w:type="dxa"/>
            <w:vAlign w:val="bottom"/>
            <w:gridSpan w:val="1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7"/>
              </w:rPr>
              <w:t>101.INS</w:t>
            </w:r>
          </w:p>
        </w:tc>
        <w:tc>
          <w:tcPr>
            <w:tcW w:w="50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8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300" w:type="dxa"/>
            <w:vAlign w:val="bottom"/>
          </w:tcPr>
          <w:p>
            <w:pPr>
              <w:jc w:val="center"/>
              <w:ind w:left="17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rPr>
              <w:t>101.SCH</w:t>
            </w:r>
          </w:p>
        </w:tc>
        <w:tc>
          <w:tcPr>
            <w:tcW w:w="50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8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300" w:type="dxa"/>
            <w:vAlign w:val="bottom"/>
          </w:tcPr>
          <w:p>
            <w:pPr>
              <w:jc w:val="center"/>
              <w:ind w:left="17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rPr>
              <w:t>101.CAL</w:t>
            </w:r>
          </w:p>
        </w:tc>
        <w:tc>
          <w:tcPr>
            <w:tcW w:w="50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8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300" w:type="dxa"/>
            <w:vAlign w:val="bottom"/>
          </w:tcPr>
          <w:p>
            <w:pPr>
              <w:jc w:val="center"/>
              <w:ind w:left="17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rPr>
              <w:t>101.LAB</w:t>
            </w:r>
          </w:p>
        </w:tc>
        <w:tc>
          <w:tcPr>
            <w:tcW w:w="50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8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300" w:type="dxa"/>
            <w:vAlign w:val="bottom"/>
          </w:tcPr>
          <w:p>
            <w:pPr>
              <w:jc w:val="center"/>
              <w:ind w:left="17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9"/>
              </w:rPr>
              <w:t>101.PRE</w:t>
            </w:r>
          </w:p>
        </w:tc>
        <w:tc>
          <w:tcPr>
            <w:tcW w:w="50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8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300" w:type="dxa"/>
            <w:vAlign w:val="bottom"/>
          </w:tcPr>
          <w:p>
            <w:pPr>
              <w:jc w:val="center"/>
              <w:ind w:left="17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23"/>
        </w:trPr>
        <w:tc>
          <w:tcPr>
            <w:tcW w:w="880" w:type="dxa"/>
            <w:vAlign w:val="bottom"/>
          </w:tcPr>
          <w:p>
            <w:pPr>
              <w:jc w:val="center"/>
              <w:ind w:right="271"/>
              <w:spacing w:after="0"/>
              <w:rPr>
                <w:sz w:val="20"/>
                <w:szCs w:val="20"/>
                <w:color w:val="auto"/>
              </w:rPr>
            </w:pPr>
            <w:r>
              <w:rPr>
                <w:rFonts w:ascii="Times New Roman" w:cs="Times New Roman" w:eastAsia="Times New Roman" w:hAnsi="Times New Roman"/>
                <w:sz w:val="14"/>
                <w:szCs w:val="14"/>
                <w:color w:val="auto"/>
                <w:w w:val="98"/>
              </w:rPr>
              <w:t>101.DEF</w:t>
            </w:r>
          </w:p>
        </w:tc>
        <w:tc>
          <w:tcPr>
            <w:tcW w:w="504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8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300" w:type="dxa"/>
            <w:vAlign w:val="bottom"/>
          </w:tcPr>
          <w:p>
            <w:pPr>
              <w:jc w:val="center"/>
              <w:ind w:left="1772"/>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120" w:right="5880" w:hanging="717"/>
        <w:spacing w:after="0" w:line="255" w:lineRule="auto"/>
        <w:tabs>
          <w:tab w:leader="none" w:pos="1120" w:val="left"/>
        </w:tabs>
        <w:numPr>
          <w:ilvl w:val="1"/>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Inline XBRL for the cover page of this Quarterly Report on Form 10-Q, included in the Exhibit 101 Inline XBRL Document Set.</w:t>
      </w:r>
    </w:p>
    <w:p>
      <w:pPr>
        <w:spacing w:after="0" w:line="220"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Indicates a management contract, compensatory plan or arrangement.</w:t>
      </w: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123" w:right="5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hanging="115"/>
        <w:spacing w:after="0"/>
        <w:tabs>
          <w:tab w:leader="none" w:pos="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exhibit have been omitted pursuant to Item 601(b)(10)(iv) of Regulation S-K.</w:t>
      </w:r>
    </w:p>
    <w:p>
      <w:pPr>
        <w:spacing w:after="0" w:line="16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Exhibits and schedules omitted pursuant to Item 601(a)(5) of Regulation S-K.</w:t>
      </w:r>
    </w:p>
    <w:p>
      <w:pPr>
        <w:spacing w:after="0" w:line="179" w:lineRule="exact"/>
        <w:rPr>
          <w:sz w:val="20"/>
          <w:szCs w:val="20"/>
          <w:color w:val="auto"/>
        </w:rPr>
      </w:pPr>
    </w:p>
    <w:p>
      <w:pPr>
        <w:ind w:left="260" w:hanging="255"/>
        <w:spacing w:after="0" w:line="254" w:lineRule="auto"/>
        <w:tabs>
          <w:tab w:leader="none" w:pos="25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40" w:type="dxa"/>
            <w:vAlign w:val="bottom"/>
          </w:tcPr>
          <w:p>
            <w:pPr>
              <w:spacing w:after="0"/>
              <w:rPr>
                <w:sz w:val="16"/>
                <w:szCs w:val="16"/>
                <w:color w:val="auto"/>
              </w:rPr>
            </w:pPr>
          </w:p>
        </w:tc>
        <w:tc>
          <w:tcPr>
            <w:tcW w:w="7820" w:type="dxa"/>
            <w:vAlign w:val="bottom"/>
            <w:gridSpan w:val="2"/>
          </w:tcPr>
          <w:p>
            <w:pPr>
              <w:ind w:left="2240"/>
              <w:spacing w:after="0"/>
              <w:rPr>
                <w:sz w:val="20"/>
                <w:szCs w:val="20"/>
                <w:color w:val="auto"/>
              </w:rPr>
            </w:pPr>
            <w:r>
              <w:rPr>
                <w:rFonts w:ascii="Times New Roman" w:cs="Times New Roman" w:eastAsia="Times New Roman" w:hAnsi="Times New Roman"/>
                <w:sz w:val="14"/>
                <w:szCs w:val="14"/>
                <w:color w:val="auto"/>
              </w:rPr>
              <w:t>MADRIGAL PHARMACEUTICALS, INC.</w:t>
            </w:r>
          </w:p>
        </w:tc>
      </w:tr>
      <w:tr>
        <w:trPr>
          <w:trHeight w:val="419"/>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31, 2024</w:t>
            </w:r>
          </w:p>
        </w:tc>
        <w:tc>
          <w:tcPr>
            <w:tcW w:w="278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J. Sibold</w:t>
            </w:r>
          </w:p>
        </w:tc>
      </w:tr>
      <w:tr>
        <w:trPr>
          <w:trHeight w:val="187"/>
        </w:trPr>
        <w:tc>
          <w:tcPr>
            <w:tcW w:w="3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J. Sibold</w:t>
            </w:r>
          </w:p>
        </w:tc>
      </w:tr>
      <w:tr>
        <w:trPr>
          <w:trHeight w:val="202"/>
        </w:trPr>
        <w:tc>
          <w:tcPr>
            <w:tcW w:w="3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202"/>
        </w:trPr>
        <w:tc>
          <w:tcPr>
            <w:tcW w:w="3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419"/>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31, 2024</w:t>
            </w:r>
          </w:p>
        </w:tc>
        <w:tc>
          <w:tcPr>
            <w:tcW w:w="278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Mardi C. Dier</w:t>
            </w:r>
          </w:p>
        </w:tc>
      </w:tr>
      <w:tr>
        <w:trPr>
          <w:trHeight w:val="187"/>
        </w:trPr>
        <w:tc>
          <w:tcPr>
            <w:tcW w:w="34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Mardi C. Dier</w:t>
            </w:r>
          </w:p>
        </w:tc>
      </w:tr>
      <w:tr>
        <w:trPr>
          <w:trHeight w:val="202"/>
        </w:trPr>
        <w:tc>
          <w:tcPr>
            <w:tcW w:w="3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r>
      <w:tr>
        <w:trPr>
          <w:trHeight w:val="202"/>
        </w:trPr>
        <w:tc>
          <w:tcPr>
            <w:tcW w:w="34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721"/>
        </w:trPr>
        <w:tc>
          <w:tcPr>
            <w:tcW w:w="3440" w:type="dxa"/>
            <w:vAlign w:val="bottom"/>
          </w:tcPr>
          <w:p>
            <w:pPr>
              <w:spacing w:after="0"/>
              <w:rPr>
                <w:sz w:val="24"/>
                <w:szCs w:val="24"/>
                <w:color w:val="auto"/>
              </w:rPr>
            </w:pPr>
          </w:p>
        </w:tc>
        <w:tc>
          <w:tcPr>
            <w:tcW w:w="27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42</w:t>
            </w:r>
          </w:p>
        </w:tc>
        <w:tc>
          <w:tcPr>
            <w:tcW w:w="5040" w:type="dxa"/>
            <w:vAlign w:val="bottom"/>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200" w:lineRule="exact"/>
        <w:rPr>
          <w:sz w:val="20"/>
          <w:szCs w:val="20"/>
          <w:color w:val="auto"/>
        </w:rPr>
      </w:pPr>
    </w:p>
    <w:p>
      <w:pPr>
        <w:jc w:val="center"/>
        <w:ind w:right="160"/>
        <w:spacing w:after="0" w:line="271" w:lineRule="auto"/>
        <w:rPr>
          <w:sz w:val="20"/>
          <w:szCs w:val="20"/>
          <w:color w:val="auto"/>
        </w:rPr>
      </w:pPr>
      <w:r>
        <w:rPr>
          <w:rFonts w:ascii="Times New Roman" w:cs="Times New Roman" w:eastAsia="Times New Roman" w:hAnsi="Times New Roman"/>
          <w:sz w:val="14"/>
          <w:szCs w:val="14"/>
          <w:b w:val="1"/>
          <w:bCs w:val="1"/>
          <w:color w:val="auto"/>
        </w:rPr>
        <w:t>CERTAIN CONFIDENTIAL INFORMATION IN THIS EXHIBIT HAS BEEN OMITTED AND REPLACED WITH “[***]” BECAUSE IT IS NOT MATERIAL AND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8496B0"/>
        </w:rPr>
        <w:t>Four Tower Bridge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8496B0"/>
        </w:rPr>
        <w:t>200 Barr Harbor Drive, Suite 200 West Conshohocken, PA 19428</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January 3,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Shannon Kelley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personally identifiable information</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Shannon:</w:t>
      </w:r>
    </w:p>
    <w:p>
      <w:pPr>
        <w:spacing w:after="0" w:line="196" w:lineRule="exact"/>
        <w:rPr>
          <w:sz w:val="20"/>
          <w:szCs w:val="20"/>
          <w:color w:val="auto"/>
        </w:rPr>
      </w:pPr>
    </w:p>
    <w:p>
      <w:pPr>
        <w:ind w:right="220"/>
        <w:spacing w:after="0" w:line="300" w:lineRule="auto"/>
        <w:rPr>
          <w:sz w:val="20"/>
          <w:szCs w:val="20"/>
          <w:color w:val="auto"/>
        </w:rPr>
      </w:pPr>
      <w:r>
        <w:rPr>
          <w:rFonts w:ascii="Times New Roman" w:cs="Times New Roman" w:eastAsia="Times New Roman" w:hAnsi="Times New Roman"/>
          <w:sz w:val="16"/>
          <w:szCs w:val="16"/>
          <w:color w:val="auto"/>
        </w:rPr>
        <w:t xml:space="preserve">I am pleased to offer you the position of </w:t>
      </w:r>
      <w:r>
        <w:rPr>
          <w:rFonts w:ascii="Times New Roman" w:cs="Times New Roman" w:eastAsia="Times New Roman" w:hAnsi="Times New Roman"/>
          <w:sz w:val="16"/>
          <w:szCs w:val="16"/>
          <w:b w:val="1"/>
          <w:bCs w:val="1"/>
          <w:color w:val="auto"/>
        </w:rPr>
        <w:t>Chief Compliance Officer</w:t>
      </w:r>
      <w:r>
        <w:rPr>
          <w:rFonts w:ascii="Times New Roman" w:cs="Times New Roman" w:eastAsia="Times New Roman" w:hAnsi="Times New Roman"/>
          <w:sz w:val="16"/>
          <w:szCs w:val="16"/>
          <w:color w:val="auto"/>
        </w:rPr>
        <w:t xml:space="preserve"> for Madrigal Pharmaceuticals, Inc. (hereinafter “</w:t>
      </w:r>
      <w:r>
        <w:rPr>
          <w:rFonts w:ascii="Times New Roman" w:cs="Times New Roman" w:eastAsia="Times New Roman" w:hAnsi="Times New Roman"/>
          <w:sz w:val="16"/>
          <w:szCs w:val="16"/>
          <w:b w:val="1"/>
          <w:bCs w:val="1"/>
          <w:color w:val="auto"/>
        </w:rPr>
        <w:t>Madrigal Pharmaceuticals</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reporting to Bill Sibold.</w:t>
      </w:r>
    </w:p>
    <w:p>
      <w:pPr>
        <w:spacing w:after="0" w:line="126" w:lineRule="exact"/>
        <w:rPr>
          <w:sz w:val="20"/>
          <w:szCs w:val="20"/>
          <w:color w:val="auto"/>
        </w:rPr>
      </w:pPr>
    </w:p>
    <w:p>
      <w:pPr>
        <w:ind w:left="240" w:hanging="239"/>
        <w:spacing w:after="0"/>
        <w:tabs>
          <w:tab w:leader="none" w:pos="2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Effective Date</w:t>
      </w:r>
      <w:r>
        <w:rPr>
          <w:rFonts w:ascii="Times New Roman" w:cs="Times New Roman" w:eastAsia="Times New Roman" w:hAnsi="Times New Roman"/>
          <w:sz w:val="16"/>
          <w:szCs w:val="16"/>
          <w:color w:val="auto"/>
        </w:rPr>
        <w:t>: The effective date of your employment will be January 8, 2024.</w:t>
      </w:r>
    </w:p>
    <w:p>
      <w:pPr>
        <w:spacing w:after="0" w:line="197" w:lineRule="exact"/>
        <w:rPr>
          <w:rFonts w:ascii="Times New Roman" w:cs="Times New Roman" w:eastAsia="Times New Roman" w:hAnsi="Times New Roman"/>
          <w:sz w:val="16"/>
          <w:szCs w:val="16"/>
          <w:color w:val="auto"/>
        </w:rPr>
      </w:pPr>
    </w:p>
    <w:p>
      <w:pPr>
        <w:ind w:left="240" w:hanging="239"/>
        <w:spacing w:after="0"/>
        <w:tabs>
          <w:tab w:leader="none" w:pos="2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Compensation:</w:t>
      </w:r>
    </w:p>
    <w:p>
      <w:pPr>
        <w:spacing w:after="0" w:line="197" w:lineRule="exact"/>
        <w:rPr>
          <w:rFonts w:ascii="Times New Roman" w:cs="Times New Roman" w:eastAsia="Times New Roman" w:hAnsi="Times New Roman"/>
          <w:sz w:val="16"/>
          <w:szCs w:val="16"/>
          <w:color w:val="auto"/>
        </w:rPr>
      </w:pPr>
    </w:p>
    <w:p>
      <w:pPr>
        <w:ind w:left="500" w:right="100" w:hanging="245"/>
        <w:spacing w:after="0" w:line="284" w:lineRule="auto"/>
        <w:tabs>
          <w:tab w:leader="none" w:pos="496"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Salary</w:t>
      </w:r>
      <w:r>
        <w:rPr>
          <w:rFonts w:ascii="Times New Roman" w:cs="Times New Roman" w:eastAsia="Times New Roman" w:hAnsi="Times New Roman"/>
          <w:sz w:val="16"/>
          <w:szCs w:val="16"/>
          <w:color w:val="auto"/>
        </w:rPr>
        <w:t>: Your initial base salary will be payable at a semi-monthly rate of $16,666.67 ($400,000 annualized), from which all applicable taxes and other customary employment-related deductions will be taken.</w:t>
      </w:r>
    </w:p>
    <w:p>
      <w:pPr>
        <w:spacing w:after="0" w:line="148" w:lineRule="exact"/>
        <w:rPr>
          <w:rFonts w:ascii="Times New Roman" w:cs="Times New Roman" w:eastAsia="Times New Roman" w:hAnsi="Times New Roman"/>
          <w:sz w:val="16"/>
          <w:szCs w:val="16"/>
          <w:color w:val="auto"/>
        </w:rPr>
      </w:pPr>
    </w:p>
    <w:p>
      <w:pPr>
        <w:jc w:val="both"/>
        <w:ind w:left="500" w:right="100" w:hanging="245"/>
        <w:spacing w:after="0" w:line="265" w:lineRule="auto"/>
        <w:tabs>
          <w:tab w:leader="none" w:pos="495"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Bonus</w:t>
      </w:r>
      <w:r>
        <w:rPr>
          <w:rFonts w:ascii="Times New Roman" w:cs="Times New Roman" w:eastAsia="Times New Roman" w:hAnsi="Times New Roman"/>
          <w:sz w:val="16"/>
          <w:szCs w:val="16"/>
          <w:color w:val="auto"/>
        </w:rPr>
        <w:t xml:space="preserve">: You will be eligible to receive an annual performance-based bonus for the 2024-year contingent upon the Company fully meeting or exceeding expectations, as determined at the discretion of the Company’s Compensation Committee, and your satisfaction of individual performance standards and expectations, as determined by your business unit leadership. Subject to these considerations, your 2024 bonus opportunity will be up to 40% bonus target of your annualized salary with the Company for the 2024 year, as described above in </w:t>
      </w:r>
      <w:r>
        <w:rPr>
          <w:rFonts w:ascii="Times New Roman" w:cs="Times New Roman" w:eastAsia="Times New Roman" w:hAnsi="Times New Roman"/>
          <w:sz w:val="16"/>
          <w:szCs w:val="16"/>
          <w:u w:val="single" w:color="auto"/>
          <w:color w:val="auto"/>
        </w:rPr>
        <w:t>Section 2(a)</w:t>
      </w:r>
      <w:r>
        <w:rPr>
          <w:rFonts w:ascii="Times New Roman" w:cs="Times New Roman" w:eastAsia="Times New Roman" w:hAnsi="Times New Roman"/>
          <w:sz w:val="16"/>
          <w:szCs w:val="16"/>
          <w:color w:val="auto"/>
        </w:rPr>
        <w:t xml:space="preserve"> of this offer letter.</w:t>
      </w:r>
    </w:p>
    <w:p>
      <w:pPr>
        <w:spacing w:after="0" w:line="152" w:lineRule="exact"/>
        <w:rPr>
          <w:rFonts w:ascii="Times New Roman" w:cs="Times New Roman" w:eastAsia="Times New Roman" w:hAnsi="Times New Roman"/>
          <w:sz w:val="16"/>
          <w:szCs w:val="16"/>
          <w:color w:val="auto"/>
        </w:rPr>
      </w:pPr>
    </w:p>
    <w:p>
      <w:pPr>
        <w:jc w:val="both"/>
        <w:ind w:left="260" w:right="100" w:hanging="260"/>
        <w:spacing w:after="0" w:line="261" w:lineRule="auto"/>
        <w:tabs>
          <w:tab w:leader="none" w:pos="255"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Stock Options and RSUs:</w:t>
      </w:r>
      <w:r>
        <w:rPr>
          <w:rFonts w:ascii="Times New Roman" w:cs="Times New Roman" w:eastAsia="Times New Roman" w:hAnsi="Times New Roman"/>
          <w:sz w:val="16"/>
          <w:szCs w:val="16"/>
          <w:color w:val="auto"/>
        </w:rPr>
        <w:t xml:space="preserve"> Subject to the approval of the Company’s Compensation Committee (the “Committee”), you will be granted as soon as practicable by the Committee on the business day reasonably closest to the first or fifteenth day of the month after your start date (the “Grant Date”) equity awards with an aggregate value of $1,350,000 (your “Hire Award”). Your Hire Award will be composed of 50% RSUs (the “RSU Award”) and 50% non-qualified stock options (the “NQSO Award”), subject to the terms and conditions of the Madrigal Pharmaceuticals, Inc. 2023 Inducement Plan (the “Plan”), Company Plan grant policies and practices, and related award agreements, which will be provided after your start date. Your RSU Award will be valued, and the number of shares thereunder will be set, based on the closing price of Company common stock on the Grant Date. Your RSU Award will be subject to the following vesting schedule conditions being met over four years -- 25% of the RSU Award will vest on each of the first, second, third, and fourth year anniversaries of your RSU Award grant date, subject to your</w:t>
      </w:r>
    </w:p>
    <w:p>
      <w:pPr>
        <w:sectPr>
          <w:pgSz w:w="11900" w:h="16838" w:orient="portrait"/>
          <w:cols w:equalWidth="0" w:num="1">
            <w:col w:w="11120"/>
          </w:cols>
          <w:pgMar w:left="460" w:top="1025" w:right="319" w:bottom="1440" w:gutter="0" w:footer="0" w:header="0"/>
        </w:sectPr>
      </w:pPr>
    </w:p>
    <w:bookmarkStart w:id="43" w:name="page44"/>
    <w:bookmarkEnd w:id="43"/>
    <w:p>
      <w:pPr>
        <w:jc w:val="both"/>
        <w:ind w:left="260"/>
        <w:spacing w:after="0" w:line="261" w:lineRule="auto"/>
        <w:rPr>
          <w:sz w:val="20"/>
          <w:szCs w:val="20"/>
          <w:color w:val="auto"/>
        </w:rPr>
      </w:pPr>
      <w:r>
        <w:rPr>
          <w:rFonts w:ascii="Times New Roman" w:cs="Times New Roman" w:eastAsia="Times New Roman" w:hAnsi="Times New Roman"/>
          <w:sz w:val="16"/>
          <w:szCs w:val="16"/>
          <w:color w:val="auto"/>
        </w:rPr>
        <w:t>continued employment on such dates; these RSU Awards will contain a “sell-to-cover” automatic market sale of shares to cover Federal and State tax withholding requirements arising on each vesting date. The number and exercise price of the options subject to the NQSO Award will be set based on the closing price of Company common stock on the Grant Date; 25% of the NQSOs will vest on the first anniversary of your grant date and 6.25% of the NQSOs will vest on each quarterly anniversary thereafter, in each case subject to your continued employment on such dates. Future annual equity awards will be made in the discretion of the Company’s Compensation Committee, subject to the Company’s grant policies and the terms and conditions of the applicable Company equity plan and related award agreement in effect at such time.</w:t>
      </w:r>
    </w:p>
    <w:p>
      <w:pPr>
        <w:spacing w:after="0" w:line="168" w:lineRule="exact"/>
        <w:rPr>
          <w:sz w:val="20"/>
          <w:szCs w:val="20"/>
          <w:color w:val="auto"/>
        </w:rPr>
      </w:pPr>
    </w:p>
    <w:p>
      <w:pPr>
        <w:jc w:val="both"/>
        <w:ind w:left="260" w:hanging="260"/>
        <w:spacing w:after="0" w:line="265" w:lineRule="auto"/>
        <w:tabs>
          <w:tab w:leader="none" w:pos="25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Benefits</w:t>
      </w:r>
      <w:r>
        <w:rPr>
          <w:rFonts w:ascii="Times New Roman" w:cs="Times New Roman" w:eastAsia="Times New Roman" w:hAnsi="Times New Roman"/>
          <w:sz w:val="16"/>
          <w:szCs w:val="16"/>
          <w:color w:val="auto"/>
        </w:rPr>
        <w:t>: As a full-time employee, you will be eligible to participate in certain Company- sponsored health and welfare and 401(k) benefit plans to the same extent as, and subject to the same terms, conditions, and limitations applicable to other employees of the Company of similar rank and tenure. All such benefits may be changed or modified from time to time at the Company’s sole discretion. You will be covered from the first day of employment and enrollment take place within your first 30-days of hire.</w:t>
      </w:r>
    </w:p>
    <w:p>
      <w:pPr>
        <w:spacing w:after="0" w:line="152" w:lineRule="exact"/>
        <w:rPr>
          <w:rFonts w:ascii="Times New Roman" w:cs="Times New Roman" w:eastAsia="Times New Roman" w:hAnsi="Times New Roman"/>
          <w:sz w:val="16"/>
          <w:szCs w:val="16"/>
          <w:color w:val="auto"/>
        </w:rPr>
      </w:pPr>
    </w:p>
    <w:p>
      <w:pPr>
        <w:ind w:left="260" w:hanging="260"/>
        <w:spacing w:after="0" w:line="284" w:lineRule="auto"/>
        <w:tabs>
          <w:tab w:leader="none" w:pos="25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Paid Time-Off</w:t>
      </w:r>
      <w:r>
        <w:rPr>
          <w:rFonts w:ascii="Times New Roman" w:cs="Times New Roman" w:eastAsia="Times New Roman" w:hAnsi="Times New Roman"/>
          <w:sz w:val="16"/>
          <w:szCs w:val="16"/>
          <w:color w:val="auto"/>
        </w:rPr>
        <w:t>: You will be eligible for Madrigal paid holidays and 152 hours (19 days) of paid time off, prorated in the first partial year of employment, in accordance with the applicable policy guidelines. You will be eligible for 40 hours (5 days) of sick time which is not prorated.</w:t>
      </w:r>
    </w:p>
    <w:p>
      <w:pPr>
        <w:spacing w:after="0" w:line="148" w:lineRule="exact"/>
        <w:rPr>
          <w:rFonts w:ascii="Times New Roman" w:cs="Times New Roman" w:eastAsia="Times New Roman" w:hAnsi="Times New Roman"/>
          <w:sz w:val="16"/>
          <w:szCs w:val="16"/>
          <w:color w:val="auto"/>
        </w:rPr>
      </w:pPr>
    </w:p>
    <w:p>
      <w:pPr>
        <w:jc w:val="both"/>
        <w:ind w:left="260" w:hanging="260"/>
        <w:spacing w:after="0" w:line="273" w:lineRule="auto"/>
        <w:tabs>
          <w:tab w:leader="none" w:pos="25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Employment Period</w:t>
      </w:r>
      <w:r>
        <w:rPr>
          <w:rFonts w:ascii="Times New Roman" w:cs="Times New Roman" w:eastAsia="Times New Roman" w:hAnsi="Times New Roman"/>
          <w:sz w:val="16"/>
          <w:szCs w:val="16"/>
          <w:color w:val="auto"/>
        </w:rPr>
        <w:t>: Your employment with the Company will be at will, meaning that you will not be obligated to remain employed by the Company for any specified period of time. The Company will not be obligated to continue your employment for any specific period and may terminate your employment at any time, with or without cause.</w:t>
      </w:r>
    </w:p>
    <w:p>
      <w:pPr>
        <w:spacing w:after="0" w:line="146" w:lineRule="exact"/>
        <w:rPr>
          <w:rFonts w:ascii="Times New Roman" w:cs="Times New Roman" w:eastAsia="Times New Roman" w:hAnsi="Times New Roman"/>
          <w:sz w:val="16"/>
          <w:szCs w:val="16"/>
          <w:color w:val="auto"/>
        </w:rPr>
      </w:pPr>
    </w:p>
    <w:p>
      <w:pPr>
        <w:ind w:left="260" w:hanging="260"/>
        <w:spacing w:after="0" w:line="284" w:lineRule="auto"/>
        <w:tabs>
          <w:tab w:leader="none" w:pos="25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Training</w:t>
      </w:r>
      <w:r>
        <w:rPr>
          <w:rFonts w:ascii="Times New Roman" w:cs="Times New Roman" w:eastAsia="Times New Roman" w:hAnsi="Times New Roman"/>
          <w:sz w:val="16"/>
          <w:szCs w:val="16"/>
          <w:color w:val="auto"/>
        </w:rPr>
        <w:t>: Employment is subject to successful completion of periodic training and testing (at least annually) regarding product knowledge, disease awareness, and other core job competencies is a continuing requirement for this role.</w:t>
      </w:r>
    </w:p>
    <w:p>
      <w:pPr>
        <w:spacing w:after="0" w:line="148" w:lineRule="exact"/>
        <w:rPr>
          <w:rFonts w:ascii="Times New Roman" w:cs="Times New Roman" w:eastAsia="Times New Roman" w:hAnsi="Times New Roman"/>
          <w:sz w:val="16"/>
          <w:szCs w:val="16"/>
          <w:color w:val="auto"/>
        </w:rPr>
      </w:pPr>
    </w:p>
    <w:p>
      <w:pPr>
        <w:ind w:left="240" w:hanging="240"/>
        <w:spacing w:after="0"/>
        <w:tabs>
          <w:tab w:leader="none" w:pos="2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Obligations</w:t>
      </w:r>
      <w:r>
        <w:rPr>
          <w:rFonts w:ascii="Times New Roman" w:cs="Times New Roman" w:eastAsia="Times New Roman" w:hAnsi="Times New Roman"/>
          <w:sz w:val="16"/>
          <w:szCs w:val="16"/>
          <w:color w:val="auto"/>
        </w:rPr>
        <w:t>: As a condition to the Company’s willingness to extend you this offer of employment subject to its terms and conditions, you represented orally to (and</w:t>
      </w:r>
    </w:p>
    <w:p>
      <w:pPr>
        <w:spacing w:after="0" w:line="24" w:lineRule="exact"/>
        <w:rPr>
          <w:rFonts w:ascii="Times New Roman" w:cs="Times New Roman" w:eastAsia="Times New Roman" w:hAnsi="Times New Roman"/>
          <w:sz w:val="16"/>
          <w:szCs w:val="16"/>
          <w:color w:val="auto"/>
        </w:rPr>
      </w:pPr>
    </w:p>
    <w:p>
      <w:pPr>
        <w:jc w:val="both"/>
        <w:ind w:left="26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signing below you hereby represent to and agree in writing with) the Company, as follows: (a) you are not subject to any agreement, arrangement or obligation that would prohibit, restrict or limit your ability to fully perform services as a </w:t>
      </w:r>
      <w:r>
        <w:rPr>
          <w:rFonts w:ascii="Times New Roman" w:cs="Times New Roman" w:eastAsia="Times New Roman" w:hAnsi="Times New Roman"/>
          <w:sz w:val="16"/>
          <w:szCs w:val="16"/>
          <w:b w:val="1"/>
          <w:bCs w:val="1"/>
          <w:color w:val="auto"/>
        </w:rPr>
        <w:t>Chief Compliance Officer</w:t>
      </w:r>
      <w:r>
        <w:rPr>
          <w:rFonts w:ascii="Times New Roman" w:cs="Times New Roman" w:eastAsia="Times New Roman" w:hAnsi="Times New Roman"/>
          <w:sz w:val="16"/>
          <w:szCs w:val="16"/>
          <w:color w:val="auto"/>
        </w:rPr>
        <w:t xml:space="preserve"> or employee of the Company; (b) you will abide by all covenants, policies and restrictions (including but not limited to those related to confidentiality and non-solicitation) of your prior employers or entities for which you served as an employee and/or independent contractor; (c) you will not disclose to the Company any confidential or proprietary information of any other entity or prior employer nor will you use any such information at any time while employed by the Company; and (d) you agree that in the event of any challenge or litigation concerning clauses (a) (b) and/or (c) immediately above, the Company has no obligation to assist you in the defense of such challenge or litigation and the Company has no compensation or payment obligation to you, unless and until such matters have been resolved to the satisfaction of the Company.</w:t>
      </w:r>
    </w:p>
    <w:p>
      <w:pPr>
        <w:spacing w:after="0" w:line="162" w:lineRule="exact"/>
        <w:rPr>
          <w:rFonts w:ascii="Times New Roman" w:cs="Times New Roman" w:eastAsia="Times New Roman" w:hAnsi="Times New Roman"/>
          <w:sz w:val="16"/>
          <w:szCs w:val="16"/>
          <w:color w:val="auto"/>
        </w:rPr>
      </w:pPr>
    </w:p>
    <w:p>
      <w:pPr>
        <w:jc w:val="both"/>
        <w:ind w:left="260" w:hanging="260"/>
        <w:spacing w:after="0" w:line="273" w:lineRule="auto"/>
        <w:tabs>
          <w:tab w:leader="none" w:pos="255"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Contingencies</w:t>
      </w:r>
      <w:r>
        <w:rPr>
          <w:rFonts w:ascii="Times New Roman" w:cs="Times New Roman" w:eastAsia="Times New Roman" w:hAnsi="Times New Roman"/>
          <w:sz w:val="16"/>
          <w:szCs w:val="16"/>
          <w:color w:val="auto"/>
        </w:rPr>
        <w:t xml:space="preserve">: Our employment offer to you is contingent upon (1) your execution of the standard form of Non-Competition, Confidentiality, and Inventions Agreement (a copy of which is attached hereto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(2) your ability, as required under federal law, to establish your employment eligibility as a U.S. citizen, a lawful permanent resident of the U.S. or an individual specifically</w:t>
      </w:r>
    </w:p>
    <w:p>
      <w:pPr>
        <w:sectPr>
          <w:pgSz w:w="11900" w:h="16838" w:orient="portrait"/>
          <w:cols w:equalWidth="0" w:num="1">
            <w:col w:w="11020"/>
          </w:cols>
          <w:pgMar w:left="460" w:top="1016" w:right="419" w:bottom="1440" w:gutter="0" w:footer="0" w:header="0"/>
        </w:sectPr>
      </w:pPr>
    </w:p>
    <w:bookmarkStart w:id="44" w:name="page45"/>
    <w:bookmarkEnd w:id="44"/>
    <w:p>
      <w:pPr>
        <w:ind w:left="360"/>
        <w:spacing w:after="0" w:line="298" w:lineRule="auto"/>
        <w:rPr>
          <w:sz w:val="20"/>
          <w:szCs w:val="20"/>
          <w:color w:val="auto"/>
        </w:rPr>
      </w:pPr>
      <w:r>
        <w:rPr>
          <w:rFonts w:ascii="Times New Roman" w:cs="Times New Roman" w:eastAsia="Times New Roman" w:hAnsi="Times New Roman"/>
          <w:sz w:val="16"/>
          <w:szCs w:val="16"/>
          <w:color w:val="auto"/>
        </w:rPr>
        <w:t>authorized for employment by the Immigration and Naturalization Service; and (3) completion of a satisfactory background check and drug screening. If any of the foregoing conditions are not met, this employment offer shall be null and void.</w:t>
      </w:r>
    </w:p>
    <w:p>
      <w:pPr>
        <w:spacing w:after="0" w:line="131" w:lineRule="exact"/>
        <w:rPr>
          <w:sz w:val="20"/>
          <w:szCs w:val="20"/>
          <w:color w:val="auto"/>
        </w:rPr>
      </w:pPr>
    </w:p>
    <w:p>
      <w:pPr>
        <w:ind w:left="360" w:right="40" w:hanging="260"/>
        <w:spacing w:after="0" w:line="276" w:lineRule="auto"/>
        <w:tabs>
          <w:tab w:leader="none" w:pos="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Potential Severance Payment Rights</w:t>
      </w:r>
      <w:r>
        <w:rPr>
          <w:rFonts w:ascii="Times New Roman" w:cs="Times New Roman" w:eastAsia="Times New Roman" w:hAnsi="Times New Roman"/>
          <w:sz w:val="17"/>
          <w:szCs w:val="17"/>
          <w:color w:val="auto"/>
        </w:rPr>
        <w:t>: Without limiting the at-will nature of your employment relationship, you will be eligible for cash severance payments in certain circumstances, pursuant to the terms of the agreement attached as Exhibit B, which must be fully signed by both parties before becoming effective.</w:t>
      </w:r>
    </w:p>
    <w:p>
      <w:pPr>
        <w:spacing w:after="0" w:line="140" w:lineRule="exact"/>
        <w:rPr>
          <w:rFonts w:ascii="Times New Roman" w:cs="Times New Roman" w:eastAsia="Times New Roman" w:hAnsi="Times New Roman"/>
          <w:sz w:val="17"/>
          <w:szCs w:val="17"/>
          <w:color w:val="auto"/>
        </w:rPr>
      </w:pPr>
    </w:p>
    <w:p>
      <w:pPr>
        <w:jc w:val="both"/>
        <w:ind w:left="360" w:hanging="260"/>
        <w:spacing w:after="0" w:line="265" w:lineRule="auto"/>
        <w:tabs>
          <w:tab w:leader="none" w:pos="345"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Jurisdiction and Waiver</w:t>
      </w:r>
      <w:r>
        <w:rPr>
          <w:rFonts w:ascii="Times New Roman" w:cs="Times New Roman" w:eastAsia="Times New Roman" w:hAnsi="Times New Roman"/>
          <w:sz w:val="16"/>
          <w:szCs w:val="16"/>
          <w:color w:val="auto"/>
        </w:rPr>
        <w:t>: In the case of any dispute, this offer of employment shall be interpreted under the laws of the Commonwealth of Pennsylvania. By accepting this offer of employment, you agree that any action, demand, claim or counterclaim in connection with any aspect of your employment with the Company, or any separation of employment (whether voluntary or involuntary) from the Company, shall be resolved in a court of competent jurisdiction in Pennsylvania by a judge alone, and you knowingly waive and forever renounce your right to a trial before a civil jury.</w:t>
      </w:r>
    </w:p>
    <w:p>
      <w:pPr>
        <w:spacing w:after="0" w:line="164" w:lineRule="exact"/>
        <w:rPr>
          <w:sz w:val="20"/>
          <w:szCs w:val="20"/>
          <w:color w:val="auto"/>
        </w:rPr>
      </w:pPr>
    </w:p>
    <w:p>
      <w:pPr>
        <w:jc w:val="both"/>
        <w:ind w:left="100"/>
        <w:spacing w:after="0" w:line="273" w:lineRule="auto"/>
        <w:rPr>
          <w:sz w:val="20"/>
          <w:szCs w:val="20"/>
          <w:color w:val="auto"/>
        </w:rPr>
      </w:pPr>
      <w:r>
        <w:rPr>
          <w:rFonts w:ascii="Times New Roman" w:cs="Times New Roman" w:eastAsia="Times New Roman" w:hAnsi="Times New Roman"/>
          <w:sz w:val="16"/>
          <w:szCs w:val="16"/>
          <w:color w:val="auto"/>
        </w:rPr>
        <w:t>We are very enthusiastic about the prospect of your joining us as a Madrigal Pharmaceuticals employee. Please indicate your acceptance of the foregoing by signing one enclosed copy of this letter and returning it within five days of the date of this letter. After that date, this offer will lapse. If you need additional time to respond to this offer, please let us know immediately.</w:t>
      </w:r>
    </w:p>
    <w:p>
      <w:pPr>
        <w:spacing w:after="0" w:line="3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Sincerely,</w:t>
      </w:r>
    </w:p>
    <w:p>
      <w:pPr>
        <w:spacing w:after="0" w:line="1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MADRIGAL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Bill Sibold Date: January 6, 2024</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Bill Sibold</w:t>
      </w:r>
    </w:p>
    <w:p>
      <w:pPr>
        <w:spacing w:after="0" w:line="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Agreed to and accepted: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Shannon Kelley Date: January 5, 2024</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Name: Shannon Kelley</w:t>
      </w:r>
    </w:p>
    <w:p>
      <w:pPr>
        <w:sectPr>
          <w:pgSz w:w="11900" w:h="16838" w:orient="portrait"/>
          <w:cols w:equalWidth="0" w:num="1">
            <w:col w:w="11120"/>
          </w:cols>
          <w:pgMar w:left="360" w:top="1324" w:right="41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8496B0"/>
        </w:rPr>
        <w:t>Four Tower Bridge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8496B0"/>
        </w:rPr>
        <w:t>200 Barr Harbor Drive, Suite 200 West Conshohocken, PA 19428</w:t>
      </w:r>
    </w:p>
    <w:p>
      <w:pPr>
        <w:spacing w:after="0" w:line="1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January 3,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Shannon Kelley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personally identifiable information</w:t>
      </w:r>
      <w:r>
        <w:rPr>
          <w:rFonts w:ascii="Times New Roman" w:cs="Times New Roman" w:eastAsia="Times New Roman" w:hAnsi="Times New Roman"/>
          <w:sz w:val="16"/>
          <w:szCs w:val="16"/>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Shannon:</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This letter is to confirm our understanding with respect to (i) your agreement not to compete with Madrigal Pharmaceuticals, Inc. or its current or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subsidiaries or Affiliates (collectively,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(ii) your agreement to protect and preserve information and property which is confidential and proprietary to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 and your agreement concerning Company Inventions specified herein (with the terms and conditions agreed to in this letter being referred to as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Agreement</w:t>
      </w:r>
      <w:r>
        <w:rPr>
          <w:rFonts w:ascii="Times New Roman" w:cs="Times New Roman" w:eastAsia="Times New Roman" w:hAnsi="Times New Roman"/>
          <w:sz w:val="16"/>
          <w:szCs w:val="16"/>
          <w:color w:val="auto"/>
        </w:rPr>
        <w:t>”). For these purposes, an “Affiliate” is a person or entity that controls, is controlled by or is under common control with the Company, with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meaning the possession, direct or indirect, of the power to direct or cause the direction of the management and policies of a person or entity, whether through the</w:t>
      </w:r>
    </w:p>
    <w:p>
      <w:pPr>
        <w:spacing w:after="0" w:line="19"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16"/>
          <w:szCs w:val="16"/>
          <w:color w:val="auto"/>
        </w:rPr>
        <w:t>ownership of voting securities, by contract, or otherwise</w:t>
      </w:r>
      <w:r>
        <w:rPr>
          <w:rFonts w:ascii="Verdana" w:cs="Verdana" w:eastAsia="Verdana" w:hAnsi="Verdana"/>
          <w:sz w:val="16"/>
          <w:szCs w:val="16"/>
          <w:color w:val="303030"/>
        </w:rPr>
        <w:t>.</w:t>
      </w:r>
      <w:r>
        <w:rPr>
          <w:rFonts w:ascii="Times New Roman" w:cs="Times New Roman" w:eastAsia="Times New Roman" w:hAnsi="Times New Roman"/>
          <w:sz w:val="16"/>
          <w:szCs w:val="16"/>
          <w:color w:val="auto"/>
        </w:rPr>
        <w:tab/>
        <w:t>You hereby acknowledge and agree that you are an “at-will” employee and that no provision of this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Agreement shall be construed to create an express or implied employment contract, or a promise of employment for a specific period of time, and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expressly reserves the right to end your employment at any time, with or without notice or cause.</w:t>
      </w:r>
    </w:p>
    <w:p>
      <w:pPr>
        <w:spacing w:after="0" w:line="180" w:lineRule="exact"/>
        <w:rPr>
          <w:sz w:val="20"/>
          <w:szCs w:val="20"/>
          <w:color w:val="auto"/>
        </w:rPr>
      </w:pPr>
    </w:p>
    <w:p>
      <w:pPr>
        <w:ind w:firstLine="509"/>
        <w:spacing w:after="0" w:line="298" w:lineRule="auto"/>
        <w:rPr>
          <w:sz w:val="20"/>
          <w:szCs w:val="20"/>
          <w:color w:val="auto"/>
        </w:rPr>
      </w:pPr>
      <w:r>
        <w:rPr>
          <w:rFonts w:ascii="Times New Roman" w:cs="Times New Roman" w:eastAsia="Times New Roman" w:hAnsi="Times New Roman"/>
          <w:sz w:val="16"/>
          <w:szCs w:val="16"/>
          <w:color w:val="auto"/>
        </w:rPr>
        <w:t>In consideration of your employment by the Company, the mutual promises and covenants contained in this Agreement, and for other good and valuable consideration, the receipt and sufficiency of which are hereby mutually acknowledged, we have agreed as follows:</w:t>
      </w:r>
    </w:p>
    <w:p>
      <w:pPr>
        <w:spacing w:after="0" w:line="127" w:lineRule="exact"/>
        <w:rPr>
          <w:sz w:val="20"/>
          <w:szCs w:val="20"/>
          <w:color w:val="auto"/>
        </w:rPr>
      </w:pPr>
    </w:p>
    <w:p>
      <w:pPr>
        <w:ind w:left="500" w:hanging="499"/>
        <w:spacing w:after="0"/>
        <w:tabs>
          <w:tab w:leader="none" w:pos="5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Prohibited Competition and Solicitation</w:t>
      </w:r>
      <w:r>
        <w:rPr>
          <w:rFonts w:ascii="Times New Roman" w:cs="Times New Roman" w:eastAsia="Times New Roman" w:hAnsi="Times New Roman"/>
          <w:sz w:val="16"/>
          <w:szCs w:val="16"/>
          <w:color w:val="auto"/>
        </w:rPr>
        <w:t>.</w:t>
      </w:r>
    </w:p>
    <w:p>
      <w:pPr>
        <w:spacing w:after="0" w:line="208" w:lineRule="exact"/>
        <w:rPr>
          <w:rFonts w:ascii="Times New Roman" w:cs="Times New Roman" w:eastAsia="Times New Roman" w:hAnsi="Times New Roman"/>
          <w:sz w:val="16"/>
          <w:szCs w:val="16"/>
          <w:color w:val="auto"/>
        </w:rPr>
      </w:pPr>
    </w:p>
    <w:p>
      <w:pPr>
        <w:ind w:left="1000" w:hanging="490"/>
        <w:spacing w:after="0"/>
        <w:tabs>
          <w:tab w:leader="none" w:pos="100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Certain Acknowledgments and Agreements</w:t>
      </w:r>
      <w:r>
        <w:rPr>
          <w:rFonts w:ascii="Times New Roman" w:cs="Times New Roman" w:eastAsia="Times New Roman" w:hAnsi="Times New Roman"/>
          <w:sz w:val="16"/>
          <w:szCs w:val="16"/>
          <w:color w:val="auto"/>
        </w:rPr>
        <w:t>.</w:t>
      </w:r>
    </w:p>
    <w:p>
      <w:pPr>
        <w:spacing w:after="0" w:line="197" w:lineRule="exact"/>
        <w:rPr>
          <w:rFonts w:ascii="Times New Roman" w:cs="Times New Roman" w:eastAsia="Times New Roman" w:hAnsi="Times New Roman"/>
          <w:sz w:val="16"/>
          <w:szCs w:val="16"/>
          <w:color w:val="auto"/>
        </w:rPr>
      </w:pPr>
    </w:p>
    <w:p>
      <w:pPr>
        <w:ind w:left="1360" w:hanging="341"/>
        <w:spacing w:after="0"/>
        <w:tabs>
          <w:tab w:leader="none" w:pos="1360" w:val="left"/>
        </w:tabs>
        <w:numPr>
          <w:ilvl w:val="2"/>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discussed, and you recognize and acknowledge the competitive and proprietary aspects of the business of the Company.</w:t>
      </w:r>
    </w:p>
    <w:p>
      <w:pPr>
        <w:spacing w:after="0" w:line="197" w:lineRule="exact"/>
        <w:rPr>
          <w:rFonts w:ascii="Times New Roman" w:cs="Times New Roman" w:eastAsia="Times New Roman" w:hAnsi="Times New Roman"/>
          <w:sz w:val="16"/>
          <w:szCs w:val="16"/>
          <w:color w:val="auto"/>
        </w:rPr>
      </w:pPr>
    </w:p>
    <w:p>
      <w:pPr>
        <w:jc w:val="both"/>
        <w:ind w:firstLine="1018"/>
        <w:spacing w:after="0" w:line="264" w:lineRule="auto"/>
        <w:tabs>
          <w:tab w:leader="none" w:pos="1366" w:val="left"/>
        </w:tabs>
        <w:numPr>
          <w:ilvl w:val="2"/>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will devote your full time and efforts to the business of the Company and, during the period of your employment with the Company (the “</w:t>
      </w:r>
      <w:r>
        <w:rPr>
          <w:rFonts w:ascii="Times New Roman" w:cs="Times New Roman" w:eastAsia="Times New Roman" w:hAnsi="Times New Roman"/>
          <w:sz w:val="16"/>
          <w:szCs w:val="16"/>
          <w:b w:val="1"/>
          <w:bCs w:val="1"/>
          <w:color w:val="auto"/>
        </w:rPr>
        <w:t>Term</w:t>
      </w:r>
      <w:r>
        <w:rPr>
          <w:rFonts w:ascii="Times New Roman" w:cs="Times New Roman" w:eastAsia="Times New Roman" w:hAnsi="Times New Roman"/>
          <w:sz w:val="16"/>
          <w:szCs w:val="16"/>
          <w:color w:val="auto"/>
        </w:rPr>
        <w:t>”) and for a period of six (6) months following termination of your employment (unless such termination was without cause or the result of a layoff or the Company fails to pay you 50% of base salary for six (6) months following your termination, in which event this restriction in sub-section (ii) shall end at separation from employment), shall not participate, directly or indirectly, in the same or substantially similar capacity as you provided services to the Company during the last two years of your employment, in any</w:t>
      </w:r>
    </w:p>
    <w:p>
      <w:pPr>
        <w:sectPr>
          <w:pgSz w:w="11900" w:h="16838" w:orient="portrait"/>
          <w:cols w:equalWidth="0" w:num="1">
            <w:col w:w="11020"/>
          </w:cols>
          <w:pgMar w:left="460" w:top="1440" w:right="41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6"/>
          <w:szCs w:val="16"/>
          <w:color w:val="auto"/>
        </w:rPr>
        <w:t>business which is competitive with the Company’s Field of Interest (as described below) unless you have received the prior written consent of the Company. You acknowledge and agree that a business will be deemed competitive with the Company if it (1) conducts research, (2) is developing or intends to develop any product candidate, (3) performs any of the services or manufactures or sells any of the products provided or offered by the Company or (4) performs any other services and/or engages in the production, manufacture, distribution or sale of any product that may be purchased in lieu of purchasing services performed or products produced, manufactured, distributed or sold by the Company, in each case within the Field of Interest at any time during the period of your employment with the Company (a “</w:t>
      </w:r>
      <w:r>
        <w:rPr>
          <w:rFonts w:ascii="Times New Roman" w:cs="Times New Roman" w:eastAsia="Times New Roman" w:hAnsi="Times New Roman"/>
          <w:sz w:val="16"/>
          <w:szCs w:val="16"/>
          <w:b w:val="1"/>
          <w:bCs w:val="1"/>
          <w:color w:val="auto"/>
        </w:rPr>
        <w:t>Competitor</w:t>
      </w:r>
      <w:r>
        <w:rPr>
          <w:rFonts w:ascii="Times New Roman" w:cs="Times New Roman" w:eastAsia="Times New Roman" w:hAnsi="Times New Roman"/>
          <w:sz w:val="16"/>
          <w:szCs w:val="16"/>
          <w:color w:val="auto"/>
        </w:rPr>
        <w:t>”). As used herein, the term “</w:t>
      </w:r>
      <w:r>
        <w:rPr>
          <w:rFonts w:ascii="Times New Roman" w:cs="Times New Roman" w:eastAsia="Times New Roman" w:hAnsi="Times New Roman"/>
          <w:sz w:val="16"/>
          <w:szCs w:val="16"/>
          <w:b w:val="1"/>
          <w:bCs w:val="1"/>
          <w:color w:val="auto"/>
        </w:rPr>
        <w:t>Field of Interest</w:t>
      </w:r>
      <w:r>
        <w:rPr>
          <w:rFonts w:ascii="Times New Roman" w:cs="Times New Roman" w:eastAsia="Times New Roman" w:hAnsi="Times New Roman"/>
          <w:sz w:val="16"/>
          <w:szCs w:val="16"/>
          <w:color w:val="auto"/>
        </w:rPr>
        <w:t>” means [***]. You hereby acknowledge and agree that the Field of Interest shall be assessed for purposes of this Agreement as of the date on which your employment with the Company terminates.</w:t>
      </w:r>
    </w:p>
    <w:p>
      <w:pPr>
        <w:spacing w:after="0" w:line="159" w:lineRule="exact"/>
        <w:rPr>
          <w:sz w:val="20"/>
          <w:szCs w:val="20"/>
          <w:color w:val="auto"/>
        </w:rPr>
      </w:pPr>
    </w:p>
    <w:p>
      <w:pPr>
        <w:jc w:val="both"/>
        <w:ind w:firstLine="1019"/>
        <w:spacing w:after="0" w:line="265" w:lineRule="auto"/>
        <w:tabs>
          <w:tab w:leader="none" w:pos="1368"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further acknowledge and agree that, during the course of your employment with the Company, the Company will furnish, disclose or make available to you confidential and proprietary information related to the Company’s business and that the Company may provide you with unique and specialized training. You also acknowledge that such confidential information and such training have been developed and will be developed by the Company through the expenditure by the Company of substantial time, effort and money and that all such confidential information and training could be used by you to compete with the Company.</w:t>
      </w:r>
    </w:p>
    <w:p>
      <w:pPr>
        <w:spacing w:after="0" w:line="152" w:lineRule="exact"/>
        <w:rPr>
          <w:rFonts w:ascii="Times New Roman" w:cs="Times New Roman" w:eastAsia="Times New Roman" w:hAnsi="Times New Roman"/>
          <w:sz w:val="16"/>
          <w:szCs w:val="16"/>
          <w:color w:val="auto"/>
        </w:rPr>
      </w:pPr>
    </w:p>
    <w:p>
      <w:pPr>
        <w:jc w:val="both"/>
        <w:ind w:firstLine="1019"/>
        <w:spacing w:after="0" w:line="273" w:lineRule="auto"/>
        <w:tabs>
          <w:tab w:leader="none" w:pos="137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have been advised to consult with an attorney of your choice in connection with this Agreement and have been provided the time necessary for such consultatation as is reasonable under the circumstances and, if applicable to your work location, in compliance with any state-specific review periods (10 business days for Massachusetts).</w:t>
      </w:r>
    </w:p>
    <w:p>
      <w:pPr>
        <w:spacing w:after="0" w:line="157" w:lineRule="exact"/>
        <w:rPr>
          <w:rFonts w:ascii="Times New Roman" w:cs="Times New Roman" w:eastAsia="Times New Roman" w:hAnsi="Times New Roman"/>
          <w:sz w:val="16"/>
          <w:szCs w:val="16"/>
          <w:color w:val="auto"/>
        </w:rPr>
      </w:pPr>
    </w:p>
    <w:p>
      <w:pPr>
        <w:ind w:firstLine="510"/>
        <w:spacing w:after="0" w:line="284" w:lineRule="auto"/>
        <w:tabs>
          <w:tab w:leader="none" w:pos="858"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Non-Solicitation</w:t>
      </w:r>
      <w:r>
        <w:rPr>
          <w:rFonts w:ascii="Times New Roman" w:cs="Times New Roman" w:eastAsia="Times New Roman" w:hAnsi="Times New Roman"/>
          <w:sz w:val="16"/>
          <w:szCs w:val="16"/>
          <w:color w:val="auto"/>
        </w:rPr>
        <w:t>. During the Term and for a period of twelve (12) months following termination of your employment, whether such termination is voluntary or involuntary, you shall not, without the prior written consent of the Company:</w:t>
      </w:r>
    </w:p>
    <w:p>
      <w:pPr>
        <w:spacing w:after="0" w:line="137" w:lineRule="exact"/>
        <w:rPr>
          <w:rFonts w:ascii="Times New Roman" w:cs="Times New Roman" w:eastAsia="Times New Roman" w:hAnsi="Times New Roman"/>
          <w:sz w:val="16"/>
          <w:szCs w:val="16"/>
          <w:color w:val="auto"/>
        </w:rPr>
      </w:pPr>
    </w:p>
    <w:p>
      <w:pPr>
        <w:jc w:val="both"/>
        <w:ind w:firstLine="1018"/>
        <w:spacing w:after="0" w:line="270" w:lineRule="auto"/>
        <w:tabs>
          <w:tab w:leader="none" w:pos="136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individually or on behalf of or through any third party, solicit, divert or appropriate or attempt to solicit, divert or appropriate, any vendor, business relationship or customer of the Company during the Term, with whom you had business-related communications on behalf of the Company or on whose project you provided services during the Term, with the effect or intention of reducing or limiting the amount of business that such vendor, business counterparty or customer does with the Company and for the benefit of a Competitor; or</w:t>
      </w:r>
    </w:p>
    <w:p>
      <w:pPr>
        <w:spacing w:after="0" w:line="148" w:lineRule="exact"/>
        <w:rPr>
          <w:rFonts w:ascii="Times New Roman" w:cs="Times New Roman" w:eastAsia="Times New Roman" w:hAnsi="Times New Roman"/>
          <w:sz w:val="16"/>
          <w:szCs w:val="16"/>
          <w:color w:val="auto"/>
        </w:rPr>
      </w:pPr>
    </w:p>
    <w:p>
      <w:pPr>
        <w:jc w:val="both"/>
        <w:ind w:firstLine="1018"/>
        <w:spacing w:after="0" w:line="265" w:lineRule="auto"/>
        <w:tabs>
          <w:tab w:leader="none" w:pos="1366"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individually or on behalf of or through any third party, directly or indirectly, solicit, entice or persuade or attempt to solicit, entice or persuade any employees of or consultants to the Company (other than your spouse), who have been employees or consultants of the Company at any time during the Term, or who are employees or consultants of the Company at the time of the solicitation, with whom you had business-related communications on behalf of the Company or with whom you worked during the Term, to leave the services of the Company to provide services to any Competitor.</w:t>
      </w:r>
    </w:p>
    <w:p>
      <w:pPr>
        <w:spacing w:after="0" w:line="152" w:lineRule="exact"/>
        <w:rPr>
          <w:rFonts w:ascii="Times New Roman" w:cs="Times New Roman" w:eastAsia="Times New Roman" w:hAnsi="Times New Roman"/>
          <w:sz w:val="16"/>
          <w:szCs w:val="16"/>
          <w:color w:val="auto"/>
        </w:rPr>
      </w:pPr>
    </w:p>
    <w:p>
      <w:pPr>
        <w:ind w:firstLine="510"/>
        <w:spacing w:after="0" w:line="298" w:lineRule="auto"/>
        <w:tabs>
          <w:tab w:leader="none" w:pos="85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Reasonableness of Restrictions</w:t>
      </w:r>
      <w:r>
        <w:rPr>
          <w:rFonts w:ascii="Times New Roman" w:cs="Times New Roman" w:eastAsia="Times New Roman" w:hAnsi="Times New Roman"/>
          <w:sz w:val="16"/>
          <w:szCs w:val="16"/>
          <w:color w:val="auto"/>
        </w:rPr>
        <w:t xml:space="preserve">. You further acknowledge and agree that (i) the activities which are prohibited by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are narrow and reasonable in relation to the skills</w:t>
      </w:r>
    </w:p>
    <w:p>
      <w:pPr>
        <w:sectPr>
          <w:pgSz w:w="11900" w:h="16838" w:orient="portrait"/>
          <w:cols w:equalWidth="0" w:num="1">
            <w:col w:w="11020"/>
          </w:cols>
          <w:pgMar w:left="460" w:top="1016" w:right="419" w:bottom="1440" w:gutter="0" w:footer="0" w:header="0"/>
        </w:sectPr>
      </w:pPr>
    </w:p>
    <w:bookmarkStart w:id="47" w:name="page48"/>
    <w:bookmarkEnd w:id="47"/>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which represent your principal salable asset both to the Company and to your other prospective employers, and (ii) given the global nature of the Company’s business, including its need to market its services and sell its products in a large geographic area in order to have a sufficient customer base to make the Company’s business profitable, the geographic, length of time and substantive scope of the provisions of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are reasonable, legitimate and fair to you.</w:t>
      </w:r>
    </w:p>
    <w:p>
      <w:pPr>
        <w:spacing w:after="0" w:line="157" w:lineRule="exact"/>
        <w:rPr>
          <w:sz w:val="20"/>
          <w:szCs w:val="20"/>
          <w:color w:val="auto"/>
        </w:rPr>
      </w:pPr>
    </w:p>
    <w:p>
      <w:pPr>
        <w:ind w:firstLine="510"/>
        <w:spacing w:after="0" w:line="284" w:lineRule="auto"/>
        <w:tabs>
          <w:tab w:leader="none" w:pos="858"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 of Acknowledgments and Agreements</w:t>
      </w:r>
      <w:r>
        <w:rPr>
          <w:rFonts w:ascii="Times New Roman" w:cs="Times New Roman" w:eastAsia="Times New Roman" w:hAnsi="Times New Roman"/>
          <w:sz w:val="16"/>
          <w:szCs w:val="16"/>
          <w:color w:val="auto"/>
        </w:rPr>
        <w:t xml:space="preserve">. Except as expressly set forth hereunder, your acknowledgments and agreements set forth in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shall survive the termination of your employment with the Company for the periods set forth above.</w:t>
      </w:r>
    </w:p>
    <w:p>
      <w:pPr>
        <w:spacing w:after="0" w:line="137" w:lineRule="exact"/>
        <w:rPr>
          <w:rFonts w:ascii="Times New Roman" w:cs="Times New Roman" w:eastAsia="Times New Roman" w:hAnsi="Times New Roman"/>
          <w:sz w:val="16"/>
          <w:szCs w:val="16"/>
          <w:color w:val="auto"/>
        </w:rPr>
      </w:pPr>
    </w:p>
    <w:p>
      <w:pPr>
        <w:ind w:left="500" w:hanging="499"/>
        <w:spacing w:after="0"/>
        <w:tabs>
          <w:tab w:leader="none" w:pos="5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Protected Information</w:t>
      </w:r>
      <w:r>
        <w:rPr>
          <w:rFonts w:ascii="Times New Roman" w:cs="Times New Roman" w:eastAsia="Times New Roman" w:hAnsi="Times New Roman"/>
          <w:sz w:val="16"/>
          <w:szCs w:val="16"/>
          <w:color w:val="auto"/>
        </w:rPr>
        <w:t>.</w:t>
      </w:r>
    </w:p>
    <w:p>
      <w:pPr>
        <w:spacing w:after="0" w:line="144" w:lineRule="exact"/>
        <w:rPr>
          <w:rFonts w:ascii="Times New Roman" w:cs="Times New Roman" w:eastAsia="Times New Roman" w:hAnsi="Times New Roman"/>
          <w:sz w:val="16"/>
          <w:szCs w:val="16"/>
          <w:color w:val="auto"/>
        </w:rPr>
      </w:pPr>
    </w:p>
    <w:p>
      <w:pPr>
        <w:jc w:val="both"/>
        <w:ind w:firstLine="510"/>
        <w:spacing w:after="0" w:line="258" w:lineRule="auto"/>
        <w:tabs>
          <w:tab w:leader="none" w:pos="859"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Confidentiality Obligations</w:t>
      </w:r>
      <w:r>
        <w:rPr>
          <w:rFonts w:ascii="Times New Roman" w:cs="Times New Roman" w:eastAsia="Times New Roman" w:hAnsi="Times New Roman"/>
          <w:sz w:val="16"/>
          <w:szCs w:val="16"/>
          <w:color w:val="auto"/>
        </w:rPr>
        <w:t>. You shall at all times, both during the Term and thereafter, maintain in confidence and shall not, without the prior written consent of the Company, use, except in the course of performance of your duties for the Company, disclose or give to others any Confidential Information of the Company. As used herein, the term “</w:t>
      </w:r>
      <w:r>
        <w:rPr>
          <w:rFonts w:ascii="Times New Roman" w:cs="Times New Roman" w:eastAsia="Times New Roman" w:hAnsi="Times New Roman"/>
          <w:sz w:val="16"/>
          <w:szCs w:val="16"/>
          <w:b w:val="1"/>
          <w:bCs w:val="1"/>
          <w:color w:val="auto"/>
        </w:rPr>
        <w:t>Confidential Information</w:t>
      </w:r>
      <w:r>
        <w:rPr>
          <w:rFonts w:ascii="Times New Roman" w:cs="Times New Roman" w:eastAsia="Times New Roman" w:hAnsi="Times New Roman"/>
          <w:sz w:val="16"/>
          <w:szCs w:val="16"/>
          <w:color w:val="auto"/>
        </w:rPr>
        <w:t xml:space="preserve">” shall mean any information which is disclosed to or developed by you during the course of performing services for, or receiving training from, the Company, and is not generally available to the public, including but not limited to confidential information concerning business plans, customers, future customers, suppliers, licensors, licensees, partners, investors, affiliates or others, training methods and materials, financial information, sales prospects, client lists, Company Inventions (as defined in </w:t>
      </w: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color w:val="auto"/>
        </w:rPr>
        <w:t>), or any other scientific, technical, trade or business secret or confidential or proprietary information of the Company or of any third party provided to you during the Term. In the event anyone not employed or otherwise engaged by the Company seeks information from you in regard to any such Confidential Information or any other secret or confidential work of the Company, or concerning any fact or circumstance relating thereto, you will promptly notify the chief executive officer of the Company.</w:t>
      </w:r>
    </w:p>
    <w:p>
      <w:pPr>
        <w:spacing w:after="0" w:line="161" w:lineRule="exact"/>
        <w:rPr>
          <w:rFonts w:ascii="Times New Roman" w:cs="Times New Roman" w:eastAsia="Times New Roman" w:hAnsi="Times New Roman"/>
          <w:sz w:val="16"/>
          <w:szCs w:val="16"/>
          <w:color w:val="auto"/>
        </w:rPr>
      </w:pPr>
    </w:p>
    <w:p>
      <w:pPr>
        <w:jc w:val="both"/>
        <w:ind w:firstLine="509"/>
        <w:spacing w:after="0" w:line="261" w:lineRule="auto"/>
        <w:tabs>
          <w:tab w:leader="none" w:pos="858"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Limited Exceptions</w:t>
      </w:r>
      <w:r>
        <w:rPr>
          <w:rFonts w:ascii="Times New Roman" w:cs="Times New Roman" w:eastAsia="Times New Roman" w:hAnsi="Times New Roman"/>
          <w:sz w:val="16"/>
          <w:szCs w:val="16"/>
          <w:color w:val="auto"/>
        </w:rPr>
        <w:t xml:space="preserve">. The restrictions in </w:t>
      </w:r>
      <w:r>
        <w:rPr>
          <w:rFonts w:ascii="Times New Roman" w:cs="Times New Roman" w:eastAsia="Times New Roman" w:hAnsi="Times New Roman"/>
          <w:sz w:val="16"/>
          <w:szCs w:val="16"/>
          <w:u w:val="single" w:color="auto"/>
          <w:color w:val="auto"/>
        </w:rPr>
        <w:t>Section 2(a)</w:t>
      </w:r>
      <w:r>
        <w:rPr>
          <w:rFonts w:ascii="Times New Roman" w:cs="Times New Roman" w:eastAsia="Times New Roman" w:hAnsi="Times New Roman"/>
          <w:sz w:val="16"/>
          <w:szCs w:val="16"/>
          <w:color w:val="auto"/>
        </w:rPr>
        <w:t xml:space="preserve"> hereof shall not apply to information that, as can be established by competent written records: (i) was publicly known at the time of the Company’s communication thereof to you; (ii) becomes publicly known through no fault of yours subsequent to the time of the Company’s communication thereof to you; (iii) was in your possession free of any obligation of confidence at the time of the Company’s communication thereof to you; or (iv) is developed by you independently of and without reference to or use of any of the Company’s Confidential Information. In the event that you are required by law, regulation or court order to disclose any of the Company’s Confidential Information, you shall (i) first notify the Company of such disclosure requirement, unless such advance notice requirement is prohibited by law and (ii) furnish only that portion of the Confidential Information that is legally required and will exercise all reasonable efforts to obtain reliable assurances that confidential treatment will be accorded the Confidential Information.</w:t>
      </w:r>
    </w:p>
    <w:p>
      <w:pPr>
        <w:spacing w:after="0" w:line="159" w:lineRule="exact"/>
        <w:rPr>
          <w:rFonts w:ascii="Times New Roman" w:cs="Times New Roman" w:eastAsia="Times New Roman" w:hAnsi="Times New Roman"/>
          <w:sz w:val="16"/>
          <w:szCs w:val="16"/>
          <w:color w:val="auto"/>
        </w:rPr>
      </w:pPr>
    </w:p>
    <w:p>
      <w:pPr>
        <w:jc w:val="both"/>
        <w:ind w:firstLine="510"/>
        <w:spacing w:after="0" w:line="265" w:lineRule="auto"/>
        <w:tabs>
          <w:tab w:leader="none" w:pos="859"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Protected Rights</w:t>
      </w:r>
      <w:r>
        <w:rPr>
          <w:rFonts w:ascii="Times New Roman" w:cs="Times New Roman" w:eastAsia="Times New Roman" w:hAnsi="Times New Roman"/>
          <w:sz w:val="16"/>
          <w:szCs w:val="16"/>
          <w:color w:val="auto"/>
        </w:rPr>
        <w:t>. Nothing in this Agreement prohibits or restricts you or your attorney from initiating communications directly with, responding to an inquiry from, or providing testimony before the Securities and Exchange Commission, any regulatory or self-regulatory organization, or any other governmental authority. Nothing in this Agreement in any way prohibits or is intended to restrict or impede you from discussing the terms and conditions of your employment with coworkers or union representatives or exercising any other protected rights under Section 7 of the National Labor Relations Act.</w:t>
      </w:r>
    </w:p>
    <w:p>
      <w:pPr>
        <w:sectPr>
          <w:pgSz w:w="11900" w:h="16838" w:orient="portrait"/>
          <w:cols w:equalWidth="0" w:num="1">
            <w:col w:w="11020"/>
          </w:cols>
          <w:pgMar w:left="460" w:top="1324" w:right="419" w:bottom="1440" w:gutter="0" w:footer="0" w:header="0"/>
        </w:sectPr>
      </w:pPr>
    </w:p>
    <w:bookmarkStart w:id="48" w:name="page49"/>
    <w:bookmarkEnd w:id="48"/>
    <w:p>
      <w:pPr>
        <w:ind w:firstLine="510"/>
        <w:spacing w:after="0" w:line="298" w:lineRule="auto"/>
        <w:tabs>
          <w:tab w:leader="none" w:pos="858"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Survival of Acknowledgments and Agreements</w:t>
      </w:r>
      <w:r>
        <w:rPr>
          <w:rFonts w:ascii="Times New Roman" w:cs="Times New Roman" w:eastAsia="Times New Roman" w:hAnsi="Times New Roman"/>
          <w:sz w:val="16"/>
          <w:szCs w:val="16"/>
          <w:color w:val="auto"/>
        </w:rPr>
        <w:t xml:space="preserve">. Except as expressly set forth hereunder, your acknowledgments and agreements set forth in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xml:space="preserve"> shall survive the termination of your employment with the Company.</w:t>
      </w:r>
    </w:p>
    <w:p>
      <w:pPr>
        <w:spacing w:after="0" w:line="52" w:lineRule="exact"/>
        <w:rPr>
          <w:rFonts w:ascii="Times New Roman" w:cs="Times New Roman" w:eastAsia="Times New Roman" w:hAnsi="Times New Roman"/>
          <w:sz w:val="16"/>
          <w:szCs w:val="16"/>
          <w:color w:val="auto"/>
        </w:rPr>
      </w:pPr>
    </w:p>
    <w:p>
      <w:pPr>
        <w:ind w:left="500" w:hanging="499"/>
        <w:spacing w:after="0"/>
        <w:tabs>
          <w:tab w:leader="none" w:pos="5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Ownership of Intellectual Property Ideas</w:t>
      </w:r>
      <w:r>
        <w:rPr>
          <w:rFonts w:ascii="Times New Roman" w:cs="Times New Roman" w:eastAsia="Times New Roman" w:hAnsi="Times New Roman"/>
          <w:sz w:val="16"/>
          <w:szCs w:val="16"/>
          <w:color w:val="auto"/>
        </w:rPr>
        <w:t>.</w:t>
      </w:r>
    </w:p>
    <w:p>
      <w:pPr>
        <w:spacing w:after="0" w:line="195" w:lineRule="exact"/>
        <w:rPr>
          <w:rFonts w:ascii="Times New Roman" w:cs="Times New Roman" w:eastAsia="Times New Roman" w:hAnsi="Times New Roman"/>
          <w:sz w:val="16"/>
          <w:szCs w:val="16"/>
          <w:color w:val="auto"/>
        </w:rPr>
      </w:pPr>
    </w:p>
    <w:p>
      <w:pPr>
        <w:jc w:val="both"/>
        <w:ind w:firstLine="509"/>
        <w:spacing w:after="0" w:line="260" w:lineRule="auto"/>
        <w:tabs>
          <w:tab w:leader="none" w:pos="859"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Property of the Company</w:t>
      </w:r>
      <w:r>
        <w:rPr>
          <w:rFonts w:ascii="Times New Roman" w:cs="Times New Roman" w:eastAsia="Times New Roman" w:hAnsi="Times New Roman"/>
          <w:sz w:val="16"/>
          <w:szCs w:val="16"/>
          <w:color w:val="auto"/>
        </w:rPr>
        <w:t>. As used in this Agreement, the term “</w:t>
      </w:r>
      <w:r>
        <w:rPr>
          <w:rFonts w:ascii="Times New Roman" w:cs="Times New Roman" w:eastAsia="Times New Roman" w:hAnsi="Times New Roman"/>
          <w:sz w:val="16"/>
          <w:szCs w:val="16"/>
          <w:b w:val="1"/>
          <w:bCs w:val="1"/>
          <w:color w:val="auto"/>
        </w:rPr>
        <w:t>Inventions</w:t>
      </w:r>
      <w:r>
        <w:rPr>
          <w:rFonts w:ascii="Times New Roman" w:cs="Times New Roman" w:eastAsia="Times New Roman" w:hAnsi="Times New Roman"/>
          <w:sz w:val="16"/>
          <w:szCs w:val="16"/>
          <w:color w:val="auto"/>
        </w:rPr>
        <w:t>” shall mean all ideas, discoveries, creations, manuscripts and properties, innovations, improvements, know-how, inventions, designs, developments, apparatus, techniques, methods, biological processes, cell lines, laboratory notebooks and formulae, whether patentable, copyrightable or not, including all rights to obtain, register, perfect and enforce any of the foregoing. You hereby agree that any Inventions which you may conceive, reduce to practice or develop during the Term, whether in connection with the business activities of the Company or otherwise, alone or in conjunction with any other party, whether during or out of regular business hours, and whether at the request or upon the suggestion of the Company, or otherwise (collectively, the “</w:t>
      </w:r>
      <w:r>
        <w:rPr>
          <w:rFonts w:ascii="Times New Roman" w:cs="Times New Roman" w:eastAsia="Times New Roman" w:hAnsi="Times New Roman"/>
          <w:sz w:val="16"/>
          <w:szCs w:val="16"/>
          <w:b w:val="1"/>
          <w:bCs w:val="1"/>
          <w:color w:val="auto"/>
        </w:rPr>
        <w:t>Company Inventions</w:t>
      </w:r>
      <w:r>
        <w:rPr>
          <w:rFonts w:ascii="Times New Roman" w:cs="Times New Roman" w:eastAsia="Times New Roman" w:hAnsi="Times New Roman"/>
          <w:sz w:val="16"/>
          <w:szCs w:val="16"/>
          <w:color w:val="auto"/>
        </w:rPr>
        <w:t>”), shall be the sole and exclusive property of the Company. You hereby assign to the Company all of your right, title and interest in and to all such Company Inventions and hereby agree that you shall not publish any of the Company Inventions without the prior written consent of the Company.</w:t>
      </w:r>
    </w:p>
    <w:p>
      <w:pPr>
        <w:spacing w:after="0" w:line="357" w:lineRule="exact"/>
        <w:rPr>
          <w:rFonts w:ascii="Times New Roman" w:cs="Times New Roman" w:eastAsia="Times New Roman" w:hAnsi="Times New Roman"/>
          <w:sz w:val="16"/>
          <w:szCs w:val="16"/>
          <w:color w:val="auto"/>
        </w:rPr>
      </w:pPr>
    </w:p>
    <w:p>
      <w:pPr>
        <w:jc w:val="both"/>
        <w:ind w:firstLine="509"/>
        <w:spacing w:after="0" w:line="257" w:lineRule="auto"/>
        <w:tabs>
          <w:tab w:leader="none" w:pos="858"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Cooperation</w:t>
      </w:r>
      <w:r>
        <w:rPr>
          <w:rFonts w:ascii="Times New Roman" w:cs="Times New Roman" w:eastAsia="Times New Roman" w:hAnsi="Times New Roman"/>
          <w:sz w:val="16"/>
          <w:szCs w:val="16"/>
          <w:color w:val="auto"/>
        </w:rPr>
        <w:t>. During the Term, you agree that, without further compensation, you will disclose promptly to the Company in writing, all Company Inventions you conceive, reduce to practice or develop during the Term (or, if based on or related to any Confidential Information of the Company obtained by you during the Term, within one (1) year after the termination of your employment). You further agree that you will fully cooperate with the Company, its attorneys and agents in the preparation and filing of all papers and other documents as may be reasonably required to perfect the Company’s rights in and to any of such Company Inventions, including, but not limited to, joining in any proceeding to obtain patents, copyrights, trademarks or other legal rights of the United States and of any and all other countries on such Company Inventions; provided, that, the Company will bear the expense of such proceedings (including all of your reasonable expenses). You further agree that any patent or other legal right covering any Company Invention so issued to you, personally, shall be assigned by you to the Company without charge by you. You further acknowledge that all original works of authorship made by you, whether alone or jointly with others within the scope of your employment and which are protectable by copyright are “works made for hire” within the meaning of the United States Copyright Act, 17 U.S.C. § 101, as amended, the copyright of which shall be owned solely, completely and exclusively by the Company. If any Company Invention is considered to be work not included in the categories of work covered by the United States Copyright Act, 17 U.S.C. § 101, as amended, such work shall be owned solely by, or hereby assigned or transferred completely and exclusively to, the Company. If the Company is unable because of your mental or physical incapacity or for any other reason, after reasonable effort, to secure your signature on any document or documents needed to obtain or enforce any patent, copyright, trademarks or any other rights covering Inventions or original works of authorship assigned by you to the Company as required above, you hereby irrevocably designate and appoint the Company and its duly authorized officers and agents as your agent and attorney-in-fact, to act for and in your behalf and stead to execute and file any application or assignment and to do all other lawfully permitted acts to further the prosecution and issuance to the Company of patents, copyright registrations, trademark registrations or similar protections covering the Inventions with the same legal force and effect as if executed by you.</w:t>
      </w:r>
    </w:p>
    <w:p>
      <w:pPr>
        <w:spacing w:after="0" w:line="359" w:lineRule="exact"/>
        <w:rPr>
          <w:rFonts w:ascii="Times New Roman" w:cs="Times New Roman" w:eastAsia="Times New Roman" w:hAnsi="Times New Roman"/>
          <w:sz w:val="16"/>
          <w:szCs w:val="16"/>
          <w:color w:val="auto"/>
        </w:rPr>
      </w:pPr>
    </w:p>
    <w:p>
      <w:pPr>
        <w:ind w:left="860" w:hanging="351"/>
        <w:spacing w:after="0"/>
        <w:tabs>
          <w:tab w:leader="none" w:pos="86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the Economic Espionage Act of 1996, as amended by the Defend Trade Secrets Act of 2016, notwithstanding any other provision of this Agreement:</w:t>
      </w:r>
    </w:p>
    <w:p>
      <w:pPr>
        <w:spacing w:after="0" w:line="24" w:lineRule="exact"/>
        <w:rPr>
          <w:rFonts w:ascii="Times New Roman" w:cs="Times New Roman" w:eastAsia="Times New Roman" w:hAnsi="Times New Roman"/>
          <w:sz w:val="16"/>
          <w:szCs w:val="16"/>
          <w:color w:val="auto"/>
        </w:rPr>
      </w:pPr>
    </w:p>
    <w:p>
      <w:pPr>
        <w:spacing w:after="0" w:line="27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you will not be held criminally or civilly liable under any federal or state trade secret law for any disclosure of a trade secret that is made: (1) in confidence to a federal, state, or local government official, either directly or</w:t>
      </w:r>
    </w:p>
    <w:p>
      <w:pPr>
        <w:sectPr>
          <w:pgSz w:w="11900" w:h="16838" w:orient="portrait"/>
          <w:cols w:equalWidth="0" w:num="1">
            <w:col w:w="11020"/>
          </w:cols>
          <w:pgMar w:left="460" w:top="1016" w:right="419" w:bottom="1440" w:gutter="0" w:footer="0" w:header="0"/>
        </w:sectPr>
      </w:pPr>
    </w:p>
    <w:bookmarkStart w:id="49" w:name="page50"/>
    <w:bookmarkEnd w:id="49"/>
    <w:p>
      <w:pPr>
        <w:jc w:val="both"/>
        <w:spacing w:after="0" w:line="270" w:lineRule="auto"/>
        <w:rPr>
          <w:sz w:val="20"/>
          <w:szCs w:val="20"/>
          <w:color w:val="auto"/>
        </w:rPr>
      </w:pPr>
      <w:r>
        <w:rPr>
          <w:rFonts w:ascii="Times New Roman" w:cs="Times New Roman" w:eastAsia="Times New Roman" w:hAnsi="Times New Roman"/>
          <w:sz w:val="16"/>
          <w:szCs w:val="16"/>
          <w:color w:val="auto"/>
        </w:rPr>
        <w:t>indirectly, or to an attorney and solely for the purpose of reporting or investigating a suspected violation of law; or (2) in a complaint or other document that is filed under seal in a lawsuit or other proceeding; or (ii) if you file a lawsuit for retaliation for reporting a suspected violation of law, you may disclose trade secrets to your attorney and use the trade secret information in the court proceeding if you (1) file any document containing the trade secret under seal; and (2) do not disclose the trade secret, except pursuant to court order.</w:t>
      </w:r>
    </w:p>
    <w:p>
      <w:pPr>
        <w:spacing w:after="0" w:line="148" w:lineRule="exact"/>
        <w:rPr>
          <w:sz w:val="20"/>
          <w:szCs w:val="20"/>
          <w:color w:val="auto"/>
        </w:rPr>
      </w:pPr>
    </w:p>
    <w:p>
      <w:pPr>
        <w:jc w:val="both"/>
        <w:spacing w:after="0" w:line="258" w:lineRule="auto"/>
        <w:tabs>
          <w:tab w:leader="none" w:pos="34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Necessary and Reasonable/Breach/Attorneys’ Fees</w:t>
      </w:r>
      <w:r>
        <w:rPr>
          <w:rFonts w:ascii="Times New Roman" w:cs="Times New Roman" w:eastAsia="Times New Roman" w:hAnsi="Times New Roman"/>
          <w:sz w:val="16"/>
          <w:szCs w:val="16"/>
          <w:color w:val="auto"/>
        </w:rPr>
        <w:t xml:space="preserve">. You agree that (i) the provisions of </w:t>
      </w:r>
      <w:r>
        <w:rPr>
          <w:rFonts w:ascii="Times New Roman" w:cs="Times New Roman" w:eastAsia="Times New Roman" w:hAnsi="Times New Roman"/>
          <w:sz w:val="16"/>
          <w:szCs w:val="16"/>
          <w:u w:val="single" w:color="auto"/>
          <w:color w:val="auto"/>
        </w:rPr>
        <w:t>Sections 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w:t>
      </w:r>
      <w:r>
        <w:rPr>
          <w:rFonts w:ascii="Times New Roman" w:cs="Times New Roman" w:eastAsia="Times New Roman" w:hAnsi="Times New Roman"/>
          <w:sz w:val="16"/>
          <w:szCs w:val="16"/>
          <w:color w:val="auto"/>
        </w:rPr>
        <w:t xml:space="preserve"> of this Agreement are necessary and reasonable to protect the Company’s Confidential Information, Company Inventions, and goodwill and (ii) in the event of any breach of any of the covenants set forth herein, the Company would suffer substantial irreparable harm and would not have an adequate remedy at law for such breach. In recognition of the foregoing, you agree that in the event of a breach or threatened breach of any of these covenants, in addition to such other remedies as the Company may have at law, without posting any bond or security, the Company shall be entitled to seek and obtain equitable relief, in the form of specific performance, and/or temporary, preliminary or permanent injunctive relief, or any other equitable remedy which then may be available. The seeking of such injunction or order shall not affect the Company’s right to seek and obtain damages or other equitable relief on account of any such actual or threatened breach. In the event the Company takes any court action with respect to your breach or threatened breach of this Agreement, and prevails in such action, you shall be obligated to reimburse the Company for its reasonable attorneys’ fees and costs incurred in such action.</w:t>
      </w:r>
    </w:p>
    <w:p>
      <w:pPr>
        <w:spacing w:after="0" w:line="369" w:lineRule="exact"/>
        <w:rPr>
          <w:rFonts w:ascii="Times New Roman" w:cs="Times New Roman" w:eastAsia="Times New Roman" w:hAnsi="Times New Roman"/>
          <w:sz w:val="16"/>
          <w:szCs w:val="16"/>
          <w:color w:val="auto"/>
        </w:rPr>
      </w:pPr>
    </w:p>
    <w:p>
      <w:pPr>
        <w:jc w:val="both"/>
        <w:spacing w:after="0" w:line="265" w:lineRule="auto"/>
        <w:tabs>
          <w:tab w:leader="none" w:pos="34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Disclosure to Future Employers</w:t>
      </w:r>
      <w:r>
        <w:rPr>
          <w:rFonts w:ascii="Times New Roman" w:cs="Times New Roman" w:eastAsia="Times New Roman" w:hAnsi="Times New Roman"/>
          <w:sz w:val="16"/>
          <w:szCs w:val="16"/>
          <w:color w:val="auto"/>
        </w:rPr>
        <w:t xml:space="preserve">. You agree that you will provide, and that the Company may similarly provide in its discretion, a copy of the covenants contained in </w:t>
      </w:r>
      <w:r>
        <w:rPr>
          <w:rFonts w:ascii="Times New Roman" w:cs="Times New Roman" w:eastAsia="Times New Roman" w:hAnsi="Times New Roman"/>
          <w:sz w:val="16"/>
          <w:szCs w:val="16"/>
          <w:u w:val="single" w:color="auto"/>
          <w:color w:val="auto"/>
        </w:rPr>
        <w:t>Sections 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w:t>
      </w:r>
      <w:r>
        <w:rPr>
          <w:rFonts w:ascii="Times New Roman" w:cs="Times New Roman" w:eastAsia="Times New Roman" w:hAnsi="Times New Roman"/>
          <w:sz w:val="16"/>
          <w:szCs w:val="16"/>
          <w:color w:val="auto"/>
        </w:rPr>
        <w:t xml:space="preserve"> of this Agreement to any business or enterprise which you may directly, or indirectly, own, manage, operate, finance, join, control or in which you participate in the ownership, management, operation, financing, or control, or with which you may be connected as an officer, director, employee, partner, principal, agent, representative, consultant or otherwise.</w:t>
      </w:r>
    </w:p>
    <w:p>
      <w:pPr>
        <w:spacing w:after="0" w:line="68" w:lineRule="exact"/>
        <w:rPr>
          <w:rFonts w:ascii="Times New Roman" w:cs="Times New Roman" w:eastAsia="Times New Roman" w:hAnsi="Times New Roman"/>
          <w:sz w:val="16"/>
          <w:szCs w:val="16"/>
          <w:color w:val="auto"/>
        </w:rPr>
      </w:pPr>
    </w:p>
    <w:p>
      <w:pPr>
        <w:ind w:left="500" w:hanging="499"/>
        <w:spacing w:after="0"/>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Representations Regarding Prior Work and Legal Obligations</w:t>
      </w:r>
      <w:r>
        <w:rPr>
          <w:rFonts w:ascii="Times New Roman" w:cs="Times New Roman" w:eastAsia="Times New Roman" w:hAnsi="Times New Roman"/>
          <w:sz w:val="16"/>
          <w:szCs w:val="16"/>
          <w:color w:val="auto"/>
        </w:rPr>
        <w:t>.</w:t>
      </w:r>
    </w:p>
    <w:p>
      <w:pPr>
        <w:spacing w:after="0" w:line="240" w:lineRule="exact"/>
        <w:rPr>
          <w:rFonts w:ascii="Times New Roman" w:cs="Times New Roman" w:eastAsia="Times New Roman" w:hAnsi="Times New Roman"/>
          <w:sz w:val="16"/>
          <w:szCs w:val="16"/>
          <w:color w:val="auto"/>
        </w:rPr>
      </w:pPr>
    </w:p>
    <w:p>
      <w:pPr>
        <w:ind w:right="80" w:firstLine="509"/>
        <w:spacing w:after="0" w:line="269" w:lineRule="auto"/>
        <w:tabs>
          <w:tab w:leader="none" w:pos="85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You represent that you have no agreement or other legal obligation with any prior employer or any other person or entity that restricts your ability to engage in employment discussions with, employment with, or to perform any function for, the Company.</w:t>
      </w:r>
    </w:p>
    <w:p>
      <w:pPr>
        <w:spacing w:after="0" w:line="158" w:lineRule="exact"/>
        <w:rPr>
          <w:rFonts w:ascii="Times New Roman" w:cs="Times New Roman" w:eastAsia="Times New Roman" w:hAnsi="Times New Roman"/>
          <w:sz w:val="17"/>
          <w:szCs w:val="17"/>
          <w:color w:val="auto"/>
        </w:rPr>
      </w:pPr>
    </w:p>
    <w:p>
      <w:pPr>
        <w:jc w:val="both"/>
        <w:ind w:right="60" w:firstLine="509"/>
        <w:spacing w:after="0" w:line="265" w:lineRule="auto"/>
        <w:tabs>
          <w:tab w:leader="none" w:pos="85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You represent that you have been advised by the Company that at no time should you divulge to or use for the benefit of the Company, any trade secret or confidential or proprietary information of any previous employer. You acknowledge that you have not divulged or used any such information for the benefit of the Company.</w:t>
      </w:r>
    </w:p>
    <w:p>
      <w:pPr>
        <w:spacing w:after="0" w:line="152" w:lineRule="exact"/>
        <w:rPr>
          <w:rFonts w:ascii="Times New Roman" w:cs="Times New Roman" w:eastAsia="Times New Roman" w:hAnsi="Times New Roman"/>
          <w:sz w:val="17"/>
          <w:szCs w:val="17"/>
          <w:color w:val="auto"/>
        </w:rPr>
      </w:pPr>
    </w:p>
    <w:p>
      <w:pPr>
        <w:ind w:left="860" w:hanging="351"/>
        <w:spacing w:after="0"/>
        <w:tabs>
          <w:tab w:leader="none" w:pos="86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You acknowledge that the Company is basing important business decisions on these representations, and affirm that all of the statements included herein</w:t>
      </w:r>
    </w:p>
    <w:p>
      <w:pPr>
        <w:spacing w:after="0" w:line="1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are true.</w:t>
      </w:r>
    </w:p>
    <w:p>
      <w:pPr>
        <w:spacing w:after="0" w:line="186" w:lineRule="exact"/>
        <w:rPr>
          <w:rFonts w:ascii="Times New Roman" w:cs="Times New Roman" w:eastAsia="Times New Roman" w:hAnsi="Times New Roman"/>
          <w:sz w:val="17"/>
          <w:szCs w:val="17"/>
          <w:color w:val="auto"/>
        </w:rPr>
      </w:pPr>
    </w:p>
    <w:p>
      <w:pPr>
        <w:ind w:right="60"/>
        <w:spacing w:after="0" w:line="283" w:lineRule="auto"/>
        <w:tabs>
          <w:tab w:leader="none" w:pos="35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Records.</w:t>
      </w:r>
      <w:r>
        <w:rPr>
          <w:rFonts w:ascii="Times New Roman" w:cs="Times New Roman" w:eastAsia="Times New Roman" w:hAnsi="Times New Roman"/>
          <w:sz w:val="16"/>
          <w:szCs w:val="16"/>
          <w:color w:val="auto"/>
        </w:rPr>
        <w:t xml:space="preserve"> Upon termination of your employment relationship with the Company, you shall deliver to the Company any property of the Company which may be in your possession including products, materials, memoranda, notes, records, reports, or other documents or photocopies of the same.</w:t>
      </w:r>
    </w:p>
    <w:p>
      <w:pPr>
        <w:spacing w:after="0" w:line="146" w:lineRule="exact"/>
        <w:rPr>
          <w:rFonts w:ascii="Times New Roman" w:cs="Times New Roman" w:eastAsia="Times New Roman" w:hAnsi="Times New Roman"/>
          <w:sz w:val="17"/>
          <w:szCs w:val="17"/>
          <w:color w:val="auto"/>
        </w:rPr>
      </w:pPr>
    </w:p>
    <w:p>
      <w:pPr>
        <w:ind w:right="80"/>
        <w:spacing w:after="0" w:line="269" w:lineRule="auto"/>
        <w:tabs>
          <w:tab w:leader="none" w:pos="35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No Conflicting Agreements</w:t>
      </w:r>
      <w:r>
        <w:rPr>
          <w:rFonts w:ascii="Times New Roman" w:cs="Times New Roman" w:eastAsia="Times New Roman" w:hAnsi="Times New Roman"/>
          <w:sz w:val="16"/>
          <w:szCs w:val="16"/>
          <w:color w:val="auto"/>
        </w:rPr>
        <w:t>. You hereby represent and warrant that you have no commitments or obligations inconsistent with this Agreement and you hereby agree to indemnify and hold the</w:t>
      </w:r>
    </w:p>
    <w:p>
      <w:pPr>
        <w:sectPr>
          <w:pgSz w:w="11900" w:h="16838" w:orient="portrait"/>
          <w:cols w:equalWidth="0" w:num="1">
            <w:col w:w="11020"/>
          </w:cols>
          <w:pgMar w:left="460" w:top="1016" w:right="419" w:bottom="1440" w:gutter="0" w:footer="0" w:header="0"/>
        </w:sectPr>
      </w:pPr>
    </w:p>
    <w:bookmarkStart w:id="50" w:name="page51"/>
    <w:bookmarkEnd w:id="50"/>
    <w:p>
      <w:pPr>
        <w:spacing w:after="0" w:line="284" w:lineRule="auto"/>
        <w:rPr>
          <w:sz w:val="20"/>
          <w:szCs w:val="20"/>
          <w:color w:val="auto"/>
        </w:rPr>
      </w:pPr>
      <w:r>
        <w:rPr>
          <w:rFonts w:ascii="Times New Roman" w:cs="Times New Roman" w:eastAsia="Times New Roman" w:hAnsi="Times New Roman"/>
          <w:sz w:val="16"/>
          <w:szCs w:val="16"/>
          <w:color w:val="auto"/>
        </w:rPr>
        <w:t>Company harmless against loss, damage, liability or expense arising from any claim based upon circumstances alleged to be inconsistent with such representation and warranty.</w:t>
      </w:r>
    </w:p>
    <w:p>
      <w:pPr>
        <w:spacing w:after="0" w:line="84" w:lineRule="exact"/>
        <w:rPr>
          <w:sz w:val="20"/>
          <w:szCs w:val="20"/>
          <w:color w:val="auto"/>
        </w:rPr>
      </w:pPr>
    </w:p>
    <w:p>
      <w:pPr>
        <w:ind w:left="500" w:hanging="499"/>
        <w:spacing w:after="0"/>
        <w:tabs>
          <w:tab w:leader="none" w:pos="5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General.</w:t>
      </w:r>
    </w:p>
    <w:p>
      <w:pPr>
        <w:spacing w:after="0" w:line="324" w:lineRule="exact"/>
        <w:rPr>
          <w:rFonts w:ascii="Times New Roman" w:cs="Times New Roman" w:eastAsia="Times New Roman" w:hAnsi="Times New Roman"/>
          <w:sz w:val="17"/>
          <w:szCs w:val="17"/>
          <w:color w:val="auto"/>
        </w:rPr>
      </w:pPr>
    </w:p>
    <w:p>
      <w:pPr>
        <w:jc w:val="both"/>
        <w:ind w:right="20" w:firstLine="509"/>
        <w:spacing w:after="0" w:line="265" w:lineRule="auto"/>
        <w:tabs>
          <w:tab w:leader="none" w:pos="8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All notices, requests, consents and other communications hereunder shall be in writing, shall be addressed to the receiving party’s address set forth below or to such other address as a party may designate by notice hereunder, and shall be either (i) delivered by hand, (ii) made by telex, telecopy or facsimile transmission with confirmed receipt thereof (and with a copy of such telex, telecopy or facsimile, together with a copy of the confirmation sent to the recipient by regular U.S. mail on the next business day), (iii) sent by overnight courier, or (iv) sent by registered mail, return receipt requested, postage prepaid.</w:t>
      </w:r>
    </w:p>
    <w:p>
      <w:pPr>
        <w:spacing w:after="0" w:line="164" w:lineRule="exact"/>
        <w:rPr>
          <w:sz w:val="20"/>
          <w:szCs w:val="20"/>
          <w:color w:val="auto"/>
        </w:rPr>
      </w:pPr>
    </w:p>
    <w:p>
      <w:pPr>
        <w:ind w:left="580"/>
        <w:spacing w:after="0"/>
        <w:tabs>
          <w:tab w:leader="none" w:pos="1940" w:val="left"/>
        </w:tabs>
        <w:rPr>
          <w:sz w:val="20"/>
          <w:szCs w:val="20"/>
          <w:color w:val="auto"/>
        </w:rPr>
      </w:pPr>
      <w:r>
        <w:rPr>
          <w:rFonts w:ascii="Times New Roman" w:cs="Times New Roman" w:eastAsia="Times New Roman" w:hAnsi="Times New Roman"/>
          <w:sz w:val="16"/>
          <w:szCs w:val="16"/>
          <w:color w:val="auto"/>
        </w:rPr>
        <w:t>If to the Company:</w:t>
        <w:tab/>
        <w:t>Madrigal Pharmaceuticals</w:t>
      </w:r>
    </w:p>
    <w:p>
      <w:pPr>
        <w:spacing w:after="0" w:line="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6"/>
          <w:szCs w:val="16"/>
          <w:color w:val="auto"/>
        </w:rPr>
        <w:t>Four Tower Bridge</w:t>
      </w:r>
    </w:p>
    <w:p>
      <w:pPr>
        <w:spacing w:after="0" w:line="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6"/>
          <w:szCs w:val="16"/>
          <w:color w:val="auto"/>
        </w:rPr>
        <w:t>200 Barr Harbor Drive, Suite 200 West Conshohocken, PA 19428</w:t>
      </w:r>
    </w:p>
    <w:p>
      <w:pPr>
        <w:spacing w:after="0" w:line="191" w:lineRule="exact"/>
        <w:rPr>
          <w:sz w:val="20"/>
          <w:szCs w:val="20"/>
          <w:color w:val="auto"/>
        </w:rPr>
      </w:pPr>
    </w:p>
    <w:p>
      <w:pPr>
        <w:ind w:left="580"/>
        <w:spacing w:after="0"/>
        <w:tabs>
          <w:tab w:leader="none" w:pos="1320" w:val="left"/>
        </w:tabs>
        <w:rPr>
          <w:sz w:val="20"/>
          <w:szCs w:val="20"/>
          <w:color w:val="auto"/>
        </w:rPr>
      </w:pPr>
      <w:r>
        <w:rPr>
          <w:rFonts w:ascii="Times New Roman" w:cs="Times New Roman" w:eastAsia="Times New Roman" w:hAnsi="Times New Roman"/>
          <w:sz w:val="16"/>
          <w:szCs w:val="16"/>
          <w:color w:val="auto"/>
        </w:rPr>
        <w:t>If to you:</w:t>
        <w:tab/>
        <w:t>To the address set forth on the signature page of this Agreement.</w:t>
      </w:r>
    </w:p>
    <w:p>
      <w:pPr>
        <w:spacing w:after="0" w:line="198" w:lineRule="exact"/>
        <w:rPr>
          <w:sz w:val="20"/>
          <w:szCs w:val="20"/>
          <w:color w:val="auto"/>
        </w:rPr>
      </w:pPr>
    </w:p>
    <w:p>
      <w:pPr>
        <w:jc w:val="both"/>
        <w:ind w:left="80" w:firstLine="254"/>
        <w:spacing w:after="0" w:line="265" w:lineRule="auto"/>
        <w:rPr>
          <w:sz w:val="20"/>
          <w:szCs w:val="20"/>
          <w:color w:val="auto"/>
        </w:rPr>
      </w:pPr>
      <w:r>
        <w:rPr>
          <w:rFonts w:ascii="Times New Roman" w:cs="Times New Roman" w:eastAsia="Times New Roman" w:hAnsi="Times New Roman"/>
          <w:sz w:val="16"/>
          <w:szCs w:val="16"/>
          <w:color w:val="auto"/>
        </w:rPr>
        <w:t>All notices, requests, consents and other communications hereunder shall be deemed to have been given either (i) if by hand, at the time of the delivery thereof to the receiving party at the address of such party set forth above, (ii) if made by telex, telecopy or facsimile transmission, at the time that receipt thereof has been acknowledged by electronic confirmation or otherwise, (iii) if sent by overnight courier, on the next business day following the day such notice is delivered to the courier service, or (iv) if sent by registered mail, on the fifth business day following the day such mailing is made.</w:t>
      </w:r>
    </w:p>
    <w:p>
      <w:pPr>
        <w:spacing w:after="0" w:line="164" w:lineRule="exact"/>
        <w:rPr>
          <w:sz w:val="20"/>
          <w:szCs w:val="20"/>
          <w:color w:val="auto"/>
        </w:rPr>
      </w:pPr>
    </w:p>
    <w:p>
      <w:pPr>
        <w:jc w:val="both"/>
        <w:ind w:firstLine="509"/>
        <w:spacing w:after="0" w:line="260" w:lineRule="auto"/>
        <w:tabs>
          <w:tab w:leader="none" w:pos="85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355" w:lineRule="exact"/>
        <w:rPr>
          <w:rFonts w:ascii="Times New Roman" w:cs="Times New Roman" w:eastAsia="Times New Roman" w:hAnsi="Times New Roman"/>
          <w:sz w:val="17"/>
          <w:szCs w:val="17"/>
          <w:color w:val="auto"/>
        </w:rPr>
      </w:pPr>
    </w:p>
    <w:p>
      <w:pPr>
        <w:ind w:right="20" w:firstLine="510"/>
        <w:spacing w:after="0" w:line="283" w:lineRule="auto"/>
        <w:tabs>
          <w:tab w:leader="none" w:pos="85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Modifications and Amendments</w:t>
      </w:r>
      <w:r>
        <w:rPr>
          <w:rFonts w:ascii="Times New Roman" w:cs="Times New Roman" w:eastAsia="Times New Roman" w:hAnsi="Times New Roman"/>
          <w:sz w:val="16"/>
          <w:szCs w:val="16"/>
          <w:color w:val="auto"/>
        </w:rPr>
        <w:t>. The terms and provisions of this Agreement may be modified or amended only by written agreement executed by the parties hereto.</w:t>
      </w:r>
    </w:p>
    <w:p>
      <w:pPr>
        <w:spacing w:after="0" w:line="136" w:lineRule="exact"/>
        <w:rPr>
          <w:rFonts w:ascii="Times New Roman" w:cs="Times New Roman" w:eastAsia="Times New Roman" w:hAnsi="Times New Roman"/>
          <w:sz w:val="17"/>
          <w:szCs w:val="17"/>
          <w:color w:val="auto"/>
        </w:rPr>
      </w:pPr>
    </w:p>
    <w:p>
      <w:pPr>
        <w:jc w:val="both"/>
        <w:ind w:firstLine="509"/>
        <w:spacing w:after="0" w:line="260" w:lineRule="auto"/>
        <w:tabs>
          <w:tab w:leader="none" w:pos="85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Waivers and Consents</w:t>
      </w:r>
      <w:r>
        <w:rPr>
          <w:rFonts w:ascii="Times New Roman" w:cs="Times New Roman" w:eastAsia="Times New Roman" w:hAnsi="Times New Roman"/>
          <w:sz w:val="16"/>
          <w:szCs w:val="16"/>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66" w:lineRule="exact"/>
        <w:rPr>
          <w:rFonts w:ascii="Times New Roman" w:cs="Times New Roman" w:eastAsia="Times New Roman" w:hAnsi="Times New Roman"/>
          <w:sz w:val="17"/>
          <w:szCs w:val="17"/>
          <w:color w:val="auto"/>
        </w:rPr>
      </w:pPr>
    </w:p>
    <w:p>
      <w:pPr>
        <w:jc w:val="both"/>
        <w:ind w:right="20" w:firstLine="509"/>
        <w:spacing w:after="0" w:line="256" w:lineRule="auto"/>
        <w:tabs>
          <w:tab w:leader="none" w:pos="85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The Company may assign its rights and obligations hereunder to any person or entity that succeeds to all or substantially all of the Company’s business or that aspect of the Company’s business in which you are principally involved. Your rights and obligations under this Agreement may not be assigned by you without the prior written consent of the Company.</w:t>
      </w:r>
    </w:p>
    <w:p>
      <w:pPr>
        <w:ind w:right="20" w:firstLine="510"/>
        <w:spacing w:after="0" w:line="259" w:lineRule="auto"/>
        <w:tabs>
          <w:tab w:leader="none" w:pos="85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Benefit</w:t>
      </w:r>
      <w:r>
        <w:rPr>
          <w:rFonts w:ascii="Times New Roman" w:cs="Times New Roman" w:eastAsia="Times New Roman" w:hAnsi="Times New Roman"/>
          <w:sz w:val="16"/>
          <w:szCs w:val="16"/>
          <w:color w:val="auto"/>
        </w:rPr>
        <w:t>. All statements, representations, warranties, covenants and agreements in this Agreement shall be binding on the parties hereto and shall inure to the benefit of the respective</w:t>
      </w:r>
    </w:p>
    <w:p>
      <w:pPr>
        <w:sectPr>
          <w:pgSz w:w="11900" w:h="16838" w:orient="portrait"/>
          <w:cols w:equalWidth="0" w:num="1">
            <w:col w:w="10960"/>
          </w:cols>
          <w:pgMar w:left="460" w:top="1207" w:right="479" w:bottom="1440" w:gutter="0" w:footer="0" w:header="0"/>
        </w:sectPr>
      </w:pPr>
    </w:p>
    <w:bookmarkStart w:id="51" w:name="page52"/>
    <w:bookmarkEnd w:id="51"/>
    <w:p>
      <w:pPr>
        <w:ind w:right="20"/>
        <w:spacing w:after="0" w:line="284" w:lineRule="auto"/>
        <w:rPr>
          <w:sz w:val="20"/>
          <w:szCs w:val="20"/>
          <w:color w:val="auto"/>
        </w:rPr>
      </w:pPr>
      <w:r>
        <w:rPr>
          <w:rFonts w:ascii="Times New Roman" w:cs="Times New Roman" w:eastAsia="Times New Roman" w:hAnsi="Times New Roman"/>
          <w:sz w:val="16"/>
          <w:szCs w:val="16"/>
          <w:color w:val="auto"/>
        </w:rPr>
        <w:t>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37" w:lineRule="exact"/>
        <w:rPr>
          <w:sz w:val="20"/>
          <w:szCs w:val="20"/>
          <w:color w:val="auto"/>
        </w:rPr>
      </w:pPr>
    </w:p>
    <w:p>
      <w:pPr>
        <w:ind w:firstLine="509"/>
        <w:spacing w:after="0" w:line="269" w:lineRule="auto"/>
        <w:tabs>
          <w:tab w:leader="none" w:pos="85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and the rights and obligations of the parties hereunder shall be construed in accordance with and governed by the laws of the Commonwealth of Pennsylvania, without giving effect to the conflict of laws principles thereof.</w:t>
      </w:r>
    </w:p>
    <w:p>
      <w:pPr>
        <w:spacing w:after="0" w:line="158" w:lineRule="exact"/>
        <w:rPr>
          <w:rFonts w:ascii="Times New Roman" w:cs="Times New Roman" w:eastAsia="Times New Roman" w:hAnsi="Times New Roman"/>
          <w:sz w:val="17"/>
          <w:szCs w:val="17"/>
          <w:color w:val="auto"/>
        </w:rPr>
      </w:pPr>
    </w:p>
    <w:p>
      <w:pPr>
        <w:jc w:val="both"/>
        <w:ind w:right="20" w:firstLine="509"/>
        <w:spacing w:after="0" w:line="265" w:lineRule="auto"/>
        <w:tabs>
          <w:tab w:leader="none" w:pos="856"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Jurisdiction</w:t>
      </w:r>
      <w:r>
        <w:rPr>
          <w:rFonts w:ascii="Times New Roman" w:cs="Times New Roman" w:eastAsia="Times New Roman" w:hAnsi="Times New Roman"/>
          <w:sz w:val="16"/>
          <w:szCs w:val="16"/>
          <w:color w:val="auto"/>
        </w:rPr>
        <w:t>. Any legal action or proceeding with respect to this Agreement may be brought in the courts of the Commonwealth of Pennsylvania or of the United States of America. By execution and delivery of this Agreement, each of the parties hereto accepts for itself and in respect of its property, generally and unconditionally, the jurisdiction of the aforesaid courts.</w:t>
      </w:r>
    </w:p>
    <w:p>
      <w:pPr>
        <w:spacing w:after="0" w:line="173" w:lineRule="exact"/>
        <w:rPr>
          <w:rFonts w:ascii="Times New Roman" w:cs="Times New Roman" w:eastAsia="Times New Roman" w:hAnsi="Times New Roman"/>
          <w:sz w:val="17"/>
          <w:szCs w:val="17"/>
          <w:color w:val="auto"/>
        </w:rPr>
      </w:pPr>
    </w:p>
    <w:p>
      <w:pPr>
        <w:ind w:left="1000" w:hanging="490"/>
        <w:spacing w:after="0"/>
        <w:tabs>
          <w:tab w:leader="none" w:pos="10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parties intend this Agreement to be enforced as written. However,</w:t>
      </w:r>
    </w:p>
    <w:p>
      <w:pPr>
        <w:spacing w:after="0" w:line="13" w:lineRule="exact"/>
        <w:rPr>
          <w:rFonts w:ascii="Times New Roman" w:cs="Times New Roman" w:eastAsia="Times New Roman" w:hAnsi="Times New Roman"/>
          <w:sz w:val="17"/>
          <w:szCs w:val="17"/>
          <w:color w:val="auto"/>
        </w:rPr>
      </w:pPr>
    </w:p>
    <w:p>
      <w:pPr>
        <w:jc w:val="both"/>
        <w:spacing w:after="0" w:line="256" w:lineRule="auto"/>
        <w:tabs>
          <w:tab w:leader="none" w:pos="21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portion or provision of this Agreement shall to any extent be declared illegal or unenforceable by a duly authorized court having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 and (ii) if any provision, or part thereof, is held to be unenforceable because of the duration of such provision or the geographic area covered thereby, the Company and you agree that the court making such determination shall have the power to reduce the duration and/or geographic area of such provision, and/or to delete specific words and phrases (“blue-penciling”), and in its reduced or blue-penciled form such provision shall then be enforceable and shall be enforced.</w:t>
      </w:r>
    </w:p>
    <w:p>
      <w:pPr>
        <w:spacing w:after="0" w:line="173" w:lineRule="exact"/>
        <w:rPr>
          <w:rFonts w:ascii="Times New Roman" w:cs="Times New Roman" w:eastAsia="Times New Roman" w:hAnsi="Times New Roman"/>
          <w:sz w:val="16"/>
          <w:szCs w:val="16"/>
          <w:color w:val="auto"/>
        </w:rPr>
      </w:pPr>
    </w:p>
    <w:p>
      <w:pPr>
        <w:ind w:right="20" w:firstLine="510"/>
        <w:spacing w:after="0" w:line="269" w:lineRule="auto"/>
        <w:tabs>
          <w:tab w:leader="none" w:pos="86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Headings and Captions</w:t>
      </w:r>
      <w:r>
        <w:rPr>
          <w:rFonts w:ascii="Times New Roman" w:cs="Times New Roman" w:eastAsia="Times New Roman" w:hAnsi="Times New Roman"/>
          <w:sz w:val="16"/>
          <w:szCs w:val="16"/>
          <w:color w:val="auto"/>
        </w:rPr>
        <w:t>. The headings and captions of the various subdivisions of this Agreement are for convenience of reference only and shall in no way modify, or affect the meaning or construction of any of the terms or provisions hereof.</w:t>
      </w:r>
    </w:p>
    <w:p>
      <w:pPr>
        <w:spacing w:after="0" w:line="158" w:lineRule="exact"/>
        <w:rPr>
          <w:rFonts w:ascii="Times New Roman" w:cs="Times New Roman" w:eastAsia="Times New Roman" w:hAnsi="Times New Roman"/>
          <w:sz w:val="17"/>
          <w:szCs w:val="17"/>
          <w:color w:val="auto"/>
        </w:rPr>
      </w:pPr>
    </w:p>
    <w:p>
      <w:pPr>
        <w:jc w:val="both"/>
        <w:ind w:right="20" w:firstLine="509"/>
        <w:spacing w:after="0" w:line="256" w:lineRule="auto"/>
        <w:tabs>
          <w:tab w:leader="none" w:pos="857"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No Waiver of Rights, Powers and Remedies</w:t>
      </w:r>
      <w:r>
        <w:rPr>
          <w:rFonts w:ascii="Times New Roman" w:cs="Times New Roman" w:eastAsia="Times New Roman" w:hAnsi="Times New Roman"/>
          <w:sz w:val="16"/>
          <w:szCs w:val="16"/>
          <w:color w:val="auto"/>
        </w:rPr>
        <w:t>. No failure or delay by a party hereto in exercising any right, power or remedy under this Agreement, and no course of dealing between the parties hereto, shall operate as a waiver of any such right, power or remedy of the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73" w:lineRule="exact"/>
        <w:rPr>
          <w:rFonts w:ascii="Times New Roman" w:cs="Times New Roman" w:eastAsia="Times New Roman" w:hAnsi="Times New Roman"/>
          <w:sz w:val="17"/>
          <w:szCs w:val="17"/>
          <w:color w:val="auto"/>
        </w:rPr>
      </w:pPr>
    </w:p>
    <w:p>
      <w:pPr>
        <w:ind w:right="20" w:firstLine="509"/>
        <w:spacing w:after="0" w:line="269" w:lineRule="auto"/>
        <w:tabs>
          <w:tab w:leader="none" w:pos="861"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one or more counterparts, and by different parties hereto on separate counterparts, each of which shall be deemed an original, but all of which together shall constitute one and the same instrument.</w:t>
      </w:r>
    </w:p>
    <w:p>
      <w:pPr>
        <w:sectPr>
          <w:pgSz w:w="11900" w:h="16838" w:orient="portrait"/>
          <w:cols w:equalWidth="0" w:num="1">
            <w:col w:w="10960"/>
          </w:cols>
          <w:pgMar w:left="460" w:top="1016" w:right="479" w:bottom="1440" w:gutter="0" w:footer="0" w:header="0"/>
        </w:sectPr>
      </w:pPr>
    </w:p>
    <w:bookmarkStart w:id="52" w:name="page53"/>
    <w:bookmarkEnd w:id="52"/>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If the foregoing accurately sets forth our agreement, please so indicate by signing and returning to us the enclosed copy of this letter.</w:t>
      </w:r>
    </w:p>
    <w:p>
      <w:pPr>
        <w:spacing w:after="0" w:line="20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6"/>
          <w:szCs w:val="16"/>
          <w:color w:val="auto"/>
        </w:rPr>
        <w:t>Very truly yours,</w:t>
      </w:r>
    </w:p>
    <w:p>
      <w:pPr>
        <w:spacing w:after="0" w:line="19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MADRIGAL PHARMACEUTICALS, INC.</w:t>
      </w:r>
    </w:p>
    <w:p>
      <w:pPr>
        <w:spacing w:after="0" w:line="200" w:lineRule="exact"/>
        <w:rPr>
          <w:sz w:val="20"/>
          <w:szCs w:val="20"/>
          <w:color w:val="auto"/>
        </w:rPr>
      </w:pPr>
    </w:p>
    <w:p>
      <w:pPr>
        <w:spacing w:after="0" w:line="38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Bill Sibold</w:t>
      </w:r>
    </w:p>
    <w:p>
      <w:pPr>
        <w:spacing w:after="0" w:line="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color w:val="auto"/>
        </w:rPr>
        <w:t>Bill Sibold</w:t>
      </w:r>
    </w:p>
    <w:p>
      <w:pPr>
        <w:spacing w:after="0" w:line="1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6"/>
          <w:szCs w:val="16"/>
          <w:i w:val="1"/>
          <w:iCs w:val="1"/>
          <w:color w:val="auto"/>
        </w:rPr>
        <w:t>Chief Executive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Agreed to and accepted:</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Shannon Kelley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Name: Shannon Kelley</w:t>
      </w:r>
    </w:p>
    <w:p>
      <w:pPr>
        <w:sectPr>
          <w:pgSz w:w="11900" w:h="16838" w:orient="portrait"/>
          <w:cols w:equalWidth="0" w:num="1">
            <w:col w:w="10159"/>
          </w:cols>
          <w:pgMar w:left="300" w:top="1440" w:right="1440"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SEVERANCE AND CHANGE OF CONTROL AGREEMENT</w:t>
      </w:r>
    </w:p>
    <w:p>
      <w:pPr>
        <w:spacing w:after="0" w:line="176" w:lineRule="exact"/>
        <w:rPr>
          <w:sz w:val="20"/>
          <w:szCs w:val="20"/>
          <w:color w:val="auto"/>
        </w:rPr>
      </w:pPr>
    </w:p>
    <w:p>
      <w:pPr>
        <w:ind w:right="60" w:firstLine="325"/>
        <w:spacing w:after="0" w:line="281" w:lineRule="auto"/>
        <w:rPr>
          <w:sz w:val="20"/>
          <w:szCs w:val="20"/>
          <w:color w:val="auto"/>
        </w:rPr>
      </w:pPr>
      <w:r>
        <w:rPr>
          <w:rFonts w:ascii="Times New Roman" w:cs="Times New Roman" w:eastAsia="Times New Roman" w:hAnsi="Times New Roman"/>
          <w:sz w:val="17"/>
          <w:szCs w:val="17"/>
          <w:color w:val="auto"/>
        </w:rPr>
        <w:t>This Severance and Change of Control Agreement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entered into as of January 3, 2024 by and between Madrigal Pharmaceuticals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Shannon Kelley (“</w:t>
      </w:r>
      <w:r>
        <w:rPr>
          <w:rFonts w:ascii="Times New Roman" w:cs="Times New Roman" w:eastAsia="Times New Roman" w:hAnsi="Times New Roman"/>
          <w:sz w:val="17"/>
          <w:szCs w:val="17"/>
          <w:b w:val="1"/>
          <w:bCs w:val="1"/>
          <w:color w:val="auto"/>
        </w:rPr>
        <w:t>Executive</w:t>
      </w:r>
      <w:r>
        <w:rPr>
          <w:rFonts w:ascii="Times New Roman" w:cs="Times New Roman" w:eastAsia="Times New Roman" w:hAnsi="Times New Roman"/>
          <w:sz w:val="17"/>
          <w:szCs w:val="17"/>
          <w:color w:val="auto"/>
        </w:rPr>
        <w:t>”).</w:t>
      </w:r>
    </w:p>
    <w:p>
      <w:pPr>
        <w:spacing w:after="0" w:line="147" w:lineRule="exact"/>
        <w:rPr>
          <w:sz w:val="20"/>
          <w:szCs w:val="20"/>
          <w:color w:val="auto"/>
        </w:rPr>
      </w:pPr>
    </w:p>
    <w:p>
      <w:pPr>
        <w:ind w:left="80" w:right="20"/>
        <w:spacing w:after="0" w:line="28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Executive is employed by the Company, and because of such employment, possesses detailed knowledge of the Company and its business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operations;</w:t>
      </w:r>
    </w:p>
    <w:p>
      <w:pPr>
        <w:spacing w:after="0" w:line="1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Executive’s continued service to the Company is very important to the future success of the Company;</w:t>
      </w:r>
    </w:p>
    <w:p>
      <w:pPr>
        <w:spacing w:after="0" w:line="176" w:lineRule="exact"/>
        <w:rPr>
          <w:sz w:val="20"/>
          <w:szCs w:val="20"/>
          <w:color w:val="auto"/>
        </w:rPr>
      </w:pPr>
    </w:p>
    <w:p>
      <w:pPr>
        <w:ind w:left="180" w:firstLine="229"/>
        <w:spacing w:after="0" w:line="28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Company desires to enter into this Agreement to provide Executive with certain financial protection in the event that Executive’s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employment terminates under certain circumstances, and thereby to provide Executive with incentives to remain with the Company; and</w:t>
      </w:r>
    </w:p>
    <w:p>
      <w:pPr>
        <w:spacing w:after="0" w:line="126" w:lineRule="exact"/>
        <w:rPr>
          <w:sz w:val="20"/>
          <w:szCs w:val="20"/>
          <w:color w:val="auto"/>
        </w:rPr>
      </w:pPr>
    </w:p>
    <w:p>
      <w:pPr>
        <w:ind w:left="80"/>
        <w:spacing w:after="0" w:line="281"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of Directors of the Company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acting through the Compensation Committee has determined that it is in the best interests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to enter into this Agreement.</w:t>
      </w:r>
    </w:p>
    <w:p>
      <w:pPr>
        <w:spacing w:after="0" w:line="115" w:lineRule="exact"/>
        <w:rPr>
          <w:sz w:val="20"/>
          <w:szCs w:val="20"/>
          <w:color w:val="auto"/>
        </w:rPr>
      </w:pPr>
    </w:p>
    <w:p>
      <w:pPr>
        <w:ind w:left="80" w:right="20"/>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NOW THEREFORE </w:t>
      </w:r>
      <w:r>
        <w:rPr>
          <w:rFonts w:ascii="Times New Roman" w:cs="Times New Roman" w:eastAsia="Times New Roman" w:hAnsi="Times New Roman"/>
          <w:sz w:val="17"/>
          <w:szCs w:val="17"/>
          <w:color w:val="auto"/>
        </w:rPr>
        <w:t>for good and valuable consideration, the receipt and sufficiency of which are hereby acknowledged, the Company and Executive agree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follows:</w:t>
      </w:r>
    </w:p>
    <w:p>
      <w:pPr>
        <w:spacing w:after="0" w:line="115" w:lineRule="exact"/>
        <w:rPr>
          <w:sz w:val="20"/>
          <w:szCs w:val="20"/>
          <w:color w:val="auto"/>
        </w:rPr>
      </w:pPr>
    </w:p>
    <w:p>
      <w:pPr>
        <w:ind w:left="5140" w:hanging="497"/>
        <w:spacing w:after="0"/>
        <w:tabs>
          <w:tab w:leader="none" w:pos="5140" w:val="left"/>
        </w:tabs>
        <w:numPr>
          <w:ilvl w:val="2"/>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w:t>
      </w:r>
    </w:p>
    <w:p>
      <w:pPr>
        <w:spacing w:after="0" w:line="186" w:lineRule="exact"/>
        <w:rPr>
          <w:rFonts w:ascii="Times New Roman" w:cs="Times New Roman" w:eastAsia="Times New Roman" w:hAnsi="Times New Roman"/>
          <w:sz w:val="17"/>
          <w:szCs w:val="17"/>
          <w:b w:val="1"/>
          <w:bCs w:val="1"/>
          <w:color w:val="auto"/>
        </w:rPr>
      </w:pPr>
    </w:p>
    <w:p>
      <w:pPr>
        <w:jc w:val="both"/>
        <w:ind w:left="80" w:firstLine="509"/>
        <w:spacing w:after="0" w:line="252" w:lineRule="auto"/>
        <w:tabs>
          <w:tab w:leader="none" w:pos="93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Cause</w:t>
      </w:r>
      <w:r>
        <w:rPr>
          <w:rFonts w:ascii="Times New Roman" w:cs="Times New Roman" w:eastAsia="Times New Roman" w:hAnsi="Times New Roman"/>
          <w:sz w:val="17"/>
          <w:szCs w:val="17"/>
          <w:color w:val="auto"/>
        </w:rPr>
        <w:t>. As used herein, “</w:t>
      </w:r>
      <w:r>
        <w:rPr>
          <w:rFonts w:ascii="Times New Roman" w:cs="Times New Roman" w:eastAsia="Times New Roman" w:hAnsi="Times New Roman"/>
          <w:sz w:val="17"/>
          <w:szCs w:val="17"/>
          <w:b w:val="1"/>
          <w:bCs w:val="1"/>
          <w:color w:val="auto"/>
        </w:rPr>
        <w:t>Cause</w:t>
      </w:r>
      <w:r>
        <w:rPr>
          <w:rFonts w:ascii="Times New Roman" w:cs="Times New Roman" w:eastAsia="Times New Roman" w:hAnsi="Times New Roman"/>
          <w:sz w:val="17"/>
          <w:szCs w:val="17"/>
          <w:color w:val="auto"/>
        </w:rPr>
        <w:t>” shall include (and is not limited to): (i) dishonesty with respect to the Company or any affiliate, parent or subsidiary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(ii) insubordination; (iii) substantial malfeasance or nonfeasance of duty; (iv) unauthorized disclosure of confidential information; (v) Executive’s breach of any material provision of any employment, consulting, advisory, non-disclosure, invention, assignment, non-competition, or similar agreement between Executive and the Company; or (vi) conduct substantially prejudicial to the business of the Company or any affiliate, parent or subsidiary of the Company. The Board shall have sole discretion to determine the existence of “Cause’’ and its determination will be conclusive on Executive and the Company; provided that the Board may delegate its power to act under this paragraph (a) to a committee of the Board in which case the determination of such committee shall be conclusive. “Cause” is not limited to events which have occurred prior to the termination of Executive’s service, nor is it necessary that the Board’s finding of “Cause” occur prior to such termination. If the Board determines, subsequent to Executive’s termination of service, that either prior or subsequent to Executive’s termination Executive engaged in conduct which would constitute “Cause,” then Executive shall have no right to any benefit or compensation under this Agreement.</w:t>
      </w:r>
    </w:p>
    <w:p>
      <w:pPr>
        <w:spacing w:after="0" w:line="143" w:lineRule="exact"/>
        <w:rPr>
          <w:rFonts w:ascii="Times New Roman" w:cs="Times New Roman" w:eastAsia="Times New Roman" w:hAnsi="Times New Roman"/>
          <w:sz w:val="17"/>
          <w:szCs w:val="17"/>
          <w:color w:val="auto"/>
        </w:rPr>
      </w:pPr>
    </w:p>
    <w:p>
      <w:pPr>
        <w:ind w:left="940" w:hanging="350"/>
        <w:spacing w:after="0"/>
        <w:tabs>
          <w:tab w:leader="none" w:pos="9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Change of Control</w:t>
      </w:r>
      <w:r>
        <w:rPr>
          <w:rFonts w:ascii="Times New Roman" w:cs="Times New Roman" w:eastAsia="Times New Roman" w:hAnsi="Times New Roman"/>
          <w:sz w:val="17"/>
          <w:szCs w:val="17"/>
          <w:color w:val="auto"/>
        </w:rPr>
        <w:t>. As used herein, a “</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shall mean the occurrence of any of the following events:</w:t>
      </w:r>
    </w:p>
    <w:p>
      <w:pPr>
        <w:spacing w:after="0" w:line="186" w:lineRule="exact"/>
        <w:rPr>
          <w:rFonts w:ascii="Times New Roman" w:cs="Times New Roman" w:eastAsia="Times New Roman" w:hAnsi="Times New Roman"/>
          <w:sz w:val="17"/>
          <w:szCs w:val="17"/>
          <w:color w:val="auto"/>
        </w:rPr>
      </w:pPr>
    </w:p>
    <w:p>
      <w:pPr>
        <w:ind w:left="80" w:right="20" w:firstLine="1019"/>
        <w:spacing w:after="0" w:line="281" w:lineRule="auto"/>
        <w:tabs>
          <w:tab w:leader="none" w:pos="145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Ownership</w:t>
      </w:r>
      <w:r>
        <w:rPr>
          <w:rFonts w:ascii="Times New Roman" w:cs="Times New Roman" w:eastAsia="Times New Roman" w:hAnsi="Times New Roman"/>
          <w:sz w:val="17"/>
          <w:szCs w:val="17"/>
          <w:color w:val="auto"/>
        </w:rPr>
        <w:t>. Any “Person” (as such term is used in Sections 13(d) and 14(d) of the Securities Exchange Act of 1934, as amended) becomes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“Beneficial Owner” (as</w:t>
      </w:r>
    </w:p>
    <w:p>
      <w:pPr>
        <w:sectPr>
          <w:pgSz w:w="11900" w:h="16838" w:orient="portrait"/>
          <w:cols w:equalWidth="0" w:num="1">
            <w:col w:w="11120"/>
          </w:cols>
          <w:pgMar w:left="380" w:top="1314" w:right="399" w:bottom="1440" w:gutter="0" w:footer="0" w:header="0"/>
        </w:sectPr>
      </w:pPr>
    </w:p>
    <w:bookmarkStart w:id="54" w:name="page55"/>
    <w:bookmarkEnd w:id="54"/>
    <w:p>
      <w:pPr>
        <w:jc w:val="both"/>
        <w:ind w:right="20"/>
        <w:spacing w:after="0" w:line="261" w:lineRule="auto"/>
        <w:rPr>
          <w:sz w:val="20"/>
          <w:szCs w:val="20"/>
          <w:color w:val="auto"/>
        </w:rPr>
      </w:pPr>
      <w:r>
        <w:rPr>
          <w:rFonts w:ascii="Times New Roman" w:cs="Times New Roman" w:eastAsia="Times New Roman" w:hAnsi="Times New Roman"/>
          <w:sz w:val="17"/>
          <w:szCs w:val="17"/>
          <w:color w:val="auto"/>
        </w:rPr>
        <w:t>defined in Rule 13d-3 under said Act), directly or indirectly, of securities of the Company representing fifty percent (50%) or more of the total voting power represented by the Company’s then outstanding voting securities (excluding for this purpose any such voting securities held by the Company, or any affiliate, parent or subsidiary of the Company, or by any employee benefit plan of the Company) pursuant to a transaction or a series of related transactions which the Board does not approve; or</w:t>
      </w:r>
    </w:p>
    <w:p>
      <w:pPr>
        <w:spacing w:after="0" w:line="132" w:lineRule="exact"/>
        <w:rPr>
          <w:sz w:val="20"/>
          <w:szCs w:val="20"/>
          <w:color w:val="auto"/>
        </w:rPr>
      </w:pPr>
    </w:p>
    <w:p>
      <w:pPr>
        <w:jc w:val="both"/>
        <w:ind w:firstLine="1018"/>
        <w:spacing w:after="0" w:line="256" w:lineRule="auto"/>
        <w:tabs>
          <w:tab w:leader="none" w:pos="1364"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Merger/Sale of Assets</w:t>
      </w:r>
      <w:r>
        <w:rPr>
          <w:rFonts w:ascii="Times New Roman" w:cs="Times New Roman" w:eastAsia="Times New Roman" w:hAnsi="Times New Roman"/>
          <w:sz w:val="17"/>
          <w:szCs w:val="17"/>
          <w:color w:val="auto"/>
        </w:rPr>
        <w:t>. (A) A merger or consolidation of the Company, whether or not approved by the Board, other than a merger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consolidation which would result in the voting securities of the Company outstanding immediately prior thereto continuing to represent (either by remaining outstanding or by being converted into voting securities of the surviving entity or the parent of such corporation) at least fifty percent (50%) of the total voting power represented by the voting securities of the Company or such surviving entity or parent of such corporation, as the case may be outstanding immediately after such merger or consolidation; or (B) the stockholders of the Company approve an agreement for the sale or disposition by the Company of all or substantially all of the Company’s assets; or</w:t>
      </w:r>
    </w:p>
    <w:p>
      <w:pPr>
        <w:spacing w:after="0" w:line="138" w:lineRule="exact"/>
        <w:rPr>
          <w:rFonts w:ascii="Times New Roman" w:cs="Times New Roman" w:eastAsia="Times New Roman" w:hAnsi="Times New Roman"/>
          <w:sz w:val="17"/>
          <w:szCs w:val="17"/>
          <w:color w:val="auto"/>
        </w:rPr>
      </w:pPr>
    </w:p>
    <w:p>
      <w:pPr>
        <w:jc w:val="both"/>
        <w:ind w:firstLine="1018"/>
        <w:spacing w:after="0" w:line="259" w:lineRule="auto"/>
        <w:tabs>
          <w:tab w:leader="none" w:pos="1368"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Change in Board Composition</w:t>
      </w:r>
      <w:r>
        <w:rPr>
          <w:rFonts w:ascii="Times New Roman" w:cs="Times New Roman" w:eastAsia="Times New Roman" w:hAnsi="Times New Roman"/>
          <w:sz w:val="17"/>
          <w:szCs w:val="17"/>
          <w:color w:val="auto"/>
        </w:rPr>
        <w:t>. A change in the composition of the Board as a result of which fewer than a majority of the directors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Incumbent Directors. “Incumbent Directors” shall mean directors who either (A) are directors of the Company as of the date of this Agreement, or (B) are elected, or nominated for election to the Board with the affirmative votes of at least a majority of the Incumbent Directors, or by a committee of the Board made up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33" w:lineRule="exact"/>
        <w:rPr>
          <w:rFonts w:ascii="Times New Roman" w:cs="Times New Roman" w:eastAsia="Times New Roman" w:hAnsi="Times New Roman"/>
          <w:sz w:val="17"/>
          <w:szCs w:val="17"/>
          <w:color w:val="auto"/>
        </w:rPr>
      </w:pPr>
    </w:p>
    <w:p>
      <w:pPr>
        <w:jc w:val="both"/>
        <w:ind w:firstLine="509"/>
        <w:spacing w:after="0" w:line="274" w:lineRule="auto"/>
        <w:tabs>
          <w:tab w:leader="none" w:pos="857"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Good Reason</w:t>
      </w:r>
      <w:r>
        <w:rPr>
          <w:rFonts w:ascii="Times New Roman" w:cs="Times New Roman" w:eastAsia="Times New Roman" w:hAnsi="Times New Roman"/>
          <w:sz w:val="16"/>
          <w:szCs w:val="16"/>
          <w:color w:val="auto"/>
        </w:rPr>
        <w:t>. As used herein, a “</w:t>
      </w:r>
      <w:r>
        <w:rPr>
          <w:rFonts w:ascii="Times New Roman" w:cs="Times New Roman" w:eastAsia="Times New Roman" w:hAnsi="Times New Roman"/>
          <w:sz w:val="16"/>
          <w:szCs w:val="16"/>
          <w:b w:val="1"/>
          <w:bCs w:val="1"/>
          <w:color w:val="auto"/>
        </w:rPr>
        <w:t>Good Reason</w:t>
      </w:r>
      <w:r>
        <w:rPr>
          <w:rFonts w:ascii="Times New Roman" w:cs="Times New Roman" w:eastAsia="Times New Roman" w:hAnsi="Times New Roman"/>
          <w:sz w:val="16"/>
          <w:szCs w:val="16"/>
          <w:color w:val="auto"/>
        </w:rPr>
        <w:t>” shall mean: (i) Executive, as a condition of remaining an employee of the Company, is required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change the principal location where Executive renders services to the Company to a location more than fifty (50) miles from Executive’s then-current location of employment; (ii) there occurs a material adverse change in Executive’s duties, authority or responsibilities which causes Executive’s position with the Company to carry significantly less responsibility or authority than Executive’s position on the date hereof, or (iii) there occurs a material reduction in Executive’s base salary from Executive’s base salary received on the date hereof, provided that any notice of termination by Executive for Good Reason shall be given by Executive within fifteen (15) days of Executive’s becoming aware of the occurrence of the facts giving rise to such Good Reason. For purposes of this Agreement, “Good Reason” shall be interpreted in a manner, and limited to the extent necessary, so that it will not cause adverse tax consequences for either party with respect to Section 409A of the Internal Revenue Code of 1986, as amended (“</w:t>
      </w:r>
      <w:r>
        <w:rPr>
          <w:rFonts w:ascii="Times New Roman" w:cs="Times New Roman" w:eastAsia="Times New Roman" w:hAnsi="Times New Roman"/>
          <w:sz w:val="16"/>
          <w:szCs w:val="16"/>
          <w:b w:val="1"/>
          <w:bCs w:val="1"/>
          <w:color w:val="auto"/>
        </w:rPr>
        <w:t>Code Section 409A</w:t>
      </w:r>
      <w:r>
        <w:rPr>
          <w:rFonts w:ascii="Times New Roman" w:cs="Times New Roman" w:eastAsia="Times New Roman" w:hAnsi="Times New Roman"/>
          <w:sz w:val="16"/>
          <w:szCs w:val="16"/>
          <w:color w:val="auto"/>
        </w:rPr>
        <w:t>”), and any successor statute, regulation and guidance thereto.</w:t>
      </w:r>
    </w:p>
    <w:p>
      <w:pPr>
        <w:spacing w:after="0" w:line="123" w:lineRule="exact"/>
        <w:rPr>
          <w:rFonts w:ascii="Times New Roman" w:cs="Times New Roman" w:eastAsia="Times New Roman" w:hAnsi="Times New Roman"/>
          <w:sz w:val="16"/>
          <w:szCs w:val="16"/>
          <w:color w:val="auto"/>
        </w:rPr>
      </w:pPr>
    </w:p>
    <w:p>
      <w:pPr>
        <w:ind w:right="20" w:firstLine="510"/>
        <w:spacing w:after="0" w:line="281" w:lineRule="auto"/>
        <w:tabs>
          <w:tab w:leader="none" w:pos="856"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Base Salary</w:t>
      </w:r>
      <w:r>
        <w:rPr>
          <w:rFonts w:ascii="Times New Roman" w:cs="Times New Roman" w:eastAsia="Times New Roman" w:hAnsi="Times New Roman"/>
          <w:sz w:val="17"/>
          <w:szCs w:val="17"/>
          <w:color w:val="auto"/>
        </w:rPr>
        <w:t>. As used herein, “</w:t>
      </w:r>
      <w:r>
        <w:rPr>
          <w:rFonts w:ascii="Times New Roman" w:cs="Times New Roman" w:eastAsia="Times New Roman" w:hAnsi="Times New Roman"/>
          <w:sz w:val="17"/>
          <w:szCs w:val="17"/>
          <w:b w:val="1"/>
          <w:bCs w:val="1"/>
          <w:color w:val="auto"/>
        </w:rPr>
        <w:t>Base Salary</w:t>
      </w:r>
      <w:r>
        <w:rPr>
          <w:rFonts w:ascii="Times New Roman" w:cs="Times New Roman" w:eastAsia="Times New Roman" w:hAnsi="Times New Roman"/>
          <w:sz w:val="17"/>
          <w:szCs w:val="17"/>
          <w:color w:val="auto"/>
        </w:rPr>
        <w:t>” shall mean Executive’s annual base salary, excluding reimbursements, bonuses, benefits, and amounts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attributable to stock options and other non-cash compensation.</w:t>
      </w:r>
    </w:p>
    <w:p>
      <w:pPr>
        <w:spacing w:after="0" w:line="115" w:lineRule="exact"/>
        <w:rPr>
          <w:rFonts w:ascii="Times New Roman" w:cs="Times New Roman" w:eastAsia="Times New Roman" w:hAnsi="Times New Roman"/>
          <w:sz w:val="17"/>
          <w:szCs w:val="17"/>
          <w:color w:val="auto"/>
        </w:rPr>
      </w:pPr>
    </w:p>
    <w:p>
      <w:pPr>
        <w:ind w:left="20" w:right="20" w:hanging="6"/>
        <w:spacing w:after="0" w:line="281" w:lineRule="auto"/>
        <w:tabs>
          <w:tab w:leader="none" w:pos="36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Severance for Termination by the Company Other than For Cause or by Executive for Good Reason</w:t>
      </w:r>
      <w:r>
        <w:rPr>
          <w:rFonts w:ascii="Times New Roman" w:cs="Times New Roman" w:eastAsia="Times New Roman" w:hAnsi="Times New Roman"/>
          <w:sz w:val="17"/>
          <w:szCs w:val="17"/>
          <w:color w:val="auto"/>
        </w:rPr>
        <w:t>. In the event that (i) Executive’s employment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terminated by action of the Company other than for Cause, or (ii) Executive terminates Executive’s employment for Good</w:t>
      </w:r>
    </w:p>
    <w:p>
      <w:pPr>
        <w:sectPr>
          <w:pgSz w:w="11900" w:h="16838" w:orient="portrait"/>
          <w:cols w:equalWidth="0" w:num="1">
            <w:col w:w="11040"/>
          </w:cols>
          <w:pgMar w:left="460" w:top="1190" w:right="399" w:bottom="1440" w:gutter="0" w:footer="0" w:header="0"/>
        </w:sectPr>
      </w:pPr>
    </w:p>
    <w:bookmarkStart w:id="55" w:name="page56"/>
    <w:bookmarkEnd w:id="55"/>
    <w:p>
      <w:pPr>
        <w:ind w:left="6" w:right="300"/>
        <w:spacing w:after="0" w:line="262" w:lineRule="auto"/>
        <w:rPr>
          <w:sz w:val="20"/>
          <w:szCs w:val="20"/>
          <w:color w:val="auto"/>
        </w:rPr>
      </w:pPr>
      <w:r>
        <w:rPr>
          <w:rFonts w:ascii="Times New Roman" w:cs="Times New Roman" w:eastAsia="Times New Roman" w:hAnsi="Times New Roman"/>
          <w:sz w:val="17"/>
          <w:szCs w:val="17"/>
          <w:color w:val="auto"/>
        </w:rPr>
        <w:t xml:space="preserve">Reason, then Executive shall receive the following (A) in part consideration for undertaking the obligations set forth in the Confidentiality and Inventions and Restrictive Covenants Agreement signed and delivered by Executive as of the date thereof and (B) subject to Executive’s execution of a release of claims as described in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p>
    <w:p>
      <w:pPr>
        <w:spacing w:after="0" w:line="130" w:lineRule="exact"/>
        <w:rPr>
          <w:sz w:val="20"/>
          <w:szCs w:val="20"/>
          <w:color w:val="auto"/>
        </w:rPr>
      </w:pPr>
    </w:p>
    <w:p>
      <w:pPr>
        <w:jc w:val="both"/>
        <w:ind w:left="6" w:right="20" w:firstLine="503"/>
        <w:spacing w:after="0" w:line="271" w:lineRule="auto"/>
        <w:tabs>
          <w:tab w:leader="none" w:pos="852" w:val="left"/>
        </w:tabs>
        <w:numPr>
          <w:ilvl w:val="2"/>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Severance Payments</w:t>
      </w:r>
      <w:r>
        <w:rPr>
          <w:rFonts w:ascii="Times New Roman" w:cs="Times New Roman" w:eastAsia="Times New Roman" w:hAnsi="Times New Roman"/>
          <w:sz w:val="17"/>
          <w:szCs w:val="17"/>
          <w:color w:val="auto"/>
        </w:rPr>
        <w:t>. Continuation of payments in an amount equal to Executive’s then-current Base Salary for a twelve (12) month period less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customary and required taxes and employment-related deductions, in accordance with the Company’s normal payroll practices (provided such payments will be made at least monthly).</w:t>
      </w:r>
    </w:p>
    <w:p>
      <w:pPr>
        <w:spacing w:after="0" w:line="122" w:lineRule="exact"/>
        <w:rPr>
          <w:rFonts w:ascii="Times New Roman" w:cs="Times New Roman" w:eastAsia="Times New Roman" w:hAnsi="Times New Roman"/>
          <w:sz w:val="17"/>
          <w:szCs w:val="17"/>
          <w:color w:val="auto"/>
        </w:rPr>
      </w:pPr>
    </w:p>
    <w:p>
      <w:pPr>
        <w:jc w:val="both"/>
        <w:ind w:left="-14" w:right="20" w:firstLine="503"/>
        <w:spacing w:after="0" w:line="258" w:lineRule="auto"/>
        <w:tabs>
          <w:tab w:leader="none" w:pos="845"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Separation Bonus</w:t>
      </w:r>
      <w:r>
        <w:rPr>
          <w:rFonts w:ascii="Times New Roman" w:cs="Times New Roman" w:eastAsia="Times New Roman" w:hAnsi="Times New Roman"/>
          <w:sz w:val="17"/>
          <w:szCs w:val="17"/>
          <w:color w:val="auto"/>
        </w:rPr>
        <w:t>. Payment of a separation bonus in an amount equal to the target annual bonus to which Executive may have been entitled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year in which Executive is terminated, less all customary and required taxes and employment-related deductions, paid in twelve (12) equal monthly installments less all customary and required taxes and employment-related deductions, in accordance with the Company’s normal payroll practices (provided such payments will be made at least monthly).</w:t>
      </w:r>
    </w:p>
    <w:p>
      <w:pPr>
        <w:spacing w:after="0" w:line="156" w:lineRule="exact"/>
        <w:rPr>
          <w:rFonts w:ascii="Times New Roman" w:cs="Times New Roman" w:eastAsia="Times New Roman" w:hAnsi="Times New Roman"/>
          <w:sz w:val="17"/>
          <w:szCs w:val="17"/>
          <w:color w:val="auto"/>
        </w:rPr>
      </w:pPr>
    </w:p>
    <w:p>
      <w:pPr>
        <w:ind w:left="6" w:firstLine="503"/>
        <w:spacing w:after="0" w:line="294" w:lineRule="auto"/>
        <w:tabs>
          <w:tab w:leader="none" w:pos="852"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Equity Acceleration</w:t>
      </w:r>
      <w:r>
        <w:rPr>
          <w:rFonts w:ascii="Times New Roman" w:cs="Times New Roman" w:eastAsia="Times New Roman" w:hAnsi="Times New Roman"/>
          <w:sz w:val="17"/>
          <w:szCs w:val="17"/>
          <w:color w:val="auto"/>
        </w:rPr>
        <w:t>. Acceleration of vesting of any and all outstanding equity awards that would have vested during the period commencing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Executive’s date of termination through and including the date that is twelve (12) months following Executive’s date of termination.</w:t>
      </w:r>
    </w:p>
    <w:p>
      <w:pPr>
        <w:spacing w:after="0" w:line="104" w:lineRule="exact"/>
        <w:rPr>
          <w:rFonts w:ascii="Times New Roman" w:cs="Times New Roman" w:eastAsia="Times New Roman" w:hAnsi="Times New Roman"/>
          <w:sz w:val="17"/>
          <w:szCs w:val="17"/>
          <w:color w:val="auto"/>
        </w:rPr>
      </w:pPr>
    </w:p>
    <w:p>
      <w:pPr>
        <w:jc w:val="both"/>
        <w:ind w:left="6" w:firstLine="503"/>
        <w:spacing w:after="0" w:line="256" w:lineRule="auto"/>
        <w:tabs>
          <w:tab w:leader="none" w:pos="851"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COBRA Payments</w:t>
      </w:r>
      <w:r>
        <w:rPr>
          <w:rFonts w:ascii="Times New Roman" w:cs="Times New Roman" w:eastAsia="Times New Roman" w:hAnsi="Times New Roman"/>
          <w:sz w:val="17"/>
          <w:szCs w:val="17"/>
          <w:color w:val="auto"/>
        </w:rPr>
        <w:t>. Upon completion of the appropriate COBRA (“</w:t>
      </w:r>
      <w:r>
        <w:rPr>
          <w:rFonts w:ascii="Times New Roman" w:cs="Times New Roman" w:eastAsia="Times New Roman" w:hAnsi="Times New Roman"/>
          <w:sz w:val="17"/>
          <w:szCs w:val="17"/>
          <w:b w:val="1"/>
          <w:bCs w:val="1"/>
          <w:color w:val="auto"/>
        </w:rPr>
        <w:t>COBRA</w:t>
      </w:r>
      <w:r>
        <w:rPr>
          <w:rFonts w:ascii="Times New Roman" w:cs="Times New Roman" w:eastAsia="Times New Roman" w:hAnsi="Times New Roman"/>
          <w:sz w:val="17"/>
          <w:szCs w:val="17"/>
          <w:color w:val="auto"/>
        </w:rPr>
        <w:t>” is the Consolidated Omnibus Budget Reconciliation Act of 1985,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amended) forms, and subject to all the requirements of COBRA, the Company shall continue Executive’s participation in the Company’s health and dental insurance plans at the Company’s cost (except for Executive’s applicable contribution portion and co-pay, if any, which shall be deducted from Executive’s severance compensation) for the twelve (12) months following Executive’s date of termination, to the same extent that such insurance is provided to similarly situated Company executives, provided that this benefit will cease and the Company will be under no obligation to provide it if Executive has become eligible for coverage under another employer’s group coverage, and Executive hereby agrees to notify the Company promptly and in writing should that occur.</w:t>
      </w:r>
    </w:p>
    <w:p>
      <w:pPr>
        <w:spacing w:after="0" w:line="138" w:lineRule="exact"/>
        <w:rPr>
          <w:rFonts w:ascii="Times New Roman" w:cs="Times New Roman" w:eastAsia="Times New Roman" w:hAnsi="Times New Roman"/>
          <w:sz w:val="17"/>
          <w:szCs w:val="17"/>
          <w:color w:val="auto"/>
        </w:rPr>
      </w:pPr>
    </w:p>
    <w:p>
      <w:pPr>
        <w:ind w:left="6" w:firstLine="503"/>
        <w:spacing w:after="0" w:line="281" w:lineRule="auto"/>
        <w:tabs>
          <w:tab w:leader="none" w:pos="852"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Duplication</w:t>
      </w:r>
      <w:r>
        <w:rPr>
          <w:rFonts w:ascii="Times New Roman" w:cs="Times New Roman" w:eastAsia="Times New Roman" w:hAnsi="Times New Roman"/>
          <w:sz w:val="17"/>
          <w:szCs w:val="17"/>
          <w:color w:val="auto"/>
        </w:rPr>
        <w:t>. In the event that Executive is eligible for the severance payments and benefits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below, Executive shall not be eligible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 and shall not receive any of the severance payments and benefits as provided in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jc w:val="both"/>
        <w:ind w:left="6" w:hanging="6"/>
        <w:spacing w:after="0" w:line="259" w:lineRule="auto"/>
        <w:tabs>
          <w:tab w:leader="none" w:pos="346"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Change of Control Severance</w:t>
      </w:r>
      <w:r>
        <w:rPr>
          <w:rFonts w:ascii="Times New Roman" w:cs="Times New Roman" w:eastAsia="Times New Roman" w:hAnsi="Times New Roman"/>
          <w:sz w:val="17"/>
          <w:szCs w:val="17"/>
          <w:color w:val="auto"/>
        </w:rPr>
        <w:t>. In the event that a Change of Control occurs and within a period of one (1) year following the Change of Control either: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Executive’s employment is terminated by action of the Company other than for Cause, or (ii) Executive terminates Executive’s employment for Good Reason, then Executive shall receive the following (A) in part consideration for undertaking the obligations set forth in the Confidentiality and Inventions and Restrictive Covenants Agreement signed and delivered by Executive as of the date thereof and (B) subject to Executive’s execution of a release of claims as described in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p>
    <w:p>
      <w:pPr>
        <w:spacing w:after="0" w:line="133" w:lineRule="exact"/>
        <w:rPr>
          <w:rFonts w:ascii="Times New Roman" w:cs="Times New Roman" w:eastAsia="Times New Roman" w:hAnsi="Times New Roman"/>
          <w:sz w:val="17"/>
          <w:szCs w:val="17"/>
          <w:b w:val="1"/>
          <w:bCs w:val="1"/>
          <w:color w:val="auto"/>
        </w:rPr>
      </w:pPr>
    </w:p>
    <w:p>
      <w:pPr>
        <w:ind w:left="6" w:right="20" w:firstLine="503"/>
        <w:spacing w:after="0" w:line="281" w:lineRule="auto"/>
        <w:tabs>
          <w:tab w:leader="none" w:pos="852" w:val="left"/>
        </w:tabs>
        <w:numPr>
          <w:ilvl w:val="2"/>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Lump Sum Severance Payment</w:t>
      </w:r>
      <w:r>
        <w:rPr>
          <w:rFonts w:ascii="Times New Roman" w:cs="Times New Roman" w:eastAsia="Times New Roman" w:hAnsi="Times New Roman"/>
          <w:sz w:val="17"/>
          <w:szCs w:val="17"/>
          <w:color w:val="auto"/>
        </w:rPr>
        <w:t>. Within thirty (30) days following Executive’s termination, payment of an amount equal to twelve (12) months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Executive’s then-current Base Salary less all customary and required taxes and employment-related deductions.</w:t>
      </w:r>
    </w:p>
    <w:p>
      <w:pPr>
        <w:sectPr>
          <w:pgSz w:w="11900" w:h="16838" w:orient="portrait"/>
          <w:cols w:equalWidth="0" w:num="1">
            <w:col w:w="11026"/>
          </w:cols>
          <w:pgMar w:left="474" w:top="1318" w:right="399" w:bottom="1440" w:gutter="0" w:footer="0" w:header="0"/>
        </w:sectPr>
      </w:pPr>
    </w:p>
    <w:bookmarkStart w:id="56" w:name="page57"/>
    <w:bookmarkEnd w:id="56"/>
    <w:p>
      <w:pPr>
        <w:jc w:val="both"/>
        <w:ind w:left="6" w:firstLine="503"/>
        <w:spacing w:after="0" w:line="264" w:lineRule="auto"/>
        <w:tabs>
          <w:tab w:leader="none" w:pos="85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Separation Bonus</w:t>
      </w:r>
      <w:r>
        <w:rPr>
          <w:rFonts w:ascii="Times New Roman" w:cs="Times New Roman" w:eastAsia="Times New Roman" w:hAnsi="Times New Roman"/>
          <w:sz w:val="17"/>
          <w:szCs w:val="17"/>
          <w:color w:val="auto"/>
        </w:rPr>
        <w:t>. Within thirty (30) days following Executive’s termination, payment of a separation bonus in an amount equal to the target annual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bonus to which Executive may have been entitled for the year in which Executive is terminated, less all customary and required taxes and employment-related deductions.</w:t>
      </w:r>
    </w:p>
    <w:p>
      <w:pPr>
        <w:spacing w:after="0" w:line="129" w:lineRule="exact"/>
        <w:rPr>
          <w:rFonts w:ascii="Times New Roman" w:cs="Times New Roman" w:eastAsia="Times New Roman" w:hAnsi="Times New Roman"/>
          <w:sz w:val="17"/>
          <w:szCs w:val="17"/>
          <w:color w:val="auto"/>
        </w:rPr>
      </w:pPr>
    </w:p>
    <w:p>
      <w:pPr>
        <w:ind w:left="846" w:hanging="337"/>
        <w:spacing w:after="0"/>
        <w:tabs>
          <w:tab w:leader="none" w:pos="846"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Equity Acceleration</w:t>
      </w:r>
      <w:r>
        <w:rPr>
          <w:rFonts w:ascii="Times New Roman" w:cs="Times New Roman" w:eastAsia="Times New Roman" w:hAnsi="Times New Roman"/>
          <w:sz w:val="17"/>
          <w:szCs w:val="17"/>
          <w:color w:val="auto"/>
        </w:rPr>
        <w:t>. Full acceleration as of the date of termination of vesting of any and all equity awards outstanding immediately prior to</w:t>
      </w:r>
    </w:p>
    <w:p>
      <w:pPr>
        <w:spacing w:after="0" w:line="27" w:lineRule="exact"/>
        <w:rPr>
          <w:rFonts w:ascii="Times New Roman" w:cs="Times New Roman" w:eastAsia="Times New Roman" w:hAnsi="Times New Roman"/>
          <w:sz w:val="17"/>
          <w:szCs w:val="17"/>
          <w:color w:val="auto"/>
        </w:rPr>
      </w:pPr>
    </w:p>
    <w:p>
      <w:pPr>
        <w:ind w:left="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w:t>
      </w:r>
    </w:p>
    <w:p>
      <w:pPr>
        <w:spacing w:after="0" w:line="164" w:lineRule="exact"/>
        <w:rPr>
          <w:rFonts w:ascii="Times New Roman" w:cs="Times New Roman" w:eastAsia="Times New Roman" w:hAnsi="Times New Roman"/>
          <w:sz w:val="17"/>
          <w:szCs w:val="17"/>
          <w:color w:val="auto"/>
        </w:rPr>
      </w:pPr>
    </w:p>
    <w:p>
      <w:pPr>
        <w:jc w:val="both"/>
        <w:ind w:left="6" w:firstLine="500"/>
        <w:spacing w:after="0" w:line="256" w:lineRule="auto"/>
        <w:tabs>
          <w:tab w:leader="none" w:pos="851"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COBRA Payments</w:t>
      </w:r>
      <w:r>
        <w:rPr>
          <w:rFonts w:ascii="Times New Roman" w:cs="Times New Roman" w:eastAsia="Times New Roman" w:hAnsi="Times New Roman"/>
          <w:sz w:val="17"/>
          <w:szCs w:val="17"/>
          <w:color w:val="auto"/>
        </w:rPr>
        <w:t>. Upon completion of the appropriate COBRA forms, and subject to all the requirements of COBRA, the Company shall continue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Executive’s participation in the Company’s health and dental insurance plans at the Company’s cost (except for Executive’s applicable contribution portion and co-pay, if any, which shall be deducted from Executive’s severance compensation) for the twelve (12) months following Executive’s date of termination, to the same extent that such insurance is provided to similarly situated Company executives. provided that this benefit will cease and the Company will be under no obligation to provide it if Executive has become eligible for coverage under another employer’s group coverage, and Executive hereby agrees to notify the Company promptly and in writing should that occur.</w:t>
      </w:r>
    </w:p>
    <w:p>
      <w:pPr>
        <w:spacing w:after="0" w:line="138" w:lineRule="exact"/>
        <w:rPr>
          <w:rFonts w:ascii="Times New Roman" w:cs="Times New Roman" w:eastAsia="Times New Roman" w:hAnsi="Times New Roman"/>
          <w:sz w:val="17"/>
          <w:szCs w:val="17"/>
          <w:color w:val="auto"/>
        </w:rPr>
      </w:pPr>
    </w:p>
    <w:p>
      <w:pPr>
        <w:ind w:left="6" w:right="20" w:firstLine="503"/>
        <w:spacing w:after="0" w:line="281" w:lineRule="auto"/>
        <w:tabs>
          <w:tab w:leader="none" w:pos="852"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Duplication</w:t>
      </w:r>
      <w:r>
        <w:rPr>
          <w:rFonts w:ascii="Times New Roman" w:cs="Times New Roman" w:eastAsia="Times New Roman" w:hAnsi="Times New Roman"/>
          <w:sz w:val="17"/>
          <w:szCs w:val="17"/>
          <w:color w:val="auto"/>
        </w:rPr>
        <w:t>. In the event that Executive is eligible for the severance payments and benefits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above, Executive shall not be eligible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 and shall not receive any of the severance payments and benefits as provided in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ind w:left="6" w:right="20" w:hanging="6"/>
        <w:spacing w:after="0" w:line="281" w:lineRule="auto"/>
        <w:tabs>
          <w:tab w:leader="none" w:pos="346"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Severance</w:t>
      </w:r>
      <w:r>
        <w:rPr>
          <w:rFonts w:ascii="Times New Roman" w:cs="Times New Roman" w:eastAsia="Times New Roman" w:hAnsi="Times New Roman"/>
          <w:sz w:val="17"/>
          <w:szCs w:val="17"/>
          <w:color w:val="auto"/>
        </w:rPr>
        <w:t>. In the event that Executive’s employment is terminated for any reason other than those outlined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Sections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then Executive shall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right to any of the severance payments and benefits provided under this Agreement.</w:t>
      </w:r>
    </w:p>
    <w:p>
      <w:pPr>
        <w:spacing w:after="0" w:line="125" w:lineRule="exact"/>
        <w:rPr>
          <w:rFonts w:ascii="Times New Roman" w:cs="Times New Roman" w:eastAsia="Times New Roman" w:hAnsi="Times New Roman"/>
          <w:sz w:val="17"/>
          <w:szCs w:val="17"/>
          <w:b w:val="1"/>
          <w:bCs w:val="1"/>
          <w:color w:val="auto"/>
        </w:rPr>
      </w:pPr>
    </w:p>
    <w:p>
      <w:pPr>
        <w:jc w:val="both"/>
        <w:ind w:left="6" w:hanging="6"/>
        <w:spacing w:after="0" w:line="255" w:lineRule="auto"/>
        <w:tabs>
          <w:tab w:leader="none" w:pos="346"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Distribution Limitation</w:t>
      </w:r>
      <w:r>
        <w:rPr>
          <w:rFonts w:ascii="Times New Roman" w:cs="Times New Roman" w:eastAsia="Times New Roman" w:hAnsi="Times New Roman"/>
          <w:sz w:val="17"/>
          <w:szCs w:val="17"/>
          <w:color w:val="auto"/>
        </w:rPr>
        <w:t>. If any payment or benefit Executive would receive under this Agreement, when combined with any other payment or benefit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receives pursuant to a Change of Control (for purposes of this section, a “</w:t>
      </w:r>
      <w:r>
        <w:rPr>
          <w:rFonts w:ascii="Times New Roman" w:cs="Times New Roman" w:eastAsia="Times New Roman" w:hAnsi="Times New Roman"/>
          <w:sz w:val="17"/>
          <w:szCs w:val="17"/>
          <w:b w:val="1"/>
          <w:bCs w:val="1"/>
          <w:color w:val="auto"/>
        </w:rPr>
        <w:t>Payment</w:t>
      </w:r>
      <w:r>
        <w:rPr>
          <w:rFonts w:ascii="Times New Roman" w:cs="Times New Roman" w:eastAsia="Times New Roman" w:hAnsi="Times New Roman"/>
          <w:sz w:val="17"/>
          <w:szCs w:val="17"/>
          <w:color w:val="auto"/>
        </w:rPr>
        <w:t>”) would: (i) constitute a “parachute payment” within the meaning of Section 280G of the Internal Revenue Code of 1986, as amended (the “</w:t>
      </w:r>
      <w:r>
        <w:rPr>
          <w:rFonts w:ascii="Times New Roman" w:cs="Times New Roman" w:eastAsia="Times New Roman" w:hAnsi="Times New Roman"/>
          <w:sz w:val="17"/>
          <w:szCs w:val="17"/>
          <w:b w:val="1"/>
          <w:bCs w:val="1"/>
          <w:color w:val="auto"/>
        </w:rPr>
        <w:t>Code</w:t>
      </w:r>
      <w:r>
        <w:rPr>
          <w:rFonts w:ascii="Times New Roman" w:cs="Times New Roman" w:eastAsia="Times New Roman" w:hAnsi="Times New Roman"/>
          <w:sz w:val="17"/>
          <w:szCs w:val="17"/>
          <w:color w:val="auto"/>
        </w:rPr>
        <w:t>”); and (ii) but for this sentence, be subject to the excise tax imposed by Section 4999 of the Code (the “</w:t>
      </w:r>
      <w:r>
        <w:rPr>
          <w:rFonts w:ascii="Times New Roman" w:cs="Times New Roman" w:eastAsia="Times New Roman" w:hAnsi="Times New Roman"/>
          <w:sz w:val="17"/>
          <w:szCs w:val="17"/>
          <w:b w:val="1"/>
          <w:bCs w:val="1"/>
          <w:color w:val="auto"/>
        </w:rPr>
        <w:t>Excise Tax</w:t>
      </w:r>
      <w:r>
        <w:rPr>
          <w:rFonts w:ascii="Times New Roman" w:cs="Times New Roman" w:eastAsia="Times New Roman" w:hAnsi="Times New Roman"/>
          <w:sz w:val="17"/>
          <w:szCs w:val="17"/>
          <w:color w:val="auto"/>
        </w:rPr>
        <w:t>”), then such Payment shall be either: (x) the full amount of such Payment; or (y) such lesser amount (with cash payments being reduced before stock option compensation) as would result in no portion of the Payment being subject to the Excise Tax, whichever of the foregoing amounts, taking into account the applicable federal, state and local employment taxes, income taxes, and the Excise Tax, results in Executive’s receipt, on an after- tax basis, of the greater amount of the Payment notwithstanding that all or some portion of the Payment may be subject to the Excise Tax.</w:t>
      </w:r>
    </w:p>
    <w:p>
      <w:pPr>
        <w:spacing w:after="0" w:line="126" w:lineRule="exact"/>
        <w:rPr>
          <w:rFonts w:ascii="Times New Roman" w:cs="Times New Roman" w:eastAsia="Times New Roman" w:hAnsi="Times New Roman"/>
          <w:sz w:val="17"/>
          <w:szCs w:val="17"/>
          <w:b w:val="1"/>
          <w:bCs w:val="1"/>
          <w:color w:val="auto"/>
        </w:rPr>
      </w:pPr>
    </w:p>
    <w:p>
      <w:pPr>
        <w:jc w:val="both"/>
        <w:ind w:left="6" w:hanging="6"/>
        <w:spacing w:after="0" w:line="259" w:lineRule="auto"/>
        <w:tabs>
          <w:tab w:leader="none" w:pos="346"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Timing Of Payments</w:t>
      </w:r>
      <w:r>
        <w:rPr>
          <w:rFonts w:ascii="Times New Roman" w:cs="Times New Roman" w:eastAsia="Times New Roman" w:hAnsi="Times New Roman"/>
          <w:sz w:val="17"/>
          <w:szCs w:val="17"/>
          <w:color w:val="auto"/>
        </w:rPr>
        <w:t>. Notwithstanding any other provision with respect to the timing of payments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Sections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if at the time of Executive’s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termination, Executive is deemed to be a “specified employee” of the Company (within the meaning of Code Section 409A(a)(2)( B)(i) and any successor statute, regulation and guidance thereto (“</w:t>
      </w:r>
      <w:r>
        <w:rPr>
          <w:rFonts w:ascii="Times New Roman" w:cs="Times New Roman" w:eastAsia="Times New Roman" w:hAnsi="Times New Roman"/>
          <w:sz w:val="17"/>
          <w:szCs w:val="17"/>
          <w:b w:val="1"/>
          <w:bCs w:val="1"/>
          <w:color w:val="auto"/>
        </w:rPr>
        <w:t>Code Section 409A</w:t>
      </w:r>
      <w:r>
        <w:rPr>
          <w:rFonts w:ascii="Times New Roman" w:cs="Times New Roman" w:eastAsia="Times New Roman" w:hAnsi="Times New Roman"/>
          <w:sz w:val="17"/>
          <w:szCs w:val="17"/>
          <w:color w:val="auto"/>
        </w:rPr>
        <w:t xml:space="preserve">”)), then limited only to the extent necessary to comply with the requirements of Code Section 409A any payments to which Executive may become entitled under </w:t>
      </w:r>
      <w:r>
        <w:rPr>
          <w:rFonts w:ascii="Times New Roman" w:cs="Times New Roman" w:eastAsia="Times New Roman" w:hAnsi="Times New Roman"/>
          <w:sz w:val="17"/>
          <w:szCs w:val="17"/>
          <w:u w:val="single" w:color="auto"/>
          <w:color w:val="auto"/>
        </w:rPr>
        <w:t>Sections 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which are subject to Code Section 409A (and not otherwise exempt from its application) will be withheld until the first (1st) business day of the seventh (7th) month following the termination of</w:t>
      </w:r>
    </w:p>
    <w:p>
      <w:pPr>
        <w:sectPr>
          <w:pgSz w:w="11900" w:h="16838" w:orient="portrait"/>
          <w:cols w:equalWidth="0" w:num="1">
            <w:col w:w="11026"/>
          </w:cols>
          <w:pgMar w:left="474" w:top="1271" w:right="399" w:bottom="1440" w:gutter="0" w:footer="0" w:header="0"/>
        </w:sectPr>
      </w:pPr>
    </w:p>
    <w:bookmarkStart w:id="57" w:name="page58"/>
    <w:bookmarkEnd w:id="57"/>
    <w:p>
      <w:pPr>
        <w:ind w:left="20"/>
        <w:spacing w:after="0" w:line="276" w:lineRule="auto"/>
        <w:rPr>
          <w:sz w:val="20"/>
          <w:szCs w:val="20"/>
          <w:color w:val="auto"/>
        </w:rPr>
      </w:pPr>
      <w:r>
        <w:rPr>
          <w:rFonts w:ascii="Times New Roman" w:cs="Times New Roman" w:eastAsia="Times New Roman" w:hAnsi="Times New Roman"/>
          <w:sz w:val="17"/>
          <w:szCs w:val="17"/>
          <w:color w:val="auto"/>
        </w:rPr>
        <w:t xml:space="preserve">Executive’s employment at which time Executive shall be paid an aggregate amount equal to the accumulated, but unpaid, paymentsotherwise due to Executive under the terms of </w:t>
      </w:r>
      <w:r>
        <w:rPr>
          <w:rFonts w:ascii="Times New Roman" w:cs="Times New Roman" w:eastAsia="Times New Roman" w:hAnsi="Times New Roman"/>
          <w:sz w:val="17"/>
          <w:szCs w:val="17"/>
          <w:u w:val="single" w:color="auto"/>
          <w:color w:val="auto"/>
        </w:rPr>
        <w:t>Sections 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jc w:val="both"/>
        <w:ind w:left="20" w:hanging="6"/>
        <w:spacing w:after="0" w:line="284" w:lineRule="auto"/>
        <w:tabs>
          <w:tab w:leader="none" w:pos="360" w:val="left"/>
        </w:tabs>
        <w:numPr>
          <w:ilvl w:val="1"/>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Release of Claims</w:t>
      </w:r>
      <w:r>
        <w:rPr>
          <w:rFonts w:ascii="Times New Roman" w:cs="Times New Roman" w:eastAsia="Times New Roman" w:hAnsi="Times New Roman"/>
          <w:sz w:val="16"/>
          <w:szCs w:val="16"/>
          <w:color w:val="auto"/>
        </w:rPr>
        <w:t>. The Company shall not be obligated to pay Executive any of the compensation set forth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Sections 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3</w:t>
      </w:r>
      <w:r>
        <w:rPr>
          <w:rFonts w:ascii="Times New Roman" w:cs="Times New Roman" w:eastAsia="Times New Roman" w:hAnsi="Times New Roman"/>
          <w:sz w:val="16"/>
          <w:szCs w:val="16"/>
          <w:color w:val="auto"/>
        </w:rPr>
        <w:t>, unless and until Executive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has executed, and not revoked, a timely full and general release of all claims against the Company and any affiliate, parent or subsidiary, and its and their officers, directors, employees, and agents, in a form satisfactory to the Company. Any payments due pursuant to </w:t>
      </w:r>
      <w:r>
        <w:rPr>
          <w:rFonts w:ascii="Times New Roman" w:cs="Times New Roman" w:eastAsia="Times New Roman" w:hAnsi="Times New Roman"/>
          <w:sz w:val="16"/>
          <w:szCs w:val="16"/>
          <w:u w:val="single" w:color="auto"/>
          <w:color w:val="auto"/>
        </w:rPr>
        <w:t>Sections 2</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w:t>
      </w:r>
      <w:r>
        <w:rPr>
          <w:rFonts w:ascii="Times New Roman" w:cs="Times New Roman" w:eastAsia="Times New Roman" w:hAnsi="Times New Roman"/>
          <w:sz w:val="16"/>
          <w:szCs w:val="16"/>
          <w:color w:val="auto"/>
        </w:rPr>
        <w:t xml:space="preserve"> of this Agreement shall commence sixty (60) days after the Executive’s last day of employment, at which time Executive shall have no right to revoke any previously executed general release of claims.</w:t>
      </w:r>
    </w:p>
    <w:p>
      <w:pPr>
        <w:spacing w:after="0" w:line="137" w:lineRule="exact"/>
        <w:rPr>
          <w:rFonts w:ascii="Times New Roman" w:cs="Times New Roman" w:eastAsia="Times New Roman" w:hAnsi="Times New Roman"/>
          <w:sz w:val="16"/>
          <w:szCs w:val="16"/>
          <w:b w:val="1"/>
          <w:bCs w:val="1"/>
          <w:color w:val="auto"/>
        </w:rPr>
      </w:pPr>
    </w:p>
    <w:p>
      <w:pPr>
        <w:ind w:right="20"/>
        <w:spacing w:after="0" w:line="281" w:lineRule="auto"/>
        <w:tabs>
          <w:tab w:leader="none" w:pos="35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Impact on Employment Status</w:t>
      </w:r>
      <w:r>
        <w:rPr>
          <w:rFonts w:ascii="Times New Roman" w:cs="Times New Roman" w:eastAsia="Times New Roman" w:hAnsi="Times New Roman"/>
          <w:sz w:val="17"/>
          <w:szCs w:val="17"/>
          <w:color w:val="auto"/>
        </w:rPr>
        <w:t>. This Agreement is not intended to confer, and shall not be interpreted as conferring, any additional employment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Executive, and has no impact on either party’s right to terminate Executive’s employment under contract or applicable law.</w:t>
      </w:r>
    </w:p>
    <w:p>
      <w:pPr>
        <w:spacing w:after="0" w:line="115" w:lineRule="exact"/>
        <w:rPr>
          <w:rFonts w:ascii="Times New Roman" w:cs="Times New Roman" w:eastAsia="Times New Roman" w:hAnsi="Times New Roman"/>
          <w:sz w:val="17"/>
          <w:szCs w:val="17"/>
          <w:b w:val="1"/>
          <w:bCs w:val="1"/>
          <w:color w:val="auto"/>
        </w:rPr>
      </w:pPr>
    </w:p>
    <w:p>
      <w:pPr>
        <w:jc w:val="both"/>
        <w:spacing w:after="0" w:line="263" w:lineRule="auto"/>
        <w:tabs>
          <w:tab w:leader="none" w:pos="35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Enforceability; Reduction</w:t>
      </w:r>
      <w:r>
        <w:rPr>
          <w:rFonts w:ascii="Times New Roman" w:cs="Times New Roman" w:eastAsia="Times New Roman" w:hAnsi="Times New Roman"/>
          <w:sz w:val="17"/>
          <w:szCs w:val="17"/>
          <w:color w:val="auto"/>
        </w:rPr>
        <w:t>. If any provision of this Agreement shall be deemed invalid or unenforceable as written, this Agreement shall be construed,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greatest extent possible, or modified, to the extent allowable by law, in a manner which shall render it valid and enforceable and any limitation on the scope or duration of any provision necessary to make it valid and enforceable shall be deemed to be a part thereof. No invalidity or unenforceability of any provision contained herein shall affect any other portion of this Agreement.</w:t>
      </w:r>
    </w:p>
    <w:p>
      <w:pPr>
        <w:spacing w:after="0" w:line="129" w:lineRule="exact"/>
        <w:rPr>
          <w:rFonts w:ascii="Times New Roman" w:cs="Times New Roman" w:eastAsia="Times New Roman" w:hAnsi="Times New Roman"/>
          <w:sz w:val="17"/>
          <w:szCs w:val="17"/>
          <w:b w:val="1"/>
          <w:bCs w:val="1"/>
          <w:color w:val="auto"/>
        </w:rPr>
      </w:pPr>
    </w:p>
    <w:p>
      <w:pPr>
        <w:ind w:left="360" w:hanging="360"/>
        <w:spacing w:after="0"/>
        <w:tabs>
          <w:tab w:leader="none" w:pos="36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w:t>
      </w:r>
    </w:p>
    <w:p>
      <w:pPr>
        <w:spacing w:after="0" w:line="179" w:lineRule="exact"/>
        <w:rPr>
          <w:rFonts w:ascii="Times New Roman" w:cs="Times New Roman" w:eastAsia="Times New Roman" w:hAnsi="Times New Roman"/>
          <w:sz w:val="17"/>
          <w:szCs w:val="17"/>
          <w:b w:val="1"/>
          <w:bCs w:val="1"/>
          <w:color w:val="auto"/>
        </w:rPr>
      </w:pPr>
    </w:p>
    <w:p>
      <w:pPr>
        <w:jc w:val="both"/>
        <w:ind w:firstLine="510"/>
        <w:spacing w:after="0" w:line="261" w:lineRule="auto"/>
        <w:tabs>
          <w:tab w:leader="none" w:pos="857"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notices, requests, consents and other communications hereunder shall be in writing, shall be addressed to the receiving party’s address set forth below or to such other address as a party may designate by notice hereunder, and shall be either (i) delivered by hand, (ii) made by telex, telecopy, facsimile, electronic mail, or other electronic transmission, (iii) sent by overnight courier, or (iv) sent by registered or certified mail, return receipt requested, postage prepaid.</w:t>
      </w:r>
    </w:p>
    <w:p>
      <w:pPr>
        <w:spacing w:after="0" w:line="20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If to the Company</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ind w:left="1020" w:right="3520"/>
        <w:spacing w:after="0" w:line="276" w:lineRule="auto"/>
        <w:rPr>
          <w:sz w:val="20"/>
          <w:szCs w:val="20"/>
          <w:color w:val="auto"/>
        </w:rPr>
      </w:pPr>
      <w:r>
        <w:rPr>
          <w:rFonts w:ascii="Times New Roman" w:cs="Times New Roman" w:eastAsia="Times New Roman" w:hAnsi="Times New Roman"/>
          <w:sz w:val="17"/>
          <w:szCs w:val="17"/>
          <w:color w:val="auto"/>
        </w:rPr>
        <w:t>Chief Executive Officer Madrigal Pharmaceuticals, Inc. 200 Barr Harbor Drive, Suite 200 West Conshohocken, PA 19428</w:t>
      </w:r>
    </w:p>
    <w:p>
      <w:pPr>
        <w:spacing w:after="0" w:line="2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i w:val="1"/>
          <w:iCs w:val="1"/>
          <w:color w:val="auto"/>
        </w:rPr>
        <w:t>If to Executive</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To Executive’s last known address in the Company’s personnel records.</w:t>
      </w:r>
    </w:p>
    <w:p>
      <w:pPr>
        <w:spacing w:after="0" w:line="261" w:lineRule="exact"/>
        <w:rPr>
          <w:sz w:val="20"/>
          <w:szCs w:val="20"/>
          <w:color w:val="auto"/>
        </w:rPr>
      </w:pPr>
    </w:p>
    <w:p>
      <w:pPr>
        <w:jc w:val="both"/>
        <w:ind w:firstLine="509"/>
        <w:spacing w:after="0" w:line="257" w:lineRule="auto"/>
        <w:tabs>
          <w:tab w:leader="none" w:pos="85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notices, requests, consents and other communications hereunder shall be deemed to have been given either (i) if by hand, at the time of the delivery thereof to the receiving party at the address of such party set forth above, (ii) if made by telex, telecopy, facsimile, electronic mail, or other electronic transmission, at the time that receipt thereof has been acknowledged by electronic confirmation or otherwise, (iii) if sent by overnight courier, on the next business day</w:t>
      </w:r>
    </w:p>
    <w:p>
      <w:pPr>
        <w:sectPr>
          <w:pgSz w:w="11900" w:h="16838" w:orient="portrait"/>
          <w:cols w:equalWidth="0" w:num="1">
            <w:col w:w="11040"/>
          </w:cols>
          <w:pgMar w:left="460" w:top="1190" w:right="399" w:bottom="1440" w:gutter="0" w:footer="0" w:header="0"/>
        </w:sectPr>
      </w:pPr>
    </w:p>
    <w:bookmarkStart w:id="58" w:name="page59"/>
    <w:bookmarkEnd w:id="58"/>
    <w:p>
      <w:pPr>
        <w:ind w:right="100"/>
        <w:spacing w:after="0" w:line="289" w:lineRule="auto"/>
        <w:rPr>
          <w:sz w:val="20"/>
          <w:szCs w:val="20"/>
          <w:color w:val="auto"/>
        </w:rPr>
      </w:pPr>
      <w:r>
        <w:rPr>
          <w:rFonts w:ascii="Times New Roman" w:cs="Times New Roman" w:eastAsia="Times New Roman" w:hAnsi="Times New Roman"/>
          <w:sz w:val="17"/>
          <w:szCs w:val="17"/>
          <w:color w:val="auto"/>
        </w:rPr>
        <w:t>following the day such notice is delivered to the courier service, or (iv) if sent by registered or certified mail, on the fifth (5th) business day following the day such mailing is made.</w:t>
      </w:r>
    </w:p>
    <w:p>
      <w:pPr>
        <w:spacing w:after="0" w:line="109" w:lineRule="exact"/>
        <w:rPr>
          <w:sz w:val="20"/>
          <w:szCs w:val="20"/>
          <w:color w:val="auto"/>
        </w:rPr>
      </w:pPr>
    </w:p>
    <w:p>
      <w:pPr>
        <w:jc w:val="both"/>
        <w:ind w:right="80"/>
        <w:spacing w:after="0" w:line="254" w:lineRule="auto"/>
        <w:tabs>
          <w:tab w:leader="none" w:pos="341"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Entire Agreement/No Duplication of Compensation or Benefits</w:t>
      </w:r>
      <w:r>
        <w:rPr>
          <w:rFonts w:ascii="Times New Roman" w:cs="Times New Roman" w:eastAsia="Times New Roman" w:hAnsi="Times New Roman"/>
          <w:sz w:val="17"/>
          <w:szCs w:val="17"/>
          <w:color w:val="auto"/>
        </w:rPr>
        <w:t>. This Agreement embodies the entire agreement and understanding between the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hereto with respect to the subject matter hereof and supersedes all prior oral or written agreements and understandings relating to the subject matter hereof including, but not limited to, any offer letter or employment agreement previously entered into between Executive and the Company. No statement, representation, warranty, covenant or agreement of any kind not expressly set forth in this Agreement shall affect, or be used to interpret, change or restrict, the express terms and provisions of this Agreement. The terms of Sections 2 and 3 above shall replace any agreement policy or practice which otherwise would obligate the Company to provide any severance compensation and/or benefits to Executive,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provision shall not be construed to otherwise limit Executive’s rights to payments or benefits provided under any pension plan (as defined in Section 3(2) of the Employee Retirement Income Security Act of 1974, as amended), deferred compensation, stock, stock option or similar plan sponsored by the Company.</w:t>
      </w:r>
    </w:p>
    <w:p>
      <w:pPr>
        <w:spacing w:after="0" w:line="137" w:lineRule="exact"/>
        <w:rPr>
          <w:rFonts w:ascii="Times New Roman" w:cs="Times New Roman" w:eastAsia="Times New Roman" w:hAnsi="Times New Roman"/>
          <w:sz w:val="17"/>
          <w:szCs w:val="17"/>
          <w:b w:val="1"/>
          <w:bCs w:val="1"/>
          <w:color w:val="auto"/>
        </w:rPr>
      </w:pPr>
    </w:p>
    <w:p>
      <w:pPr>
        <w:ind w:right="100"/>
        <w:spacing w:after="0" w:line="294" w:lineRule="auto"/>
        <w:tabs>
          <w:tab w:leader="none" w:pos="35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Modifications and Amendments</w:t>
      </w:r>
      <w:r>
        <w:rPr>
          <w:rFonts w:ascii="Times New Roman" w:cs="Times New Roman" w:eastAsia="Times New Roman" w:hAnsi="Times New Roman"/>
          <w:sz w:val="17"/>
          <w:szCs w:val="17"/>
          <w:color w:val="auto"/>
        </w:rPr>
        <w:t>. The terms and provisions of this Agreement may be modified or amended only by written agreement executed by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parties hereto. Any such amendment shall comply with the requirements of Code Section 409A, if applicable.</w:t>
      </w:r>
    </w:p>
    <w:p>
      <w:pPr>
        <w:spacing w:after="0" w:line="104" w:lineRule="exact"/>
        <w:rPr>
          <w:rFonts w:ascii="Times New Roman" w:cs="Times New Roman" w:eastAsia="Times New Roman" w:hAnsi="Times New Roman"/>
          <w:sz w:val="17"/>
          <w:szCs w:val="17"/>
          <w:b w:val="1"/>
          <w:bCs w:val="1"/>
          <w:color w:val="auto"/>
        </w:rPr>
      </w:pPr>
    </w:p>
    <w:p>
      <w:pPr>
        <w:jc w:val="both"/>
        <w:spacing w:after="0" w:line="224" w:lineRule="auto"/>
        <w:tabs>
          <w:tab w:leader="none" w:pos="35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Waivers and Consents</w:t>
      </w:r>
      <w:r>
        <w:rPr>
          <w:rFonts w:ascii="Times New Roman" w:cs="Times New Roman" w:eastAsia="Times New Roman" w:hAnsi="Times New Roman"/>
          <w:sz w:val="17"/>
          <w:szCs w:val="17"/>
          <w:color w:val="auto"/>
        </w:rPr>
        <w:t>. The terms and provisions of this Agreement may be waived, or consent for the departure therefrom granted, only by written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40" w:lineRule="exact"/>
        <w:rPr>
          <w:rFonts w:ascii="Times New Roman" w:cs="Times New Roman" w:eastAsia="Times New Roman" w:hAnsi="Times New Roman"/>
          <w:sz w:val="17"/>
          <w:szCs w:val="17"/>
          <w:b w:val="1"/>
          <w:bCs w:val="1"/>
          <w:color w:val="auto"/>
        </w:rPr>
      </w:pPr>
    </w:p>
    <w:p>
      <w:pPr>
        <w:ind w:left="360" w:hanging="360"/>
        <w:spacing w:after="0"/>
        <w:tabs>
          <w:tab w:leader="none" w:pos="36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Assignment</w:t>
      </w:r>
      <w:r>
        <w:rPr>
          <w:rFonts w:ascii="Times New Roman" w:cs="Times New Roman" w:eastAsia="Times New Roman" w:hAnsi="Times New Roman"/>
          <w:sz w:val="17"/>
          <w:szCs w:val="17"/>
          <w:color w:val="auto"/>
        </w:rPr>
        <w:t>. The rights and obligations under this Agreement may be assigned by the Company.</w:t>
      </w:r>
    </w:p>
    <w:p>
      <w:pPr>
        <w:spacing w:after="0" w:line="165" w:lineRule="exact"/>
        <w:rPr>
          <w:rFonts w:ascii="Times New Roman" w:cs="Times New Roman" w:eastAsia="Times New Roman" w:hAnsi="Times New Roman"/>
          <w:sz w:val="17"/>
          <w:szCs w:val="17"/>
          <w:b w:val="1"/>
          <w:bCs w:val="1"/>
          <w:color w:val="auto"/>
        </w:rPr>
      </w:pPr>
    </w:p>
    <w:p>
      <w:pPr>
        <w:jc w:val="both"/>
        <w:spacing w:after="0" w:line="230" w:lineRule="auto"/>
        <w:tabs>
          <w:tab w:leader="none" w:pos="35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Benefit</w:t>
      </w:r>
      <w:r>
        <w:rPr>
          <w:rFonts w:ascii="Times New Roman" w:cs="Times New Roman" w:eastAsia="Times New Roman" w:hAnsi="Times New Roman"/>
          <w:sz w:val="17"/>
          <w:szCs w:val="17"/>
          <w:color w:val="auto"/>
        </w:rPr>
        <w:t>. All statements, representations, warranties, covenants and agreements in this Agreement shall be binding on the parties hereto and shall inure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38" w:lineRule="exact"/>
        <w:rPr>
          <w:rFonts w:ascii="Times New Roman" w:cs="Times New Roman" w:eastAsia="Times New Roman" w:hAnsi="Times New Roman"/>
          <w:sz w:val="17"/>
          <w:szCs w:val="17"/>
          <w:b w:val="1"/>
          <w:bCs w:val="1"/>
          <w:color w:val="auto"/>
        </w:rPr>
      </w:pPr>
    </w:p>
    <w:p>
      <w:pPr>
        <w:jc w:val="both"/>
        <w:spacing w:after="0" w:line="216" w:lineRule="auto"/>
        <w:tabs>
          <w:tab w:leader="none" w:pos="35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Arbitration</w:t>
      </w:r>
      <w:r>
        <w:rPr>
          <w:rFonts w:ascii="Times New Roman" w:cs="Times New Roman" w:eastAsia="Times New Roman" w:hAnsi="Times New Roman"/>
          <w:sz w:val="17"/>
          <w:szCs w:val="17"/>
          <w:color w:val="auto"/>
        </w:rPr>
        <w:t>. Any controversy, dispute or claim arising out of or in connection with this Agreement will be settled by final and binding arbitration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conducted in Philadelphia, Pennsylvania pursuant to the national rules for the resolution of employment disputes of the American Arbitration Association then in effect. The decision or award in any such arbitration will be final and binding upon the parties, and judgment upon such decision or award may be entered in any court of competent jurisdiction, or application may be made to any such court for judicial acceptance of such decision or award and an order of enforcement. In the event that any procedural matter is not covered by the aforesaid rules, the procedural law of the Commonwealth of Pennsylvania will govern. Any disagreement as to whether a particular dispute is arbitral under this Agreement shall itself be subject to arbitration in accordance with the procedures set forth herein. Notwithstanding the foregoing, any right or obligation arising out of or concerning any separate contract or agreement between the parties (including but not limited to any employee,</w:t>
      </w:r>
    </w:p>
    <w:p>
      <w:pPr>
        <w:sectPr>
          <w:pgSz w:w="11900" w:h="16838" w:orient="portrait"/>
          <w:cols w:equalWidth="0" w:num="1">
            <w:col w:w="11120"/>
          </w:cols>
          <w:pgMar w:left="460" w:top="1021" w:right="319" w:bottom="1440" w:gutter="0" w:footer="0" w:header="0"/>
        </w:sectPr>
      </w:pPr>
    </w:p>
    <w:bookmarkStart w:id="59" w:name="page60"/>
    <w:bookmarkEnd w:id="59"/>
    <w:p>
      <w:pPr>
        <w:ind w:right="60"/>
        <w:spacing w:after="0" w:line="276" w:lineRule="auto"/>
        <w:rPr>
          <w:sz w:val="20"/>
          <w:szCs w:val="20"/>
          <w:color w:val="auto"/>
        </w:rPr>
      </w:pPr>
      <w:r>
        <w:rPr>
          <w:rFonts w:ascii="Times New Roman" w:cs="Times New Roman" w:eastAsia="Times New Roman" w:hAnsi="Times New Roman"/>
          <w:sz w:val="17"/>
          <w:szCs w:val="17"/>
          <w:color w:val="auto"/>
        </w:rPr>
        <w:t>non-com petition, non-solicitation, non-disclosure and invention agreement) shall be decided in accordance with the dispute resolution mechanism provided for by such contract or agreement.</w:t>
      </w:r>
    </w:p>
    <w:p>
      <w:pPr>
        <w:spacing w:after="0" w:line="119" w:lineRule="exact"/>
        <w:rPr>
          <w:sz w:val="20"/>
          <w:szCs w:val="20"/>
          <w:color w:val="auto"/>
        </w:rPr>
      </w:pPr>
    </w:p>
    <w:p>
      <w:pPr>
        <w:jc w:val="both"/>
        <w:spacing w:after="0" w:line="217" w:lineRule="auto"/>
        <w:tabs>
          <w:tab w:leader="none" w:pos="35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Governing </w:t>
      </w:r>
      <w:r>
        <w:rPr>
          <w:rFonts w:ascii="Times New Roman" w:cs="Times New Roman" w:eastAsia="Times New Roman" w:hAnsi="Times New Roman"/>
          <w:sz w:val="17"/>
          <w:szCs w:val="17"/>
          <w:b w:val="1"/>
          <w:bCs w:val="1"/>
          <w:u w:val="single" w:color="auto"/>
          <w:color w:val="auto"/>
        </w:rPr>
        <w:t>Law / Jurisdiction / Service of Process</w:t>
      </w:r>
      <w:r>
        <w:rPr>
          <w:rFonts w:ascii="Times New Roman" w:cs="Times New Roman" w:eastAsia="Times New Roman" w:hAnsi="Times New Roman"/>
          <w:sz w:val="17"/>
          <w:szCs w:val="17"/>
          <w:color w:val="auto"/>
        </w:rPr>
        <w:t>. This Agreement and the rights and obligations of the parties hereunder shall be construed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with and governed by the law of the Commonwealth of Pennsylvania, without giving effect to the conflict of law principles thereof. Any legal action or proceeding with respect to this Agreement that is not subject to arbitration pursuant to </w:t>
      </w: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will be brought in the courts of the Commonwealth of Pennsylvania, County of Montgomery, or of the United States of America for the Eastern District of Pennsylvania, sitting in Philadelphia. By execution and delivery of this Agreement, each of the parties hereto accepts for itself and in respect of its property, generally and unconditionally, the exclusive jurisdiction of the aforesaid courts. Each of the parties hereto irrevocably consents to the service of process of any of the aforementioned courts in any such action or proceeding by the mailing of copies thereof by certified mail, postage prepaid, to the party at its address set forth in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w:t>
      </w:r>
    </w:p>
    <w:p>
      <w:pPr>
        <w:spacing w:after="0" w:line="142" w:lineRule="exact"/>
        <w:rPr>
          <w:rFonts w:ascii="Times New Roman" w:cs="Times New Roman" w:eastAsia="Times New Roman" w:hAnsi="Times New Roman"/>
          <w:sz w:val="17"/>
          <w:szCs w:val="17"/>
          <w:b w:val="1"/>
          <w:bCs w:val="1"/>
          <w:color w:val="auto"/>
        </w:rPr>
      </w:pPr>
    </w:p>
    <w:p>
      <w:pPr>
        <w:spacing w:after="0" w:line="242" w:lineRule="auto"/>
        <w:tabs>
          <w:tab w:leader="none" w:pos="35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color w:val="auto"/>
        </w:rPr>
        <w:t>. This Agreement may be executed in multiple counterparts, and by different parties hereto on separate counterparts, each of which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an original, but all of which together shall constitute one and the same instrument.</w:t>
      </w:r>
    </w:p>
    <w:p>
      <w:pPr>
        <w:spacing w:after="0" w:line="1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ectPr>
          <w:pgSz w:w="11900" w:h="16838" w:orient="portrait"/>
          <w:cols w:equalWidth="0" w:num="1">
            <w:col w:w="11120"/>
          </w:cols>
          <w:pgMar w:left="460" w:top="127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color w:val="auto"/>
        </w:rPr>
        <w:t>IN WITNESS WHEREOF, the parties have executed this Agreement as of the day and year first above written.</w:t>
      </w:r>
    </w:p>
    <w:p>
      <w:pPr>
        <w:sectPr>
          <w:pgSz w:w="11900" w:h="16838" w:orient="portrait"/>
          <w:cols w:equalWidth="0" w:num="1">
            <w:col w:w="9999"/>
          </w:cols>
          <w:pgMar w:left="460" w:top="819" w:right="1440" w:bottom="1440" w:gutter="0" w:footer="0" w:header="0"/>
        </w:sectPr>
      </w:pPr>
    </w:p>
    <w:p>
      <w:pPr>
        <w:spacing w:after="0" w:line="18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color w:val="auto"/>
        </w:rPr>
        <w:t>MADRIGAL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By: /s/ Bill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-9525</wp:posOffset>
            </wp:positionV>
            <wp:extent cx="70675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6755" cy="6985"/>
                    </a:xfrm>
                    <a:prstGeom prst="rect">
                      <a:avLst/>
                    </a:prstGeom>
                    <a:noFill/>
                  </pic:spPr>
                </pic:pic>
              </a:graphicData>
            </a:graphic>
          </wp:anchor>
        </w:drawing>
      </w:r>
    </w:p>
    <w:p>
      <w:pPr>
        <w:spacing w:after="0" w:line="7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 Bill Sibold</w:t>
      </w:r>
    </w:p>
    <w:p>
      <w:pPr>
        <w:spacing w:after="0" w:line="5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By: /s/ Shannon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-9525</wp:posOffset>
            </wp:positionV>
            <wp:extent cx="92837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28370" cy="6985"/>
                    </a:xfrm>
                    <a:prstGeom prst="rect">
                      <a:avLst/>
                    </a:prstGeom>
                    <a:noFill/>
                  </pic:spPr>
                </pic:pic>
              </a:graphicData>
            </a:graphic>
          </wp:anchor>
        </w:drawing>
      </w:r>
    </w:p>
    <w:p>
      <w:pPr>
        <w:spacing w:after="0" w:line="6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7"/>
          <w:szCs w:val="17"/>
          <w:color w:val="auto"/>
        </w:rPr>
        <w:t>Name: Shannon Kelley</w:t>
      </w:r>
    </w:p>
    <w:p>
      <w:pPr>
        <w:sectPr>
          <w:pgSz w:w="11900" w:h="16838" w:orient="portrait"/>
          <w:cols w:equalWidth="0" w:num="1">
            <w:col w:w="9999"/>
          </w:cols>
          <w:pgMar w:left="460" w:top="819" w:right="1440" w:bottom="1440" w:gutter="0" w:footer="0" w:header="0"/>
          <w:type w:val="continuous"/>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6"/>
          <w:szCs w:val="16"/>
          <w:color w:val="8494AE"/>
        </w:rPr>
        <w:t>Four Tower Bridge</w:t>
      </w:r>
    </w:p>
    <w:p>
      <w:pPr>
        <w:spacing w:after="0" w:line="59" w:lineRule="exact"/>
        <w:rPr>
          <w:sz w:val="20"/>
          <w:szCs w:val="20"/>
          <w:color w:val="auto"/>
        </w:rPr>
      </w:pPr>
    </w:p>
    <w:p>
      <w:pPr>
        <w:spacing w:after="0"/>
        <w:rPr>
          <w:sz w:val="20"/>
          <w:szCs w:val="20"/>
          <w:color w:val="auto"/>
        </w:rPr>
      </w:pPr>
      <w:r>
        <w:rPr>
          <w:rFonts w:ascii="Calibri" w:cs="Calibri" w:eastAsia="Calibri" w:hAnsi="Calibri"/>
          <w:sz w:val="16"/>
          <w:szCs w:val="16"/>
          <w:color w:val="8494AE"/>
        </w:rPr>
        <w:t>200 Barr Harbor Drive, Suite 200 West Conshohocken, PA 19428</w:t>
      </w:r>
    </w:p>
    <w:p>
      <w:pPr>
        <w:spacing w:after="0" w:line="112" w:lineRule="exact"/>
        <w:rPr>
          <w:sz w:val="20"/>
          <w:szCs w:val="20"/>
          <w:color w:val="auto"/>
        </w:rPr>
      </w:pPr>
    </w:p>
    <w:p>
      <w:pPr>
        <w:spacing w:after="0"/>
        <w:rPr>
          <w:sz w:val="20"/>
          <w:szCs w:val="20"/>
          <w:color w:val="auto"/>
        </w:rPr>
      </w:pPr>
      <w:r>
        <w:rPr>
          <w:rFonts w:ascii="Calibri" w:cs="Calibri" w:eastAsia="Calibri" w:hAnsi="Calibri"/>
          <w:sz w:val="16"/>
          <w:szCs w:val="16"/>
          <w:color w:val="auto"/>
        </w:rPr>
        <w:t>August 2, 2024 Shannon Kelley</w:t>
      </w:r>
    </w:p>
    <w:p>
      <w:pPr>
        <w:spacing w:after="0" w:line="208" w:lineRule="exact"/>
        <w:rPr>
          <w:sz w:val="20"/>
          <w:szCs w:val="20"/>
          <w:color w:val="auto"/>
        </w:rPr>
      </w:pPr>
    </w:p>
    <w:p>
      <w:pPr>
        <w:spacing w:after="0"/>
        <w:rPr>
          <w:sz w:val="20"/>
          <w:szCs w:val="20"/>
          <w:color w:val="auto"/>
        </w:rPr>
      </w:pPr>
      <w:r>
        <w:rPr>
          <w:rFonts w:ascii="Calibri" w:cs="Calibri" w:eastAsia="Calibri" w:hAnsi="Calibri"/>
          <w:sz w:val="16"/>
          <w:szCs w:val="16"/>
          <w:color w:val="auto"/>
        </w:rPr>
        <w:t>[*personally identfable informaton*]</w:t>
      </w:r>
    </w:p>
    <w:p>
      <w:pPr>
        <w:spacing w:after="0" w:line="165" w:lineRule="exact"/>
        <w:rPr>
          <w:sz w:val="20"/>
          <w:szCs w:val="20"/>
          <w:color w:val="auto"/>
        </w:rPr>
      </w:pPr>
    </w:p>
    <w:p>
      <w:pPr>
        <w:spacing w:after="0"/>
        <w:rPr>
          <w:sz w:val="20"/>
          <w:szCs w:val="20"/>
          <w:color w:val="auto"/>
        </w:rPr>
      </w:pPr>
      <w:r>
        <w:rPr>
          <w:rFonts w:ascii="Calibri" w:cs="Calibri" w:eastAsia="Calibri" w:hAnsi="Calibri"/>
          <w:sz w:val="16"/>
          <w:szCs w:val="16"/>
          <w:color w:val="auto"/>
        </w:rPr>
        <w:t>Dear Shannon,</w:t>
      </w:r>
    </w:p>
    <w:p>
      <w:pPr>
        <w:spacing w:after="0" w:line="91" w:lineRule="exact"/>
        <w:rPr>
          <w:sz w:val="20"/>
          <w:szCs w:val="20"/>
          <w:color w:val="auto"/>
        </w:rPr>
      </w:pPr>
    </w:p>
    <w:p>
      <w:pPr>
        <w:jc w:val="both"/>
        <w:ind w:right="20"/>
        <w:spacing w:after="0" w:line="230" w:lineRule="auto"/>
        <w:rPr>
          <w:sz w:val="20"/>
          <w:szCs w:val="20"/>
          <w:color w:val="auto"/>
        </w:rPr>
      </w:pPr>
      <w:r>
        <w:rPr>
          <w:rFonts w:ascii="Calibri" w:cs="Calibri" w:eastAsia="Calibri" w:hAnsi="Calibri"/>
          <w:sz w:val="16"/>
          <w:szCs w:val="16"/>
          <w:color w:val="auto"/>
        </w:rPr>
        <w:t>I am delighted to confrm that you have been promoted to the positon of Chief Legal Counsel at Madrigal Pharmaceutcals, Inc. (“Madrigal” or “Company”), efectve August 2, 2024. This promoton is a recogniton of your outstanding contributons, dedicaton, and leadership at Madrigal.</w:t>
      </w:r>
    </w:p>
    <w:p>
      <w:pPr>
        <w:spacing w:after="0" w:line="188"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6"/>
          <w:szCs w:val="16"/>
          <w:color w:val="auto"/>
        </w:rPr>
        <w:t>Over the last several months, you have consistently demonstrated exceptonal legal expertse, strategic thinking, and a deep commitment to upholding the highest standards of integrity and compliance. Your ability to navigate complex legal challenges and provide sound counsel has been invaluable to our organizaton.</w:t>
      </w:r>
    </w:p>
    <w:p>
      <w:pPr>
        <w:spacing w:after="0" w:line="199"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6"/>
          <w:szCs w:val="16"/>
          <w:color w:val="auto"/>
        </w:rPr>
        <w:t>In additon to your new role as Chief Legal Counsel, you will retain the role as Chief Compliance Ofcer. It is antcipated that you will be responsible for compliance maters as well as overseeing all legal maters, including corporate governance, regulatory compliance, intellectual property, and risk management. We expect you to play a key role in shaping our legal strategy to support the Company's growth and innovaton goals.</w:t>
      </w:r>
    </w:p>
    <w:p>
      <w:pPr>
        <w:spacing w:after="0" w:line="188" w:lineRule="exact"/>
        <w:rPr>
          <w:sz w:val="20"/>
          <w:szCs w:val="20"/>
          <w:color w:val="auto"/>
        </w:rPr>
      </w:pPr>
    </w:p>
    <w:p>
      <w:pPr>
        <w:spacing w:after="0"/>
        <w:rPr>
          <w:sz w:val="20"/>
          <w:szCs w:val="20"/>
          <w:color w:val="auto"/>
        </w:rPr>
      </w:pPr>
      <w:r>
        <w:rPr>
          <w:rFonts w:ascii="Calibri" w:cs="Calibri" w:eastAsia="Calibri" w:hAnsi="Calibri"/>
          <w:sz w:val="16"/>
          <w:szCs w:val="16"/>
          <w:color w:val="auto"/>
        </w:rPr>
        <w:t xml:space="preserve">Efectve </w:t>
      </w:r>
      <w:r>
        <w:rPr>
          <w:rFonts w:ascii="Calibri" w:cs="Calibri" w:eastAsia="Calibri" w:hAnsi="Calibri"/>
          <w:sz w:val="16"/>
          <w:szCs w:val="16"/>
          <w:b w:val="1"/>
          <w:bCs w:val="1"/>
          <w:color w:val="auto"/>
        </w:rPr>
        <w:t>August 5, 2024</w:t>
      </w:r>
      <w:r>
        <w:rPr>
          <w:rFonts w:ascii="Calibri" w:cs="Calibri" w:eastAsia="Calibri" w:hAnsi="Calibri"/>
          <w:sz w:val="16"/>
          <w:szCs w:val="16"/>
          <w:color w:val="auto"/>
        </w:rPr>
        <w:t>, your compensaton shall be:</w:t>
      </w:r>
    </w:p>
    <w:p>
      <w:pPr>
        <w:spacing w:after="0" w:line="187" w:lineRule="exact"/>
        <w:rPr>
          <w:sz w:val="20"/>
          <w:szCs w:val="20"/>
          <w:color w:val="auto"/>
        </w:rPr>
      </w:pPr>
    </w:p>
    <w:p>
      <w:pPr>
        <w:jc w:val="both"/>
        <w:ind w:right="20"/>
        <w:spacing w:after="0" w:line="230" w:lineRule="auto"/>
        <w:rPr>
          <w:sz w:val="20"/>
          <w:szCs w:val="20"/>
          <w:color w:val="auto"/>
        </w:rPr>
      </w:pPr>
      <w:r>
        <w:rPr>
          <w:rFonts w:ascii="Calibri" w:cs="Calibri" w:eastAsia="Calibri" w:hAnsi="Calibri"/>
          <w:sz w:val="16"/>
          <w:szCs w:val="16"/>
          <w:b w:val="1"/>
          <w:bCs w:val="1"/>
          <w:color w:val="auto"/>
        </w:rPr>
        <w:t xml:space="preserve">Annual Base Salary: </w:t>
      </w:r>
      <w:r>
        <w:rPr>
          <w:rFonts w:ascii="Calibri" w:cs="Calibri" w:eastAsia="Calibri" w:hAnsi="Calibri"/>
          <w:sz w:val="16"/>
          <w:szCs w:val="16"/>
          <w:color w:val="auto"/>
        </w:rPr>
        <w:t>Paid semi-monthly at the rate of $520,000 per year, subject to later adjustment at the discreton of the Company and less applicable</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withholdings (the actual annual base salary at any tme is the “Base Salary”).</w:t>
      </w:r>
    </w:p>
    <w:p>
      <w:pPr>
        <w:spacing w:after="0" w:line="199" w:lineRule="exact"/>
        <w:rPr>
          <w:sz w:val="20"/>
          <w:szCs w:val="20"/>
          <w:color w:val="auto"/>
        </w:rPr>
      </w:pPr>
    </w:p>
    <w:p>
      <w:pPr>
        <w:jc w:val="both"/>
        <w:spacing w:after="0" w:line="224" w:lineRule="auto"/>
        <w:rPr>
          <w:sz w:val="20"/>
          <w:szCs w:val="20"/>
          <w:color w:val="auto"/>
        </w:rPr>
      </w:pPr>
      <w:r>
        <w:rPr>
          <w:rFonts w:ascii="Calibri" w:cs="Calibri" w:eastAsia="Calibri" w:hAnsi="Calibri"/>
          <w:sz w:val="16"/>
          <w:szCs w:val="16"/>
          <w:b w:val="1"/>
          <w:bCs w:val="1"/>
          <w:color w:val="auto"/>
        </w:rPr>
        <w:t xml:space="preserve">Bonus: </w:t>
      </w:r>
      <w:r>
        <w:rPr>
          <w:rFonts w:ascii="Calibri" w:cs="Calibri" w:eastAsia="Calibri" w:hAnsi="Calibri"/>
          <w:sz w:val="16"/>
          <w:szCs w:val="16"/>
          <w:color w:val="auto"/>
        </w:rPr>
        <w:t>Eligible for an annual performance bonus, targeted at 45% of the Base Salary, which shall apply for the entrety of the 2024 calendar year (the actual</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amount of your performance bonus, if any, to be determined at the discreton of the Compensaton Commitee of the Company’s Board of Directors).</w:t>
      </w:r>
    </w:p>
    <w:p>
      <w:pPr>
        <w:spacing w:after="0" w:line="198"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6"/>
          <w:szCs w:val="16"/>
          <w:b w:val="1"/>
          <w:bCs w:val="1"/>
          <w:color w:val="auto"/>
        </w:rPr>
        <w:t xml:space="preserve">Equity: </w:t>
      </w:r>
      <w:r>
        <w:rPr>
          <w:rFonts w:ascii="Calibri" w:cs="Calibri" w:eastAsia="Calibri" w:hAnsi="Calibri"/>
          <w:sz w:val="16"/>
          <w:szCs w:val="16"/>
          <w:color w:val="auto"/>
        </w:rPr>
        <w:t>Subject to the approval of the Compensaton Commitee of the Company’s Board of Directors, you will be granted a promotonal equity grant with an</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aggregate value of $2.55 million (50% in the form of RSUs subject to tme-based vestng and 50% in the form of optons to purchase shares of the Company’s common stock subject to tme-based vestng). The number of shares subject to your promoton grant will be determined in accordance with the Company’s grant practces for similarly situated employees and such grant will be subject to standard vestng and the other terms and conditons of the applicable Company equity incentve plan and associated award agreements.</w:t>
      </w:r>
    </w:p>
    <w:p>
      <w:pPr>
        <w:sectPr>
          <w:pgSz w:w="11900" w:h="16838" w:orient="portrait"/>
          <w:cols w:equalWidth="0" w:num="1">
            <w:col w:w="10300"/>
          </w:cols>
          <w:pgMar w:left="800" w:top="1440" w:right="799" w:bottom="1440" w:gutter="0" w:footer="0" w:header="0"/>
        </w:sectPr>
      </w:pPr>
    </w:p>
    <w:bookmarkStart w:id="62" w:name="page63"/>
    <w:bookmarkEnd w:id="62"/>
    <w:p>
      <w:pPr>
        <w:spacing w:after="0" w:line="325" w:lineRule="exact"/>
        <w:rPr>
          <w:sz w:val="20"/>
          <w:szCs w:val="20"/>
          <w:color w:val="auto"/>
        </w:rPr>
      </w:pPr>
    </w:p>
    <w:p>
      <w:pPr>
        <w:jc w:val="both"/>
        <w:spacing w:after="0" w:line="227" w:lineRule="auto"/>
        <w:rPr>
          <w:sz w:val="20"/>
          <w:szCs w:val="20"/>
          <w:color w:val="auto"/>
        </w:rPr>
      </w:pPr>
      <w:r>
        <w:rPr>
          <w:rFonts w:ascii="Calibri" w:cs="Calibri" w:eastAsia="Calibri" w:hAnsi="Calibri"/>
          <w:sz w:val="16"/>
          <w:szCs w:val="16"/>
          <w:color w:val="auto"/>
        </w:rPr>
        <w:t>Except as modifed by this leter, the other terms and conditons of your employment shall remain in full force and efect following your promoton including, without limitaton, your restrictve covenant agreement and your severance and change in control agreement, which were atached as Exhibits A and B to your ofer leter.</w:t>
      </w:r>
    </w:p>
    <w:p>
      <w:pPr>
        <w:spacing w:after="0" w:line="273" w:lineRule="exact"/>
        <w:rPr>
          <w:sz w:val="20"/>
          <w:szCs w:val="20"/>
          <w:color w:val="auto"/>
        </w:rPr>
      </w:pPr>
    </w:p>
    <w:p>
      <w:pPr>
        <w:spacing w:after="0"/>
        <w:rPr>
          <w:sz w:val="20"/>
          <w:szCs w:val="20"/>
          <w:color w:val="auto"/>
        </w:rPr>
      </w:pPr>
      <w:r>
        <w:rPr>
          <w:rFonts w:ascii="Calibri" w:cs="Calibri" w:eastAsia="Calibri" w:hAnsi="Calibri"/>
          <w:sz w:val="16"/>
          <w:szCs w:val="16"/>
          <w:color w:val="auto"/>
        </w:rPr>
        <w:t>I look forward to your contnued success and your contributons in your new role. Congratulatons, Shannon!</w:t>
      </w:r>
    </w:p>
    <w:p>
      <w:pPr>
        <w:spacing w:after="0" w:line="272" w:lineRule="exact"/>
        <w:rPr>
          <w:sz w:val="20"/>
          <w:szCs w:val="20"/>
          <w:color w:val="auto"/>
        </w:rPr>
      </w:pPr>
    </w:p>
    <w:p>
      <w:pPr>
        <w:spacing w:after="0"/>
        <w:rPr>
          <w:sz w:val="20"/>
          <w:szCs w:val="20"/>
          <w:color w:val="auto"/>
        </w:rPr>
      </w:pPr>
      <w:r>
        <w:rPr>
          <w:rFonts w:ascii="Calibri" w:cs="Calibri" w:eastAsia="Calibri" w:hAnsi="Calibri"/>
          <w:sz w:val="16"/>
          <w:szCs w:val="16"/>
          <w:color w:val="auto"/>
        </w:rPr>
        <w:t>Warm regards,</w:t>
      </w:r>
    </w:p>
    <w:p>
      <w:pPr>
        <w:spacing w:after="0" w:line="176" w:lineRule="exact"/>
        <w:rPr>
          <w:sz w:val="20"/>
          <w:szCs w:val="20"/>
          <w:color w:val="auto"/>
        </w:rPr>
      </w:pPr>
    </w:p>
    <w:p>
      <w:pPr>
        <w:spacing w:after="0"/>
        <w:rPr>
          <w:sz w:val="20"/>
          <w:szCs w:val="20"/>
          <w:color w:val="auto"/>
        </w:rPr>
      </w:pPr>
      <w:r>
        <w:rPr>
          <w:rFonts w:ascii="Calibri" w:cs="Calibri" w:eastAsia="Calibri" w:hAnsi="Calibri"/>
          <w:sz w:val="16"/>
          <w:szCs w:val="16"/>
          <w:u w:val="single" w:color="auto"/>
          <w:color w:val="auto"/>
        </w:rPr>
        <w:t>/s/ Bill Sibold</w:t>
      </w:r>
    </w:p>
    <w:p>
      <w:pPr>
        <w:spacing w:after="0" w:line="234" w:lineRule="auto"/>
        <w:rPr>
          <w:sz w:val="20"/>
          <w:szCs w:val="20"/>
          <w:color w:val="auto"/>
        </w:rPr>
      </w:pPr>
      <w:r>
        <w:rPr>
          <w:rFonts w:ascii="Calibri" w:cs="Calibri" w:eastAsia="Calibri" w:hAnsi="Calibri"/>
          <w:sz w:val="16"/>
          <w:szCs w:val="16"/>
          <w:color w:val="auto"/>
        </w:rPr>
        <w:t>Bill Sibold</w:t>
      </w:r>
    </w:p>
    <w:p>
      <w:pPr>
        <w:spacing w:after="0" w:line="235" w:lineRule="auto"/>
        <w:rPr>
          <w:sz w:val="20"/>
          <w:szCs w:val="20"/>
          <w:color w:val="auto"/>
        </w:rPr>
      </w:pPr>
      <w:r>
        <w:rPr>
          <w:rFonts w:ascii="Calibri" w:cs="Calibri" w:eastAsia="Calibri" w:hAnsi="Calibri"/>
          <w:sz w:val="16"/>
          <w:szCs w:val="16"/>
          <w:color w:val="auto"/>
        </w:rPr>
        <w:t>Chief Executve Ofcer</w:t>
      </w:r>
    </w:p>
    <w:p>
      <w:pPr>
        <w:spacing w:after="0" w:line="221" w:lineRule="auto"/>
        <w:rPr>
          <w:sz w:val="20"/>
          <w:szCs w:val="20"/>
          <w:color w:val="auto"/>
        </w:rPr>
      </w:pPr>
      <w:r>
        <w:rPr>
          <w:rFonts w:ascii="Calibri" w:cs="Calibri" w:eastAsia="Calibri" w:hAnsi="Calibri"/>
          <w:sz w:val="16"/>
          <w:szCs w:val="16"/>
          <w:color w:val="auto"/>
        </w:rPr>
        <w:t>Madrigal Pharmaceutcals</w:t>
      </w:r>
    </w:p>
    <w:p>
      <w:pPr>
        <w:spacing w:after="0" w:line="187" w:lineRule="exact"/>
        <w:rPr>
          <w:sz w:val="20"/>
          <w:szCs w:val="20"/>
          <w:color w:val="auto"/>
        </w:rPr>
      </w:pPr>
    </w:p>
    <w:p>
      <w:pPr>
        <w:spacing w:after="0"/>
        <w:rPr>
          <w:sz w:val="20"/>
          <w:szCs w:val="20"/>
          <w:color w:val="auto"/>
        </w:rPr>
      </w:pPr>
      <w:r>
        <w:rPr>
          <w:rFonts w:ascii="Calibri" w:cs="Calibri" w:eastAsia="Calibri" w:hAnsi="Calibri"/>
          <w:sz w:val="16"/>
          <w:szCs w:val="16"/>
          <w:color w:val="auto"/>
        </w:rPr>
        <w:t>Agreed to and accepted: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Calibri" w:cs="Calibri" w:eastAsia="Calibri" w:hAnsi="Calibri"/>
                <w:sz w:val="16"/>
                <w:szCs w:val="16"/>
                <w:color w:val="auto"/>
                <w:w w:val="96"/>
              </w:rPr>
              <w:t>/s/ Shannon Kelley</w:t>
            </w:r>
          </w:p>
        </w:tc>
        <w:tc>
          <w:tcPr>
            <w:tcW w:w="1640" w:type="dxa"/>
            <w:vAlign w:val="bottom"/>
          </w:tcPr>
          <w:p>
            <w:pPr>
              <w:ind w:left="300"/>
              <w:spacing w:after="0"/>
              <w:rPr>
                <w:sz w:val="20"/>
                <w:szCs w:val="20"/>
                <w:color w:val="auto"/>
              </w:rPr>
            </w:pPr>
            <w:r>
              <w:rPr>
                <w:rFonts w:ascii="Calibri" w:cs="Calibri" w:eastAsia="Calibri" w:hAnsi="Calibri"/>
                <w:sz w:val="16"/>
                <w:szCs w:val="16"/>
                <w:color w:val="auto"/>
                <w:w w:val="97"/>
              </w:rPr>
              <w:t>Date: August 2, 2024</w:t>
            </w:r>
          </w:p>
        </w:tc>
      </w:tr>
      <w:tr>
        <w:trPr>
          <w:trHeight w:val="198"/>
        </w:trPr>
        <w:tc>
          <w:tcPr>
            <w:tcW w:w="1200" w:type="dxa"/>
            <w:vAlign w:val="bottom"/>
          </w:tcPr>
          <w:p>
            <w:pPr>
              <w:spacing w:after="0"/>
              <w:rPr>
                <w:sz w:val="20"/>
                <w:szCs w:val="20"/>
                <w:color w:val="auto"/>
              </w:rPr>
            </w:pPr>
            <w:r>
              <w:rPr>
                <w:rFonts w:ascii="Calibri" w:cs="Calibri" w:eastAsia="Calibri" w:hAnsi="Calibri"/>
                <w:sz w:val="16"/>
                <w:szCs w:val="16"/>
                <w:color w:val="auto"/>
              </w:rPr>
              <w:t>Shannon Kelley</w:t>
            </w:r>
          </w:p>
        </w:tc>
        <w:tc>
          <w:tcPr>
            <w:tcW w:w="1640" w:type="dxa"/>
            <w:vAlign w:val="bottom"/>
          </w:tcPr>
          <w:p>
            <w:pPr>
              <w:spacing w:after="0"/>
              <w:rPr>
                <w:sz w:val="17"/>
                <w:szCs w:val="17"/>
                <w:color w:val="auto"/>
              </w:rPr>
            </w:pPr>
          </w:p>
        </w:tc>
      </w:tr>
    </w:tbl>
    <w:p>
      <w:pPr>
        <w:sectPr>
          <w:pgSz w:w="11900" w:h="16838" w:orient="portrait"/>
          <w:cols w:equalWidth="0" w:num="1">
            <w:col w:w="10300"/>
          </w:cols>
          <w:pgMar w:left="800" w:top="1440" w:right="799" w:bottom="1440"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304165</wp:posOffset>
            </wp:positionV>
            <wp:extent cx="7102475" cy="10300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300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235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8235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439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8343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36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833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635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8363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635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8363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635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8363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426085</wp:posOffset>
            </wp:positionV>
            <wp:extent cx="7102475" cy="1017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72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8357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635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8363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635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8363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425450</wp:posOffset>
            </wp:positionV>
            <wp:extent cx="7102475" cy="1017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102475" cy="1017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88900</wp:posOffset>
            </wp:positionV>
            <wp:extent cx="7105650" cy="83502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8350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5" w:name="page126"/>
    <w:bookmarkEnd w:id="125"/>
    <w:p>
      <w:pPr>
        <w:ind w:left="10560"/>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7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EXCHANGE ACT RULES 13a-14(a) AND 15d-14(a) AS ADOPTED PURSUANT TO SECTION 302 OF THE SARBANES-OXLEY ACT OF 2002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William J. Sibold, certify that:</w:t>
      </w:r>
    </w:p>
    <w:p>
      <w:pPr>
        <w:spacing w:after="0" w:line="83" w:lineRule="exact"/>
        <w:rPr>
          <w:sz w:val="20"/>
          <w:szCs w:val="20"/>
          <w:color w:val="auto"/>
        </w:rPr>
      </w:pPr>
    </w:p>
    <w:p>
      <w:pPr>
        <w:ind w:left="760" w:hanging="373"/>
        <w:spacing w:after="0"/>
        <w:tabs>
          <w:tab w:leader="none" w:pos="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Madrigal Pharmaceuticals, Inc.;</w:t>
      </w:r>
    </w:p>
    <w:p>
      <w:pPr>
        <w:spacing w:after="0" w:line="93" w:lineRule="exact"/>
        <w:rPr>
          <w:rFonts w:ascii="Times New Roman" w:cs="Times New Roman" w:eastAsia="Times New Roman" w:hAnsi="Times New Roman"/>
          <w:sz w:val="14"/>
          <w:szCs w:val="14"/>
          <w:color w:val="auto"/>
        </w:rPr>
      </w:pPr>
    </w:p>
    <w:p>
      <w:pPr>
        <w:ind w:left="760" w:right="480" w:hanging="373"/>
        <w:spacing w:after="0" w:line="271" w:lineRule="auto"/>
        <w:tabs>
          <w:tab w:leader="none" w:pos="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760" w:right="560" w:hanging="373"/>
        <w:spacing w:after="0" w:line="287" w:lineRule="auto"/>
        <w:tabs>
          <w:tab w:leader="none" w:pos="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14"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78" w:lineRule="exact"/>
        <w:rPr>
          <w:sz w:val="20"/>
          <w:szCs w:val="20"/>
          <w:color w:val="auto"/>
        </w:rPr>
      </w:pPr>
    </w:p>
    <w:p>
      <w:pPr>
        <w:ind w:left="760" w:right="20" w:hanging="373"/>
        <w:spacing w:after="0" w:line="271" w:lineRule="auto"/>
        <w:tabs>
          <w:tab w:leader="none" w:pos="75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5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760" w:right="420" w:hanging="373"/>
        <w:spacing w:after="0" w:line="271" w:lineRule="auto"/>
        <w:tabs>
          <w:tab w:leader="none" w:pos="75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4"/>
          <w:szCs w:val="14"/>
          <w:color w:val="auto"/>
        </w:rPr>
      </w:pPr>
    </w:p>
    <w:p>
      <w:pPr>
        <w:ind w:left="760" w:right="80" w:hanging="373"/>
        <w:spacing w:after="0" w:line="271" w:lineRule="auto"/>
        <w:tabs>
          <w:tab w:leader="none" w:pos="755"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sz w:val="20"/>
          <w:szCs w:val="20"/>
          <w:color w:val="auto"/>
        </w:rPr>
      </w:pPr>
    </w:p>
    <w:p>
      <w:pPr>
        <w:ind w:left="760" w:right="120" w:hanging="373"/>
        <w:spacing w:after="0" w:line="287" w:lineRule="auto"/>
        <w:tabs>
          <w:tab w:leader="none" w:pos="76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sz w:val="20"/>
          <w:szCs w:val="20"/>
          <w:color w:val="auto"/>
        </w:rPr>
      </w:pPr>
    </w:p>
    <w:p>
      <w:pPr>
        <w:ind w:left="760" w:right="100" w:hanging="373"/>
        <w:spacing w:after="0" w:line="271" w:lineRule="auto"/>
        <w:tabs>
          <w:tab w:leader="none" w:pos="758"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18008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8008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William J. Sibold</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October 31, 2024</w:t>
      </w:r>
    </w:p>
    <w:p>
      <w:pPr>
        <w:sectPr>
          <w:pgSz w:w="11900" w:h="16838" w:orient="portrait"/>
          <w:cols w:equalWidth="0" w:num="1">
            <w:col w:w="11280"/>
          </w:cols>
          <w:pgMar w:left="300" w:top="759" w:right="319" w:bottom="1440" w:gutter="0" w:footer="0" w:header="0"/>
        </w:sectPr>
      </w:pPr>
    </w:p>
    <w:bookmarkStart w:id="126" w:name="page127"/>
    <w:bookmarkEnd w:id="126"/>
    <w:p>
      <w:pPr>
        <w:ind w:left="10560"/>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79" w:lineRule="exact"/>
        <w:rPr>
          <w:sz w:val="20"/>
          <w:szCs w:val="20"/>
          <w:color w:val="auto"/>
        </w:rPr>
      </w:pPr>
    </w:p>
    <w:p>
      <w:pPr>
        <w:jc w:val="center"/>
        <w:spacing w:after="0" w:line="290" w:lineRule="auto"/>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EXCHANGE ACT RULES 13a-14(a) AND 15d-14(a) AS ADOPTED PURSUANT TO SECTION 302 OF THE SARBANES-OXLEY ACT OF 2002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Mardi C. Dier, certify that:</w:t>
      </w:r>
    </w:p>
    <w:p>
      <w:pPr>
        <w:spacing w:after="0" w:line="83" w:lineRule="exact"/>
        <w:rPr>
          <w:sz w:val="20"/>
          <w:szCs w:val="20"/>
          <w:color w:val="auto"/>
        </w:rPr>
      </w:pPr>
    </w:p>
    <w:p>
      <w:pPr>
        <w:ind w:left="760" w:hanging="373"/>
        <w:spacing w:after="0"/>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Madrigal Pharmaceuticals, Inc.;</w:t>
      </w:r>
    </w:p>
    <w:p>
      <w:pPr>
        <w:spacing w:after="0" w:line="93" w:lineRule="exact"/>
        <w:rPr>
          <w:rFonts w:ascii="Times New Roman" w:cs="Times New Roman" w:eastAsia="Times New Roman" w:hAnsi="Times New Roman"/>
          <w:sz w:val="14"/>
          <w:szCs w:val="14"/>
          <w:color w:val="auto"/>
        </w:rPr>
      </w:pPr>
    </w:p>
    <w:p>
      <w:pPr>
        <w:ind w:left="760" w:right="480" w:hanging="373"/>
        <w:spacing w:after="0" w:line="271" w:lineRule="auto"/>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760" w:right="560" w:hanging="373"/>
        <w:spacing w:after="0" w:line="287" w:lineRule="auto"/>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14" w:lineRule="exact"/>
        <w:rPr>
          <w:rFonts w:ascii="Times New Roman" w:cs="Times New Roman" w:eastAsia="Times New Roman" w:hAnsi="Times New Roman"/>
          <w:sz w:val="14"/>
          <w:szCs w:val="14"/>
          <w:color w:val="auto"/>
        </w:rPr>
      </w:pPr>
    </w:p>
    <w:p>
      <w:pPr>
        <w:ind w:left="7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78" w:lineRule="exact"/>
        <w:rPr>
          <w:sz w:val="20"/>
          <w:szCs w:val="20"/>
          <w:color w:val="auto"/>
        </w:rPr>
      </w:pPr>
    </w:p>
    <w:p>
      <w:pPr>
        <w:ind w:left="760" w:right="20" w:hanging="373"/>
        <w:spacing w:after="0" w:line="271" w:lineRule="auto"/>
        <w:tabs>
          <w:tab w:leader="none" w:pos="75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760" w:right="240" w:hanging="373"/>
        <w:spacing w:after="0" w:line="287" w:lineRule="auto"/>
        <w:tabs>
          <w:tab w:leader="none" w:pos="75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Times New Roman" w:cs="Times New Roman" w:eastAsia="Times New Roman" w:hAnsi="Times New Roman"/>
          <w:sz w:val="14"/>
          <w:szCs w:val="14"/>
          <w:color w:val="auto"/>
        </w:rPr>
      </w:pPr>
    </w:p>
    <w:p>
      <w:pPr>
        <w:ind w:left="760" w:right="420" w:hanging="373"/>
        <w:spacing w:after="0" w:line="271" w:lineRule="auto"/>
        <w:tabs>
          <w:tab w:leader="none" w:pos="75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0" w:lineRule="exact"/>
        <w:rPr>
          <w:rFonts w:ascii="Times New Roman" w:cs="Times New Roman" w:eastAsia="Times New Roman" w:hAnsi="Times New Roman"/>
          <w:sz w:val="14"/>
          <w:szCs w:val="14"/>
          <w:color w:val="auto"/>
        </w:rPr>
      </w:pPr>
    </w:p>
    <w:p>
      <w:pPr>
        <w:ind w:left="760" w:right="80" w:hanging="373"/>
        <w:spacing w:after="0" w:line="271" w:lineRule="auto"/>
        <w:tabs>
          <w:tab w:leader="none" w:pos="755"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sz w:val="20"/>
          <w:szCs w:val="20"/>
          <w:color w:val="auto"/>
        </w:rPr>
      </w:pPr>
    </w:p>
    <w:p>
      <w:pPr>
        <w:ind w:left="760" w:right="120" w:hanging="373"/>
        <w:spacing w:after="0" w:line="287" w:lineRule="auto"/>
        <w:tabs>
          <w:tab w:leader="none" w:pos="7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sz w:val="20"/>
          <w:szCs w:val="20"/>
          <w:color w:val="auto"/>
        </w:rPr>
      </w:pPr>
    </w:p>
    <w:p>
      <w:pPr>
        <w:ind w:left="760" w:right="100" w:hanging="373"/>
        <w:spacing w:after="0" w:line="271" w:lineRule="auto"/>
        <w:tabs>
          <w:tab w:leader="none" w:pos="75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Times New Roman" w:cs="Times New Roman" w:eastAsia="Times New Roman" w:hAnsi="Times New Roman"/>
          <w:sz w:val="14"/>
          <w:szCs w:val="14"/>
          <w:color w:val="auto"/>
        </w:rPr>
      </w:pPr>
    </w:p>
    <w:p>
      <w:pPr>
        <w:ind w:left="760" w:hanging="373"/>
        <w:spacing w:after="0"/>
        <w:tabs>
          <w:tab w:leader="none" w:pos="7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318008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80080" cy="698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Mardi C. Dier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October 31, 2024</w:t>
      </w:r>
    </w:p>
    <w:p>
      <w:pPr>
        <w:sectPr>
          <w:pgSz w:w="11900" w:h="16838" w:orient="portrait"/>
          <w:cols w:equalWidth="0" w:num="1">
            <w:col w:w="11280"/>
          </w:cols>
          <w:pgMar w:left="300" w:top="759" w:right="3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6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CERTIFICATIONS PURSUANT TO 18 U.S.C. SECTION 1350,</w:t>
      </w:r>
    </w:p>
    <w:p>
      <w:pPr>
        <w:spacing w:after="0" w:line="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SARBANES-OXLEY ACT OF 2002</w:t>
      </w:r>
    </w:p>
    <w:p>
      <w:pPr>
        <w:spacing w:after="0" w:line="152" w:lineRule="exact"/>
        <w:rPr>
          <w:sz w:val="20"/>
          <w:szCs w:val="20"/>
          <w:color w:val="auto"/>
        </w:rPr>
      </w:pPr>
    </w:p>
    <w:p>
      <w:pPr>
        <w:ind w:right="460"/>
        <w:spacing w:after="0" w:line="287" w:lineRule="auto"/>
        <w:rPr>
          <w:sz w:val="20"/>
          <w:szCs w:val="20"/>
          <w:color w:val="auto"/>
        </w:rPr>
      </w:pPr>
      <w:r>
        <w:rPr>
          <w:rFonts w:ascii="Times New Roman" w:cs="Times New Roman" w:eastAsia="Times New Roman" w:hAnsi="Times New Roman"/>
          <w:sz w:val="14"/>
          <w:szCs w:val="14"/>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14"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The Quarterly Report on Form 10-Q for the quarterly period ended September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78"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4"/>
          <w:szCs w:val="14"/>
          <w:color w:val="auto"/>
        </w:rPr>
        <w:t>Dated: October 31, 2024</w:t>
      </w:r>
      <w:r>
        <w:rPr>
          <w:sz w:val="20"/>
          <w:szCs w:val="20"/>
          <w:color w:val="auto"/>
        </w:rPr>
        <w:tab/>
      </w:r>
      <w:r>
        <w:rPr>
          <w:rFonts w:ascii="Times New Roman" w:cs="Times New Roman" w:eastAsia="Times New Roman" w:hAnsi="Times New Roman"/>
          <w:sz w:val="14"/>
          <w:szCs w:val="14"/>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21590</wp:posOffset>
            </wp:positionV>
            <wp:extent cx="346265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62655" cy="6985"/>
                    </a:xfrm>
                    <a:prstGeom prst="rect">
                      <a:avLst/>
                    </a:prstGeom>
                    <a:noFill/>
                  </pic:spPr>
                </pic:pic>
              </a:graphicData>
            </a:graphic>
          </wp:anchor>
        </w:drawing>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William J. Sibold</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253"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4"/>
          <w:szCs w:val="14"/>
          <w:color w:val="auto"/>
        </w:rPr>
        <w:t>Dated: October 31, 2024</w:t>
      </w:r>
      <w:r>
        <w:rPr>
          <w:sz w:val="20"/>
          <w:szCs w:val="20"/>
          <w:color w:val="auto"/>
        </w:rPr>
        <w:tab/>
      </w:r>
      <w:r>
        <w:rPr>
          <w:rFonts w:ascii="Times New Roman" w:cs="Times New Roman" w:eastAsia="Times New Roman" w:hAnsi="Times New Roman"/>
          <w:sz w:val="14"/>
          <w:szCs w:val="14"/>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3702050</wp:posOffset>
            </wp:positionH>
            <wp:positionV relativeFrom="paragraph">
              <wp:posOffset>21590</wp:posOffset>
            </wp:positionV>
            <wp:extent cx="346265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62655" cy="6985"/>
                    </a:xfrm>
                    <a:prstGeom prst="rect">
                      <a:avLst/>
                    </a:prstGeom>
                    <a:noFill/>
                  </pic:spPr>
                </pic:pic>
              </a:graphicData>
            </a:graphic>
          </wp:anchor>
        </w:drawing>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Mardi C. Dier</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p>
      <w:pPr>
        <w:spacing w:after="0" w:line="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5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80"/>
      </w:cols>
      <w:pgMar w:left="300" w:top="7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8"/>
    </w:lvl>
  </w:abstractNum>
  <w:abstractNum w:abstractNumId="5">
    <w:nsid w:val="836C40E"/>
    <w:multiLevelType w:val="hybridMultilevel"/>
    <w:lvl w:ilvl="0">
      <w:lvlJc w:val="left"/>
      <w:lvlText w:val="%1."/>
      <w:numFmt w:val="decimal"/>
      <w:start w:val="9"/>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lvl w:ilvl="1">
      <w:lvlJc w:val="left"/>
      <w:lvlText w:val="%2"/>
      <w:numFmt w:val="decimal"/>
      <w:start w:val="104"/>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lvl w:ilvl="1">
      <w:lvlJc w:val="left"/>
      <w:lvlText w:val="%2."/>
      <w:numFmt w:val="lowerLetter"/>
      <w:start w:val="1"/>
    </w:lvl>
  </w:abstractNum>
  <w:abstractNum w:abstractNumId="14">
    <w:nsid w:val="4516DDE9"/>
    <w:multiLevelType w:val="hybridMultilevel"/>
    <w:lvl w:ilvl="0">
      <w:lvlJc w:val="left"/>
      <w:lvlText w:val="%1."/>
      <w:numFmt w:val="decimal"/>
      <w:start w:val="4"/>
    </w:lvl>
  </w:abstractNum>
  <w:abstractNum w:abstractNumId="15">
    <w:nsid w:val="3006C83E"/>
    <w:multiLevelType w:val="hybridMultilevel"/>
    <w:lvl w:ilvl="0">
      <w:lvlJc w:val="left"/>
      <w:lvlText w:val="%1."/>
      <w:numFmt w:val="decimal"/>
      <w:start w:val="10"/>
    </w:lvl>
  </w:abstractNum>
  <w:abstractNum w:abstractNumId="16">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
    <w:nsid w:val="419AC241"/>
    <w:multiLevelType w:val="hybridMultilevel"/>
    <w:lvl w:ilvl="0">
      <w:lvlJc w:val="left"/>
      <w:lvlText w:val="%1"/>
      <w:numFmt w:val="lowerLetter"/>
      <w:start w:val="1"/>
    </w:lvl>
    <w:lvl w:ilvl="1">
      <w:lvlJc w:val="left"/>
      <w:lvlText w:val="(%2)"/>
      <w:numFmt w:val="lowerRoman"/>
      <w:start w:val="3"/>
    </w:lvl>
  </w:abstractNum>
  <w:abstractNum w:abstractNumId="18">
    <w:nsid w:val="5577F8E1"/>
    <w:multiLevelType w:val="hybridMultilevel"/>
    <w:lvl w:ilvl="0">
      <w:lvlJc w:val="left"/>
      <w:lvlText w:val="(%1)"/>
      <w:numFmt w:val="lowerLetter"/>
      <w:start w:val="2"/>
    </w:lvl>
    <w:lvl w:ilvl="1">
      <w:lvlJc w:val="left"/>
      <w:lvlText w:val="(%2)"/>
      <w:numFmt w:val="lowerRoman"/>
      <w:start w:val="1"/>
    </w:lvl>
  </w:abstractNum>
  <w:abstractNum w:abstractNumId="19">
    <w:nsid w:val="440BADFC"/>
    <w:multiLevelType w:val="hybridMultilevel"/>
    <w:lvl w:ilvl="0">
      <w:lvlJc w:val="left"/>
      <w:lvlText w:val="%1"/>
      <w:numFmt w:val="decimal"/>
      <w:start w:val="1"/>
    </w:lvl>
    <w:lvl w:ilvl="1">
      <w:lvlJc w:val="left"/>
      <w:lvlText w:val="(%2)"/>
      <w:numFmt w:val="lowerLetter"/>
      <w:start w:val="4"/>
    </w:lvl>
  </w:abstractNum>
  <w:abstractNum w:abstractNumId="20">
    <w:nsid w:val="5072367"/>
    <w:multiLevelType w:val="hybridMultilevel"/>
    <w:lvl w:ilvl="0">
      <w:lvlJc w:val="left"/>
      <w:lvlText w:val="%1."/>
      <w:numFmt w:val="decimal"/>
      <w:start w:val="2"/>
    </w:lvl>
    <w:lvl w:ilvl="1">
      <w:lvlJc w:val="left"/>
      <w:lvlText w:val="(%2)"/>
      <w:numFmt w:val="lowerLetter"/>
      <w:start w:val="1"/>
    </w:lvl>
  </w:abstractNum>
  <w:abstractNum w:abstractNumId="21">
    <w:nsid w:val="3804823E"/>
    <w:multiLevelType w:val="hybridMultilevel"/>
    <w:lvl w:ilvl="0">
      <w:lvlJc w:val="left"/>
      <w:lvlText w:val="%1"/>
      <w:numFmt w:val="decimal"/>
      <w:start w:val="1"/>
    </w:lvl>
    <w:lvl w:ilvl="1">
      <w:lvlJc w:val="left"/>
      <w:lvlText w:val="(%2)"/>
      <w:numFmt w:val="lowerLetter"/>
      <w:start w:val="4"/>
    </w:lvl>
  </w:abstractNum>
  <w:abstractNum w:abstractNumId="22">
    <w:nsid w:val="77465F01"/>
    <w:multiLevelType w:val="hybridMultilevel"/>
    <w:lvl w:ilvl="0">
      <w:lvlJc w:val="left"/>
      <w:lvlText w:val="%1."/>
      <w:numFmt w:val="decimal"/>
      <w:start w:val="3"/>
    </w:lvl>
    <w:lvl w:ilvl="1">
      <w:lvlJc w:val="left"/>
      <w:lvlText w:val="(%2)"/>
      <w:numFmt w:val="lowerLetter"/>
      <w:start w:val="1"/>
    </w:lvl>
  </w:abstractNum>
  <w:abstractNum w:abstractNumId="23">
    <w:nsid w:val="7724C67E"/>
    <w:multiLevelType w:val="hybridMultilevel"/>
    <w:lvl w:ilvl="0">
      <w:lvlJc w:val="left"/>
      <w:lvlText w:val="%1."/>
      <w:numFmt w:val="decimal"/>
      <w:start w:val="4"/>
    </w:lvl>
    <w:lvl w:ilvl="1">
      <w:lvlJc w:val="left"/>
      <w:lvlText w:val="(%2)"/>
      <w:numFmt w:val="lowerLetter"/>
      <w:start w:val="1"/>
    </w:lvl>
  </w:abstractNum>
  <w:abstractNum w:abstractNumId="24">
    <w:nsid w:val="5C482A97"/>
    <w:multiLevelType w:val="hybridMultilevel"/>
    <w:lvl w:ilvl="0">
      <w:lvlJc w:val="left"/>
      <w:lvlText w:val="%1."/>
      <w:numFmt w:val="decimal"/>
      <w:start w:val="9"/>
    </w:lvl>
    <w:lvl w:ilvl="1">
      <w:lvlJc w:val="left"/>
      <w:lvlText w:val="(%2)"/>
      <w:numFmt w:val="lowerLetter"/>
      <w:start w:val="1"/>
    </w:lvl>
  </w:abstractNum>
  <w:abstractNum w:abstractNumId="25">
    <w:nsid w:val="2463B9EA"/>
    <w:multiLevelType w:val="hybridMultilevel"/>
    <w:lvl w:ilvl="0">
      <w:lvlJc w:val="left"/>
      <w:lvlText w:val="(%1)"/>
      <w:numFmt w:val="lowerLetter"/>
      <w:start w:val="2"/>
    </w:lvl>
  </w:abstractNum>
  <w:abstractNum w:abstractNumId="26">
    <w:nsid w:val="5E884ADC"/>
    <w:multiLevelType w:val="hybridMultilevel"/>
    <w:lvl w:ilvl="0">
      <w:lvlJc w:val="left"/>
      <w:lvlText w:val="%1"/>
      <w:numFmt w:val="lowerLetter"/>
      <w:start w:val="1"/>
    </w:lvl>
    <w:lvl w:ilvl="1">
      <w:lvlJc w:val="left"/>
      <w:lvlText w:val="(%2)"/>
      <w:numFmt w:val="lowerLetter"/>
      <w:start w:val="7"/>
    </w:lvl>
  </w:abstractNum>
  <w:abstractNum w:abstractNumId="27">
    <w:nsid w:val="51EAD36B"/>
    <w:multiLevelType w:val="hybridMultilevel"/>
    <w:lvl w:ilvl="0">
      <w:lvlJc w:val="left"/>
      <w:lvlText w:val="(%1)"/>
      <w:numFmt w:val="lowerLetter"/>
      <w:start w:val="9"/>
    </w:lvl>
    <w:lvl w:ilvl="1">
      <w:lvlJc w:val="left"/>
      <w:lvlText w:val="(%2)"/>
      <w:numFmt w:val="lowerLetter"/>
      <w:start w:val="10"/>
    </w:lvl>
  </w:abstractNum>
  <w:abstractNum w:abstractNumId="28">
    <w:nsid w:val="2D51779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9">
    <w:nsid w:val="580BD78F"/>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30">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1">
    <w:nsid w:val="385558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2">
    <w:nsid w:val="70A64E2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3">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4">
    <w:nsid w:val="2A487CB0"/>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
    </w:lvl>
  </w:abstractNum>
  <w:abstractNum w:abstractNumId="35">
    <w:nsid w:val="1D4ED43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6">
    <w:nsid w:val="725A06FB"/>
    <w:multiLevelType w:val="hybridMultilevel"/>
    <w:lvl w:ilvl="0">
      <w:lvlJc w:val="left"/>
      <w:lvlText w:val="%1"/>
      <w:numFmt w:val="decimal"/>
      <w:start w:val="1"/>
    </w:lvl>
    <w:lvl w:ilvl="1">
      <w:lvlJc w:val="left"/>
      <w:lvlText w:val="(%2)"/>
      <w:numFmt w:val="lowerLetter"/>
      <w:start w:val="2"/>
    </w:lvl>
  </w:abstractNum>
  <w:abstractNum w:abstractNumId="37">
    <w:nsid w:val="2CD89A32"/>
    <w:multiLevelType w:val="hybridMultilevel"/>
    <w:lvl w:ilvl="0">
      <w:lvlJc w:val="left"/>
      <w:lvlText w:val="%1."/>
      <w:numFmt w:val="decimal"/>
      <w:start w:val="4"/>
    </w:lvl>
    <w:lvl w:ilvl="1">
      <w:lvlJc w:val="left"/>
      <w:lvlText w:val="%2"/>
      <w:numFmt w:val="lowerLetter"/>
      <w:start w:val="1"/>
    </w:lvl>
  </w:abstractNum>
  <w:abstractNum w:abstractNumId="38">
    <w:nsid w:val="57E4CCAF"/>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39">
    <w:nsid w:val="7A6D8D3C"/>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40">
    <w:nsid w:val="4B588F54"/>
    <w:multiLevelType w:val="hybridMultilevel"/>
    <w:lvl w:ilvl="0">
      <w:lvlJc w:val="left"/>
      <w:lvlText w:val="(%1)"/>
      <w:numFmt w:val="lowerLetter"/>
      <w:start w:val="2"/>
    </w:lvl>
  </w:abstractNum>
  <w:abstractNum w:abstractNumId="41">
    <w:nsid w:val="542289EC"/>
    <w:multiLevelType w:val="hybridMultilevel"/>
    <w:lvl w:ilvl="0">
      <w:lvlJc w:val="left"/>
      <w:lvlText w:val="%1."/>
      <w:numFmt w:val="decimal"/>
      <w:start w:val="11"/>
    </w:lvl>
  </w:abstractNum>
  <w:abstractNum w:abstractNumId="42">
    <w:nsid w:val="6DE91B18"/>
    <w:multiLevelType w:val="hybridMultilevel"/>
    <w:lvl w:ilvl="0">
      <w:lvlJc w:val="left"/>
      <w:lvlText w:val="%1."/>
      <w:numFmt w:val="decimal"/>
      <w:start w:val="17"/>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5"/>
    </w:lvl>
  </w:abstractNum>
  <w:abstractNum w:abstractNumId="46">
    <w:nsid w:val="684A481A"/>
    <w:multiLevelType w:val="hybridMultilevel"/>
    <w:lvl w:ilvl="0">
      <w:lvlJc w:val="left"/>
      <w:lvlText w:val="(%1)"/>
      <w:numFmt w:val="lowerLetter"/>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decimal"/>
      <w:start w:val="5"/>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2024-10-31T08:12:09Z</dcterms:created>
  <dcterms:modified xsi:type="dcterms:W3CDTF">2024-10-31T08:12:09Z</dcterms:modified>
</cp:coreProperties>
</file>