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213995</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257175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40" w:right="40" w:hanging="424"/>
        <w:spacing w:after="0" w:line="236" w:lineRule="auto"/>
        <w:tabs>
          <w:tab w:leader="none" w:pos="54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9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For the quarterly period ended September 30, 2020</w:t>
      </w:r>
    </w:p>
    <w:p>
      <w:pPr>
        <w:spacing w:after="0" w:line="22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OR</w:t>
      </w:r>
    </w:p>
    <w:p>
      <w:pPr>
        <w:spacing w:after="0" w:line="243" w:lineRule="exact"/>
        <w:rPr>
          <w:sz w:val="24"/>
          <w:szCs w:val="24"/>
          <w:color w:val="auto"/>
        </w:rPr>
      </w:pPr>
    </w:p>
    <w:p>
      <w:pPr>
        <w:ind w:left="540" w:right="20" w:hanging="424"/>
        <w:spacing w:after="0" w:line="256" w:lineRule="auto"/>
        <w:tabs>
          <w:tab w:leader="none" w:pos="54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71" w:lineRule="exact"/>
        <w:rPr>
          <w:sz w:val="24"/>
          <w:szCs w:val="24"/>
          <w:color w:val="auto"/>
        </w:rPr>
      </w:pPr>
    </w:p>
    <w:p>
      <w:pPr>
        <w:ind w:left="3420"/>
        <w:spacing w:after="0"/>
        <w:tabs>
          <w:tab w:leader="none" w:pos="672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240030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drawing>
          <wp:anchor simplePos="0" relativeHeight="251657728" behindDoc="1" locked="0" layoutInCell="0" allowOverlap="1">
            <wp:simplePos x="0" y="0"/>
            <wp:positionH relativeFrom="column">
              <wp:posOffset>3676650</wp:posOffset>
            </wp:positionH>
            <wp:positionV relativeFrom="paragraph">
              <wp:posOffset>-7620</wp:posOffset>
            </wp:positionV>
            <wp:extent cx="129476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94765" cy="8255"/>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Commission file number: 001-33277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248920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58" w:lineRule="exact"/>
        <w:rPr>
          <w:sz w:val="24"/>
          <w:szCs w:val="24"/>
          <w:color w:val="auto"/>
        </w:rPr>
      </w:pPr>
    </w:p>
    <w:p>
      <w:pPr>
        <w:jc w:val="center"/>
        <w:ind w:right="-179"/>
        <w:spacing w:after="0"/>
        <w:rPr>
          <w:sz w:val="20"/>
          <w:szCs w:val="20"/>
          <w:color w:val="auto"/>
        </w:rPr>
      </w:pPr>
      <w:r>
        <w:rPr>
          <w:rFonts w:ascii="Arial" w:cs="Arial" w:eastAsia="Arial" w:hAnsi="Arial"/>
          <w:sz w:val="43"/>
          <w:szCs w:val="43"/>
          <w:b w:val="1"/>
          <w:bCs w:val="1"/>
          <w:color w:val="auto"/>
        </w:rPr>
        <w:t>MADRIGAL PHARMACEUTICALS, INC.</w:t>
      </w:r>
    </w:p>
    <w:p>
      <w:pPr>
        <w:spacing w:after="0" w:line="5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227330</wp:posOffset>
            </wp:positionV>
            <wp:extent cx="14744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560" w:type="dxa"/>
        <w:tblCellMar>
          <w:top w:w="0" w:type="dxa"/>
          <w:left w:w="0" w:type="dxa"/>
          <w:bottom w:w="0" w:type="dxa"/>
          <w:right w:w="0" w:type="dxa"/>
        </w:tblCellMar>
      </w:tblPr>
      <w:tr>
        <w:trPr>
          <w:trHeight w:val="212"/>
        </w:trPr>
        <w:tc>
          <w:tcPr>
            <w:tcW w:w="4500" w:type="dxa"/>
            <w:vAlign w:val="bottom"/>
          </w:tcPr>
          <w:p>
            <w:pPr>
              <w:jc w:val="center"/>
              <w:ind w:right="1738"/>
              <w:spacing w:after="0"/>
              <w:rPr>
                <w:sz w:val="20"/>
                <w:szCs w:val="20"/>
                <w:color w:val="auto"/>
              </w:rPr>
            </w:pPr>
            <w:r>
              <w:rPr>
                <w:rFonts w:ascii="Arial" w:cs="Arial" w:eastAsia="Arial" w:hAnsi="Arial"/>
                <w:sz w:val="18"/>
                <w:szCs w:val="18"/>
                <w:b w:val="1"/>
                <w:bCs w:val="1"/>
                <w:color w:val="auto"/>
                <w:w w:val="91"/>
              </w:rPr>
              <w:t>Delaware</w:t>
            </w:r>
          </w:p>
        </w:tc>
        <w:tc>
          <w:tcPr>
            <w:tcW w:w="2960" w:type="dxa"/>
            <w:vAlign w:val="bottom"/>
          </w:tcPr>
          <w:p>
            <w:pPr>
              <w:jc w:val="right"/>
              <w:ind w:right="41"/>
              <w:spacing w:after="0"/>
              <w:rPr>
                <w:sz w:val="20"/>
                <w:szCs w:val="20"/>
                <w:color w:val="auto"/>
              </w:rPr>
            </w:pPr>
            <w:r>
              <w:rPr>
                <w:rFonts w:ascii="Arial" w:cs="Arial" w:eastAsia="Arial" w:hAnsi="Arial"/>
                <w:sz w:val="18"/>
                <w:szCs w:val="18"/>
                <w:b w:val="1"/>
                <w:bCs w:val="1"/>
                <w:color w:val="auto"/>
              </w:rPr>
              <w:t>04-3508648</w:t>
            </w:r>
          </w:p>
        </w:tc>
      </w:tr>
      <w:tr>
        <w:trPr>
          <w:trHeight w:val="148"/>
        </w:trPr>
        <w:tc>
          <w:tcPr>
            <w:tcW w:w="4500" w:type="dxa"/>
            <w:vAlign w:val="bottom"/>
          </w:tcPr>
          <w:p>
            <w:pPr>
              <w:jc w:val="center"/>
              <w:ind w:right="1738"/>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960" w:type="dxa"/>
            <w:vAlign w:val="bottom"/>
          </w:tcPr>
          <w:p>
            <w:pPr>
              <w:jc w:val="center"/>
              <w:ind w:left="176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500" w:type="dxa"/>
            <w:vAlign w:val="bottom"/>
          </w:tcPr>
          <w:p>
            <w:pPr>
              <w:jc w:val="center"/>
              <w:ind w:right="1738"/>
              <w:spacing w:after="0"/>
              <w:rPr>
                <w:sz w:val="20"/>
                <w:szCs w:val="20"/>
                <w:color w:val="auto"/>
              </w:rPr>
            </w:pPr>
            <w:r>
              <w:rPr>
                <w:rFonts w:ascii="Arial" w:cs="Arial" w:eastAsia="Arial" w:hAnsi="Arial"/>
                <w:sz w:val="14"/>
                <w:szCs w:val="14"/>
                <w:b w:val="1"/>
                <w:bCs w:val="1"/>
                <w:color w:val="auto"/>
                <w:w w:val="94"/>
              </w:rPr>
              <w:t>incorporation or organization)</w:t>
            </w:r>
          </w:p>
        </w:tc>
        <w:tc>
          <w:tcPr>
            <w:tcW w:w="2960" w:type="dxa"/>
            <w:vAlign w:val="bottom"/>
          </w:tcPr>
          <w:p>
            <w:pPr>
              <w:jc w:val="center"/>
              <w:ind w:left="1761"/>
              <w:spacing w:after="0"/>
              <w:rPr>
                <w:sz w:val="20"/>
                <w:szCs w:val="20"/>
                <w:color w:val="auto"/>
              </w:rPr>
            </w:pPr>
            <w:r>
              <w:rPr>
                <w:rFonts w:ascii="Arial" w:cs="Arial" w:eastAsia="Arial" w:hAnsi="Arial"/>
                <w:sz w:val="14"/>
                <w:szCs w:val="14"/>
                <w:b w:val="1"/>
                <w:bCs w:val="1"/>
                <w:color w:val="auto"/>
                <w:w w:val="94"/>
              </w:rPr>
              <w:t>Identification No.)</w:t>
            </w:r>
          </w:p>
        </w:tc>
      </w:tr>
      <w:tr>
        <w:trPr>
          <w:trHeight w:val="412"/>
        </w:trPr>
        <w:tc>
          <w:tcPr>
            <w:tcW w:w="4500" w:type="dxa"/>
            <w:vAlign w:val="bottom"/>
          </w:tcPr>
          <w:p>
            <w:pPr>
              <w:jc w:val="center"/>
              <w:ind w:right="1738"/>
              <w:spacing w:after="0"/>
              <w:rPr>
                <w:sz w:val="20"/>
                <w:szCs w:val="20"/>
                <w:color w:val="auto"/>
              </w:rPr>
            </w:pPr>
            <w:r>
              <w:rPr>
                <w:rFonts w:ascii="Arial" w:cs="Arial" w:eastAsia="Arial" w:hAnsi="Arial"/>
                <w:sz w:val="18"/>
                <w:szCs w:val="18"/>
                <w:b w:val="1"/>
                <w:bCs w:val="1"/>
                <w:color w:val="auto"/>
                <w:w w:val="92"/>
              </w:rPr>
              <w:t>Four Tower Bridge</w:t>
            </w:r>
          </w:p>
        </w:tc>
        <w:tc>
          <w:tcPr>
            <w:tcW w:w="2960" w:type="dxa"/>
            <w:vAlign w:val="bottom"/>
          </w:tcPr>
          <w:p>
            <w:pPr>
              <w:spacing w:after="0"/>
              <w:rPr>
                <w:sz w:val="24"/>
                <w:szCs w:val="24"/>
                <w:color w:val="auto"/>
              </w:rPr>
            </w:pPr>
          </w:p>
        </w:tc>
      </w:tr>
      <w:tr>
        <w:trPr>
          <w:trHeight w:val="216"/>
        </w:trPr>
        <w:tc>
          <w:tcPr>
            <w:tcW w:w="4500" w:type="dxa"/>
            <w:vAlign w:val="bottom"/>
          </w:tcPr>
          <w:p>
            <w:pPr>
              <w:jc w:val="center"/>
              <w:ind w:right="1758"/>
              <w:spacing w:after="0"/>
              <w:rPr>
                <w:sz w:val="20"/>
                <w:szCs w:val="20"/>
                <w:color w:val="auto"/>
              </w:rPr>
            </w:pPr>
            <w:r>
              <w:rPr>
                <w:rFonts w:ascii="Arial" w:cs="Arial" w:eastAsia="Arial" w:hAnsi="Arial"/>
                <w:sz w:val="18"/>
                <w:szCs w:val="18"/>
                <w:b w:val="1"/>
                <w:bCs w:val="1"/>
                <w:color w:val="auto"/>
                <w:w w:val="93"/>
              </w:rPr>
              <w:t>200 Barr Harbor Drive, Suite 200</w:t>
            </w:r>
          </w:p>
        </w:tc>
        <w:tc>
          <w:tcPr>
            <w:tcW w:w="2960" w:type="dxa"/>
            <w:vAlign w:val="bottom"/>
          </w:tcPr>
          <w:p>
            <w:pPr>
              <w:spacing w:after="0"/>
              <w:rPr>
                <w:sz w:val="18"/>
                <w:szCs w:val="18"/>
                <w:color w:val="auto"/>
              </w:rPr>
            </w:pPr>
          </w:p>
        </w:tc>
      </w:tr>
      <w:tr>
        <w:trPr>
          <w:trHeight w:val="225"/>
        </w:trPr>
        <w:tc>
          <w:tcPr>
            <w:tcW w:w="4500" w:type="dxa"/>
            <w:vAlign w:val="bottom"/>
          </w:tcPr>
          <w:p>
            <w:pPr>
              <w:jc w:val="center"/>
              <w:ind w:right="1758"/>
              <w:spacing w:after="0"/>
              <w:rPr>
                <w:sz w:val="20"/>
                <w:szCs w:val="20"/>
                <w:color w:val="auto"/>
              </w:rPr>
            </w:pPr>
            <w:r>
              <w:rPr>
                <w:rFonts w:ascii="Arial" w:cs="Arial" w:eastAsia="Arial" w:hAnsi="Arial"/>
                <w:sz w:val="18"/>
                <w:szCs w:val="18"/>
                <w:b w:val="1"/>
                <w:bCs w:val="1"/>
                <w:color w:val="auto"/>
                <w:w w:val="87"/>
              </w:rPr>
              <w:t>West Conshohocken, Pennsylvania</w:t>
            </w:r>
          </w:p>
        </w:tc>
        <w:tc>
          <w:tcPr>
            <w:tcW w:w="2960" w:type="dxa"/>
            <w:vAlign w:val="bottom"/>
          </w:tcPr>
          <w:p>
            <w:pPr>
              <w:jc w:val="right"/>
              <w:ind w:right="261"/>
              <w:spacing w:after="0"/>
              <w:rPr>
                <w:sz w:val="20"/>
                <w:szCs w:val="20"/>
                <w:color w:val="auto"/>
              </w:rPr>
            </w:pPr>
            <w:r>
              <w:rPr>
                <w:rFonts w:ascii="Arial" w:cs="Arial" w:eastAsia="Arial" w:hAnsi="Arial"/>
                <w:sz w:val="18"/>
                <w:szCs w:val="18"/>
                <w:b w:val="1"/>
                <w:bCs w:val="1"/>
                <w:color w:val="auto"/>
              </w:rPr>
              <w:t>19428</w:t>
            </w:r>
          </w:p>
        </w:tc>
      </w:tr>
      <w:tr>
        <w:trPr>
          <w:trHeight w:val="186"/>
        </w:trPr>
        <w:tc>
          <w:tcPr>
            <w:tcW w:w="4500" w:type="dxa"/>
            <w:vAlign w:val="bottom"/>
          </w:tcPr>
          <w:p>
            <w:pPr>
              <w:jc w:val="center"/>
              <w:ind w:right="1758"/>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960" w:type="dxa"/>
            <w:vAlign w:val="bottom"/>
          </w:tcPr>
          <w:p>
            <w:pPr>
              <w:jc w:val="center"/>
              <w:ind w:left="176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Registrant’s telephone number, including area code: (267)824-2827</w:t>
      </w:r>
    </w:p>
    <w:p>
      <w:pPr>
        <w:spacing w:after="0" w:line="22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Former name, former address and former fiscal year,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240030</wp:posOffset>
            </wp:positionV>
            <wp:extent cx="147447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48" w:lineRule="exact"/>
        <w:rPr>
          <w:sz w:val="24"/>
          <w:szCs w:val="24"/>
          <w:color w:val="auto"/>
        </w:rPr>
      </w:pPr>
    </w:p>
    <w:tbl>
      <w:tblPr>
        <w:tblLayout w:type="fixed"/>
        <w:tblInd w:w="260" w:type="dxa"/>
        <w:tblCellMar>
          <w:top w:w="0" w:type="dxa"/>
          <w:left w:w="0" w:type="dxa"/>
          <w:bottom w:w="0" w:type="dxa"/>
          <w:right w:w="0" w:type="dxa"/>
        </w:tblCellMar>
      </w:tblPr>
      <w:tr>
        <w:trPr>
          <w:trHeight w:val="171"/>
        </w:trPr>
        <w:tc>
          <w:tcPr>
            <w:tcW w:w="1180" w:type="dxa"/>
            <w:vAlign w:val="bottom"/>
          </w:tcPr>
          <w:p>
            <w:pPr>
              <w:spacing w:after="0"/>
              <w:rPr>
                <w:sz w:val="14"/>
                <w:szCs w:val="14"/>
                <w:color w:val="auto"/>
              </w:rPr>
            </w:pPr>
          </w:p>
        </w:tc>
        <w:tc>
          <w:tcPr>
            <w:tcW w:w="3720" w:type="dxa"/>
            <w:vAlign w:val="bottom"/>
            <w:gridSpan w:val="2"/>
          </w:tcPr>
          <w:p>
            <w:pPr>
              <w:jc w:val="center"/>
              <w:ind w:right="2550"/>
              <w:spacing w:after="0"/>
              <w:rPr>
                <w:sz w:val="20"/>
                <w:szCs w:val="20"/>
                <w:color w:val="auto"/>
              </w:rPr>
            </w:pPr>
            <w:r>
              <w:rPr>
                <w:rFonts w:ascii="Arial" w:cs="Arial" w:eastAsia="Arial" w:hAnsi="Arial"/>
                <w:sz w:val="14"/>
                <w:szCs w:val="14"/>
                <w:b w:val="1"/>
                <w:bCs w:val="1"/>
                <w:color w:val="auto"/>
                <w:w w:val="89"/>
              </w:rPr>
              <w:t>Title of each class</w:t>
            </w: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4"/>
              </w:rPr>
              <w:t>Trading Symbol(s)</w:t>
            </w:r>
          </w:p>
        </w:tc>
        <w:tc>
          <w:tcPr>
            <w:tcW w:w="4400" w:type="dxa"/>
            <w:vAlign w:val="bottom"/>
            <w:gridSpan w:val="3"/>
          </w:tcPr>
          <w:p>
            <w:pPr>
              <w:ind w:left="1720"/>
              <w:spacing w:after="0"/>
              <w:rPr>
                <w:sz w:val="20"/>
                <w:szCs w:val="20"/>
                <w:color w:val="auto"/>
              </w:rPr>
            </w:pPr>
            <w:r>
              <w:rPr>
                <w:rFonts w:ascii="Arial" w:cs="Arial" w:eastAsia="Arial" w:hAnsi="Arial"/>
                <w:sz w:val="14"/>
                <w:szCs w:val="14"/>
                <w:b w:val="1"/>
                <w:bCs w:val="1"/>
                <w:color w:val="auto"/>
                <w:w w:val="89"/>
              </w:rPr>
              <w:t>Name of each exchange on which registered</w:t>
            </w:r>
          </w:p>
        </w:tc>
      </w:tr>
      <w:tr>
        <w:trPr>
          <w:trHeight w:val="228"/>
        </w:trPr>
        <w:tc>
          <w:tcPr>
            <w:tcW w:w="1180" w:type="dxa"/>
            <w:vAlign w:val="bottom"/>
          </w:tcPr>
          <w:p>
            <w:pPr>
              <w:spacing w:after="0"/>
              <w:rPr>
                <w:sz w:val="20"/>
                <w:szCs w:val="20"/>
                <w:color w:val="auto"/>
              </w:rPr>
            </w:pPr>
            <w:r>
              <w:rPr>
                <w:rFonts w:ascii="Arial" w:cs="Arial" w:eastAsia="Arial" w:hAnsi="Arial"/>
                <w:sz w:val="18"/>
                <w:szCs w:val="18"/>
                <w:b w:val="1"/>
                <w:bCs w:val="1"/>
                <w:color w:val="auto"/>
                <w:w w:val="84"/>
              </w:rPr>
              <w:t>Common Stock,</w:t>
            </w:r>
          </w:p>
        </w:tc>
        <w:tc>
          <w:tcPr>
            <w:tcW w:w="110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$0.0001 Par</w:t>
            </w:r>
          </w:p>
        </w:tc>
        <w:tc>
          <w:tcPr>
            <w:tcW w:w="2620" w:type="dxa"/>
            <w:vAlign w:val="bottom"/>
          </w:tcPr>
          <w:p>
            <w:pPr>
              <w:spacing w:after="0"/>
              <w:rPr>
                <w:sz w:val="20"/>
                <w:szCs w:val="20"/>
                <w:color w:val="auto"/>
              </w:rPr>
            </w:pPr>
            <w:r>
              <w:rPr>
                <w:rFonts w:ascii="Arial" w:cs="Arial" w:eastAsia="Arial" w:hAnsi="Arial"/>
                <w:sz w:val="18"/>
                <w:szCs w:val="18"/>
                <w:b w:val="1"/>
                <w:bCs w:val="1"/>
                <w:color w:val="auto"/>
              </w:rPr>
              <w:t>Value Per Share</w:t>
            </w:r>
          </w:p>
        </w:tc>
        <w:tc>
          <w:tcPr>
            <w:tcW w:w="116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MDGL</w:t>
            </w:r>
          </w:p>
        </w:tc>
        <w:tc>
          <w:tcPr>
            <w:tcW w:w="1720" w:type="dxa"/>
            <w:vAlign w:val="bottom"/>
          </w:tcPr>
          <w:p>
            <w:pPr>
              <w:spacing w:after="0"/>
              <w:rPr>
                <w:sz w:val="19"/>
                <w:szCs w:val="19"/>
                <w:color w:val="auto"/>
              </w:rPr>
            </w:pPr>
          </w:p>
        </w:tc>
        <w:tc>
          <w:tcPr>
            <w:tcW w:w="2660" w:type="dxa"/>
            <w:vAlign w:val="bottom"/>
            <w:tcBorders>
              <w:top w:val="single" w:sz="8" w:color="auto"/>
            </w:tcBorders>
          </w:tcPr>
          <w:p>
            <w:pPr>
              <w:ind w:left="20"/>
              <w:spacing w:after="0"/>
              <w:rPr>
                <w:sz w:val="20"/>
                <w:szCs w:val="20"/>
                <w:color w:val="auto"/>
              </w:rPr>
            </w:pPr>
            <w:r>
              <w:rPr>
                <w:rFonts w:ascii="Arial" w:cs="Arial" w:eastAsia="Arial" w:hAnsi="Arial"/>
                <w:sz w:val="18"/>
                <w:szCs w:val="18"/>
                <w:b w:val="1"/>
                <w:bCs w:val="1"/>
                <w:color w:val="auto"/>
                <w:w w:val="96"/>
              </w:rPr>
              <w:t>The NASDAQ Stock Market LLC</w:t>
            </w:r>
          </w:p>
        </w:tc>
        <w:tc>
          <w:tcPr>
            <w:tcW w:w="20" w:type="dxa"/>
            <w:vAlign w:val="bottom"/>
          </w:tcPr>
          <w:p>
            <w:pPr>
              <w:spacing w:after="0"/>
              <w:rPr>
                <w:sz w:val="19"/>
                <w:szCs w:val="19"/>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211455</wp:posOffset>
            </wp:positionV>
            <wp:extent cx="14744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28" w:lineRule="exact"/>
        <w:rPr>
          <w:sz w:val="24"/>
          <w:szCs w:val="24"/>
          <w:color w:val="auto"/>
        </w:rPr>
      </w:pPr>
    </w:p>
    <w:p>
      <w:pPr>
        <w:ind w:left="120" w:right="20"/>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184" w:lineRule="exact"/>
        <w:rPr>
          <w:sz w:val="24"/>
          <w:szCs w:val="24"/>
          <w:color w:val="auto"/>
        </w:rPr>
      </w:pPr>
    </w:p>
    <w:p>
      <w:pPr>
        <w:ind w:left="120" w:right="10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184" w:lineRule="exact"/>
        <w:rPr>
          <w:sz w:val="24"/>
          <w:szCs w:val="24"/>
          <w:color w:val="auto"/>
        </w:rPr>
      </w:pPr>
    </w:p>
    <w:p>
      <w:pPr>
        <w:ind w:left="120" w:right="8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080"/>
          </w:cols>
          <w:pgMar w:left="320" w:top="230" w:right="499" w:bottom="0" w:gutter="0" w:footer="0" w:header="0"/>
        </w:sectPr>
      </w:pPr>
    </w:p>
    <w:p>
      <w:pPr>
        <w:spacing w:after="0" w:line="211" w:lineRule="exact"/>
        <w:rPr>
          <w:sz w:val="24"/>
          <w:szCs w:val="24"/>
          <w:color w:val="auto"/>
        </w:rPr>
      </w:pPr>
    </w:p>
    <w:p>
      <w:pPr>
        <w:ind w:left="120"/>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63" w:lineRule="exact"/>
        <w:rPr>
          <w:sz w:val="24"/>
          <w:szCs w:val="24"/>
          <w:color w:val="auto"/>
        </w:rPr>
      </w:pPr>
    </w:p>
    <w:p>
      <w:pPr>
        <w:sectPr>
          <w:pgSz w:w="11900" w:h="16838" w:orient="portrait"/>
          <w:cols w:equalWidth="0" w:num="4">
            <w:col w:w="1740" w:space="380"/>
            <w:col w:w="5660" w:space="720"/>
            <w:col w:w="1700" w:space="720"/>
            <w:col w:w="160"/>
          </w:cols>
          <w:pgMar w:left="320" w:top="230" w:right="499" w:bottom="0" w:gutter="0" w:footer="0" w:header="0"/>
          <w:type w:val="continuous"/>
        </w:sectPr>
      </w:pPr>
    </w:p>
    <w:p>
      <w:pPr>
        <w:spacing w:after="0" w:line="33" w:lineRule="exact"/>
        <w:rPr>
          <w:sz w:val="24"/>
          <w:szCs w:val="24"/>
          <w:color w:val="auto"/>
        </w:rPr>
      </w:pPr>
    </w:p>
    <w:p>
      <w:pPr>
        <w:ind w:left="12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ectPr>
          <w:pgSz w:w="11900" w:h="16838" w:orient="portrait"/>
          <w:cols w:equalWidth="0" w:num="4">
            <w:col w:w="1640" w:space="480"/>
            <w:col w:w="5660" w:space="720"/>
            <w:col w:w="1960" w:space="460"/>
            <w:col w:w="160"/>
          </w:cols>
          <w:pgMar w:left="320" w:top="230" w:right="499" w:bottom="0" w:gutter="0" w:footer="0" w:header="0"/>
          <w:type w:val="continuous"/>
        </w:sectPr>
      </w:pPr>
    </w:p>
    <w:bookmarkStart w:id="1" w:name="page2"/>
    <w:bookmarkEnd w:id="1"/>
    <w:p>
      <w:pPr>
        <w:ind w:left="8380"/>
        <w:spacing w:after="0" w:line="207" w:lineRule="exact"/>
        <w:tabs>
          <w:tab w:leader="none" w:pos="10780" w:val="left"/>
        </w:tabs>
        <w:rPr>
          <w:sz w:val="20"/>
          <w:szCs w:val="20"/>
          <w:color w:val="auto"/>
        </w:rPr>
      </w:pP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259" w:lineRule="exact"/>
        <w:rPr>
          <w:sz w:val="20"/>
          <w:szCs w:val="20"/>
          <w:color w:val="auto"/>
        </w:rPr>
      </w:pPr>
    </w:p>
    <w:p>
      <w:pPr>
        <w:ind w:right="2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150" w:lineRule="exact"/>
        <w:rPr>
          <w:sz w:val="20"/>
          <w:szCs w:val="20"/>
          <w:color w:val="auto"/>
        </w:rPr>
      </w:pPr>
    </w:p>
    <w:p>
      <w:pPr>
        <w:spacing w:after="0" w:line="207" w:lineRule="exact"/>
        <w:tabs>
          <w:tab w:leader="none" w:pos="8320" w:val="left"/>
          <w:tab w:leader="none" w:pos="9020" w:val="left"/>
        </w:tabs>
        <w:rPr>
          <w:sz w:val="20"/>
          <w:szCs w:val="20"/>
          <w:color w:val="auto"/>
        </w:rPr>
      </w:pPr>
      <w:r>
        <w:rPr>
          <w:rFonts w:ascii="Arial" w:cs="Arial" w:eastAsia="Arial" w:hAnsi="Arial"/>
          <w:sz w:val="17"/>
          <w:szCs w:val="17"/>
          <w:color w:val="auto"/>
        </w:rPr>
        <w:t>Indicate by check mark whether the registrant is a shell company (as defined in Rule 12b-2 of the Exchange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color w:val="auto"/>
        </w:rPr>
        <w:t>As of October 30, 2020, the registrant had 15,466,451 shares of common stock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160655</wp:posOffset>
            </wp:positionV>
            <wp:extent cx="699516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203200</wp:posOffset>
            </wp:positionV>
            <wp:extent cx="69951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960"/>
          </w:cols>
          <w:pgMar w:left="440" w:top="91" w:right="4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860" w:type="dxa"/>
            <w:vAlign w:val="bottom"/>
            <w:gridSpan w:val="2"/>
          </w:tcPr>
          <w:p>
            <w:pPr>
              <w:spacing w:after="0"/>
              <w:rPr>
                <w:sz w:val="20"/>
                <w:szCs w:val="20"/>
                <w:color w:val="auto"/>
              </w:rPr>
            </w:pPr>
            <w:r>
              <w:rPr>
                <w:rFonts w:ascii="Arial" w:cs="Arial" w:eastAsia="Arial" w:hAnsi="Arial"/>
                <w:sz w:val="14"/>
                <w:szCs w:val="14"/>
                <w:b w:val="1"/>
                <w:bCs w:val="1"/>
                <w:color w:val="auto"/>
              </w:rPr>
              <w:t>Item</w:t>
            </w:r>
          </w:p>
        </w:tc>
        <w:tc>
          <w:tcPr>
            <w:tcW w:w="360" w:type="dxa"/>
            <w:vAlign w:val="bottom"/>
          </w:tcPr>
          <w:p>
            <w:pPr>
              <w:spacing w:after="0"/>
              <w:rPr>
                <w:sz w:val="14"/>
                <w:szCs w:val="14"/>
                <w:color w:val="auto"/>
              </w:rPr>
            </w:pPr>
          </w:p>
        </w:tc>
        <w:tc>
          <w:tcPr>
            <w:tcW w:w="9320" w:type="dxa"/>
            <w:vAlign w:val="bottom"/>
            <w:gridSpan w:val="2"/>
          </w:tcPr>
          <w:p>
            <w:pPr>
              <w:ind w:left="4140"/>
              <w:spacing w:after="0"/>
              <w:rPr>
                <w:sz w:val="20"/>
                <w:szCs w:val="20"/>
                <w:color w:val="auto"/>
              </w:rPr>
            </w:pPr>
            <w:r>
              <w:rPr>
                <w:rFonts w:ascii="Arial" w:cs="Arial" w:eastAsia="Arial" w:hAnsi="Arial"/>
                <w:sz w:val="14"/>
                <w:szCs w:val="14"/>
                <w:b w:val="1"/>
                <w:bCs w:val="1"/>
                <w:color w:val="auto"/>
              </w:rPr>
              <w:t>Description</w:t>
            </w: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195"/>
        </w:trPr>
        <w:tc>
          <w:tcPr>
            <w:tcW w:w="300" w:type="dxa"/>
            <w:vAlign w:val="bottom"/>
            <w:tcBorders>
              <w:top w:val="single" w:sz="8" w:color="auto"/>
            </w:tcBorders>
          </w:tcPr>
          <w:p>
            <w:pPr>
              <w:spacing w:after="0"/>
              <w:rPr>
                <w:sz w:val="16"/>
                <w:szCs w:val="16"/>
                <w:color w:val="auto"/>
              </w:rPr>
            </w:pPr>
          </w:p>
        </w:tc>
        <w:tc>
          <w:tcPr>
            <w:tcW w:w="560" w:type="dxa"/>
            <w:vAlign w:val="bottom"/>
          </w:tcPr>
          <w:p>
            <w:pPr>
              <w:spacing w:after="0"/>
              <w:rPr>
                <w:sz w:val="16"/>
                <w:szCs w:val="16"/>
                <w:color w:val="auto"/>
              </w:rPr>
            </w:pPr>
          </w:p>
        </w:tc>
        <w:tc>
          <w:tcPr>
            <w:tcW w:w="9680" w:type="dxa"/>
            <w:vAlign w:val="bottom"/>
            <w:gridSpan w:val="3"/>
          </w:tcPr>
          <w:p>
            <w:pPr>
              <w:spacing w:after="0" w:line="195" w:lineRule="exact"/>
              <w:rPr>
                <w:sz w:val="20"/>
                <w:szCs w:val="20"/>
                <w:color w:val="auto"/>
              </w:rPr>
            </w:pPr>
            <w:r>
              <w:rPr>
                <w:rFonts w:ascii="Arial" w:cs="Arial" w:eastAsia="Arial" w:hAnsi="Arial"/>
                <w:sz w:val="18"/>
                <w:szCs w:val="18"/>
                <w:b w:val="1"/>
                <w:bCs w:val="1"/>
                <w:color w:val="auto"/>
              </w:rPr>
              <w:t>Part I. Financial Information</w:t>
            </w:r>
          </w:p>
        </w:tc>
        <w:tc>
          <w:tcPr>
            <w:tcW w:w="420" w:type="dxa"/>
            <w:vAlign w:val="bottom"/>
          </w:tcPr>
          <w:p>
            <w:pPr>
              <w:spacing w:after="0"/>
              <w:rPr>
                <w:sz w:val="16"/>
                <w:szCs w:val="16"/>
                <w:color w:val="auto"/>
              </w:rPr>
            </w:pP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1.</w:t>
            </w:r>
          </w:p>
        </w:tc>
        <w:tc>
          <w:tcPr>
            <w:tcW w:w="9680" w:type="dxa"/>
            <w:vAlign w:val="bottom"/>
            <w:gridSpan w:val="3"/>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Financial Statements (Unaudited):</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680" w:type="dxa"/>
            <w:vAlign w:val="bottom"/>
            <w:gridSpan w:val="3"/>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Condensed Consolidated Balance Sheets at September 30, 2020 and December 31, 2019</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680" w:type="dxa"/>
            <w:vAlign w:val="bottom"/>
            <w:gridSpan w:val="3"/>
          </w:tcPr>
          <w:p>
            <w:pPr>
              <w:spacing w:after="0"/>
              <w:rPr>
                <w:rFonts w:ascii="Arial" w:cs="Arial" w:eastAsia="Arial" w:hAnsi="Arial"/>
                <w:sz w:val="18"/>
                <w:szCs w:val="18"/>
                <w:u w:val="single" w:color="auto"/>
                <w:color w:val="0000EE"/>
                <w:w w:val="93"/>
              </w:rPr>
            </w:pPr>
            <w:hyperlink w:anchor="page5">
              <w:r>
                <w:rPr>
                  <w:rFonts w:ascii="Arial" w:cs="Arial" w:eastAsia="Arial" w:hAnsi="Arial"/>
                  <w:sz w:val="18"/>
                  <w:szCs w:val="18"/>
                  <w:u w:val="single" w:color="auto"/>
                  <w:color w:val="0000EE"/>
                  <w:w w:val="93"/>
                </w:rPr>
                <w:t>Condensed Consolidated Statements of Operations for the Three Months and Nine Months Ended September 30, 2020 and 2019</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190"/>
        </w:trPr>
        <w:tc>
          <w:tcPr>
            <w:tcW w:w="3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9680" w:type="dxa"/>
            <w:vAlign w:val="bottom"/>
            <w:gridSpan w:val="3"/>
          </w:tcPr>
          <w:p>
            <w:pPr>
              <w:spacing w:after="0" w:line="190" w:lineRule="exact"/>
              <w:rPr>
                <w:rFonts w:ascii="Arial" w:cs="Arial" w:eastAsia="Arial" w:hAnsi="Arial"/>
                <w:sz w:val="18"/>
                <w:szCs w:val="18"/>
                <w:color w:val="0000EE"/>
                <w:w w:val="90"/>
              </w:rPr>
            </w:pPr>
            <w:hyperlink w:anchor="page6">
              <w:r>
                <w:rPr>
                  <w:rFonts w:ascii="Arial" w:cs="Arial" w:eastAsia="Arial" w:hAnsi="Arial"/>
                  <w:sz w:val="18"/>
                  <w:szCs w:val="18"/>
                  <w:color w:val="0000EE"/>
                  <w:w w:val="90"/>
                </w:rPr>
                <w:t>Condensed Consolidated Statements of Comprehensive Loss for the Three Months and Nine Months Ended September 30, 2020 and</w:t>
              </w:r>
            </w:hyperlink>
          </w:p>
        </w:tc>
        <w:tc>
          <w:tcPr>
            <w:tcW w:w="420" w:type="dxa"/>
            <w:vAlign w:val="bottom"/>
          </w:tcPr>
          <w:p>
            <w:pPr>
              <w:jc w:val="right"/>
              <w:spacing w:after="0" w:line="190" w:lineRule="exact"/>
              <w:rPr>
                <w:sz w:val="20"/>
                <w:szCs w:val="20"/>
                <w:color w:val="auto"/>
              </w:rPr>
            </w:pPr>
            <w:r>
              <w:rPr>
                <w:rFonts w:ascii="Arial" w:cs="Arial" w:eastAsia="Arial" w:hAnsi="Arial"/>
                <w:sz w:val="18"/>
                <w:szCs w:val="18"/>
                <w:color w:val="auto"/>
              </w:rPr>
              <w:t>5</w:t>
            </w:r>
          </w:p>
        </w:tc>
      </w:tr>
      <w:tr>
        <w:trPr>
          <w:trHeight w:val="196"/>
        </w:trPr>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4"/>
              </w:rPr>
            </w:pPr>
            <w:hyperlink w:anchor="page6">
              <w:r>
                <w:rPr>
                  <w:rFonts w:ascii="Arial" w:cs="Arial" w:eastAsia="Arial" w:hAnsi="Arial"/>
                  <w:sz w:val="18"/>
                  <w:szCs w:val="18"/>
                  <w:color w:val="0000EE"/>
                  <w:w w:val="84"/>
                </w:rPr>
                <w:t>2019</w:t>
              </w:r>
            </w:hyperlink>
          </w:p>
        </w:tc>
        <w:tc>
          <w:tcPr>
            <w:tcW w:w="920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196"/>
        </w:trPr>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680" w:type="dxa"/>
            <w:vAlign w:val="bottom"/>
            <w:gridSpan w:val="3"/>
          </w:tcPr>
          <w:p>
            <w:pPr>
              <w:spacing w:after="0" w:line="196" w:lineRule="exact"/>
              <w:rPr>
                <w:rFonts w:ascii="Arial" w:cs="Arial" w:eastAsia="Arial" w:hAnsi="Arial"/>
                <w:sz w:val="18"/>
                <w:szCs w:val="18"/>
                <w:color w:val="0000EE"/>
                <w:w w:val="91"/>
              </w:rPr>
            </w:pPr>
            <w:hyperlink w:anchor="page7">
              <w:r>
                <w:rPr>
                  <w:rFonts w:ascii="Arial" w:cs="Arial" w:eastAsia="Arial" w:hAnsi="Arial"/>
                  <w:sz w:val="18"/>
                  <w:szCs w:val="18"/>
                  <w:color w:val="0000EE"/>
                  <w:w w:val="91"/>
                </w:rPr>
                <w:t>Condensed Consolidated Statements of Stockholders’ Equity for the Three Months and Nine Months Ended September 30, 2020 and</w:t>
              </w:r>
            </w:hyperlink>
          </w:p>
        </w:tc>
        <w:tc>
          <w:tcPr>
            <w:tcW w:w="42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4"/>
              </w:rPr>
            </w:pPr>
            <w:hyperlink w:anchor="page7">
              <w:r>
                <w:rPr>
                  <w:rFonts w:ascii="Arial" w:cs="Arial" w:eastAsia="Arial" w:hAnsi="Arial"/>
                  <w:sz w:val="18"/>
                  <w:szCs w:val="18"/>
                  <w:color w:val="0000EE"/>
                  <w:w w:val="84"/>
                </w:rPr>
                <w:t>2019</w:t>
              </w:r>
            </w:hyperlink>
          </w:p>
        </w:tc>
        <w:tc>
          <w:tcPr>
            <w:tcW w:w="920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222"/>
        </w:trPr>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680" w:type="dxa"/>
            <w:vAlign w:val="bottom"/>
            <w:gridSpan w:val="3"/>
          </w:tcPr>
          <w:p>
            <w:pPr>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Condensed Consolidated Statements of Cash Flows for the Nine Months Ended September 30, 2020 and 2019</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16"/>
        </w:trPr>
        <w:tc>
          <w:tcPr>
            <w:tcW w:w="3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680" w:type="dxa"/>
            <w:vAlign w:val="bottom"/>
            <w:gridSpan w:val="3"/>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Notes to Condensed Consolidated Financial Statements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2.</w:t>
            </w:r>
          </w:p>
        </w:tc>
        <w:tc>
          <w:tcPr>
            <w:tcW w:w="9680" w:type="dxa"/>
            <w:vAlign w:val="bottom"/>
            <w:gridSpan w:val="3"/>
          </w:tcPr>
          <w:p>
            <w:pPr>
              <w:spacing w:after="0"/>
              <w:rPr>
                <w:rFonts w:ascii="Arial" w:cs="Arial" w:eastAsia="Arial" w:hAnsi="Arial"/>
                <w:sz w:val="18"/>
                <w:szCs w:val="18"/>
                <w:u w:val="single" w:color="auto"/>
                <w:color w:val="0000EE"/>
              </w:rPr>
            </w:pPr>
            <w:hyperlink w:anchor="page15">
              <w:r>
                <w:rPr>
                  <w:rFonts w:ascii="Arial" w:cs="Arial" w:eastAsia="Arial" w:hAnsi="Arial"/>
                  <w:sz w:val="18"/>
                  <w:szCs w:val="18"/>
                  <w:u w:val="single" w:color="auto"/>
                  <w:color w:val="0000EE"/>
                </w:rPr>
                <w:t>Management’s Discussion and Analysis of Financial Condition and Results of Operations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3.</w:t>
            </w:r>
          </w:p>
        </w:tc>
        <w:tc>
          <w:tcPr>
            <w:tcW w:w="9680" w:type="dxa"/>
            <w:vAlign w:val="bottom"/>
            <w:gridSpan w:val="3"/>
          </w:tcPr>
          <w:p>
            <w:pPr>
              <w:spacing w:after="0"/>
              <w:rPr>
                <w:rFonts w:ascii="Arial" w:cs="Arial" w:eastAsia="Arial" w:hAnsi="Arial"/>
                <w:sz w:val="18"/>
                <w:szCs w:val="18"/>
                <w:u w:val="single" w:color="auto"/>
                <w:color w:val="0000EE"/>
              </w:rPr>
            </w:pPr>
            <w:hyperlink w:anchor="page20">
              <w:r>
                <w:rPr>
                  <w:rFonts w:ascii="Arial" w:cs="Arial" w:eastAsia="Arial" w:hAnsi="Arial"/>
                  <w:sz w:val="18"/>
                  <w:szCs w:val="18"/>
                  <w:u w:val="single" w:color="auto"/>
                  <w:color w:val="0000EE"/>
                </w:rPr>
                <w:t>Quantitative and Qualitative Disclosures About Market Risk</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12"/>
        </w:trPr>
        <w:tc>
          <w:tcPr>
            <w:tcW w:w="860" w:type="dxa"/>
            <w:vAlign w:val="bottom"/>
            <w:gridSpan w:val="2"/>
          </w:tcPr>
          <w:p>
            <w:pPr>
              <w:spacing w:after="0"/>
              <w:rPr>
                <w:sz w:val="20"/>
                <w:szCs w:val="20"/>
                <w:color w:val="auto"/>
              </w:rPr>
            </w:pPr>
            <w:r>
              <w:rPr>
                <w:rFonts w:ascii="Arial" w:cs="Arial" w:eastAsia="Arial" w:hAnsi="Arial"/>
                <w:sz w:val="18"/>
                <w:szCs w:val="18"/>
                <w:color w:val="auto"/>
              </w:rPr>
              <w:t>Item 4.</w:t>
            </w:r>
          </w:p>
        </w:tc>
        <w:tc>
          <w:tcPr>
            <w:tcW w:w="9680" w:type="dxa"/>
            <w:vAlign w:val="bottom"/>
            <w:gridSpan w:val="3"/>
          </w:tcPr>
          <w:p>
            <w:pPr>
              <w:spacing w:after="0"/>
              <w:rPr>
                <w:rFonts w:ascii="Arial" w:cs="Arial" w:eastAsia="Arial" w:hAnsi="Arial"/>
                <w:sz w:val="18"/>
                <w:szCs w:val="18"/>
                <w:u w:val="single" w:color="auto"/>
                <w:color w:val="0000EE"/>
              </w:rPr>
            </w:pPr>
            <w:hyperlink w:anchor="page21">
              <w:r>
                <w:rPr>
                  <w:rFonts w:ascii="Arial" w:cs="Arial" w:eastAsia="Arial" w:hAnsi="Arial"/>
                  <w:sz w:val="18"/>
                  <w:szCs w:val="18"/>
                  <w:u w:val="single" w:color="auto"/>
                  <w:color w:val="0000EE"/>
                </w:rPr>
                <w:t>Controls and Procedures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20"/>
        </w:trPr>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680" w:type="dxa"/>
            <w:vAlign w:val="bottom"/>
            <w:gridSpan w:val="3"/>
          </w:tcPr>
          <w:p>
            <w:pPr>
              <w:spacing w:after="0"/>
              <w:rPr>
                <w:sz w:val="20"/>
                <w:szCs w:val="20"/>
                <w:color w:val="auto"/>
              </w:rPr>
            </w:pPr>
            <w:r>
              <w:rPr>
                <w:rFonts w:ascii="Arial" w:cs="Arial" w:eastAsia="Arial" w:hAnsi="Arial"/>
                <w:sz w:val="18"/>
                <w:szCs w:val="18"/>
                <w:b w:val="1"/>
                <w:bCs w:val="1"/>
                <w:color w:val="auto"/>
              </w:rPr>
              <w:t>Part II. Other Information</w:t>
            </w:r>
          </w:p>
        </w:tc>
        <w:tc>
          <w:tcPr>
            <w:tcW w:w="420" w:type="dxa"/>
            <w:vAlign w:val="bottom"/>
          </w:tcPr>
          <w:p>
            <w:pPr>
              <w:spacing w:after="0"/>
              <w:rPr>
                <w:sz w:val="19"/>
                <w:szCs w:val="19"/>
                <w:color w:val="auto"/>
              </w:rPr>
            </w:pP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1.</w:t>
            </w:r>
          </w:p>
        </w:tc>
        <w:tc>
          <w:tcPr>
            <w:tcW w:w="9680" w:type="dxa"/>
            <w:vAlign w:val="bottom"/>
            <w:gridSpan w:val="3"/>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Legal Proceedings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1A.</w:t>
            </w:r>
          </w:p>
        </w:tc>
        <w:tc>
          <w:tcPr>
            <w:tcW w:w="9680" w:type="dxa"/>
            <w:vAlign w:val="bottom"/>
            <w:gridSpan w:val="3"/>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Risk Factors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2.</w:t>
            </w:r>
          </w:p>
        </w:tc>
        <w:tc>
          <w:tcPr>
            <w:tcW w:w="9680" w:type="dxa"/>
            <w:vAlign w:val="bottom"/>
            <w:gridSpan w:val="3"/>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Unregistered Sales of Equity Securities and Use of Proceeds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3.</w:t>
            </w:r>
          </w:p>
        </w:tc>
        <w:tc>
          <w:tcPr>
            <w:tcW w:w="9680" w:type="dxa"/>
            <w:vAlign w:val="bottom"/>
            <w:gridSpan w:val="3"/>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Defaults Upon Senior Securities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4.</w:t>
            </w:r>
          </w:p>
        </w:tc>
        <w:tc>
          <w:tcPr>
            <w:tcW w:w="9680" w:type="dxa"/>
            <w:vAlign w:val="bottom"/>
            <w:gridSpan w:val="3"/>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Mine Safety Disclosures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5.</w:t>
            </w:r>
          </w:p>
        </w:tc>
        <w:tc>
          <w:tcPr>
            <w:tcW w:w="9680" w:type="dxa"/>
            <w:vAlign w:val="bottom"/>
            <w:gridSpan w:val="3"/>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Other Information</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860" w:type="dxa"/>
            <w:vAlign w:val="bottom"/>
            <w:gridSpan w:val="2"/>
          </w:tcPr>
          <w:p>
            <w:pPr>
              <w:spacing w:after="0"/>
              <w:rPr>
                <w:sz w:val="20"/>
                <w:szCs w:val="20"/>
                <w:color w:val="auto"/>
              </w:rPr>
            </w:pPr>
            <w:r>
              <w:rPr>
                <w:rFonts w:ascii="Arial" w:cs="Arial" w:eastAsia="Arial" w:hAnsi="Arial"/>
                <w:sz w:val="18"/>
                <w:szCs w:val="18"/>
                <w:color w:val="auto"/>
              </w:rPr>
              <w:t>Item 6.</w:t>
            </w:r>
          </w:p>
        </w:tc>
        <w:tc>
          <w:tcPr>
            <w:tcW w:w="9680" w:type="dxa"/>
            <w:vAlign w:val="bottom"/>
            <w:gridSpan w:val="3"/>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Exhibits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30"/>
        </w:trPr>
        <w:tc>
          <w:tcPr>
            <w:tcW w:w="3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9680" w:type="dxa"/>
            <w:vAlign w:val="bottom"/>
            <w:gridSpan w:val="3"/>
          </w:tcPr>
          <w:p>
            <w:pPr>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Signatures</w:t>
              </w:r>
            </w:hyperlink>
          </w:p>
        </w:tc>
        <w:tc>
          <w:tcPr>
            <w:tcW w:w="4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365"/>
        </w:trPr>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560" w:type="dxa"/>
            <w:vAlign w:val="bottom"/>
            <w:gridSpan w:val="2"/>
          </w:tcPr>
          <w:p>
            <w:pPr>
              <w:ind w:left="460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r>
    </w:tbl>
    <w:p>
      <w:pPr>
        <w:sectPr>
          <w:pgSz w:w="11900" w:h="16838" w:orient="portrait"/>
          <w:cols w:equalWidth="0" w:num="1">
            <w:col w:w="11080"/>
          </w:cols>
          <w:pgMar w:left="320" w:top="486" w:right="4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PART I—FINANCIAL INFORMATION</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1. Financial Statements.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 in thousands, except share and per share amounts)</w:t>
      </w:r>
    </w:p>
    <w:p>
      <w:pPr>
        <w:spacing w:after="0" w:line="217"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0" w:type="dxa"/>
            <w:vAlign w:val="bottom"/>
            <w:gridSpan w:val="3"/>
          </w:tcPr>
          <w:p>
            <w:pPr>
              <w:spacing w:after="0"/>
              <w:rPr>
                <w:sz w:val="20"/>
                <w:szCs w:val="20"/>
                <w:color w:val="auto"/>
              </w:rPr>
            </w:pPr>
            <w:r>
              <w:rPr>
                <w:rFonts w:ascii="Arial" w:cs="Arial" w:eastAsia="Arial" w:hAnsi="Arial"/>
                <w:sz w:val="14"/>
                <w:szCs w:val="14"/>
                <w:b w:val="1"/>
                <w:bCs w:val="1"/>
                <w:color w:val="auto"/>
              </w:rPr>
              <w:t>September 30,</w:t>
            </w: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8660" w:type="dxa"/>
            <w:vAlign w:val="bottom"/>
            <w:tcBorders>
              <w:bottom w:val="single" w:sz="8" w:color="CCEEFF"/>
            </w:tcBorders>
          </w:tcPr>
          <w:p>
            <w:pPr>
              <w:spacing w:after="0"/>
              <w:rPr>
                <w:sz w:val="14"/>
                <w:szCs w:val="14"/>
                <w:color w:val="auto"/>
              </w:rPr>
            </w:pPr>
          </w:p>
        </w:tc>
        <w:tc>
          <w:tcPr>
            <w:tcW w:w="2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2020</w:t>
            </w:r>
          </w:p>
        </w:tc>
        <w:tc>
          <w:tcPr>
            <w:tcW w:w="3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866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60" w:type="dxa"/>
            <w:vAlign w:val="bottom"/>
          </w:tcPr>
          <w:p>
            <w:pPr>
              <w:spacing w:after="0"/>
              <w:rPr>
                <w:sz w:val="20"/>
                <w:szCs w:val="20"/>
                <w:color w:val="auto"/>
              </w:rPr>
            </w:pPr>
            <w:r>
              <w:rPr>
                <w:rFonts w:ascii="Arial" w:cs="Arial" w:eastAsia="Arial" w:hAnsi="Arial"/>
                <w:sz w:val="18"/>
                <w:szCs w:val="18"/>
                <w:color w:val="auto"/>
              </w:rPr>
              <w:t>Current assets: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and cash equivalents</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109,120</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46,697</w:t>
            </w:r>
          </w:p>
        </w:tc>
        <w:tc>
          <w:tcPr>
            <w:tcW w:w="0" w:type="dxa"/>
            <w:vAlign w:val="bottom"/>
          </w:tcPr>
          <w:p>
            <w:pPr>
              <w:spacing w:after="0"/>
              <w:rPr>
                <w:sz w:val="1"/>
                <w:szCs w:val="1"/>
                <w:color w:val="auto"/>
              </w:rPr>
            </w:pPr>
          </w:p>
        </w:tc>
      </w:tr>
      <w:tr>
        <w:trPr>
          <w:trHeight w:val="216"/>
        </w:trPr>
        <w:tc>
          <w:tcPr>
            <w:tcW w:w="8660" w:type="dxa"/>
            <w:vAlign w:val="bottom"/>
          </w:tcPr>
          <w:p>
            <w:pPr>
              <w:ind w:left="360"/>
              <w:spacing w:after="0"/>
              <w:rPr>
                <w:sz w:val="20"/>
                <w:szCs w:val="20"/>
                <w:color w:val="auto"/>
              </w:rPr>
            </w:pPr>
            <w:r>
              <w:rPr>
                <w:rFonts w:ascii="Arial" w:cs="Arial" w:eastAsia="Arial" w:hAnsi="Arial"/>
                <w:sz w:val="18"/>
                <w:szCs w:val="18"/>
                <w:color w:val="auto"/>
              </w:rPr>
              <w:t>Marketable securities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226,817</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392,348</w:t>
            </w: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1,664</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1,152</w:t>
            </w:r>
          </w:p>
        </w:tc>
        <w:tc>
          <w:tcPr>
            <w:tcW w:w="0" w:type="dxa"/>
            <w:vAlign w:val="bottom"/>
          </w:tcPr>
          <w:p>
            <w:pPr>
              <w:spacing w:after="0"/>
              <w:rPr>
                <w:sz w:val="1"/>
                <w:szCs w:val="1"/>
                <w:color w:val="auto"/>
              </w:rPr>
            </w:pPr>
          </w:p>
        </w:tc>
      </w:tr>
      <w:tr>
        <w:trPr>
          <w:trHeight w:val="223"/>
        </w:trPr>
        <w:tc>
          <w:tcPr>
            <w:tcW w:w="8660" w:type="dxa"/>
            <w:vAlign w:val="bottom"/>
          </w:tcPr>
          <w:p>
            <w:pPr>
              <w:ind w:left="720"/>
              <w:spacing w:after="0"/>
              <w:rPr>
                <w:sz w:val="20"/>
                <w:szCs w:val="20"/>
                <w:color w:val="auto"/>
              </w:rPr>
            </w:pPr>
            <w:r>
              <w:rPr>
                <w:rFonts w:ascii="Arial" w:cs="Arial" w:eastAsia="Arial" w:hAnsi="Arial"/>
                <w:sz w:val="18"/>
                <w:szCs w:val="18"/>
                <w:color w:val="auto"/>
              </w:rPr>
              <w:t>Total current assets</w:t>
            </w:r>
          </w:p>
        </w:tc>
        <w:tc>
          <w:tcPr>
            <w:tcW w:w="2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337,601</w:t>
            </w:r>
          </w:p>
        </w:tc>
        <w:tc>
          <w:tcPr>
            <w:tcW w:w="3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440,197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Property and equipment, net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1,153</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1,184</w:t>
            </w:r>
          </w:p>
        </w:tc>
        <w:tc>
          <w:tcPr>
            <w:tcW w:w="0" w:type="dxa"/>
            <w:vAlign w:val="bottom"/>
          </w:tcPr>
          <w:p>
            <w:pPr>
              <w:spacing w:after="0"/>
              <w:rPr>
                <w:sz w:val="1"/>
                <w:szCs w:val="1"/>
                <w:color w:val="auto"/>
              </w:rPr>
            </w:pPr>
          </w:p>
        </w:tc>
      </w:tr>
      <w:tr>
        <w:trPr>
          <w:trHeight w:val="216"/>
        </w:trPr>
        <w:tc>
          <w:tcPr>
            <w:tcW w:w="8660" w:type="dxa"/>
            <w:vAlign w:val="bottom"/>
          </w:tcPr>
          <w:p>
            <w:pPr>
              <w:ind w:left="360"/>
              <w:spacing w:after="0"/>
              <w:rPr>
                <w:sz w:val="20"/>
                <w:szCs w:val="20"/>
                <w:color w:val="auto"/>
              </w:rPr>
            </w:pPr>
            <w:r>
              <w:rPr>
                <w:rFonts w:ascii="Arial" w:cs="Arial" w:eastAsia="Arial" w:hAnsi="Arial"/>
                <w:sz w:val="18"/>
                <w:szCs w:val="18"/>
                <w:color w:val="auto"/>
              </w:rPr>
              <w:t>Right-of-use asset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863</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675</w:t>
            </w:r>
          </w:p>
        </w:tc>
        <w:tc>
          <w:tcPr>
            <w:tcW w:w="0" w:type="dxa"/>
            <w:vAlign w:val="bottom"/>
          </w:tcPr>
          <w:p>
            <w:pPr>
              <w:spacing w:after="0"/>
              <w:rPr>
                <w:sz w:val="1"/>
                <w:szCs w:val="1"/>
                <w:color w:val="auto"/>
              </w:rPr>
            </w:pPr>
          </w:p>
        </w:tc>
      </w:tr>
      <w:tr>
        <w:trPr>
          <w:trHeight w:val="27"/>
        </w:trPr>
        <w:tc>
          <w:tcPr>
            <w:tcW w:w="8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6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assets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339,617</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442,056</w:t>
            </w:r>
          </w:p>
        </w:tc>
        <w:tc>
          <w:tcPr>
            <w:tcW w:w="0" w:type="dxa"/>
            <w:vAlign w:val="bottom"/>
          </w:tcPr>
          <w:p>
            <w:pPr>
              <w:spacing w:after="0"/>
              <w:rPr>
                <w:sz w:val="1"/>
                <w:szCs w:val="1"/>
                <w:color w:val="auto"/>
              </w:rPr>
            </w:pPr>
          </w:p>
        </w:tc>
      </w:tr>
      <w:tr>
        <w:trPr>
          <w:trHeight w:val="20"/>
        </w:trPr>
        <w:tc>
          <w:tcPr>
            <w:tcW w:w="866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66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6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6,277</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1,178</w:t>
            </w: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expenses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42,773</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23,637</w:t>
            </w:r>
          </w:p>
        </w:tc>
        <w:tc>
          <w:tcPr>
            <w:tcW w:w="0" w:type="dxa"/>
            <w:vAlign w:val="bottom"/>
          </w:tcPr>
          <w:p>
            <w:pPr>
              <w:spacing w:after="0"/>
              <w:rPr>
                <w:sz w:val="1"/>
                <w:szCs w:val="1"/>
                <w:color w:val="auto"/>
              </w:rPr>
            </w:pPr>
          </w:p>
        </w:tc>
      </w:tr>
      <w:tr>
        <w:trPr>
          <w:trHeight w:val="216"/>
        </w:trPr>
        <w:tc>
          <w:tcPr>
            <w:tcW w:w="8660" w:type="dxa"/>
            <w:vAlign w:val="bottom"/>
          </w:tcPr>
          <w:p>
            <w:pPr>
              <w:ind w:left="360"/>
              <w:spacing w:after="0"/>
              <w:rPr>
                <w:sz w:val="20"/>
                <w:szCs w:val="20"/>
                <w:color w:val="auto"/>
              </w:rPr>
            </w:pPr>
            <w:r>
              <w:rPr>
                <w:rFonts w:ascii="Arial" w:cs="Arial" w:eastAsia="Arial" w:hAnsi="Arial"/>
                <w:sz w:val="18"/>
                <w:szCs w:val="18"/>
                <w:color w:val="auto"/>
              </w:rPr>
              <w:t>Lease liability</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315</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315</w:t>
            </w:r>
          </w:p>
        </w:tc>
        <w:tc>
          <w:tcPr>
            <w:tcW w:w="0" w:type="dxa"/>
            <w:vAlign w:val="bottom"/>
          </w:tcPr>
          <w:p>
            <w:pPr>
              <w:spacing w:after="0"/>
              <w:rPr>
                <w:sz w:val="1"/>
                <w:szCs w:val="1"/>
                <w:color w:val="auto"/>
              </w:rPr>
            </w:pPr>
          </w:p>
        </w:tc>
      </w:tr>
      <w:tr>
        <w:trPr>
          <w:trHeight w:val="27"/>
        </w:trPr>
        <w:tc>
          <w:tcPr>
            <w:tcW w:w="8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6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current liabilities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49,365</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25,130</w:t>
            </w:r>
          </w:p>
        </w:tc>
        <w:tc>
          <w:tcPr>
            <w:tcW w:w="0" w:type="dxa"/>
            <w:vAlign w:val="bottom"/>
          </w:tcPr>
          <w:p>
            <w:pPr>
              <w:spacing w:after="0"/>
              <w:rPr>
                <w:sz w:val="1"/>
                <w:szCs w:val="1"/>
                <w:color w:val="auto"/>
              </w:rPr>
            </w:pPr>
          </w:p>
        </w:tc>
      </w:tr>
      <w:tr>
        <w:trPr>
          <w:trHeight w:val="216"/>
        </w:trPr>
        <w:tc>
          <w:tcPr>
            <w:tcW w:w="8660" w:type="dxa"/>
            <w:vAlign w:val="bottom"/>
          </w:tcPr>
          <w:p>
            <w:pPr>
              <w:spacing w:after="0"/>
              <w:rPr>
                <w:sz w:val="20"/>
                <w:szCs w:val="20"/>
                <w:color w:val="auto"/>
              </w:rPr>
            </w:pPr>
            <w:r>
              <w:rPr>
                <w:rFonts w:ascii="Arial" w:cs="Arial" w:eastAsia="Arial" w:hAnsi="Arial"/>
                <w:sz w:val="18"/>
                <w:szCs w:val="18"/>
                <w:color w:val="auto"/>
              </w:rPr>
              <w:t>Long term liabilities: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Lease liability</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548</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361</w:t>
            </w:r>
          </w:p>
        </w:tc>
        <w:tc>
          <w:tcPr>
            <w:tcW w:w="0" w:type="dxa"/>
            <w:vAlign w:val="bottom"/>
          </w:tcPr>
          <w:p>
            <w:pPr>
              <w:spacing w:after="0"/>
              <w:rPr>
                <w:sz w:val="1"/>
                <w:szCs w:val="1"/>
                <w:color w:val="auto"/>
              </w:rPr>
            </w:pPr>
          </w:p>
        </w:tc>
      </w:tr>
      <w:tr>
        <w:trPr>
          <w:trHeight w:val="230"/>
        </w:trPr>
        <w:tc>
          <w:tcPr>
            <w:tcW w:w="8660" w:type="dxa"/>
            <w:vAlign w:val="bottom"/>
          </w:tcPr>
          <w:p>
            <w:pPr>
              <w:ind w:left="720"/>
              <w:spacing w:after="0"/>
              <w:rPr>
                <w:sz w:val="20"/>
                <w:szCs w:val="20"/>
                <w:color w:val="auto"/>
              </w:rPr>
            </w:pPr>
            <w:r>
              <w:rPr>
                <w:rFonts w:ascii="Arial" w:cs="Arial" w:eastAsia="Arial" w:hAnsi="Arial"/>
                <w:sz w:val="18"/>
                <w:szCs w:val="18"/>
                <w:color w:val="auto"/>
              </w:rPr>
              <w:t>Total long term liabilities</w:t>
            </w:r>
          </w:p>
        </w:tc>
        <w:tc>
          <w:tcPr>
            <w:tcW w:w="20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548</w:t>
            </w:r>
          </w:p>
        </w:tc>
        <w:tc>
          <w:tcPr>
            <w:tcW w:w="3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361</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liabilities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49,913</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25,491</w:t>
            </w:r>
          </w:p>
        </w:tc>
        <w:tc>
          <w:tcPr>
            <w:tcW w:w="0" w:type="dxa"/>
            <w:vAlign w:val="bottom"/>
          </w:tcPr>
          <w:p>
            <w:pPr>
              <w:spacing w:after="0"/>
              <w:rPr>
                <w:sz w:val="1"/>
                <w:szCs w:val="1"/>
                <w:color w:val="auto"/>
              </w:rPr>
            </w:pPr>
          </w:p>
        </w:tc>
      </w:tr>
      <w:tr>
        <w:trPr>
          <w:trHeight w:val="223"/>
        </w:trPr>
        <w:tc>
          <w:tcPr>
            <w:tcW w:w="8660" w:type="dxa"/>
            <w:vAlign w:val="bottom"/>
          </w:tcPr>
          <w:p>
            <w:pPr>
              <w:spacing w:after="0"/>
              <w:rPr>
                <w:sz w:val="20"/>
                <w:szCs w:val="20"/>
                <w:color w:val="auto"/>
              </w:rPr>
            </w:pPr>
            <w:r>
              <w:rPr>
                <w:rFonts w:ascii="Arial" w:cs="Arial" w:eastAsia="Arial" w:hAnsi="Arial"/>
                <w:sz w:val="18"/>
                <w:szCs w:val="18"/>
                <w:color w:val="auto"/>
              </w:rPr>
              <w:t>Stockholders’ equity:</w:t>
            </w:r>
          </w:p>
        </w:tc>
        <w:tc>
          <w:tcPr>
            <w:tcW w:w="2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8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2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86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2"/>
              </w:rPr>
              <w:t>Preferred stock, par value $0.0001 per share authorized: 5,000,000 shares at September 30, 2020 and December 31,</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2019; 1,969,797 shares issued and outstanding at September 30, 2020 and December 31, 2019</w:t>
            </w:r>
          </w:p>
        </w:tc>
        <w:tc>
          <w:tcPr>
            <w:tcW w:w="2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10"/>
        </w:trPr>
        <w:tc>
          <w:tcPr>
            <w:tcW w:w="8660" w:type="dxa"/>
            <w:vAlign w:val="bottom"/>
          </w:tcPr>
          <w:p>
            <w:pPr>
              <w:spacing w:after="0"/>
              <w:rPr>
                <w:sz w:val="20"/>
                <w:szCs w:val="20"/>
                <w:color w:val="auto"/>
              </w:rPr>
            </w:pPr>
            <w:r>
              <w:rPr>
                <w:rFonts w:ascii="Arial" w:cs="Arial" w:eastAsia="Arial" w:hAnsi="Arial"/>
                <w:sz w:val="18"/>
                <w:szCs w:val="18"/>
                <w:color w:val="auto"/>
                <w:w w:val="91"/>
              </w:rPr>
              <w:t>Common stock, par value $0.0001 per share authorized: 200,000,000 at September 30, 2020 and December 31, 2019;</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660" w:type="dxa"/>
            <w:vAlign w:val="bottom"/>
          </w:tcPr>
          <w:p>
            <w:pPr>
              <w:ind w:left="160"/>
              <w:spacing w:after="0"/>
              <w:rPr>
                <w:sz w:val="20"/>
                <w:szCs w:val="20"/>
                <w:color w:val="auto"/>
              </w:rPr>
            </w:pPr>
            <w:r>
              <w:rPr>
                <w:rFonts w:ascii="Arial" w:cs="Arial" w:eastAsia="Arial" w:hAnsi="Arial"/>
                <w:sz w:val="18"/>
                <w:szCs w:val="18"/>
                <w:color w:val="auto"/>
                <w:w w:val="98"/>
              </w:rPr>
              <w:t>15,466,451 and 15,429,154 shares issued and outstanding at September 30, 2020 and December 31, 2019,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60" w:type="dxa"/>
            <w:vAlign w:val="bottom"/>
          </w:tcPr>
          <w:p>
            <w:pPr>
              <w:ind w:left="160"/>
              <w:spacing w:after="0"/>
              <w:rPr>
                <w:sz w:val="20"/>
                <w:szCs w:val="20"/>
                <w:color w:val="auto"/>
              </w:rPr>
            </w:pPr>
            <w:r>
              <w:rPr>
                <w:rFonts w:ascii="Arial" w:cs="Arial" w:eastAsia="Arial" w:hAnsi="Arial"/>
                <w:sz w:val="18"/>
                <w:szCs w:val="18"/>
                <w:color w:val="auto"/>
              </w:rPr>
              <w:t>respectively</w:t>
            </w: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08"/>
        </w:trPr>
        <w:tc>
          <w:tcPr>
            <w:tcW w:w="8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2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paid-in-capital</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655,622</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639,567</w:t>
            </w:r>
          </w:p>
        </w:tc>
        <w:tc>
          <w:tcPr>
            <w:tcW w:w="0" w:type="dxa"/>
            <w:vAlign w:val="bottom"/>
          </w:tcPr>
          <w:p>
            <w:pPr>
              <w:spacing w:after="0"/>
              <w:rPr>
                <w:sz w:val="1"/>
                <w:szCs w:val="1"/>
                <w:color w:val="auto"/>
              </w:rPr>
            </w:pPr>
          </w:p>
        </w:tc>
      </w:tr>
      <w:tr>
        <w:trPr>
          <w:trHeight w:val="216"/>
        </w:trPr>
        <w:tc>
          <w:tcPr>
            <w:tcW w:w="8660" w:type="dxa"/>
            <w:vAlign w:val="bottom"/>
          </w:tcPr>
          <w:p>
            <w:pPr>
              <w:ind w:left="360"/>
              <w:spacing w:after="0"/>
              <w:rPr>
                <w:sz w:val="20"/>
                <w:szCs w:val="20"/>
                <w:color w:val="auto"/>
              </w:rPr>
            </w:pPr>
            <w:r>
              <w:rPr>
                <w:rFonts w:ascii="Arial" w:cs="Arial" w:eastAsia="Arial" w:hAnsi="Arial"/>
                <w:sz w:val="18"/>
                <w:szCs w:val="18"/>
                <w:color w:val="auto"/>
              </w:rPr>
              <w:t>Accumulated other comprehensive gain</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421</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Accumulated deficit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8"/>
              </w:rPr>
              <w:t>(366,341)</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(223,220)</w:t>
            </w:r>
          </w:p>
        </w:tc>
        <w:tc>
          <w:tcPr>
            <w:tcW w:w="0" w:type="dxa"/>
            <w:vAlign w:val="bottom"/>
          </w:tcPr>
          <w:p>
            <w:pPr>
              <w:spacing w:after="0"/>
              <w:rPr>
                <w:sz w:val="1"/>
                <w:szCs w:val="1"/>
                <w:color w:val="auto"/>
              </w:rPr>
            </w:pPr>
          </w:p>
        </w:tc>
      </w:tr>
      <w:tr>
        <w:trPr>
          <w:trHeight w:val="230"/>
        </w:trPr>
        <w:tc>
          <w:tcPr>
            <w:tcW w:w="8660" w:type="dxa"/>
            <w:vAlign w:val="bottom"/>
          </w:tcPr>
          <w:p>
            <w:pPr>
              <w:ind w:left="720"/>
              <w:spacing w:after="0"/>
              <w:rPr>
                <w:sz w:val="20"/>
                <w:szCs w:val="20"/>
                <w:color w:val="auto"/>
              </w:rPr>
            </w:pPr>
            <w:r>
              <w:rPr>
                <w:rFonts w:ascii="Arial" w:cs="Arial" w:eastAsia="Arial" w:hAnsi="Arial"/>
                <w:sz w:val="18"/>
                <w:szCs w:val="18"/>
                <w:color w:val="auto"/>
              </w:rPr>
              <w:t>Total stockholders’ equity</w:t>
            </w:r>
          </w:p>
        </w:tc>
        <w:tc>
          <w:tcPr>
            <w:tcW w:w="20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289,704</w:t>
            </w:r>
          </w:p>
        </w:tc>
        <w:tc>
          <w:tcPr>
            <w:tcW w:w="3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416,565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liabilities and stockholders’ equity</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339,617</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442,056</w:t>
            </w:r>
          </w:p>
        </w:tc>
        <w:tc>
          <w:tcPr>
            <w:tcW w:w="0" w:type="dxa"/>
            <w:vAlign w:val="bottom"/>
          </w:tcPr>
          <w:p>
            <w:pPr>
              <w:spacing w:after="0"/>
              <w:rPr>
                <w:sz w:val="1"/>
                <w:szCs w:val="1"/>
                <w:color w:val="auto"/>
              </w:rPr>
            </w:pPr>
          </w:p>
        </w:tc>
      </w:tr>
      <w:tr>
        <w:trPr>
          <w:trHeight w:val="20"/>
        </w:trPr>
        <w:tc>
          <w:tcPr>
            <w:tcW w:w="8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140"/>
          </w:cols>
          <w:pgMar w:left="320" w:top="486" w:right="4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 in thousands, except share and per share amounts)</w:t>
      </w:r>
    </w:p>
    <w:p>
      <w:pPr>
        <w:spacing w:after="0" w:line="229"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5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2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3"/>
              </w:rPr>
              <w:t>Three Months Ended September 30,</w:t>
            </w:r>
          </w:p>
        </w:tc>
        <w:tc>
          <w:tcPr>
            <w:tcW w:w="120" w:type="dxa"/>
            <w:vAlign w:val="bottom"/>
          </w:tcPr>
          <w:p>
            <w:pPr>
              <w:spacing w:after="0"/>
              <w:rPr>
                <w:sz w:val="14"/>
                <w:szCs w:val="14"/>
                <w:color w:val="auto"/>
              </w:rPr>
            </w:pPr>
          </w:p>
        </w:tc>
        <w:tc>
          <w:tcPr>
            <w:tcW w:w="2380" w:type="dxa"/>
            <w:vAlign w:val="bottom"/>
            <w:gridSpan w:val="6"/>
          </w:tcPr>
          <w:p>
            <w:pPr>
              <w:jc w:val="right"/>
              <w:ind w:right="240"/>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142"/>
        </w:trPr>
        <w:tc>
          <w:tcPr>
            <w:tcW w:w="560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ind w:right="293"/>
              <w:spacing w:after="0" w:line="142" w:lineRule="exact"/>
              <w:rPr>
                <w:sz w:val="20"/>
                <w:szCs w:val="20"/>
                <w:color w:val="auto"/>
              </w:rPr>
            </w:pPr>
            <w:r>
              <w:rPr>
                <w:rFonts w:ascii="Arial" w:cs="Arial" w:eastAsia="Arial" w:hAnsi="Arial"/>
                <w:sz w:val="14"/>
                <w:szCs w:val="14"/>
                <w:b w:val="1"/>
                <w:bCs w:val="1"/>
                <w:color w:val="auto"/>
              </w:rPr>
              <w:t>2020</w:t>
            </w:r>
          </w:p>
        </w:tc>
        <w:tc>
          <w:tcPr>
            <w:tcW w:w="18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92"/>
              <w:spacing w:after="0" w:line="142" w:lineRule="exact"/>
              <w:rPr>
                <w:sz w:val="20"/>
                <w:szCs w:val="20"/>
                <w:color w:val="auto"/>
              </w:rPr>
            </w:pPr>
            <w:r>
              <w:rPr>
                <w:rFonts w:ascii="Arial" w:cs="Arial" w:eastAsia="Arial" w:hAnsi="Arial"/>
                <w:sz w:val="14"/>
                <w:szCs w:val="14"/>
                <w:b w:val="1"/>
                <w:bCs w:val="1"/>
                <w:color w:val="auto"/>
              </w:rPr>
              <w:t>2019</w:t>
            </w:r>
          </w:p>
        </w:tc>
        <w:tc>
          <w:tcPr>
            <w:tcW w:w="28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313"/>
              <w:spacing w:after="0" w:line="142" w:lineRule="exact"/>
              <w:rPr>
                <w:sz w:val="20"/>
                <w:szCs w:val="20"/>
                <w:color w:val="auto"/>
              </w:rPr>
            </w:pPr>
            <w:r>
              <w:rPr>
                <w:rFonts w:ascii="Arial" w:cs="Arial" w:eastAsia="Arial" w:hAnsi="Arial"/>
                <w:sz w:val="14"/>
                <w:szCs w:val="14"/>
                <w:b w:val="1"/>
                <w:bCs w:val="1"/>
                <w:color w:val="auto"/>
              </w:rPr>
              <w:t>2020</w:t>
            </w:r>
          </w:p>
        </w:tc>
        <w:tc>
          <w:tcPr>
            <w:tcW w:w="18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2"/>
                <w:szCs w:val="12"/>
                <w:color w:val="auto"/>
              </w:rPr>
            </w:pPr>
          </w:p>
        </w:tc>
      </w:tr>
      <w:tr>
        <w:trPr>
          <w:trHeight w:val="196"/>
        </w:trPr>
        <w:tc>
          <w:tcPr>
            <w:tcW w:w="56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5600" w:type="dxa"/>
            <w:vAlign w:val="bottom"/>
          </w:tcPr>
          <w:p>
            <w:pPr>
              <w:ind w:left="360"/>
              <w:spacing w:after="0"/>
              <w:rPr>
                <w:sz w:val="20"/>
                <w:szCs w:val="20"/>
                <w:color w:val="auto"/>
              </w:rPr>
            </w:pPr>
            <w:r>
              <w:rPr>
                <w:rFonts w:ascii="Arial" w:cs="Arial" w:eastAsia="Arial" w:hAnsi="Arial"/>
                <w:sz w:val="18"/>
                <w:szCs w:val="18"/>
                <w:color w:val="auto"/>
              </w:rPr>
              <w:t>Total revenues</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5600" w:type="dxa"/>
            <w:vAlign w:val="bottom"/>
          </w:tcPr>
          <w:p>
            <w:pPr>
              <w:ind w:left="360"/>
              <w:spacing w:after="0"/>
              <w:rPr>
                <w:sz w:val="20"/>
                <w:szCs w:val="20"/>
                <w:color w:val="auto"/>
              </w:rPr>
            </w:pPr>
            <w:r>
              <w:rPr>
                <w:rFonts w:ascii="Arial" w:cs="Arial" w:eastAsia="Arial" w:hAnsi="Arial"/>
                <w:sz w:val="18"/>
                <w:szCs w:val="18"/>
                <w:color w:val="auto"/>
              </w:rPr>
              <w:t>Research and development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53,292</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280"/>
              <w:spacing w:after="0"/>
              <w:rPr>
                <w:sz w:val="20"/>
                <w:szCs w:val="20"/>
                <w:color w:val="auto"/>
              </w:rPr>
            </w:pPr>
            <w:r>
              <w:rPr>
                <w:rFonts w:ascii="Arial" w:cs="Arial" w:eastAsia="Arial" w:hAnsi="Arial"/>
                <w:sz w:val="18"/>
                <w:szCs w:val="18"/>
                <w:color w:val="auto"/>
              </w:rPr>
              <w:t>19,447</w:t>
            </w: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131,380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47,414</w:t>
            </w:r>
          </w:p>
        </w:tc>
      </w:tr>
      <w:tr>
        <w:trPr>
          <w:trHeight w:val="216"/>
        </w:trPr>
        <w:tc>
          <w:tcPr>
            <w:tcW w:w="5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5,494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4,748</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15,738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17,604</w:t>
            </w:r>
          </w:p>
        </w:tc>
      </w:tr>
      <w:tr>
        <w:trPr>
          <w:trHeight w:val="230"/>
        </w:trPr>
        <w:tc>
          <w:tcPr>
            <w:tcW w:w="5600" w:type="dxa"/>
            <w:vAlign w:val="bottom"/>
          </w:tcPr>
          <w:p>
            <w:pPr>
              <w:ind w:left="720"/>
              <w:spacing w:after="0"/>
              <w:rPr>
                <w:sz w:val="20"/>
                <w:szCs w:val="20"/>
                <w:color w:val="auto"/>
              </w:rPr>
            </w:pPr>
            <w:r>
              <w:rPr>
                <w:rFonts w:ascii="Arial" w:cs="Arial" w:eastAsia="Arial" w:hAnsi="Arial"/>
                <w:sz w:val="18"/>
                <w:szCs w:val="18"/>
                <w:color w:val="auto"/>
              </w:rPr>
              <w:t>Total operating expenses</w:t>
            </w:r>
          </w:p>
        </w:tc>
        <w:tc>
          <w:tcPr>
            <w:tcW w:w="2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58,786</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24,195</w:t>
            </w:r>
          </w:p>
        </w:tc>
        <w:tc>
          <w:tcPr>
            <w:tcW w:w="28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147,118</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65,018</w:t>
            </w:r>
          </w:p>
        </w:tc>
        <w:tc>
          <w:tcPr>
            <w:tcW w:w="120" w:type="dxa"/>
            <w:vAlign w:val="bottom"/>
          </w:tcPr>
          <w:p>
            <w:pPr>
              <w:spacing w:after="0"/>
              <w:rPr>
                <w:sz w:val="20"/>
                <w:szCs w:val="20"/>
                <w:color w:val="auto"/>
              </w:rPr>
            </w:pPr>
          </w:p>
        </w:tc>
      </w:tr>
      <w:tr>
        <w:trPr>
          <w:trHeight w:val="216"/>
        </w:trPr>
        <w:tc>
          <w:tcPr>
            <w:tcW w:w="56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Loss from operations</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(58,786)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(24,195)</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(147,118)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(65,018)</w:t>
            </w:r>
          </w:p>
        </w:tc>
      </w:tr>
      <w:tr>
        <w:trPr>
          <w:trHeight w:val="216"/>
        </w:trPr>
        <w:tc>
          <w:tcPr>
            <w:tcW w:w="5600" w:type="dxa"/>
            <w:vAlign w:val="bottom"/>
          </w:tcPr>
          <w:p>
            <w:pPr>
              <w:ind w:left="720"/>
              <w:spacing w:after="0"/>
              <w:rPr>
                <w:sz w:val="20"/>
                <w:szCs w:val="20"/>
                <w:color w:val="auto"/>
              </w:rPr>
            </w:pPr>
            <w:r>
              <w:rPr>
                <w:rFonts w:ascii="Arial" w:cs="Arial" w:eastAsia="Arial" w:hAnsi="Arial"/>
                <w:sz w:val="18"/>
                <w:szCs w:val="18"/>
                <w:color w:val="auto"/>
              </w:rPr>
              <w:t>Interest income</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823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280"/>
              <w:spacing w:after="0"/>
              <w:rPr>
                <w:sz w:val="20"/>
                <w:szCs w:val="20"/>
                <w:color w:val="auto"/>
              </w:rPr>
            </w:pPr>
            <w:r>
              <w:rPr>
                <w:rFonts w:ascii="Arial" w:cs="Arial" w:eastAsia="Arial" w:hAnsi="Arial"/>
                <w:sz w:val="18"/>
                <w:szCs w:val="18"/>
                <w:color w:val="auto"/>
              </w:rPr>
              <w:t>2,766</w:t>
            </w: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3,897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8,810</w:t>
            </w:r>
          </w:p>
        </w:tc>
      </w:tr>
      <w:tr>
        <w:trPr>
          <w:trHeight w:val="216"/>
        </w:trPr>
        <w:tc>
          <w:tcPr>
            <w:tcW w:w="5600" w:type="dxa"/>
            <w:vAlign w:val="bottom"/>
            <w:shd w:val="clear" w:color="auto" w:fill="CCEEFF"/>
          </w:tcPr>
          <w:p>
            <w:pPr>
              <w:ind w:left="720"/>
              <w:spacing w:after="0"/>
              <w:rPr>
                <w:sz w:val="20"/>
                <w:szCs w:val="20"/>
                <w:color w:val="auto"/>
              </w:rPr>
            </w:pPr>
            <w:r>
              <w:rPr>
                <w:rFonts w:ascii="Arial" w:cs="Arial" w:eastAsia="Arial" w:hAnsi="Arial"/>
                <w:sz w:val="18"/>
                <w:szCs w:val="18"/>
                <w:color w:val="auto"/>
              </w:rPr>
              <w:t>Other income</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23"/>
        </w:trPr>
        <w:tc>
          <w:tcPr>
            <w:tcW w:w="5600" w:type="dxa"/>
            <w:vAlign w:val="bottom"/>
          </w:tcPr>
          <w:p>
            <w:pPr>
              <w:ind w:left="1080"/>
              <w:spacing w:after="0"/>
              <w:rPr>
                <w:sz w:val="20"/>
                <w:szCs w:val="20"/>
                <w:color w:val="auto"/>
              </w:rPr>
            </w:pPr>
            <w:r>
              <w:rPr>
                <w:rFonts w:ascii="Arial" w:cs="Arial" w:eastAsia="Arial" w:hAnsi="Arial"/>
                <w:sz w:val="18"/>
                <w:szCs w:val="18"/>
                <w:color w:val="auto"/>
              </w:rPr>
              <w:t>Net loss</w:t>
            </w:r>
          </w:p>
        </w:tc>
        <w:tc>
          <w:tcPr>
            <w:tcW w:w="2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(57,963)</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(21,429)</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(143,121)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(56,208)</w:t>
            </w:r>
          </w:p>
        </w:tc>
        <w:tc>
          <w:tcPr>
            <w:tcW w:w="120" w:type="dxa"/>
            <w:vAlign w:val="bottom"/>
          </w:tcPr>
          <w:p>
            <w:pPr>
              <w:spacing w:after="0"/>
              <w:rPr>
                <w:sz w:val="19"/>
                <w:szCs w:val="19"/>
                <w:color w:val="auto"/>
              </w:rPr>
            </w:pPr>
          </w:p>
        </w:tc>
      </w:tr>
      <w:tr>
        <w:trPr>
          <w:trHeight w:val="20"/>
        </w:trPr>
        <w:tc>
          <w:tcPr>
            <w:tcW w:w="5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Net loss per common share:</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5600" w:type="dxa"/>
            <w:vAlign w:val="bottom"/>
          </w:tcPr>
          <w:p>
            <w:pPr>
              <w:spacing w:after="0"/>
              <w:rPr>
                <w:sz w:val="20"/>
                <w:szCs w:val="20"/>
                <w:color w:val="auto"/>
              </w:rPr>
            </w:pPr>
            <w:r>
              <w:rPr>
                <w:rFonts w:ascii="Arial" w:cs="Arial" w:eastAsia="Arial" w:hAnsi="Arial"/>
                <w:sz w:val="18"/>
                <w:szCs w:val="18"/>
                <w:color w:val="auto"/>
              </w:rPr>
              <w:t>Basic and diluted net loss per common share</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(3.75)</w:t>
            </w:r>
          </w:p>
        </w:tc>
        <w:tc>
          <w:tcPr>
            <w:tcW w:w="30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(1.39)</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(9.27)</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(3.65)</w:t>
            </w: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w w:val="92"/>
              </w:rPr>
              <w:t>Basic and diluted weighted average number of common shares outstanding</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15,448,425</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5"/>
              </w:rPr>
              <w:t>15,415,096</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15,437,018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15,383,034</w:t>
            </w:r>
          </w:p>
        </w:tc>
      </w:tr>
    </w:tbl>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40"/>
          </w:cols>
          <w:pgMar w:left="320" w:top="486" w:right="4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left="420" w:right="2360"/>
        <w:spacing w:after="0" w:line="275" w:lineRule="auto"/>
        <w:rPr>
          <w:sz w:val="20"/>
          <w:szCs w:val="20"/>
          <w:color w:val="auto"/>
        </w:rPr>
      </w:pPr>
      <w:r>
        <w:rPr>
          <w:rFonts w:ascii="Arial" w:cs="Arial" w:eastAsia="Arial" w:hAnsi="Arial"/>
          <w:sz w:val="18"/>
          <w:szCs w:val="18"/>
          <w:b w:val="1"/>
          <w:bCs w:val="1"/>
          <w:color w:val="auto"/>
        </w:rPr>
        <w:t>MADRIGAL PHARMACEUTICALS, INC. CONDENSED CONSOLIDATED STATEMENTS OF COMPREHENSIVE LOSS (Unaudited; in thousands)</w:t>
      </w:r>
    </w:p>
    <w:p>
      <w:pPr>
        <w:spacing w:after="0" w:line="200" w:lineRule="exact"/>
        <w:rPr>
          <w:sz w:val="20"/>
          <w:szCs w:val="20"/>
          <w:color w:val="auto"/>
        </w:rPr>
      </w:pPr>
    </w:p>
    <w:p>
      <w:pPr>
        <w:spacing w:after="0" w:line="212"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6260" w:type="dxa"/>
            <w:vAlign w:val="bottom"/>
          </w:tcPr>
          <w:p>
            <w:pPr>
              <w:spacing w:after="0"/>
              <w:rPr>
                <w:sz w:val="14"/>
                <w:szCs w:val="14"/>
                <w:color w:val="auto"/>
              </w:rPr>
            </w:pPr>
          </w:p>
        </w:tc>
        <w:tc>
          <w:tcPr>
            <w:tcW w:w="2460" w:type="dxa"/>
            <w:vAlign w:val="bottom"/>
            <w:gridSpan w:val="6"/>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2300" w:type="dxa"/>
            <w:vAlign w:val="bottom"/>
            <w:gridSpan w:val="6"/>
          </w:tcPr>
          <w:p>
            <w:pPr>
              <w:ind w:left="20"/>
              <w:spacing w:after="0"/>
              <w:rPr>
                <w:sz w:val="20"/>
                <w:szCs w:val="20"/>
                <w:color w:val="auto"/>
              </w:rPr>
            </w:pPr>
            <w:r>
              <w:rPr>
                <w:rFonts w:ascii="Arial" w:cs="Arial" w:eastAsia="Arial" w:hAnsi="Arial"/>
                <w:sz w:val="14"/>
                <w:szCs w:val="14"/>
                <w:b w:val="1"/>
                <w:bCs w:val="1"/>
                <w:color w:val="auto"/>
                <w:w w:val="98"/>
              </w:rPr>
              <w:t>Nine Months Ended September 30,</w:t>
            </w:r>
          </w:p>
        </w:tc>
      </w:tr>
      <w:tr>
        <w:trPr>
          <w:trHeight w:val="142"/>
        </w:trPr>
        <w:tc>
          <w:tcPr>
            <w:tcW w:w="6260" w:type="dxa"/>
            <w:vAlign w:val="bottom"/>
            <w:tcBorders>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5"/>
              <w:spacing w:after="0" w:line="142" w:lineRule="exact"/>
              <w:rPr>
                <w:sz w:val="20"/>
                <w:szCs w:val="20"/>
                <w:color w:val="auto"/>
              </w:rPr>
            </w:pPr>
            <w:r>
              <w:rPr>
                <w:rFonts w:ascii="Arial" w:cs="Arial" w:eastAsia="Arial" w:hAnsi="Arial"/>
                <w:sz w:val="14"/>
                <w:szCs w:val="14"/>
                <w:b w:val="1"/>
                <w:bCs w:val="1"/>
                <w:color w:val="auto"/>
              </w:rPr>
              <w:t>2020</w:t>
            </w:r>
          </w:p>
        </w:tc>
        <w:tc>
          <w:tcPr>
            <w:tcW w:w="28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5"/>
              <w:spacing w:after="0" w:line="142" w:lineRule="exact"/>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ind w:left="140"/>
              <w:spacing w:after="0" w:line="142" w:lineRule="exact"/>
              <w:rPr>
                <w:sz w:val="20"/>
                <w:szCs w:val="20"/>
                <w:color w:val="auto"/>
              </w:rPr>
            </w:pPr>
            <w:r>
              <w:rPr>
                <w:rFonts w:ascii="Arial" w:cs="Arial" w:eastAsia="Arial" w:hAnsi="Arial"/>
                <w:sz w:val="14"/>
                <w:szCs w:val="14"/>
                <w:b w:val="1"/>
                <w:bCs w:val="1"/>
                <w:color w:val="auto"/>
              </w:rPr>
              <w:t>2020</w:t>
            </w:r>
          </w:p>
        </w:tc>
        <w:tc>
          <w:tcPr>
            <w:tcW w:w="26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2"/>
                <w:szCs w:val="12"/>
                <w:color w:val="auto"/>
              </w:rPr>
            </w:pPr>
          </w:p>
        </w:tc>
      </w:tr>
      <w:tr>
        <w:trPr>
          <w:trHeight w:val="209"/>
        </w:trPr>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(57,963)</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(21,429)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0"/>
              </w:rPr>
              <w:t>(143,121)</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(56,208)</w:t>
            </w:r>
          </w:p>
        </w:tc>
        <w:tc>
          <w:tcPr>
            <w:tcW w:w="120" w:type="dxa"/>
            <w:vAlign w:val="bottom"/>
            <w:shd w:val="clear" w:color="auto" w:fill="CCEEFF"/>
          </w:tcPr>
          <w:p>
            <w:pPr>
              <w:spacing w:after="0"/>
              <w:rPr>
                <w:sz w:val="18"/>
                <w:szCs w:val="18"/>
                <w:color w:val="auto"/>
              </w:rPr>
            </w:pPr>
          </w:p>
        </w:tc>
      </w:tr>
      <w:tr>
        <w:trPr>
          <w:trHeight w:val="216"/>
        </w:trPr>
        <w:tc>
          <w:tcPr>
            <w:tcW w:w="626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62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gain (loss) on available-for-sale securities</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(660)</w:t>
            </w: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(193)</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color w:val="auto"/>
              </w:rPr>
              <w:t>205</w:t>
            </w: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611</w:t>
            </w:r>
          </w:p>
        </w:tc>
      </w:tr>
      <w:tr>
        <w:trPr>
          <w:trHeight w:val="223"/>
        </w:trPr>
        <w:tc>
          <w:tcPr>
            <w:tcW w:w="6260" w:type="dxa"/>
            <w:vAlign w:val="bottom"/>
          </w:tcPr>
          <w:p>
            <w:pPr>
              <w:ind w:left="720"/>
              <w:spacing w:after="0"/>
              <w:rPr>
                <w:sz w:val="20"/>
                <w:szCs w:val="20"/>
                <w:color w:val="auto"/>
              </w:rPr>
            </w:pPr>
            <w:r>
              <w:rPr>
                <w:rFonts w:ascii="Arial" w:cs="Arial" w:eastAsia="Arial" w:hAnsi="Arial"/>
                <w:sz w:val="18"/>
                <w:szCs w:val="18"/>
                <w:color w:val="auto"/>
              </w:rPr>
              <w:t>Comprehensive loss</w:t>
            </w: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(58,623)</w:t>
            </w:r>
          </w:p>
        </w:tc>
        <w:tc>
          <w:tcPr>
            <w:tcW w:w="28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(21,622)</w:t>
            </w:r>
          </w:p>
        </w:tc>
        <w:tc>
          <w:tcPr>
            <w:tcW w:w="20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8"/>
                <w:szCs w:val="18"/>
                <w:color w:val="auto"/>
                <w:w w:val="87"/>
              </w:rPr>
              <w:t>(142,916</w:t>
            </w:r>
          </w:p>
        </w:tc>
        <w:tc>
          <w:tcPr>
            <w:tcW w:w="260" w:type="dxa"/>
            <w:vAlign w:val="bottom"/>
          </w:tcPr>
          <w:p>
            <w:pPr>
              <w:jc w:val="right"/>
              <w:ind w:right="121"/>
              <w:spacing w:after="0"/>
              <w:rPr>
                <w:sz w:val="20"/>
                <w:szCs w:val="20"/>
                <w:color w:val="auto"/>
              </w:rPr>
            </w:pPr>
            <w:r>
              <w:rPr>
                <w:rFonts w:ascii="Arial" w:cs="Arial" w:eastAsia="Arial" w:hAnsi="Arial"/>
                <w:sz w:val="16"/>
                <w:szCs w:val="16"/>
                <w:color w:val="auto"/>
                <w:w w:val="74"/>
              </w:rPr>
              <w:t>)</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(55,597</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6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40"/>
          </w:cols>
          <w:pgMar w:left="320" w:top="486" w:right="4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left="420" w:right="2260"/>
        <w:spacing w:after="0" w:line="266" w:lineRule="auto"/>
        <w:rPr>
          <w:sz w:val="20"/>
          <w:szCs w:val="20"/>
          <w:color w:val="auto"/>
        </w:rPr>
      </w:pPr>
      <w:r>
        <w:rPr>
          <w:rFonts w:ascii="Arial" w:cs="Arial" w:eastAsia="Arial" w:hAnsi="Arial"/>
          <w:sz w:val="18"/>
          <w:szCs w:val="18"/>
          <w:b w:val="1"/>
          <w:bCs w:val="1"/>
          <w:color w:val="auto"/>
        </w:rPr>
        <w:t>MADRIGAL PHARMACEUTICALS, INC. CONDENSED CONSOLIDATED STATEMENTS OF STOCKHOLDERS’ EQUITY (Unaudited; in thousands, except share and per share amounts)</w:t>
      </w:r>
    </w:p>
    <w:p>
      <w:pPr>
        <w:spacing w:after="0" w:line="186"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6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6"/>
              </w:rPr>
              <w:t>Additional</w:t>
            </w:r>
          </w:p>
        </w:tc>
        <w:tc>
          <w:tcPr>
            <w:tcW w:w="104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93"/>
              </w:rPr>
              <w:t>Accumulated</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8"/>
        </w:trPr>
        <w:tc>
          <w:tcPr>
            <w:tcW w:w="3660" w:type="dxa"/>
            <w:vAlign w:val="bottom"/>
          </w:tcPr>
          <w:p>
            <w:pPr>
              <w:spacing w:after="0"/>
              <w:rPr>
                <w:sz w:val="12"/>
                <w:szCs w:val="12"/>
                <w:color w:val="auto"/>
              </w:rPr>
            </w:pPr>
          </w:p>
        </w:tc>
        <w:tc>
          <w:tcPr>
            <w:tcW w:w="1460" w:type="dxa"/>
            <w:vAlign w:val="bottom"/>
            <w:gridSpan w:val="4"/>
            <w:vMerge w:val="restart"/>
          </w:tcPr>
          <w:p>
            <w:pPr>
              <w:ind w:left="260"/>
              <w:spacing w:after="0"/>
              <w:rPr>
                <w:sz w:val="20"/>
                <w:szCs w:val="20"/>
                <w:color w:val="auto"/>
              </w:rPr>
            </w:pPr>
            <w:r>
              <w:rPr>
                <w:rFonts w:ascii="Arial" w:cs="Arial" w:eastAsia="Arial" w:hAnsi="Arial"/>
                <w:sz w:val="14"/>
                <w:szCs w:val="14"/>
                <w:b w:val="1"/>
                <w:bCs w:val="1"/>
                <w:color w:val="auto"/>
              </w:rPr>
              <w:t>Preferred stock</w:t>
            </w:r>
          </w:p>
        </w:tc>
        <w:tc>
          <w:tcPr>
            <w:tcW w:w="180" w:type="dxa"/>
            <w:vAlign w:val="bottom"/>
          </w:tcPr>
          <w:p>
            <w:pPr>
              <w:spacing w:after="0"/>
              <w:rPr>
                <w:sz w:val="12"/>
                <w:szCs w:val="12"/>
                <w:color w:val="auto"/>
              </w:rPr>
            </w:pPr>
          </w:p>
        </w:tc>
        <w:tc>
          <w:tcPr>
            <w:tcW w:w="1260" w:type="dxa"/>
            <w:vAlign w:val="bottom"/>
            <w:gridSpan w:val="3"/>
            <w:vMerge w:val="restart"/>
          </w:tcPr>
          <w:p>
            <w:pPr>
              <w:ind w:left="320"/>
              <w:spacing w:after="0"/>
              <w:rPr>
                <w:sz w:val="20"/>
                <w:szCs w:val="20"/>
                <w:color w:val="auto"/>
              </w:rPr>
            </w:pPr>
            <w:r>
              <w:rPr>
                <w:rFonts w:ascii="Arial" w:cs="Arial" w:eastAsia="Arial" w:hAnsi="Arial"/>
                <w:sz w:val="14"/>
                <w:szCs w:val="14"/>
                <w:b w:val="1"/>
                <w:bCs w:val="1"/>
                <w:color w:val="auto"/>
                <w:w w:val="90"/>
              </w:rPr>
              <w:t>Common stock</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other</w:t>
            </w:r>
          </w:p>
        </w:tc>
        <w:tc>
          <w:tcPr>
            <w:tcW w:w="80" w:type="dxa"/>
            <w:vAlign w:val="bottom"/>
          </w:tcPr>
          <w:p>
            <w:pPr>
              <w:spacing w:after="0"/>
              <w:rPr>
                <w:sz w:val="12"/>
                <w:szCs w:val="12"/>
                <w:color w:val="auto"/>
              </w:rPr>
            </w:pPr>
          </w:p>
        </w:tc>
        <w:tc>
          <w:tcPr>
            <w:tcW w:w="9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Accumulated</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3660" w:type="dxa"/>
            <w:vAlign w:val="bottom"/>
          </w:tcPr>
          <w:p>
            <w:pPr>
              <w:spacing w:after="0"/>
              <w:rPr>
                <w:sz w:val="12"/>
                <w:szCs w:val="12"/>
                <w:color w:val="auto"/>
              </w:rPr>
            </w:pPr>
          </w:p>
        </w:tc>
        <w:tc>
          <w:tcPr>
            <w:tcW w:w="1460" w:type="dxa"/>
            <w:vAlign w:val="bottom"/>
            <w:tcBorders>
              <w:bottom w:val="single" w:sz="8" w:color="auto"/>
            </w:tcBorders>
            <w:gridSpan w:val="4"/>
            <w:vMerge w:val="continue"/>
          </w:tcPr>
          <w:p>
            <w:pPr>
              <w:spacing w:after="0"/>
              <w:rPr>
                <w:sz w:val="12"/>
                <w:szCs w:val="12"/>
                <w:color w:val="auto"/>
              </w:rPr>
            </w:pPr>
          </w:p>
        </w:tc>
        <w:tc>
          <w:tcPr>
            <w:tcW w:w="180" w:type="dxa"/>
            <w:vAlign w:val="bottom"/>
          </w:tcPr>
          <w:p>
            <w:pPr>
              <w:spacing w:after="0"/>
              <w:rPr>
                <w:sz w:val="12"/>
                <w:szCs w:val="12"/>
                <w:color w:val="auto"/>
              </w:rPr>
            </w:pPr>
          </w:p>
        </w:tc>
        <w:tc>
          <w:tcPr>
            <w:tcW w:w="1260" w:type="dxa"/>
            <w:vAlign w:val="bottom"/>
            <w:tcBorders>
              <w:bottom w:val="single" w:sz="8" w:color="auto"/>
            </w:tcBorders>
            <w:gridSpan w:val="3"/>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160"/>
              <w:spacing w:after="0" w:line="125" w:lineRule="exact"/>
              <w:rPr>
                <w:sz w:val="20"/>
                <w:szCs w:val="20"/>
                <w:color w:val="auto"/>
              </w:rPr>
            </w:pPr>
            <w:r>
              <w:rPr>
                <w:rFonts w:ascii="Arial" w:cs="Arial" w:eastAsia="Arial" w:hAnsi="Arial"/>
                <w:sz w:val="14"/>
                <w:szCs w:val="14"/>
                <w:b w:val="1"/>
                <w:bCs w:val="1"/>
                <w:color w:val="auto"/>
                <w:w w:val="95"/>
              </w:rPr>
              <w:t>paid-in</w:t>
            </w:r>
          </w:p>
        </w:tc>
        <w:tc>
          <w:tcPr>
            <w:tcW w:w="1040" w:type="dxa"/>
            <w:vAlign w:val="bottom"/>
            <w:gridSpan w:val="3"/>
          </w:tcPr>
          <w:p>
            <w:pPr>
              <w:spacing w:after="0" w:line="125" w:lineRule="exact"/>
              <w:rPr>
                <w:sz w:val="20"/>
                <w:szCs w:val="20"/>
                <w:color w:val="auto"/>
              </w:rPr>
            </w:pPr>
            <w:r>
              <w:rPr>
                <w:rFonts w:ascii="Arial" w:cs="Arial" w:eastAsia="Arial" w:hAnsi="Arial"/>
                <w:sz w:val="14"/>
                <w:szCs w:val="14"/>
                <w:b w:val="1"/>
                <w:bCs w:val="1"/>
                <w:color w:val="auto"/>
                <w:w w:val="99"/>
              </w:rPr>
              <w:t>comprehensive</w:t>
            </w:r>
          </w:p>
        </w:tc>
        <w:tc>
          <w:tcPr>
            <w:tcW w:w="80" w:type="dxa"/>
            <w:vAlign w:val="bottom"/>
          </w:tcPr>
          <w:p>
            <w:pPr>
              <w:spacing w:after="0"/>
              <w:rPr>
                <w:sz w:val="12"/>
                <w:szCs w:val="12"/>
                <w:color w:val="auto"/>
              </w:rPr>
            </w:pPr>
          </w:p>
        </w:tc>
        <w:tc>
          <w:tcPr>
            <w:tcW w:w="94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3"/>
          </w:tcPr>
          <w:p>
            <w:pPr>
              <w:spacing w:after="0" w:line="125" w:lineRule="exact"/>
              <w:rPr>
                <w:sz w:val="20"/>
                <w:szCs w:val="20"/>
                <w:color w:val="auto"/>
              </w:rPr>
            </w:pPr>
            <w:r>
              <w:rPr>
                <w:rFonts w:ascii="Arial" w:cs="Arial" w:eastAsia="Arial" w:hAnsi="Arial"/>
                <w:sz w:val="14"/>
                <w:szCs w:val="14"/>
                <w:b w:val="1"/>
                <w:bCs w:val="1"/>
                <w:color w:val="auto"/>
              </w:rPr>
              <w:t>stockholders’</w:t>
            </w:r>
          </w:p>
        </w:tc>
        <w:tc>
          <w:tcPr>
            <w:tcW w:w="0" w:type="dxa"/>
            <w:vAlign w:val="bottom"/>
          </w:tcPr>
          <w:p>
            <w:pPr>
              <w:spacing w:after="0"/>
              <w:rPr>
                <w:sz w:val="1"/>
                <w:szCs w:val="1"/>
                <w:color w:val="auto"/>
              </w:rPr>
            </w:pPr>
          </w:p>
        </w:tc>
      </w:tr>
      <w:tr>
        <w:trPr>
          <w:trHeight w:val="155"/>
        </w:trPr>
        <w:tc>
          <w:tcPr>
            <w:tcW w:w="3660" w:type="dxa"/>
            <w:vAlign w:val="bottom"/>
          </w:tcPr>
          <w:p>
            <w:pPr>
              <w:spacing w:after="0"/>
              <w:rPr>
                <w:sz w:val="13"/>
                <w:szCs w:val="13"/>
                <w:color w:val="auto"/>
              </w:rPr>
            </w:pPr>
          </w:p>
        </w:tc>
        <w:tc>
          <w:tcPr>
            <w:tcW w:w="960" w:type="dxa"/>
            <w:vAlign w:val="bottom"/>
            <w:gridSpan w:val="2"/>
          </w:tcPr>
          <w:p>
            <w:pPr>
              <w:ind w:left="180"/>
              <w:spacing w:after="0" w:line="155" w:lineRule="exact"/>
              <w:rPr>
                <w:sz w:val="20"/>
                <w:szCs w:val="20"/>
                <w:color w:val="auto"/>
              </w:rPr>
            </w:pPr>
            <w:r>
              <w:rPr>
                <w:rFonts w:ascii="Arial" w:cs="Arial" w:eastAsia="Arial" w:hAnsi="Arial"/>
                <w:sz w:val="14"/>
                <w:szCs w:val="14"/>
                <w:b w:val="1"/>
                <w:bCs w:val="1"/>
                <w:color w:val="auto"/>
              </w:rPr>
              <w:t>Shares</w:t>
            </w:r>
          </w:p>
        </w:tc>
        <w:tc>
          <w:tcPr>
            <w:tcW w:w="50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w w:val="90"/>
              </w:rPr>
              <w:t>Amount</w:t>
            </w:r>
          </w:p>
        </w:tc>
        <w:tc>
          <w:tcPr>
            <w:tcW w:w="180" w:type="dxa"/>
            <w:vAlign w:val="bottom"/>
          </w:tcPr>
          <w:p>
            <w:pPr>
              <w:spacing w:after="0"/>
              <w:rPr>
                <w:sz w:val="13"/>
                <w:szCs w:val="13"/>
                <w:color w:val="auto"/>
              </w:rPr>
            </w:pPr>
          </w:p>
        </w:tc>
        <w:tc>
          <w:tcPr>
            <w:tcW w:w="1040" w:type="dxa"/>
            <w:vAlign w:val="bottom"/>
            <w:gridSpan w:val="2"/>
          </w:tcPr>
          <w:p>
            <w:pPr>
              <w:jc w:val="right"/>
              <w:ind w:right="400"/>
              <w:spacing w:after="0" w:line="155" w:lineRule="exact"/>
              <w:rPr>
                <w:sz w:val="20"/>
                <w:szCs w:val="20"/>
                <w:color w:val="auto"/>
              </w:rPr>
            </w:pPr>
            <w:r>
              <w:rPr>
                <w:rFonts w:ascii="Arial" w:cs="Arial" w:eastAsia="Arial" w:hAnsi="Arial"/>
                <w:sz w:val="14"/>
                <w:szCs w:val="14"/>
                <w:b w:val="1"/>
                <w:bCs w:val="1"/>
                <w:color w:val="auto"/>
              </w:rPr>
              <w:t>Shares</w:t>
            </w:r>
          </w:p>
        </w:tc>
        <w:tc>
          <w:tcPr>
            <w:tcW w:w="52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w w:val="94"/>
              </w:rPr>
              <w:t>Amount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center"/>
              <w:ind w:right="180"/>
              <w:spacing w:after="0" w:line="155" w:lineRule="exact"/>
              <w:rPr>
                <w:sz w:val="20"/>
                <w:szCs w:val="20"/>
                <w:color w:val="auto"/>
              </w:rPr>
            </w:pPr>
            <w:r>
              <w:rPr>
                <w:rFonts w:ascii="Arial" w:cs="Arial" w:eastAsia="Arial" w:hAnsi="Arial"/>
                <w:sz w:val="14"/>
                <w:szCs w:val="14"/>
                <w:b w:val="1"/>
                <w:bCs w:val="1"/>
                <w:color w:val="auto"/>
                <w:w w:val="98"/>
              </w:rPr>
              <w:t>Capital</w:t>
            </w:r>
          </w:p>
        </w:tc>
        <w:tc>
          <w:tcPr>
            <w:tcW w:w="1040" w:type="dxa"/>
            <w:vAlign w:val="bottom"/>
            <w:gridSpan w:val="3"/>
          </w:tcPr>
          <w:p>
            <w:pPr>
              <w:jc w:val="center"/>
              <w:ind w:right="120"/>
              <w:spacing w:after="0" w:line="155" w:lineRule="exact"/>
              <w:rPr>
                <w:sz w:val="20"/>
                <w:szCs w:val="20"/>
                <w:color w:val="auto"/>
              </w:rPr>
            </w:pPr>
            <w:r>
              <w:rPr>
                <w:rFonts w:ascii="Arial" w:cs="Arial" w:eastAsia="Arial" w:hAnsi="Arial"/>
                <w:sz w:val="14"/>
                <w:szCs w:val="14"/>
                <w:b w:val="1"/>
                <w:bCs w:val="1"/>
                <w:color w:val="auto"/>
                <w:w w:val="88"/>
              </w:rPr>
              <w:t>income (loss)</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gridSpan w:val="2"/>
          </w:tcPr>
          <w:p>
            <w:pPr>
              <w:jc w:val="right"/>
              <w:ind w:right="261"/>
              <w:spacing w:after="0" w:line="155" w:lineRule="exact"/>
              <w:rPr>
                <w:sz w:val="20"/>
                <w:szCs w:val="20"/>
                <w:color w:val="auto"/>
              </w:rPr>
            </w:pPr>
            <w:r>
              <w:rPr>
                <w:rFonts w:ascii="Arial" w:cs="Arial" w:eastAsia="Arial" w:hAnsi="Arial"/>
                <w:sz w:val="14"/>
                <w:szCs w:val="14"/>
                <w:b w:val="1"/>
                <w:bCs w:val="1"/>
                <w:color w:val="auto"/>
              </w:rPr>
              <w:t>deficit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gridSpan w:val="2"/>
          </w:tcPr>
          <w:p>
            <w:pPr>
              <w:jc w:val="right"/>
              <w:ind w:right="340"/>
              <w:spacing w:after="0" w:line="155" w:lineRule="exact"/>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10"/>
        </w:trPr>
        <w:tc>
          <w:tcPr>
            <w:tcW w:w="36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2019</w:t>
            </w:r>
          </w:p>
        </w:tc>
        <w:tc>
          <w:tcPr>
            <w:tcW w:w="78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7"/>
              </w:rPr>
              <w:t>1,969,797</w:t>
            </w:r>
          </w:p>
        </w:tc>
        <w:tc>
          <w:tcPr>
            <w:tcW w:w="1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15,429,154</w:t>
            </w:r>
          </w:p>
        </w:tc>
        <w:tc>
          <w:tcPr>
            <w:tcW w:w="1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shd w:val="clear" w:color="auto" w:fill="CCEEFF"/>
          </w:tcPr>
          <w:p>
            <w:pPr>
              <w:ind w:left="200"/>
              <w:spacing w:after="0"/>
              <w:rPr>
                <w:sz w:val="20"/>
                <w:szCs w:val="20"/>
                <w:color w:val="auto"/>
              </w:rPr>
            </w:pPr>
            <w:r>
              <w:rPr>
                <w:rFonts w:ascii="Arial" w:cs="Arial" w:eastAsia="Arial" w:hAnsi="Arial"/>
                <w:sz w:val="18"/>
                <w:szCs w:val="18"/>
                <w:color w:val="auto"/>
                <w:w w:val="79"/>
              </w:rPr>
              <w:t>2</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$ 639,567</w:t>
            </w:r>
          </w:p>
        </w:tc>
        <w:tc>
          <w:tcPr>
            <w:tcW w:w="1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w w:val="86"/>
              </w:rPr>
              <w:t>216</w:t>
            </w: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(223,220)</w:t>
            </w: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416,565</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60" w:type="dxa"/>
            <w:vAlign w:val="bottom"/>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540"/>
              <w:spacing w:after="0"/>
              <w:rPr>
                <w:sz w:val="20"/>
                <w:szCs w:val="20"/>
                <w:color w:val="auto"/>
              </w:rPr>
            </w:pPr>
            <w:r>
              <w:rPr>
                <w:rFonts w:ascii="Arial" w:cs="Arial" w:eastAsia="Arial" w:hAnsi="Arial"/>
                <w:sz w:val="18"/>
                <w:szCs w:val="18"/>
                <w:color w:val="auto"/>
              </w:rPr>
              <w:t>options for services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4,846</w:t>
            </w:r>
          </w:p>
        </w:tc>
        <w:tc>
          <w:tcPr>
            <w:tcW w:w="180" w:type="dxa"/>
            <w:vAlign w:val="bottom"/>
          </w:tcPr>
          <w:p>
            <w:pPr>
              <w:spacing w:after="0"/>
              <w:rPr>
                <w:sz w:val="20"/>
                <w:szCs w:val="20"/>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4,846</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gain on marketable securities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199</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Net loss</w:t>
            </w:r>
          </w:p>
        </w:tc>
        <w:tc>
          <w:tcPr>
            <w:tcW w:w="780" w:type="dxa"/>
            <w:vAlign w:val="bottom"/>
          </w:tcPr>
          <w:p>
            <w:pPr>
              <w:ind w:left="5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ind w:left="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(36,135)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(36,135)</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Balance at March 31, 2020</w:t>
            </w:r>
          </w:p>
        </w:tc>
        <w:tc>
          <w:tcPr>
            <w:tcW w:w="78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1,969,797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3"/>
              </w:rPr>
              <w:t>15,429,154</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2</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99"/>
              </w:rPr>
              <w:t>$ 644,413</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415</w:t>
            </w:r>
          </w:p>
        </w:tc>
        <w:tc>
          <w:tcPr>
            <w:tcW w:w="2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5"/>
              </w:rPr>
              <w:t>(259,355)</w:t>
            </w:r>
          </w:p>
        </w:tc>
        <w:tc>
          <w:tcPr>
            <w:tcW w:w="2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385,475</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Exercise of common stock options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8,970</w:t>
            </w:r>
          </w:p>
        </w:tc>
        <w:tc>
          <w:tcPr>
            <w:tcW w:w="220" w:type="dxa"/>
            <w:vAlign w:val="bottom"/>
          </w:tcPr>
          <w:p>
            <w:pPr>
              <w:spacing w:after="0"/>
              <w:rPr>
                <w:sz w:val="18"/>
                <w:szCs w:val="18"/>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109</w:t>
            </w:r>
          </w:p>
        </w:tc>
        <w:tc>
          <w:tcPr>
            <w:tcW w:w="180" w:type="dxa"/>
            <w:vAlign w:val="bottom"/>
          </w:tcPr>
          <w:p>
            <w:pPr>
              <w:spacing w:after="0"/>
              <w:rPr>
                <w:sz w:val="18"/>
                <w:szCs w:val="18"/>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2"/>
        </w:trPr>
        <w:tc>
          <w:tcPr>
            <w:tcW w:w="366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shd w:val="clear" w:color="auto" w:fill="CCEEFF"/>
          </w:tcPr>
          <w:p>
            <w:pPr>
              <w:ind w:left="540"/>
              <w:spacing w:after="0"/>
              <w:rPr>
                <w:sz w:val="20"/>
                <w:szCs w:val="20"/>
                <w:color w:val="auto"/>
              </w:rPr>
            </w:pPr>
            <w:r>
              <w:rPr>
                <w:rFonts w:ascii="Arial" w:cs="Arial" w:eastAsia="Arial" w:hAnsi="Arial"/>
                <w:sz w:val="18"/>
                <w:szCs w:val="18"/>
                <w:color w:val="auto"/>
              </w:rPr>
              <w:t>options for services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5,689</w:t>
            </w:r>
          </w:p>
        </w:tc>
        <w:tc>
          <w:tcPr>
            <w:tcW w:w="180" w:type="dxa"/>
            <w:vAlign w:val="bottom"/>
            <w:shd w:val="clear" w:color="auto" w:fill="CCEEFF"/>
          </w:tcPr>
          <w:p>
            <w:pPr>
              <w:spacing w:after="0"/>
              <w:rPr>
                <w:sz w:val="20"/>
                <w:szCs w:val="20"/>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5,689</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Unrealized gain on marketable securities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92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666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666</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(49,023)</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(49,023)</w:t>
            </w:r>
          </w:p>
        </w:tc>
        <w:tc>
          <w:tcPr>
            <w:tcW w:w="0" w:type="dxa"/>
            <w:vAlign w:val="bottom"/>
          </w:tcPr>
          <w:p>
            <w:pPr>
              <w:spacing w:after="0"/>
              <w:rPr>
                <w:sz w:val="1"/>
                <w:szCs w:val="1"/>
                <w:color w:val="auto"/>
              </w:rPr>
            </w:pPr>
          </w:p>
        </w:tc>
      </w:tr>
      <w:tr>
        <w:trPr>
          <w:trHeight w:val="223"/>
        </w:trPr>
        <w:tc>
          <w:tcPr>
            <w:tcW w:w="36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Balance at June 30, 2020</w:t>
            </w:r>
          </w:p>
        </w:tc>
        <w:tc>
          <w:tcPr>
            <w:tcW w:w="78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7"/>
              </w:rPr>
              <w:t>1,969,797</w:t>
            </w:r>
          </w:p>
        </w:tc>
        <w:tc>
          <w:tcPr>
            <w:tcW w:w="18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15,438,124</w:t>
            </w:r>
          </w:p>
        </w:tc>
        <w:tc>
          <w:tcPr>
            <w:tcW w:w="18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bottom w:val="single" w:sz="8" w:color="auto"/>
            </w:tcBorders>
          </w:tcPr>
          <w:p>
            <w:pPr>
              <w:ind w:left="200"/>
              <w:spacing w:after="0"/>
              <w:rPr>
                <w:sz w:val="20"/>
                <w:szCs w:val="20"/>
                <w:color w:val="auto"/>
              </w:rPr>
            </w:pPr>
            <w:r>
              <w:rPr>
                <w:rFonts w:ascii="Arial" w:cs="Arial" w:eastAsia="Arial" w:hAnsi="Arial"/>
                <w:sz w:val="18"/>
                <w:szCs w:val="18"/>
                <w:color w:val="auto"/>
                <w:w w:val="79"/>
              </w:rPr>
              <w:t>2</w:t>
            </w:r>
          </w:p>
        </w:tc>
        <w:tc>
          <w:tcPr>
            <w:tcW w:w="8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$ 650,211</w:t>
            </w:r>
          </w:p>
        </w:tc>
        <w:tc>
          <w:tcPr>
            <w:tcW w:w="18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1,081</w:t>
            </w:r>
          </w:p>
        </w:tc>
        <w:tc>
          <w:tcPr>
            <w:tcW w:w="12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(308,378</w:t>
            </w:r>
          </w:p>
        </w:tc>
        <w:tc>
          <w:tcPr>
            <w:tcW w:w="1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342,916</w:t>
            </w:r>
          </w:p>
        </w:tc>
        <w:tc>
          <w:tcPr>
            <w:tcW w:w="12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Exercise of common stock options</w:t>
            </w:r>
          </w:p>
        </w:tc>
        <w:tc>
          <w:tcPr>
            <w:tcW w:w="780" w:type="dxa"/>
            <w:vAlign w:val="bottom"/>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28,327</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660" w:type="dxa"/>
            <w:vAlign w:val="bottom"/>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540"/>
              <w:spacing w:after="0"/>
              <w:rPr>
                <w:sz w:val="20"/>
                <w:szCs w:val="20"/>
                <w:color w:val="auto"/>
              </w:rPr>
            </w:pPr>
            <w:r>
              <w:rPr>
                <w:rFonts w:ascii="Arial" w:cs="Arial" w:eastAsia="Arial" w:hAnsi="Arial"/>
                <w:sz w:val="18"/>
                <w:szCs w:val="18"/>
                <w:color w:val="auto"/>
              </w:rPr>
              <w:t>options for services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5,061</w:t>
            </w:r>
          </w:p>
        </w:tc>
        <w:tc>
          <w:tcPr>
            <w:tcW w:w="180" w:type="dxa"/>
            <w:vAlign w:val="bottom"/>
          </w:tcPr>
          <w:p>
            <w:pPr>
              <w:spacing w:after="0"/>
              <w:rPr>
                <w:sz w:val="20"/>
                <w:szCs w:val="20"/>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5,061</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(660)</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(660)</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Net loss</w:t>
            </w:r>
          </w:p>
        </w:tc>
        <w:tc>
          <w:tcPr>
            <w:tcW w:w="780" w:type="dxa"/>
            <w:vAlign w:val="bottom"/>
          </w:tcPr>
          <w:p>
            <w:pPr>
              <w:ind w:left="5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ind w:left="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(57,963)</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(57,963)</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30, 2020</w:t>
            </w:r>
          </w:p>
        </w:tc>
        <w:tc>
          <w:tcPr>
            <w:tcW w:w="78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1,969,797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3"/>
              </w:rPr>
              <w:t>15,466,451</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2</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99"/>
              </w:rPr>
              <w:t>$ 655,622</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421</w:t>
            </w:r>
          </w:p>
        </w:tc>
        <w:tc>
          <w:tcPr>
            <w:tcW w:w="2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5"/>
              </w:rPr>
              <w:t>(366,341)</w:t>
            </w:r>
          </w:p>
        </w:tc>
        <w:tc>
          <w:tcPr>
            <w:tcW w:w="2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289,704</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3660" w:type="dxa"/>
            <w:vAlign w:val="bottom"/>
          </w:tcPr>
          <w:p>
            <w:pPr>
              <w:spacing w:after="0"/>
              <w:rPr>
                <w:sz w:val="20"/>
                <w:szCs w:val="20"/>
                <w:color w:val="auto"/>
              </w:rPr>
            </w:pPr>
            <w:r>
              <w:rPr>
                <w:rFonts w:ascii="Arial" w:cs="Arial" w:eastAsia="Arial" w:hAnsi="Arial"/>
                <w:sz w:val="18"/>
                <w:szCs w:val="18"/>
                <w:color w:val="auto"/>
              </w:rPr>
              <w:t>Balance at December 31, 2018</w:t>
            </w:r>
          </w:p>
        </w:tc>
        <w:tc>
          <w:tcPr>
            <w:tcW w:w="960" w:type="dxa"/>
            <w:vAlign w:val="bottom"/>
            <w:gridSpan w:val="2"/>
          </w:tcPr>
          <w:p>
            <w:pPr>
              <w:ind w:left="60"/>
              <w:spacing w:after="0"/>
              <w:rPr>
                <w:sz w:val="20"/>
                <w:szCs w:val="20"/>
                <w:color w:val="auto"/>
              </w:rPr>
            </w:pPr>
            <w:r>
              <w:rPr>
                <w:rFonts w:ascii="Arial" w:cs="Arial" w:eastAsia="Arial" w:hAnsi="Arial"/>
                <w:sz w:val="18"/>
                <w:szCs w:val="18"/>
                <w:color w:val="auto"/>
              </w:rPr>
              <w:t>1,969,797</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15,409,023</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gridSpan w:val="2"/>
          </w:tcPr>
          <w:p>
            <w:pPr>
              <w:ind w:left="200"/>
              <w:spacing w:after="0"/>
              <w:rPr>
                <w:sz w:val="20"/>
                <w:szCs w:val="20"/>
                <w:color w:val="auto"/>
              </w:rPr>
            </w:pPr>
            <w:r>
              <w:rPr>
                <w:rFonts w:ascii="Arial" w:cs="Arial" w:eastAsia="Arial" w:hAnsi="Arial"/>
                <w:sz w:val="18"/>
                <w:szCs w:val="18"/>
                <w:color w:val="auto"/>
              </w:rPr>
              <w:t>2</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w w:val="99"/>
              </w:rPr>
              <w:t>$ 616,573</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(319)</w:t>
            </w:r>
          </w:p>
        </w:tc>
        <w:tc>
          <w:tcPr>
            <w:tcW w:w="200" w:type="dxa"/>
            <w:vAlign w:val="bottom"/>
            <w:gridSpan w:val="2"/>
          </w:tcPr>
          <w:p>
            <w:pPr>
              <w:ind w:left="80"/>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w w:val="95"/>
              </w:rPr>
              <w:t>(139,272)</w:t>
            </w:r>
          </w:p>
        </w:tc>
        <w:tc>
          <w:tcPr>
            <w:tcW w:w="24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476,984</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Exercise of common stock options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8,041</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83</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02"/>
        </w:trPr>
        <w:tc>
          <w:tcPr>
            <w:tcW w:w="3660" w:type="dxa"/>
            <w:vAlign w:val="bottom"/>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540"/>
              <w:spacing w:after="0"/>
              <w:rPr>
                <w:sz w:val="20"/>
                <w:szCs w:val="20"/>
                <w:color w:val="auto"/>
              </w:rPr>
            </w:pPr>
            <w:r>
              <w:rPr>
                <w:rFonts w:ascii="Arial" w:cs="Arial" w:eastAsia="Arial" w:hAnsi="Arial"/>
                <w:sz w:val="18"/>
                <w:szCs w:val="18"/>
                <w:color w:val="auto"/>
              </w:rPr>
              <w:t>options for services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6,022</w:t>
            </w:r>
          </w:p>
        </w:tc>
        <w:tc>
          <w:tcPr>
            <w:tcW w:w="180" w:type="dxa"/>
            <w:vAlign w:val="bottom"/>
          </w:tcPr>
          <w:p>
            <w:pPr>
              <w:spacing w:after="0"/>
              <w:rPr>
                <w:sz w:val="20"/>
                <w:szCs w:val="20"/>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6,022</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gain on marketable securities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497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497</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Net loss</w:t>
            </w:r>
          </w:p>
        </w:tc>
        <w:tc>
          <w:tcPr>
            <w:tcW w:w="780" w:type="dxa"/>
            <w:vAlign w:val="bottom"/>
          </w:tcPr>
          <w:p>
            <w:pPr>
              <w:ind w:left="5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ind w:left="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(15,080)</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(15,080)</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6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Balance at March 31, 2019</w:t>
            </w:r>
          </w:p>
        </w:tc>
        <w:tc>
          <w:tcPr>
            <w:tcW w:w="78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1,969,797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3"/>
              </w:rPr>
              <w:t>15,417,064</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2</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99"/>
              </w:rPr>
              <w:t>$ 622,678</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178</w:t>
            </w:r>
          </w:p>
        </w:tc>
        <w:tc>
          <w:tcPr>
            <w:tcW w:w="2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5"/>
              </w:rPr>
              <w:t>(154,352)</w:t>
            </w:r>
          </w:p>
        </w:tc>
        <w:tc>
          <w:tcPr>
            <w:tcW w:w="2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468,506</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Exercise of common stock options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9,233</w:t>
            </w:r>
          </w:p>
        </w:tc>
        <w:tc>
          <w:tcPr>
            <w:tcW w:w="220" w:type="dxa"/>
            <w:vAlign w:val="bottom"/>
          </w:tcPr>
          <w:p>
            <w:pPr>
              <w:spacing w:after="0"/>
              <w:rPr>
                <w:sz w:val="18"/>
                <w:szCs w:val="18"/>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117</w:t>
            </w:r>
          </w:p>
        </w:tc>
        <w:tc>
          <w:tcPr>
            <w:tcW w:w="180" w:type="dxa"/>
            <w:vAlign w:val="bottom"/>
          </w:tcPr>
          <w:p>
            <w:pPr>
              <w:spacing w:after="0"/>
              <w:rPr>
                <w:sz w:val="18"/>
                <w:szCs w:val="18"/>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02"/>
        </w:trPr>
        <w:tc>
          <w:tcPr>
            <w:tcW w:w="366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shd w:val="clear" w:color="auto" w:fill="CCEEFF"/>
          </w:tcPr>
          <w:p>
            <w:pPr>
              <w:ind w:left="540"/>
              <w:spacing w:after="0"/>
              <w:rPr>
                <w:sz w:val="20"/>
                <w:szCs w:val="20"/>
                <w:color w:val="auto"/>
              </w:rPr>
            </w:pPr>
            <w:r>
              <w:rPr>
                <w:rFonts w:ascii="Arial" w:cs="Arial" w:eastAsia="Arial" w:hAnsi="Arial"/>
                <w:sz w:val="18"/>
                <w:szCs w:val="18"/>
                <w:color w:val="auto"/>
              </w:rPr>
              <w:t>options for services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7,755</w:t>
            </w:r>
          </w:p>
        </w:tc>
        <w:tc>
          <w:tcPr>
            <w:tcW w:w="180" w:type="dxa"/>
            <w:vAlign w:val="bottom"/>
            <w:shd w:val="clear" w:color="auto" w:fill="CCEEFF"/>
          </w:tcPr>
          <w:p>
            <w:pPr>
              <w:spacing w:after="0"/>
              <w:rPr>
                <w:sz w:val="20"/>
                <w:szCs w:val="20"/>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7,755</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Unrealized gain on marketable securities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92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307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Net loss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(19,699)</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(19,699)</w:t>
            </w:r>
          </w:p>
        </w:tc>
        <w:tc>
          <w:tcPr>
            <w:tcW w:w="0" w:type="dxa"/>
            <w:vAlign w:val="bottom"/>
          </w:tcPr>
          <w:p>
            <w:pPr>
              <w:spacing w:after="0"/>
              <w:rPr>
                <w:sz w:val="1"/>
                <w:szCs w:val="1"/>
                <w:color w:val="auto"/>
              </w:rPr>
            </w:pPr>
          </w:p>
        </w:tc>
      </w:tr>
      <w:tr>
        <w:trPr>
          <w:trHeight w:val="223"/>
        </w:trPr>
        <w:tc>
          <w:tcPr>
            <w:tcW w:w="3660" w:type="dxa"/>
            <w:vAlign w:val="bottom"/>
          </w:tcPr>
          <w:p>
            <w:pPr>
              <w:spacing w:after="0"/>
              <w:rPr>
                <w:sz w:val="20"/>
                <w:szCs w:val="20"/>
                <w:color w:val="auto"/>
              </w:rPr>
            </w:pPr>
            <w:r>
              <w:rPr>
                <w:rFonts w:ascii="Arial" w:cs="Arial" w:eastAsia="Arial" w:hAnsi="Arial"/>
                <w:sz w:val="18"/>
                <w:szCs w:val="18"/>
                <w:color w:val="auto"/>
              </w:rPr>
              <w:t>Balance at June 30, 2019</w:t>
            </w:r>
          </w:p>
        </w:tc>
        <w:tc>
          <w:tcPr>
            <w:tcW w:w="78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w w:val="87"/>
              </w:rPr>
              <w:t>1,969,797</w:t>
            </w:r>
          </w:p>
        </w:tc>
        <w:tc>
          <w:tcPr>
            <w:tcW w:w="180" w:type="dxa"/>
            <w:vAlign w:val="bottom"/>
          </w:tcPr>
          <w:p>
            <w:pPr>
              <w:spacing w:after="0"/>
              <w:rPr>
                <w:sz w:val="19"/>
                <w:szCs w:val="19"/>
                <w:color w:val="auto"/>
              </w:rPr>
            </w:pPr>
          </w:p>
        </w:tc>
        <w:tc>
          <w:tcPr>
            <w:tcW w:w="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3"/>
              </w:rPr>
              <w:t>15,426,297</w:t>
            </w:r>
          </w:p>
        </w:tc>
        <w:tc>
          <w:tcPr>
            <w:tcW w:w="180" w:type="dxa"/>
            <w:vAlign w:val="bottom"/>
          </w:tcPr>
          <w:p>
            <w:pPr>
              <w:spacing w:after="0"/>
              <w:rPr>
                <w:sz w:val="19"/>
                <w:szCs w:val="19"/>
                <w:color w:val="auto"/>
              </w:rPr>
            </w:pPr>
          </w:p>
        </w:tc>
        <w:tc>
          <w:tcPr>
            <w:tcW w:w="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w w:val="79"/>
              </w:rPr>
              <w:t>2</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$ 630,550</w:t>
            </w:r>
          </w:p>
        </w:tc>
        <w:tc>
          <w:tcPr>
            <w:tcW w:w="180" w:type="dxa"/>
            <w:vAlign w:val="bottom"/>
          </w:tcPr>
          <w:p>
            <w:pPr>
              <w:spacing w:after="0"/>
              <w:rPr>
                <w:sz w:val="19"/>
                <w:szCs w:val="19"/>
                <w:color w:val="auto"/>
              </w:rPr>
            </w:pPr>
          </w:p>
        </w:tc>
        <w:tc>
          <w:tcPr>
            <w:tcW w:w="1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tcPr>
          <w:p>
            <w:pPr>
              <w:ind w:left="460"/>
              <w:spacing w:after="0"/>
              <w:rPr>
                <w:sz w:val="20"/>
                <w:szCs w:val="20"/>
                <w:color w:val="auto"/>
              </w:rPr>
            </w:pPr>
            <w:r>
              <w:rPr>
                <w:rFonts w:ascii="Arial" w:cs="Arial" w:eastAsia="Arial" w:hAnsi="Arial"/>
                <w:sz w:val="18"/>
                <w:szCs w:val="18"/>
                <w:color w:val="auto"/>
                <w:w w:val="86"/>
              </w:rPr>
              <w:t>485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(174,051)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456,986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Exercise of common stock options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2,857</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35</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02"/>
        </w:trPr>
        <w:tc>
          <w:tcPr>
            <w:tcW w:w="3660" w:type="dxa"/>
            <w:vAlign w:val="bottom"/>
          </w:tcPr>
          <w:p>
            <w:pPr>
              <w:ind w:left="360"/>
              <w:spacing w:after="0" w:line="201" w:lineRule="exact"/>
              <w:rPr>
                <w:sz w:val="20"/>
                <w:szCs w:val="20"/>
                <w:color w:val="auto"/>
              </w:rPr>
            </w:pPr>
            <w:r>
              <w:rPr>
                <w:rFonts w:ascii="Arial" w:cs="Arial" w:eastAsia="Arial" w:hAnsi="Arial"/>
                <w:sz w:val="18"/>
                <w:szCs w:val="18"/>
                <w:color w:val="auto"/>
              </w:rPr>
              <w:t>Compensation expense related to stock</w:t>
            </w: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540"/>
              <w:spacing w:after="0"/>
              <w:rPr>
                <w:sz w:val="20"/>
                <w:szCs w:val="20"/>
                <w:color w:val="auto"/>
              </w:rPr>
            </w:pPr>
            <w:r>
              <w:rPr>
                <w:rFonts w:ascii="Arial" w:cs="Arial" w:eastAsia="Arial" w:hAnsi="Arial"/>
                <w:sz w:val="18"/>
                <w:szCs w:val="18"/>
                <w:color w:val="auto"/>
              </w:rPr>
              <w:t>options for services</w:t>
            </w:r>
          </w:p>
        </w:tc>
        <w:tc>
          <w:tcPr>
            <w:tcW w:w="9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8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4,950</w:t>
            </w:r>
          </w:p>
        </w:tc>
        <w:tc>
          <w:tcPr>
            <w:tcW w:w="180" w:type="dxa"/>
            <w:vAlign w:val="bottom"/>
          </w:tcPr>
          <w:p>
            <w:pPr>
              <w:spacing w:after="0"/>
              <w:rPr>
                <w:sz w:val="20"/>
                <w:szCs w:val="20"/>
                <w:color w:val="auto"/>
              </w:rPr>
            </w:pPr>
          </w:p>
        </w:tc>
        <w:tc>
          <w:tcPr>
            <w:tcW w:w="86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4,950</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Unrealized loss on marketable securities</w:t>
            </w:r>
          </w:p>
        </w:tc>
        <w:tc>
          <w:tcPr>
            <w:tcW w:w="9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(193)</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(193)</w:t>
            </w:r>
          </w:p>
        </w:tc>
        <w:tc>
          <w:tcPr>
            <w:tcW w:w="0" w:type="dxa"/>
            <w:vAlign w:val="bottom"/>
          </w:tcPr>
          <w:p>
            <w:pPr>
              <w:spacing w:after="0"/>
              <w:rPr>
                <w:sz w:val="1"/>
                <w:szCs w:val="1"/>
                <w:color w:val="auto"/>
              </w:rPr>
            </w:pPr>
          </w:p>
        </w:tc>
      </w:tr>
      <w:tr>
        <w:trPr>
          <w:trHeight w:val="216"/>
        </w:trPr>
        <w:tc>
          <w:tcPr>
            <w:tcW w:w="3660" w:type="dxa"/>
            <w:vAlign w:val="bottom"/>
          </w:tcPr>
          <w:p>
            <w:pPr>
              <w:ind w:left="360"/>
              <w:spacing w:after="0"/>
              <w:rPr>
                <w:sz w:val="20"/>
                <w:szCs w:val="20"/>
                <w:color w:val="auto"/>
              </w:rPr>
            </w:pPr>
            <w:r>
              <w:rPr>
                <w:rFonts w:ascii="Arial" w:cs="Arial" w:eastAsia="Arial" w:hAnsi="Arial"/>
                <w:sz w:val="18"/>
                <w:szCs w:val="18"/>
                <w:color w:val="auto"/>
              </w:rPr>
              <w:t>Net loss</w:t>
            </w:r>
          </w:p>
        </w:tc>
        <w:tc>
          <w:tcPr>
            <w:tcW w:w="780" w:type="dxa"/>
            <w:vAlign w:val="bottom"/>
          </w:tcPr>
          <w:p>
            <w:pPr>
              <w:ind w:left="5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ind w:left="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ind w:lef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(21,429)</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(21,429)</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Balance at September 30, 2019</w:t>
            </w:r>
          </w:p>
        </w:tc>
        <w:tc>
          <w:tcPr>
            <w:tcW w:w="78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1,969,797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3"/>
              </w:rPr>
              <w:t>15,429,154</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2</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99"/>
              </w:rPr>
              <w:t>$ 635,535</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292</w:t>
            </w:r>
          </w:p>
        </w:tc>
        <w:tc>
          <w:tcPr>
            <w:tcW w:w="2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5"/>
              </w:rPr>
              <w:t>(195,480)</w:t>
            </w:r>
          </w:p>
        </w:tc>
        <w:tc>
          <w:tcPr>
            <w:tcW w:w="2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440,349</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40"/>
          </w:cols>
          <w:pgMar w:left="320" w:top="486" w:right="4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 in thousands)</w:t>
      </w:r>
    </w:p>
    <w:p>
      <w:pPr>
        <w:spacing w:after="0" w:line="229"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70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400" w:type="dxa"/>
            <w:vAlign w:val="bottom"/>
            <w:gridSpan w:val="7"/>
          </w:tcPr>
          <w:p>
            <w:pPr>
              <w:jc w:val="right"/>
              <w:ind w:right="180"/>
              <w:spacing w:after="0"/>
              <w:rPr>
                <w:sz w:val="20"/>
                <w:szCs w:val="20"/>
                <w:color w:val="auto"/>
              </w:rPr>
            </w:pPr>
            <w:r>
              <w:rPr>
                <w:rFonts w:ascii="Arial" w:cs="Arial" w:eastAsia="Arial" w:hAnsi="Arial"/>
                <w:sz w:val="14"/>
                <w:szCs w:val="14"/>
                <w:b w:val="1"/>
                <w:bCs w:val="1"/>
                <w:color w:val="auto"/>
                <w:w w:val="95"/>
              </w:rPr>
              <w:t>Nine Months Ended September 30,</w:t>
            </w:r>
          </w:p>
        </w:tc>
      </w:tr>
      <w:tr>
        <w:trPr>
          <w:trHeight w:val="142"/>
        </w:trPr>
        <w:tc>
          <w:tcPr>
            <w:tcW w:w="7020" w:type="dxa"/>
            <w:vAlign w:val="bottom"/>
            <w:tcBorders>
              <w:bottom w:val="single" w:sz="8" w:color="CCEEFF"/>
            </w:tcBorders>
          </w:tcPr>
          <w:p>
            <w:pPr>
              <w:spacing w:after="0"/>
              <w:rPr>
                <w:sz w:val="12"/>
                <w:szCs w:val="12"/>
                <w:color w:val="auto"/>
              </w:rPr>
            </w:pPr>
          </w:p>
        </w:tc>
        <w:tc>
          <w:tcPr>
            <w:tcW w:w="1600" w:type="dxa"/>
            <w:vAlign w:val="bottom"/>
            <w:tcBorders>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2020</w:t>
            </w:r>
          </w:p>
        </w:tc>
        <w:tc>
          <w:tcPr>
            <w:tcW w:w="20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2"/>
                <w:szCs w:val="12"/>
                <w:color w:val="auto"/>
              </w:rPr>
            </w:pPr>
          </w:p>
        </w:tc>
      </w:tr>
      <w:tr>
        <w:trPr>
          <w:trHeight w:val="196"/>
        </w:trPr>
        <w:tc>
          <w:tcPr>
            <w:tcW w:w="70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Cash flows from operating activities:</w:t>
            </w:r>
          </w:p>
        </w:tc>
        <w:tc>
          <w:tcPr>
            <w:tcW w:w="1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7020" w:type="dxa"/>
            <w:vAlign w:val="bottom"/>
          </w:tcPr>
          <w:p>
            <w:pPr>
              <w:ind w:left="180"/>
              <w:spacing w:after="0"/>
              <w:rPr>
                <w:sz w:val="20"/>
                <w:szCs w:val="20"/>
                <w:color w:val="auto"/>
              </w:rPr>
            </w:pPr>
            <w:r>
              <w:rPr>
                <w:rFonts w:ascii="Arial" w:cs="Arial" w:eastAsia="Arial" w:hAnsi="Arial"/>
                <w:sz w:val="18"/>
                <w:szCs w:val="18"/>
                <w:color w:val="auto"/>
              </w:rPr>
              <w:t>Net loss</w:t>
            </w:r>
          </w:p>
        </w:tc>
        <w:tc>
          <w:tcPr>
            <w:tcW w:w="1800" w:type="dxa"/>
            <w:vAlign w:val="bottom"/>
            <w:gridSpan w:val="2"/>
          </w:tcPr>
          <w:p>
            <w:pPr>
              <w:jc w:val="right"/>
              <w:ind w:right="19"/>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(143,121)</w:t>
            </w:r>
          </w:p>
        </w:tc>
        <w:tc>
          <w:tcPr>
            <w:tcW w:w="36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(56,208)</w:t>
            </w:r>
          </w:p>
        </w:tc>
      </w:tr>
      <w:tr>
        <w:trPr>
          <w:trHeight w:val="216"/>
        </w:trPr>
        <w:tc>
          <w:tcPr>
            <w:tcW w:w="70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020" w:type="dxa"/>
            <w:vAlign w:val="bottom"/>
          </w:tcPr>
          <w:p>
            <w:pPr>
              <w:ind w:left="360"/>
              <w:spacing w:after="0"/>
              <w:rPr>
                <w:sz w:val="20"/>
                <w:szCs w:val="20"/>
                <w:color w:val="auto"/>
              </w:rPr>
            </w:pPr>
            <w:r>
              <w:rPr>
                <w:rFonts w:ascii="Arial" w:cs="Arial" w:eastAsia="Arial" w:hAnsi="Arial"/>
                <w:sz w:val="18"/>
                <w:szCs w:val="18"/>
                <w:color w:val="auto"/>
              </w:rPr>
              <w:t>Stock-based compensation expense</w:t>
            </w:r>
          </w:p>
        </w:tc>
        <w:tc>
          <w:tcPr>
            <w:tcW w:w="1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15,596</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18,727</w:t>
            </w:r>
          </w:p>
        </w:tc>
      </w:tr>
      <w:tr>
        <w:trPr>
          <w:trHeight w:val="216"/>
        </w:trPr>
        <w:tc>
          <w:tcPr>
            <w:tcW w:w="70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Depreciation and amortization expense</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355</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84</w:t>
            </w:r>
          </w:p>
        </w:tc>
      </w:tr>
      <w:tr>
        <w:trPr>
          <w:trHeight w:val="216"/>
        </w:trPr>
        <w:tc>
          <w:tcPr>
            <w:tcW w:w="7020" w:type="dxa"/>
            <w:vAlign w:val="bottom"/>
          </w:tcPr>
          <w:p>
            <w:pPr>
              <w:ind w:left="360"/>
              <w:spacing w:after="0"/>
              <w:rPr>
                <w:sz w:val="20"/>
                <w:szCs w:val="20"/>
                <w:color w:val="auto"/>
              </w:rPr>
            </w:pPr>
            <w:r>
              <w:rPr>
                <w:rFonts w:ascii="Arial" w:cs="Arial" w:eastAsia="Arial" w:hAnsi="Arial"/>
                <w:sz w:val="18"/>
                <w:szCs w:val="18"/>
                <w:color w:val="auto"/>
              </w:rPr>
              <w:t>Changes in operating assets and liabilities:</w:t>
            </w:r>
          </w:p>
        </w:tc>
        <w:tc>
          <w:tcPr>
            <w:tcW w:w="1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70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Prepaid expenses and other current assets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(513)</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(229)</w:t>
            </w:r>
          </w:p>
        </w:tc>
      </w:tr>
      <w:tr>
        <w:trPr>
          <w:trHeight w:val="216"/>
        </w:trPr>
        <w:tc>
          <w:tcPr>
            <w:tcW w:w="7020" w:type="dxa"/>
            <w:vAlign w:val="bottom"/>
          </w:tcPr>
          <w:p>
            <w:pPr>
              <w:ind w:left="540"/>
              <w:spacing w:after="0"/>
              <w:rPr>
                <w:sz w:val="20"/>
                <w:szCs w:val="20"/>
                <w:color w:val="auto"/>
              </w:rPr>
            </w:pPr>
            <w:r>
              <w:rPr>
                <w:rFonts w:ascii="Arial" w:cs="Arial" w:eastAsia="Arial" w:hAnsi="Arial"/>
                <w:sz w:val="18"/>
                <w:szCs w:val="18"/>
                <w:color w:val="auto"/>
              </w:rPr>
              <w:t>Accounts payable</w:t>
            </w:r>
          </w:p>
        </w:tc>
        <w:tc>
          <w:tcPr>
            <w:tcW w:w="1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5,099</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(1,714)</w:t>
            </w:r>
          </w:p>
        </w:tc>
      </w:tr>
      <w:tr>
        <w:trPr>
          <w:trHeight w:val="216"/>
        </w:trPr>
        <w:tc>
          <w:tcPr>
            <w:tcW w:w="70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Accrued expenses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19,136</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8,424</w:t>
            </w:r>
          </w:p>
        </w:tc>
      </w:tr>
      <w:tr>
        <w:trPr>
          <w:trHeight w:val="216"/>
        </w:trPr>
        <w:tc>
          <w:tcPr>
            <w:tcW w:w="7020" w:type="dxa"/>
            <w:vAlign w:val="bottom"/>
          </w:tcPr>
          <w:p>
            <w:pPr>
              <w:ind w:left="540"/>
              <w:spacing w:after="0"/>
              <w:rPr>
                <w:sz w:val="20"/>
                <w:szCs w:val="20"/>
                <w:color w:val="auto"/>
              </w:rPr>
            </w:pPr>
            <w:r>
              <w:rPr>
                <w:rFonts w:ascii="Arial" w:cs="Arial" w:eastAsia="Arial" w:hAnsi="Arial"/>
                <w:sz w:val="18"/>
                <w:szCs w:val="18"/>
                <w:color w:val="auto"/>
              </w:rPr>
              <w:t>Accrued interest, net of interest received on maturity of investments</w:t>
            </w:r>
          </w:p>
        </w:tc>
        <w:tc>
          <w:tcPr>
            <w:tcW w:w="1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834</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1,574</w:t>
            </w:r>
          </w:p>
        </w:tc>
      </w:tr>
      <w:tr>
        <w:trPr>
          <w:trHeight w:val="27"/>
        </w:trPr>
        <w:tc>
          <w:tcPr>
            <w:tcW w:w="70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7020" w:type="dxa"/>
            <w:vAlign w:val="bottom"/>
            <w:shd w:val="clear" w:color="auto" w:fill="CCEEFF"/>
          </w:tcPr>
          <w:p>
            <w:pPr>
              <w:ind w:left="720"/>
              <w:spacing w:after="0"/>
              <w:rPr>
                <w:sz w:val="20"/>
                <w:szCs w:val="20"/>
                <w:color w:val="auto"/>
              </w:rPr>
            </w:pPr>
            <w:r>
              <w:rPr>
                <w:rFonts w:ascii="Arial" w:cs="Arial" w:eastAsia="Arial" w:hAnsi="Arial"/>
                <w:sz w:val="18"/>
                <w:szCs w:val="18"/>
                <w:color w:val="auto"/>
              </w:rPr>
              <w:t>Net cash used in operating activities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(102,614)</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(29,342)</w:t>
            </w:r>
          </w:p>
        </w:tc>
      </w:tr>
      <w:tr>
        <w:trPr>
          <w:trHeight w:val="223"/>
        </w:trPr>
        <w:tc>
          <w:tcPr>
            <w:tcW w:w="702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16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r>
      <w:tr>
        <w:trPr>
          <w:trHeight w:val="216"/>
        </w:trPr>
        <w:tc>
          <w:tcPr>
            <w:tcW w:w="70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Purchases of marketable securities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(213,186)</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(407,073)</w:t>
            </w:r>
          </w:p>
        </w:tc>
      </w:tr>
      <w:tr>
        <w:trPr>
          <w:trHeight w:val="216"/>
        </w:trPr>
        <w:tc>
          <w:tcPr>
            <w:tcW w:w="7020" w:type="dxa"/>
            <w:vAlign w:val="bottom"/>
          </w:tcPr>
          <w:p>
            <w:pPr>
              <w:ind w:left="360"/>
              <w:spacing w:after="0"/>
              <w:rPr>
                <w:sz w:val="20"/>
                <w:szCs w:val="20"/>
                <w:color w:val="auto"/>
              </w:rPr>
            </w:pPr>
            <w:r>
              <w:rPr>
                <w:rFonts w:ascii="Arial" w:cs="Arial" w:eastAsia="Arial" w:hAnsi="Arial"/>
                <w:sz w:val="18"/>
                <w:szCs w:val="18"/>
                <w:color w:val="auto"/>
              </w:rPr>
              <w:t>Sales and maturities of marketable securities</w:t>
            </w:r>
          </w:p>
        </w:tc>
        <w:tc>
          <w:tcPr>
            <w:tcW w:w="1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378,088</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468,325</w:t>
            </w:r>
          </w:p>
        </w:tc>
      </w:tr>
      <w:tr>
        <w:trPr>
          <w:trHeight w:val="216"/>
        </w:trPr>
        <w:tc>
          <w:tcPr>
            <w:tcW w:w="70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Purchases of property and equipment, net of disposals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(324)</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(38)</w:t>
            </w:r>
          </w:p>
        </w:tc>
      </w:tr>
      <w:tr>
        <w:trPr>
          <w:trHeight w:val="230"/>
        </w:trPr>
        <w:tc>
          <w:tcPr>
            <w:tcW w:w="7020" w:type="dxa"/>
            <w:vAlign w:val="bottom"/>
          </w:tcPr>
          <w:p>
            <w:pPr>
              <w:ind w:left="900"/>
              <w:spacing w:after="0"/>
              <w:rPr>
                <w:sz w:val="20"/>
                <w:szCs w:val="20"/>
                <w:color w:val="auto"/>
              </w:rPr>
            </w:pPr>
            <w:r>
              <w:rPr>
                <w:rFonts w:ascii="Arial" w:cs="Arial" w:eastAsia="Arial" w:hAnsi="Arial"/>
                <w:sz w:val="18"/>
                <w:szCs w:val="18"/>
                <w:color w:val="auto"/>
              </w:rPr>
              <w:t>Net cash provided by investing activities</w:t>
            </w:r>
          </w:p>
        </w:tc>
        <w:tc>
          <w:tcPr>
            <w:tcW w:w="1600" w:type="dxa"/>
            <w:vAlign w:val="bottom"/>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164,578</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20" w:type="dxa"/>
            <w:vAlign w:val="bottom"/>
            <w:tcBorders>
              <w:top w:val="single" w:sz="8" w:color="auto"/>
              <w:bottom w:val="single" w:sz="8" w:color="auto"/>
            </w:tcBorders>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61,214</w:t>
            </w:r>
          </w:p>
        </w:tc>
        <w:tc>
          <w:tcPr>
            <w:tcW w:w="120" w:type="dxa"/>
            <w:vAlign w:val="bottom"/>
          </w:tcPr>
          <w:p>
            <w:pPr>
              <w:spacing w:after="0"/>
              <w:rPr>
                <w:sz w:val="20"/>
                <w:szCs w:val="20"/>
                <w:color w:val="auto"/>
              </w:rPr>
            </w:pPr>
          </w:p>
        </w:tc>
      </w:tr>
      <w:tr>
        <w:trPr>
          <w:trHeight w:val="216"/>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financing activities: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324"/>
        </w:trPr>
        <w:tc>
          <w:tcPr>
            <w:tcW w:w="7020" w:type="dxa"/>
            <w:vAlign w:val="bottom"/>
          </w:tcPr>
          <w:p>
            <w:pPr>
              <w:ind w:left="360"/>
              <w:spacing w:after="0"/>
              <w:rPr>
                <w:sz w:val="20"/>
                <w:szCs w:val="20"/>
                <w:color w:val="auto"/>
              </w:rPr>
            </w:pPr>
            <w:r>
              <w:rPr>
                <w:rFonts w:ascii="Arial" w:cs="Arial" w:eastAsia="Arial" w:hAnsi="Arial"/>
                <w:sz w:val="18"/>
                <w:szCs w:val="18"/>
                <w:color w:val="auto"/>
              </w:rPr>
              <w:t>Proceeds from the exercise of common stock options</w:t>
            </w:r>
          </w:p>
        </w:tc>
        <w:tc>
          <w:tcPr>
            <w:tcW w:w="1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459</w:t>
            </w: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235</w:t>
            </w:r>
          </w:p>
        </w:tc>
      </w:tr>
      <w:tr>
        <w:trPr>
          <w:trHeight w:val="27"/>
        </w:trPr>
        <w:tc>
          <w:tcPr>
            <w:tcW w:w="70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7020" w:type="dxa"/>
            <w:vAlign w:val="bottom"/>
            <w:shd w:val="clear" w:color="auto" w:fill="CCEEFF"/>
          </w:tcPr>
          <w:p>
            <w:pPr>
              <w:ind w:left="900"/>
              <w:spacing w:after="0"/>
              <w:rPr>
                <w:sz w:val="20"/>
                <w:szCs w:val="20"/>
                <w:color w:val="auto"/>
              </w:rPr>
            </w:pPr>
            <w:r>
              <w:rPr>
                <w:rFonts w:ascii="Arial" w:cs="Arial" w:eastAsia="Arial" w:hAnsi="Arial"/>
                <w:sz w:val="18"/>
                <w:szCs w:val="18"/>
                <w:color w:val="auto"/>
              </w:rPr>
              <w:t>Net cash provided by financing activities</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459</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235</w:t>
            </w:r>
          </w:p>
        </w:tc>
      </w:tr>
      <w:tr>
        <w:trPr>
          <w:trHeight w:val="223"/>
        </w:trPr>
        <w:tc>
          <w:tcPr>
            <w:tcW w:w="7020" w:type="dxa"/>
            <w:vAlign w:val="bottom"/>
          </w:tcPr>
          <w:p>
            <w:pPr>
              <w:ind w:left="900"/>
              <w:spacing w:after="0"/>
              <w:rPr>
                <w:sz w:val="20"/>
                <w:szCs w:val="20"/>
                <w:color w:val="auto"/>
              </w:rPr>
            </w:pPr>
            <w:r>
              <w:rPr>
                <w:rFonts w:ascii="Arial" w:cs="Arial" w:eastAsia="Arial" w:hAnsi="Arial"/>
                <w:sz w:val="18"/>
                <w:szCs w:val="18"/>
                <w:color w:val="auto"/>
              </w:rPr>
              <w:t>Net increase in cash and cash equivalents</w:t>
            </w:r>
          </w:p>
        </w:tc>
        <w:tc>
          <w:tcPr>
            <w:tcW w:w="16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62,423</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32,107</w:t>
            </w:r>
          </w:p>
        </w:tc>
        <w:tc>
          <w:tcPr>
            <w:tcW w:w="120" w:type="dxa"/>
            <w:vAlign w:val="bottom"/>
          </w:tcPr>
          <w:p>
            <w:pPr>
              <w:spacing w:after="0"/>
              <w:rPr>
                <w:sz w:val="19"/>
                <w:szCs w:val="19"/>
                <w:color w:val="auto"/>
              </w:rPr>
            </w:pPr>
          </w:p>
        </w:tc>
      </w:tr>
      <w:tr>
        <w:trPr>
          <w:trHeight w:val="216"/>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46,697</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57,379</w:t>
            </w:r>
          </w:p>
        </w:tc>
      </w:tr>
      <w:tr>
        <w:trPr>
          <w:trHeight w:val="223"/>
        </w:trPr>
        <w:tc>
          <w:tcPr>
            <w:tcW w:w="702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109,120</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89,486</w:t>
            </w:r>
          </w:p>
        </w:tc>
        <w:tc>
          <w:tcPr>
            <w:tcW w:w="120" w:type="dxa"/>
            <w:vAlign w:val="bottom"/>
          </w:tcPr>
          <w:p>
            <w:pPr>
              <w:spacing w:after="0"/>
              <w:rPr>
                <w:sz w:val="19"/>
                <w:szCs w:val="19"/>
                <w:color w:val="auto"/>
              </w:rPr>
            </w:pPr>
          </w:p>
        </w:tc>
      </w:tr>
      <w:tr>
        <w:trPr>
          <w:trHeight w:val="20"/>
        </w:trPr>
        <w:tc>
          <w:tcPr>
            <w:tcW w:w="70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Supplemental disclosure of cash flow information:</w:t>
            </w: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30"/>
        </w:trPr>
        <w:tc>
          <w:tcPr>
            <w:tcW w:w="7020" w:type="dxa"/>
            <w:vAlign w:val="bottom"/>
          </w:tcPr>
          <w:p>
            <w:pPr>
              <w:ind w:left="360"/>
              <w:spacing w:after="0"/>
              <w:rPr>
                <w:sz w:val="20"/>
                <w:szCs w:val="20"/>
                <w:color w:val="auto"/>
              </w:rPr>
            </w:pPr>
            <w:r>
              <w:rPr>
                <w:rFonts w:ascii="Arial" w:cs="Arial" w:eastAsia="Arial" w:hAnsi="Arial"/>
                <w:sz w:val="18"/>
                <w:szCs w:val="18"/>
                <w:color w:val="auto"/>
              </w:rPr>
              <w:t>Obtaining a right-of-use asset in exchange for a lease liability</w:t>
            </w:r>
          </w:p>
        </w:tc>
        <w:tc>
          <w:tcPr>
            <w:tcW w:w="1800" w:type="dxa"/>
            <w:vAlign w:val="bottom"/>
            <w:gridSpan w:val="2"/>
          </w:tcPr>
          <w:p>
            <w:pPr>
              <w:jc w:val="right"/>
              <w:ind w:right="19"/>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451</w:t>
            </w:r>
          </w:p>
        </w:tc>
        <w:tc>
          <w:tcPr>
            <w:tcW w:w="36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900</w:t>
            </w:r>
          </w:p>
        </w:tc>
      </w:tr>
    </w:tbl>
    <w:p>
      <w:pPr>
        <w:spacing w:after="0" w:line="18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140"/>
          </w:cols>
          <w:pgMar w:left="320" w:top="486" w:right="4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left="440" w:right="2560"/>
        <w:spacing w:after="0" w:line="275" w:lineRule="auto"/>
        <w:rPr>
          <w:sz w:val="20"/>
          <w:szCs w:val="20"/>
          <w:color w:val="auto"/>
        </w:rPr>
      </w:pPr>
      <w:r>
        <w:rPr>
          <w:rFonts w:ascii="Arial" w:cs="Arial" w:eastAsia="Arial" w:hAnsi="Arial"/>
          <w:sz w:val="18"/>
          <w:szCs w:val="18"/>
          <w:b w:val="1"/>
          <w:bCs w:val="1"/>
          <w:color w:val="auto"/>
        </w:rPr>
        <w:t>MADRIGAL PHARMACEUTICALS, INC. NOTES TO CONDENSED CONSOLIDATED FINANCIAL STATEMENTS (Unaudited)</w:t>
      </w:r>
    </w:p>
    <w:p>
      <w:pPr>
        <w:spacing w:after="0" w:line="390" w:lineRule="exact"/>
        <w:rPr>
          <w:sz w:val="20"/>
          <w:szCs w:val="20"/>
          <w:color w:val="auto"/>
        </w:rPr>
      </w:pPr>
    </w:p>
    <w:p>
      <w:pPr>
        <w:ind w:left="120" w:right="7020" w:hanging="4"/>
        <w:spacing w:after="0" w:line="378" w:lineRule="auto"/>
        <w:tabs>
          <w:tab w:leader="none" w:pos="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Business, and Basis of Presentation Organization and Business</w:t>
      </w:r>
    </w:p>
    <w:p>
      <w:pPr>
        <w:ind w:left="120" w:right="100"/>
        <w:spacing w:after="0" w:line="255" w:lineRule="auto"/>
        <w:rPr>
          <w:sz w:val="20"/>
          <w:szCs w:val="20"/>
          <w:color w:val="auto"/>
        </w:rPr>
      </w:pPr>
      <w:r>
        <w:rPr>
          <w:rFonts w:ascii="Arial" w:cs="Arial" w:eastAsia="Arial" w:hAnsi="Arial"/>
          <w:sz w:val="18"/>
          <w:szCs w:val="18"/>
          <w:color w:val="auto"/>
        </w:rPr>
        <w:t>Madrigal Pharmaceuticals, Inc. (the “Company” or “Madrigal”) is a clinical-stage pharmaceutical company developing novel, high-quality, small-molecule drugs addressing major unmet needs in cardiovascular, metabolic, and liver diseases. The Company’s lead compound, MGL-3196 (resmetirom), is being advanced for non-alcoholic steatohepatitis (“NASH”), a liver disease that commonly affects people with metabolic diseases such as obesity and diabetes, and non-alcoholic fatty liver disease (“NAFLD”). The Company initiated two Phase 3 studies of resmetirom in NASH in 2019. The Company previously completed Phase 2 studies of resmetirom in NASH in May of 2018 and Heterozygous Familial Hypercholesterolemia in February of 2018.</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left="120"/>
        <w:spacing w:after="0" w:line="271" w:lineRule="auto"/>
        <w:rPr>
          <w:sz w:val="20"/>
          <w:szCs w:val="20"/>
          <w:color w:val="auto"/>
        </w:rPr>
      </w:pPr>
      <w:r>
        <w:rPr>
          <w:rFonts w:ascii="Arial" w:cs="Arial" w:eastAsia="Arial" w:hAnsi="Arial"/>
          <w:sz w:val="17"/>
          <w:szCs w:val="17"/>
          <w:color w:val="auto"/>
        </w:rPr>
        <w:t>Certain information and footnote disclosures normally included in financial statements prepared in accordance with accounting principles generally accepted in the United States (“GAAP”) have been condensed or omitted. Accordingly, the unaudited condensed consolidated financial statements do not include all information and footnotes required by GAAP for complete annual financial statements. However, we believe that the disclosures included in these financial statements are adequate to make the information presented not misleading. The unaudited condensed financial statements, in the opinion of management, reflect all adjustments, which include normal recurring adjustments, necessary for a fair statement of such interim results. The interim results are not necessarily indicative of the results that we will have for the full year ending December 31, 2020 or any subsequent period. These unaudited condensed financial statements should be read in conjunction with the audited consolidated financial statements and the notes to those statements for the year ended December 31, 2019.</w:t>
      </w:r>
    </w:p>
    <w:p>
      <w:pPr>
        <w:spacing w:after="0" w:line="282" w:lineRule="exact"/>
        <w:rPr>
          <w:sz w:val="20"/>
          <w:szCs w:val="20"/>
          <w:color w:val="auto"/>
        </w:rPr>
      </w:pPr>
    </w:p>
    <w:p>
      <w:pPr>
        <w:ind w:left="120" w:right="7440" w:hanging="4"/>
        <w:spacing w:after="0" w:line="377" w:lineRule="auto"/>
        <w:tabs>
          <w:tab w:leader="none" w:pos="3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Principle of Consolidation</w:t>
      </w:r>
    </w:p>
    <w:p>
      <w:pPr>
        <w:spacing w:after="0" w:line="2" w:lineRule="exact"/>
        <w:rPr>
          <w:sz w:val="20"/>
          <w:szCs w:val="20"/>
          <w:color w:val="auto"/>
        </w:rPr>
      </w:pPr>
    </w:p>
    <w:p>
      <w:pPr>
        <w:ind w:left="120" w:right="120"/>
        <w:spacing w:after="0" w:line="277" w:lineRule="auto"/>
        <w:rPr>
          <w:sz w:val="20"/>
          <w:szCs w:val="20"/>
          <w:color w:val="auto"/>
        </w:rPr>
      </w:pPr>
      <w:r>
        <w:rPr>
          <w:rFonts w:ascii="Arial" w:cs="Arial" w:eastAsia="Arial" w:hAnsi="Arial"/>
          <w:sz w:val="18"/>
          <w:szCs w:val="18"/>
          <w:color w:val="auto"/>
        </w:rPr>
        <w:t>The consolidated financial statements include the financial statements of the Company and its wholly owned subsidiaries. All significant intercompany balances have been eliminated in consolidation.</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left="120" w:right="140"/>
        <w:spacing w:after="0" w:line="279" w:lineRule="auto"/>
        <w:rPr>
          <w:sz w:val="20"/>
          <w:szCs w:val="20"/>
          <w:color w:val="auto"/>
        </w:rPr>
      </w:pPr>
      <w:r>
        <w:rPr>
          <w:rFonts w:ascii="Arial" w:cs="Arial" w:eastAsia="Arial" w:hAnsi="Arial"/>
          <w:sz w:val="17"/>
          <w:szCs w:val="17"/>
          <w:color w:val="auto"/>
        </w:rPr>
        <w:t>The preparation of financial statements in conformity with GAAP requires management to make estimates and assumptions that affect certain reported amounts of assets and liabilities,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Cash and Cash Equivalents</w:t>
      </w:r>
    </w:p>
    <w:p>
      <w:pPr>
        <w:spacing w:after="0" w:line="121" w:lineRule="exact"/>
        <w:rPr>
          <w:sz w:val="20"/>
          <w:szCs w:val="20"/>
          <w:color w:val="auto"/>
        </w:rPr>
      </w:pPr>
    </w:p>
    <w:p>
      <w:pPr>
        <w:ind w:left="120" w:right="80"/>
        <w:spacing w:after="0" w:line="342" w:lineRule="auto"/>
        <w:rPr>
          <w:sz w:val="20"/>
          <w:szCs w:val="20"/>
          <w:color w:val="auto"/>
        </w:rPr>
      </w:pPr>
      <w:r>
        <w:rPr>
          <w:rFonts w:ascii="Arial" w:cs="Arial" w:eastAsia="Arial" w:hAnsi="Arial"/>
          <w:sz w:val="16"/>
          <w:szCs w:val="16"/>
          <w:color w:val="auto"/>
        </w:rPr>
        <w:t>The Company considers all highly liquid investments with original maturities of three months or less at the date of purchase to be cash equivalents. The Company maintains its cash in bank accounts, the balance of which, at times, exceeds Federal Deposit Insurance Corporation insured limits.</w:t>
      </w:r>
    </w:p>
    <w:p>
      <w:pPr>
        <w:spacing w:after="0" w:line="124" w:lineRule="exact"/>
        <w:rPr>
          <w:sz w:val="20"/>
          <w:szCs w:val="20"/>
          <w:color w:val="auto"/>
        </w:rPr>
      </w:pPr>
    </w:p>
    <w:p>
      <w:pPr>
        <w:ind w:left="120" w:right="120"/>
        <w:spacing w:after="0" w:line="259" w:lineRule="auto"/>
        <w:rPr>
          <w:sz w:val="20"/>
          <w:szCs w:val="20"/>
          <w:color w:val="auto"/>
        </w:rPr>
      </w:pPr>
      <w:r>
        <w:rPr>
          <w:rFonts w:ascii="Arial" w:cs="Arial" w:eastAsia="Arial" w:hAnsi="Arial"/>
          <w:sz w:val="18"/>
          <w:szCs w:val="18"/>
          <w:color w:val="auto"/>
        </w:rPr>
        <w:t>The primary objective of the Company’s investment activities is to preserve its capital for the purpose of funding operations and the Company does not enter into investments for trading or speculative purposes. The Company’s cash is deposited in highly rated financial institutions in the United States. The Company invests in money market funds and high-grade, commercial paper and corporate bonds, which management believes are subject to minimal credit and market risk.</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Marketable Securities</w:t>
      </w:r>
    </w:p>
    <w:p>
      <w:pPr>
        <w:spacing w:after="0" w:line="121" w:lineRule="exact"/>
        <w:rPr>
          <w:sz w:val="20"/>
          <w:szCs w:val="20"/>
          <w:color w:val="auto"/>
        </w:rPr>
      </w:pPr>
    </w:p>
    <w:p>
      <w:pPr>
        <w:ind w:left="120" w:right="120"/>
        <w:spacing w:after="0" w:line="263" w:lineRule="auto"/>
        <w:rPr>
          <w:sz w:val="20"/>
          <w:szCs w:val="20"/>
          <w:color w:val="auto"/>
        </w:rPr>
      </w:pPr>
      <w:r>
        <w:rPr>
          <w:rFonts w:ascii="Arial" w:cs="Arial" w:eastAsia="Arial" w:hAnsi="Arial"/>
          <w:sz w:val="18"/>
          <w:szCs w:val="18"/>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84" w:lineRule="exact"/>
        <w:rPr>
          <w:sz w:val="20"/>
          <w:szCs w:val="20"/>
          <w:color w:val="auto"/>
        </w:rPr>
      </w:pPr>
    </w:p>
    <w:p>
      <w:pPr>
        <w:ind w:left="120" w:right="220"/>
        <w:spacing w:after="0" w:line="263" w:lineRule="auto"/>
        <w:rPr>
          <w:sz w:val="20"/>
          <w:szCs w:val="20"/>
          <w:color w:val="auto"/>
        </w:rPr>
      </w:pPr>
      <w:r>
        <w:rPr>
          <w:rFonts w:ascii="Arial" w:cs="Arial" w:eastAsia="Arial" w:hAnsi="Arial"/>
          <w:sz w:val="18"/>
          <w:szCs w:val="18"/>
          <w:color w:val="auto"/>
        </w:rPr>
        <w:t>The Company adjusts the cost of available-for-sale debt securities for amortization of premiums and accretion of discounts to maturity. The Company includes such amortization and accretion as a component of interest income, net. Realized gains and losses and declines in value, if any, that the Company judges to be other-than-temporary on available-for-sale securities are reported as a</w:t>
      </w:r>
    </w:p>
    <w:p>
      <w:pPr>
        <w:sectPr>
          <w:pgSz w:w="11900" w:h="16838" w:orient="portrait"/>
          <w:cols w:equalWidth="0" w:num="1">
            <w:col w:w="11120"/>
          </w:cols>
          <w:pgMar w:left="320" w:top="486" w:right="459" w:bottom="1440" w:gutter="0" w:footer="0" w:header="0"/>
        </w:sectPr>
      </w:pP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3"/>
          <w:szCs w:val="13"/>
          <w:color w:val="auto"/>
        </w:rPr>
        <w:t>8</w:t>
      </w:r>
    </w:p>
    <w:p>
      <w:pPr>
        <w:sectPr>
          <w:pgSz w:w="11900" w:h="16838" w:orient="portrait"/>
          <w:cols w:equalWidth="0" w:num="1">
            <w:col w:w="11120"/>
          </w:cols>
          <w:pgMar w:left="320" w:top="486" w:right="459" w:bottom="1440" w:gutter="0" w:footer="0" w:header="0"/>
          <w:type w:val="continuous"/>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60"/>
        <w:spacing w:after="0" w:line="279" w:lineRule="auto"/>
        <w:rPr>
          <w:sz w:val="20"/>
          <w:szCs w:val="20"/>
          <w:color w:val="auto"/>
        </w:rPr>
      </w:pPr>
      <w:r>
        <w:rPr>
          <w:rFonts w:ascii="Arial" w:cs="Arial" w:eastAsia="Arial" w:hAnsi="Arial"/>
          <w:sz w:val="17"/>
          <w:szCs w:val="17"/>
          <w:color w:val="auto"/>
        </w:rPr>
        <w:t>component of interest income, net. To determine whether an other-than-temporary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nine months ended September 30, 2020 and 2019, the Company determined it did not have any securities that were other-than-temporarily impaired.</w:t>
      </w:r>
    </w:p>
    <w:p>
      <w:pPr>
        <w:spacing w:after="0" w:line="171" w:lineRule="exact"/>
        <w:rPr>
          <w:sz w:val="20"/>
          <w:szCs w:val="20"/>
          <w:color w:val="auto"/>
        </w:rPr>
      </w:pPr>
    </w:p>
    <w:p>
      <w:pPr>
        <w:ind w:left="120" w:right="120"/>
        <w:spacing w:after="0" w:line="301" w:lineRule="auto"/>
        <w:rPr>
          <w:sz w:val="20"/>
          <w:szCs w:val="20"/>
          <w:color w:val="auto"/>
        </w:rPr>
      </w:pPr>
      <w:r>
        <w:rPr>
          <w:rFonts w:ascii="Arial" w:cs="Arial" w:eastAsia="Arial" w:hAnsi="Arial"/>
          <w:sz w:val="16"/>
          <w:szCs w:val="16"/>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nine months ended September 30, 2020 and 2019, the Company did not have any realized gains or losses on marketable securities.</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Fair Value of Financial Instruments</w:t>
      </w:r>
    </w:p>
    <w:p>
      <w:pPr>
        <w:spacing w:after="0" w:line="121" w:lineRule="exact"/>
        <w:rPr>
          <w:sz w:val="20"/>
          <w:szCs w:val="20"/>
          <w:color w:val="auto"/>
        </w:rPr>
      </w:pPr>
    </w:p>
    <w:p>
      <w:pPr>
        <w:jc w:val="both"/>
        <w:ind w:left="120" w:right="120"/>
        <w:spacing w:after="0" w:line="311" w:lineRule="auto"/>
        <w:rPr>
          <w:sz w:val="20"/>
          <w:szCs w:val="20"/>
          <w:color w:val="auto"/>
        </w:rPr>
      </w:pPr>
      <w:r>
        <w:rPr>
          <w:rFonts w:ascii="Arial" w:cs="Arial" w:eastAsia="Arial" w:hAnsi="Arial"/>
          <w:sz w:val="16"/>
          <w:szCs w:val="16"/>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4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Level 1—quoted prices in active markets for identical assets and liabilities.</w:t>
      </w:r>
    </w:p>
    <w:p>
      <w:pPr>
        <w:spacing w:after="0" w:line="117" w:lineRule="exact"/>
        <w:rPr>
          <w:sz w:val="20"/>
          <w:szCs w:val="20"/>
          <w:color w:val="auto"/>
        </w:rPr>
      </w:pPr>
    </w:p>
    <w:p>
      <w:pPr>
        <w:ind w:left="560" w:right="340"/>
        <w:spacing w:after="0" w:line="277" w:lineRule="auto"/>
        <w:rPr>
          <w:sz w:val="20"/>
          <w:szCs w:val="20"/>
          <w:color w:val="auto"/>
        </w:rPr>
      </w:pPr>
      <w:r>
        <w:rPr>
          <w:rFonts w:ascii="Arial" w:cs="Arial" w:eastAsia="Arial" w:hAnsi="Arial"/>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62" w:lineRule="exact"/>
        <w:rPr>
          <w:sz w:val="20"/>
          <w:szCs w:val="20"/>
          <w:color w:val="auto"/>
        </w:rPr>
      </w:pPr>
    </w:p>
    <w:p>
      <w:pPr>
        <w:ind w:left="560" w:right="300"/>
        <w:spacing w:after="0" w:line="277" w:lineRule="auto"/>
        <w:rPr>
          <w:sz w:val="20"/>
          <w:szCs w:val="20"/>
          <w:color w:val="auto"/>
        </w:rPr>
      </w:pPr>
      <w:r>
        <w:rPr>
          <w:rFonts w:ascii="Arial" w:cs="Arial" w:eastAsia="Arial" w:hAnsi="Arial"/>
          <w:sz w:val="18"/>
          <w:szCs w:val="18"/>
          <w:color w:val="auto"/>
        </w:rPr>
        <w:t>Level 3—unobservable inputs that reflect the Company’s own assumptions about the assumptions market participants would use in pricing the asset or liability.</w:t>
      </w:r>
    </w:p>
    <w:p>
      <w:pPr>
        <w:spacing w:after="0" w:line="170" w:lineRule="exact"/>
        <w:rPr>
          <w:sz w:val="20"/>
          <w:szCs w:val="20"/>
          <w:color w:val="auto"/>
        </w:rPr>
      </w:pPr>
    </w:p>
    <w:p>
      <w:pPr>
        <w:ind w:left="120"/>
        <w:spacing w:after="0" w:line="275" w:lineRule="auto"/>
        <w:rPr>
          <w:sz w:val="20"/>
          <w:szCs w:val="20"/>
          <w:color w:val="auto"/>
        </w:rPr>
      </w:pPr>
      <w:r>
        <w:rPr>
          <w:rFonts w:ascii="Arial" w:cs="Arial" w:eastAsia="Arial" w:hAnsi="Arial"/>
          <w:sz w:val="17"/>
          <w:szCs w:val="17"/>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third-party pricing sources. The pricing services utilize industry standard valuation models, including both income and market 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w:t>
      </w:r>
    </w:p>
    <w:p>
      <w:pPr>
        <w:spacing w:after="0" w:line="176" w:lineRule="exact"/>
        <w:rPr>
          <w:sz w:val="20"/>
          <w:szCs w:val="20"/>
          <w:color w:val="auto"/>
        </w:rPr>
      </w:pPr>
    </w:p>
    <w:p>
      <w:pPr>
        <w:ind w:left="120" w:right="160"/>
        <w:spacing w:after="0" w:line="275" w:lineRule="auto"/>
        <w:rPr>
          <w:sz w:val="20"/>
          <w:szCs w:val="20"/>
          <w:color w:val="auto"/>
        </w:rPr>
      </w:pPr>
      <w:r>
        <w:rPr>
          <w:rFonts w:ascii="Arial" w:cs="Arial" w:eastAsia="Arial" w:hAnsi="Arial"/>
          <w:sz w:val="17"/>
          <w:szCs w:val="17"/>
          <w:color w:val="auto"/>
        </w:rPr>
        <w:t>As of September 30, 2020, the Company’s financial assets valued based on Level 1 inputs consisted of cash and cash equivalents in a money market fund, its financial assets valued based on Level 2 inputs consisted of high-grade corporate and government agency bonds and commercial paper, and it had no financial assets valued based on Level 3 inputs. During the nine months ended September 30, 2020 and 2019, the Company did not have any transfers of financial assets between Levels 1 and 2. As of September 30, 2020 and December 31, 2019, the Company did not have any financial liabilities that were recorded at fair value on a recurring basis on the balance sheet.</w:t>
      </w:r>
    </w:p>
    <w:p>
      <w:pPr>
        <w:spacing w:after="0" w:line="2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Research and Development Costs</w:t>
      </w:r>
    </w:p>
    <w:p>
      <w:pPr>
        <w:spacing w:after="0" w:line="121" w:lineRule="exact"/>
        <w:rPr>
          <w:sz w:val="20"/>
          <w:szCs w:val="20"/>
          <w:color w:val="auto"/>
        </w:rPr>
      </w:pPr>
    </w:p>
    <w:p>
      <w:pPr>
        <w:ind w:left="120" w:right="40"/>
        <w:spacing w:after="0" w:line="271" w:lineRule="auto"/>
        <w:rPr>
          <w:sz w:val="20"/>
          <w:szCs w:val="20"/>
          <w:color w:val="auto"/>
        </w:rPr>
      </w:pPr>
      <w:r>
        <w:rPr>
          <w:rFonts w:ascii="Arial" w:cs="Arial" w:eastAsia="Arial" w:hAnsi="Arial"/>
          <w:sz w:val="17"/>
          <w:szCs w:val="17"/>
          <w:color w:val="auto"/>
        </w:rPr>
        <w:t>Research and development costs are expensed as incurred. Research and development costs are comprised of costs incurred in performing research and development activities, including internal costs (including stock-based compensation), costs for consultants, milestone payments under licensing agreements, and other costs associated with the Company’s preclinical and clinical programs. In particular, the Company has conducted safety studies in animals, optimized and implemented the manufacturing of our drug, and conducted Phase 1-3 clinical trials, all of which are considered research and development expenditures. Management uses significant judgment in estimating the amount of research and development costs recognized in each reporting period. Management analyzes and estimates the progress of its preclinical studies and clinical trials, completion of milestone events per underlying agreements, invoices received and contracted costs when estimating the research and development costs to accrue in each reporting period. Actual results could differ from the Company’s estimates.</w:t>
      </w:r>
    </w:p>
    <w:p>
      <w:pPr>
        <w:spacing w:after="0" w:line="28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Patents</w:t>
      </w:r>
    </w:p>
    <w:p>
      <w:pPr>
        <w:spacing w:after="0" w:line="121" w:lineRule="exact"/>
        <w:rPr>
          <w:sz w:val="20"/>
          <w:szCs w:val="20"/>
          <w:color w:val="auto"/>
        </w:rPr>
      </w:pPr>
    </w:p>
    <w:p>
      <w:pPr>
        <w:ind w:left="120" w:right="360"/>
        <w:spacing w:after="0" w:line="277" w:lineRule="auto"/>
        <w:rPr>
          <w:sz w:val="20"/>
          <w:szCs w:val="20"/>
          <w:color w:val="auto"/>
        </w:rPr>
      </w:pPr>
      <w:r>
        <w:rPr>
          <w:rFonts w:ascii="Arial" w:cs="Arial" w:eastAsia="Arial" w:hAnsi="Arial"/>
          <w:sz w:val="18"/>
          <w:szCs w:val="18"/>
          <w:color w:val="auto"/>
        </w:rPr>
        <w:t>Costs to secure and defend patents are expensed as incurred and are classified as general and administrative expense in the Company’s consolidated statements of operations.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Stock-Based Compensation</w:t>
      </w:r>
    </w:p>
    <w:p>
      <w:pPr>
        <w:spacing w:after="0" w:line="121" w:lineRule="exact"/>
        <w:rPr>
          <w:sz w:val="20"/>
          <w:szCs w:val="20"/>
          <w:color w:val="auto"/>
        </w:rPr>
      </w:pPr>
    </w:p>
    <w:p>
      <w:pPr>
        <w:ind w:left="120" w:right="400"/>
        <w:spacing w:after="0" w:line="263" w:lineRule="auto"/>
        <w:rPr>
          <w:sz w:val="20"/>
          <w:szCs w:val="20"/>
          <w:color w:val="auto"/>
        </w:rPr>
      </w:pPr>
      <w:r>
        <w:rPr>
          <w:rFonts w:ascii="Arial" w:cs="Arial" w:eastAsia="Arial" w:hAnsi="Arial"/>
          <w:sz w:val="18"/>
          <w:szCs w:val="18"/>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w:t>
      </w:r>
    </w:p>
    <w:p>
      <w:pPr>
        <w:spacing w:after="0" w:line="7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20"/>
          </w:cols>
          <w:pgMar w:left="320" w:top="486" w:right="4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80"/>
        <w:spacing w:after="0" w:line="275" w:lineRule="auto"/>
        <w:rPr>
          <w:sz w:val="20"/>
          <w:szCs w:val="20"/>
          <w:color w:val="auto"/>
        </w:rPr>
      </w:pPr>
      <w:r>
        <w:rPr>
          <w:rFonts w:ascii="Arial" w:cs="Arial" w:eastAsia="Arial" w:hAnsi="Arial"/>
          <w:sz w:val="17"/>
          <w:szCs w:val="17"/>
          <w:color w:val="auto"/>
        </w:rPr>
        <w:t>for risk-free interest rate, dividend yield, volatility and expected lives of the options. The expected lives for options granted represent the period of time that options granted are expected to be outstanding. The Company uses the simplified method for determining the expected lives of options. Expected volatility is based upon an industry estimate or blended rate including the Company’s historical trading activity.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76" w:lineRule="exact"/>
        <w:rPr>
          <w:sz w:val="20"/>
          <w:szCs w:val="20"/>
          <w:color w:val="auto"/>
        </w:rPr>
      </w:pPr>
    </w:p>
    <w:p>
      <w:pPr>
        <w:ind w:left="120" w:right="60"/>
        <w:spacing w:after="0" w:line="254" w:lineRule="auto"/>
        <w:rPr>
          <w:sz w:val="20"/>
          <w:szCs w:val="20"/>
          <w:color w:val="auto"/>
        </w:rPr>
      </w:pPr>
      <w:r>
        <w:rPr>
          <w:rFonts w:ascii="Arial" w:cs="Arial" w:eastAsia="Arial" w:hAnsi="Arial"/>
          <w:sz w:val="18"/>
          <w:szCs w:val="18"/>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29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left="120" w:right="60"/>
        <w:spacing w:after="0" w:line="259" w:lineRule="auto"/>
        <w:rPr>
          <w:sz w:val="20"/>
          <w:szCs w:val="20"/>
          <w:color w:val="auto"/>
        </w:rPr>
      </w:pPr>
      <w:r>
        <w:rPr>
          <w:rFonts w:ascii="Arial" w:cs="Arial" w:eastAsia="Arial" w:hAnsi="Arial"/>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Comprehensive Loss</w:t>
      </w:r>
    </w:p>
    <w:p>
      <w:pPr>
        <w:spacing w:after="0" w:line="121" w:lineRule="exact"/>
        <w:rPr>
          <w:sz w:val="20"/>
          <w:szCs w:val="20"/>
          <w:color w:val="auto"/>
        </w:rPr>
      </w:pPr>
    </w:p>
    <w:p>
      <w:pPr>
        <w:ind w:left="120" w:right="80"/>
        <w:spacing w:after="0" w:line="263" w:lineRule="auto"/>
        <w:rPr>
          <w:sz w:val="20"/>
          <w:szCs w:val="20"/>
          <w:color w:val="auto"/>
        </w:rPr>
      </w:pPr>
      <w:r>
        <w:rPr>
          <w:rFonts w:ascii="Arial" w:cs="Arial" w:eastAsia="Arial" w:hAnsi="Arial"/>
          <w:sz w:val="18"/>
          <w:szCs w:val="18"/>
          <w:color w:val="auto"/>
        </w:rPr>
        <w:t>Comprehensive loss is defined as the change in equity of a business enterprise during a period from transactions and other events and circumstances from non-owner sources. Changes in unrealized gains and losses on marketable securities represent the only difference between the Company’s net loss and comprehensive loss.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Basic and Diluted Loss Per Common Share</w:t>
      </w:r>
    </w:p>
    <w:p>
      <w:pPr>
        <w:spacing w:after="0" w:line="121" w:lineRule="exact"/>
        <w:rPr>
          <w:sz w:val="20"/>
          <w:szCs w:val="20"/>
          <w:color w:val="auto"/>
        </w:rPr>
      </w:pPr>
    </w:p>
    <w:p>
      <w:pPr>
        <w:ind w:left="120"/>
        <w:spacing w:after="0" w:line="255" w:lineRule="auto"/>
        <w:rPr>
          <w:sz w:val="20"/>
          <w:szCs w:val="20"/>
          <w:color w:val="auto"/>
        </w:rPr>
      </w:pPr>
      <w:r>
        <w:rPr>
          <w:rFonts w:ascii="Arial" w:cs="Arial" w:eastAsia="Arial" w:hAnsi="Arial"/>
          <w:sz w:val="18"/>
          <w:szCs w:val="18"/>
          <w:color w:val="auto"/>
        </w:rPr>
        <w:t>Basic net loss per share is computed using the weighted average number of common shares outstanding during the period, excluding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nine months ended September 30, 2020 and 2019, diluted net loss per share is the same as basic net loss per share because the inclusion of weighted average shares of unvested restricted common stock, common stock issuable upon the exercise of stock options, and common stock issuable upon the conversion of preferred stock would be anti-dilutive.</w:t>
      </w:r>
    </w:p>
    <w:p>
      <w:pPr>
        <w:spacing w:after="0" w:line="192"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The following table summarizes outstanding securities not included in the computation of diluted net loss per common share, as their inclusion would be anti-dilutive:</w:t>
      </w:r>
    </w:p>
    <w:p>
      <w:pPr>
        <w:spacing w:after="0" w:line="189" w:lineRule="exact"/>
        <w:rPr>
          <w:sz w:val="20"/>
          <w:szCs w:val="20"/>
          <w:color w:val="auto"/>
        </w:rPr>
      </w:pPr>
    </w:p>
    <w:tbl>
      <w:tblPr>
        <w:tblLayout w:type="fixed"/>
        <w:tblInd w:w="1440" w:type="dxa"/>
        <w:tblCellMar>
          <w:top w:w="0" w:type="dxa"/>
          <w:left w:w="0" w:type="dxa"/>
          <w:bottom w:w="0" w:type="dxa"/>
          <w:right w:w="0" w:type="dxa"/>
        </w:tblCellMar>
      </w:tblPr>
      <w:tr>
        <w:trPr>
          <w:trHeight w:val="171"/>
        </w:trPr>
        <w:tc>
          <w:tcPr>
            <w:tcW w:w="6120" w:type="dxa"/>
            <w:vAlign w:val="bottom"/>
          </w:tcPr>
          <w:p>
            <w:pPr>
              <w:spacing w:after="0"/>
              <w:rPr>
                <w:sz w:val="14"/>
                <w:szCs w:val="14"/>
                <w:color w:val="auto"/>
              </w:rPr>
            </w:pPr>
          </w:p>
        </w:tc>
        <w:tc>
          <w:tcPr>
            <w:tcW w:w="2240" w:type="dxa"/>
            <w:vAlign w:val="bottom"/>
            <w:gridSpan w:val="4"/>
          </w:tcPr>
          <w:p>
            <w:pPr>
              <w:ind w:left="20"/>
              <w:spacing w:after="0"/>
              <w:rPr>
                <w:sz w:val="20"/>
                <w:szCs w:val="20"/>
                <w:color w:val="auto"/>
              </w:rPr>
            </w:pPr>
            <w:r>
              <w:rPr>
                <w:rFonts w:ascii="Arial" w:cs="Arial" w:eastAsia="Arial" w:hAnsi="Arial"/>
                <w:sz w:val="14"/>
                <w:szCs w:val="14"/>
                <w:b w:val="1"/>
                <w:bCs w:val="1"/>
                <w:color w:val="auto"/>
                <w:w w:val="95"/>
              </w:rPr>
              <w:t>Nine Months Ended September 30,</w:t>
            </w:r>
          </w:p>
        </w:tc>
      </w:tr>
      <w:tr>
        <w:trPr>
          <w:trHeight w:val="142"/>
        </w:trPr>
        <w:tc>
          <w:tcPr>
            <w:tcW w:w="6120" w:type="dxa"/>
            <w:vAlign w:val="bottom"/>
            <w:tcBorders>
              <w:bottom w:val="single" w:sz="8" w:color="CCEEFF"/>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259"/>
              <w:spacing w:after="0" w:line="142" w:lineRule="exact"/>
              <w:rPr>
                <w:sz w:val="20"/>
                <w:szCs w:val="20"/>
                <w:color w:val="auto"/>
              </w:rPr>
            </w:pPr>
            <w:r>
              <w:rPr>
                <w:rFonts w:ascii="Arial" w:cs="Arial" w:eastAsia="Arial" w:hAnsi="Arial"/>
                <w:sz w:val="14"/>
                <w:szCs w:val="14"/>
                <w:b w:val="1"/>
                <w:bCs w:val="1"/>
                <w:color w:val="auto"/>
              </w:rPr>
              <w:t>2020</w:t>
            </w:r>
          </w:p>
        </w:tc>
        <w:tc>
          <w:tcPr>
            <w:tcW w:w="240" w:type="dxa"/>
            <w:vAlign w:val="bottom"/>
            <w:tcBorders>
              <w:top w:val="single" w:sz="8" w:color="auto"/>
              <w:bottom w:val="single" w:sz="8" w:color="CCEEFF"/>
            </w:tcBorders>
          </w:tcPr>
          <w:p>
            <w:pPr>
              <w:spacing w:after="0"/>
              <w:rPr>
                <w:sz w:val="12"/>
                <w:szCs w:val="12"/>
                <w:color w:val="auto"/>
              </w:rPr>
            </w:pPr>
          </w:p>
        </w:tc>
        <w:tc>
          <w:tcPr>
            <w:tcW w:w="1000" w:type="dxa"/>
            <w:vAlign w:val="bottom"/>
            <w:tcBorders>
              <w:top w:val="single" w:sz="8" w:color="auto"/>
              <w:bottom w:val="single" w:sz="8" w:color="auto"/>
            </w:tcBorders>
          </w:tcPr>
          <w:p>
            <w:pPr>
              <w:jc w:val="right"/>
              <w:ind w:right="276"/>
              <w:spacing w:after="0" w:line="142" w:lineRule="exact"/>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CCEEFF"/>
            </w:tcBorders>
          </w:tcPr>
          <w:p>
            <w:pPr>
              <w:spacing w:after="0"/>
              <w:rPr>
                <w:sz w:val="12"/>
                <w:szCs w:val="12"/>
                <w:color w:val="auto"/>
              </w:rPr>
            </w:pPr>
          </w:p>
        </w:tc>
      </w:tr>
      <w:tr>
        <w:trPr>
          <w:trHeight w:val="209"/>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Common stock options</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1,810,753</w:t>
            </w: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1,461,237</w:t>
            </w:r>
          </w:p>
        </w:tc>
        <w:tc>
          <w:tcPr>
            <w:tcW w:w="40" w:type="dxa"/>
            <w:vAlign w:val="bottom"/>
            <w:shd w:val="clear" w:color="auto" w:fill="CCEEFF"/>
          </w:tcPr>
          <w:p>
            <w:pPr>
              <w:spacing w:after="0"/>
              <w:rPr>
                <w:sz w:val="18"/>
                <w:szCs w:val="18"/>
                <w:color w:val="auto"/>
              </w:rPr>
            </w:pPr>
          </w:p>
        </w:tc>
      </w:tr>
      <w:tr>
        <w:trPr>
          <w:trHeight w:val="230"/>
        </w:trPr>
        <w:tc>
          <w:tcPr>
            <w:tcW w:w="6120" w:type="dxa"/>
            <w:vAlign w:val="bottom"/>
          </w:tcPr>
          <w:p>
            <w:pPr>
              <w:spacing w:after="0"/>
              <w:rPr>
                <w:sz w:val="20"/>
                <w:szCs w:val="20"/>
                <w:color w:val="auto"/>
              </w:rPr>
            </w:pPr>
            <w:r>
              <w:rPr>
                <w:rFonts w:ascii="Arial" w:cs="Arial" w:eastAsia="Arial" w:hAnsi="Arial"/>
                <w:sz w:val="18"/>
                <w:szCs w:val="18"/>
                <w:color w:val="auto"/>
              </w:rPr>
              <w:t>Preferred stock</w:t>
            </w: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1,969,797</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1,969,797</w:t>
            </w:r>
          </w:p>
        </w:tc>
      </w:tr>
    </w:tbl>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Recent Accounting Pronouncements</w:t>
      </w:r>
    </w:p>
    <w:p>
      <w:pPr>
        <w:spacing w:after="0" w:line="121" w:lineRule="exact"/>
        <w:rPr>
          <w:sz w:val="20"/>
          <w:szCs w:val="20"/>
          <w:color w:val="auto"/>
        </w:rPr>
      </w:pPr>
    </w:p>
    <w:p>
      <w:pPr>
        <w:ind w:left="120" w:right="100"/>
        <w:spacing w:after="0" w:line="301" w:lineRule="auto"/>
        <w:rPr>
          <w:sz w:val="20"/>
          <w:szCs w:val="20"/>
          <w:color w:val="auto"/>
        </w:rPr>
      </w:pPr>
      <w:r>
        <w:rPr>
          <w:rFonts w:ascii="Arial" w:cs="Arial" w:eastAsia="Arial" w:hAnsi="Arial"/>
          <w:sz w:val="16"/>
          <w:szCs w:val="16"/>
          <w:color w:val="auto"/>
        </w:rPr>
        <w:t>In June 2016, the FASB issued ASU 2016-13, “Financial Instruments—Credit Losses (Topic 326): Measurement of Credit Losses on Financial Instruments,” which requires all or a portion of the amortized cost basis of a financial asset to be written off when it is deemed uncollectible. For public business entities that do not qualify as a smaller reporting company, ASU 2016-13 is effective for annual and interim reporting periods beginning after December 15, 2019. The Company adopted ASU 2016-13 effective January 1, 2020. There was no significant impact from the adoption.</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3. Liquidity and Uncertainties</w:t>
      </w:r>
    </w:p>
    <w:p>
      <w:pPr>
        <w:spacing w:after="0" w:line="121" w:lineRule="exact"/>
        <w:rPr>
          <w:sz w:val="20"/>
          <w:szCs w:val="20"/>
          <w:color w:val="auto"/>
        </w:rPr>
      </w:pPr>
    </w:p>
    <w:p>
      <w:pPr>
        <w:ind w:left="120" w:right="20"/>
        <w:spacing w:after="0" w:line="279" w:lineRule="auto"/>
        <w:rPr>
          <w:sz w:val="20"/>
          <w:szCs w:val="20"/>
          <w:color w:val="auto"/>
        </w:rPr>
      </w:pPr>
      <w:r>
        <w:rPr>
          <w:rFonts w:ascii="Arial" w:cs="Arial" w:eastAsia="Arial" w:hAnsi="Arial"/>
          <w:sz w:val="17"/>
          <w:szCs w:val="17"/>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and other government regulations.</w:t>
      </w:r>
    </w:p>
    <w:p>
      <w:pPr>
        <w:spacing w:after="0" w:line="171" w:lineRule="exact"/>
        <w:rPr>
          <w:sz w:val="20"/>
          <w:szCs w:val="20"/>
          <w:color w:val="auto"/>
        </w:rPr>
      </w:pPr>
    </w:p>
    <w:p>
      <w:pPr>
        <w:ind w:left="120" w:right="180"/>
        <w:spacing w:after="0" w:line="259" w:lineRule="auto"/>
        <w:rPr>
          <w:sz w:val="20"/>
          <w:szCs w:val="20"/>
          <w:color w:val="auto"/>
        </w:rPr>
      </w:pPr>
      <w:r>
        <w:rPr>
          <w:rFonts w:ascii="Arial" w:cs="Arial" w:eastAsia="Arial" w:hAnsi="Arial"/>
          <w:sz w:val="18"/>
          <w:szCs w:val="18"/>
          <w:color w:val="auto"/>
        </w:rPr>
        <w:t>The Company has incurred losses since inception, including approximately $143.1 million for the nine months ended September 30, 2020, resulting in an accumulated deficit of approximately $366.3 million as of September 30, 2020. Management expects to incur losses for the foreseeable future. To date, the Company has funded its operations primarily through proceeds from sales of the Company’s common and Series A Convertible Preferred Stock.</w:t>
      </w:r>
    </w:p>
    <w:p>
      <w:pPr>
        <w:sectPr>
          <w:pgSz w:w="11900" w:h="16838" w:orient="portrait"/>
          <w:cols w:equalWidth="0" w:num="1">
            <w:col w:w="11120"/>
          </w:cols>
          <w:pgMar w:left="320" w:top="486" w:right="459" w:bottom="1440" w:gutter="0" w:footer="0" w:header="0"/>
        </w:sectPr>
      </w:pPr>
    </w:p>
    <w:p>
      <w:pPr>
        <w:spacing w:after="0" w:line="119"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120"/>
          </w:cols>
          <w:pgMar w:left="320" w:top="486" w:right="459" w:bottom="1440" w:gutter="0" w:footer="0" w:header="0"/>
          <w:type w:val="continuous"/>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93" w:lineRule="auto"/>
        <w:rPr>
          <w:sz w:val="20"/>
          <w:szCs w:val="20"/>
          <w:color w:val="auto"/>
        </w:rPr>
      </w:pPr>
      <w:r>
        <w:rPr>
          <w:rFonts w:ascii="Arial" w:cs="Arial" w:eastAsia="Arial" w:hAnsi="Arial"/>
          <w:sz w:val="16"/>
          <w:szCs w:val="16"/>
          <w:color w:val="auto"/>
        </w:rPr>
        <w:t>The Company believes that its cash, cash equivalents and marketable securities at September 30, 2020 will be sufficient to fund operations past one year from the issuance of these financial statements. To meet its future capital needs, the Company intends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has the ability to delay certain research activities and related clinical expenses if necessary due to liquidity concerns until a date when those concerns are relieved.</w:t>
      </w:r>
    </w:p>
    <w:p>
      <w:pPr>
        <w:spacing w:after="0" w:line="26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4. Cash, Cash Equivalents and Marketable Securities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6"/>
          <w:szCs w:val="16"/>
          <w:color w:val="auto"/>
        </w:rPr>
        <w:t>A summary of cash, cash equivalents and available-for-sale marketable securities held by the Company as of September 30, 2020 and December 31,</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2019 is as follows (in thousands):</w:t>
      </w:r>
    </w:p>
    <w:p>
      <w:pPr>
        <w:spacing w:after="0" w:line="229"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5"/>
          </w:tcPr>
          <w:p>
            <w:pPr>
              <w:ind w:left="120"/>
              <w:spacing w:after="0"/>
              <w:rPr>
                <w:sz w:val="20"/>
                <w:szCs w:val="20"/>
                <w:color w:val="auto"/>
              </w:rPr>
            </w:pPr>
            <w:r>
              <w:rPr>
                <w:rFonts w:ascii="Arial" w:cs="Arial" w:eastAsia="Arial" w:hAnsi="Arial"/>
                <w:sz w:val="14"/>
                <w:szCs w:val="14"/>
                <w:b w:val="1"/>
                <w:bCs w:val="1"/>
                <w:color w:val="auto"/>
              </w:rPr>
              <w:t>September 30, 2020</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gridSpan w:val="2"/>
            <w:vMerge w:val="restart"/>
          </w:tcPr>
          <w:p>
            <w:pPr>
              <w:jc w:val="right"/>
              <w:ind w:right="580"/>
              <w:spacing w:after="0"/>
              <w:rPr>
                <w:sz w:val="20"/>
                <w:szCs w:val="20"/>
                <w:color w:val="auto"/>
              </w:rPr>
            </w:pPr>
            <w:r>
              <w:rPr>
                <w:rFonts w:ascii="Arial" w:cs="Arial" w:eastAsia="Arial" w:hAnsi="Arial"/>
                <w:sz w:val="14"/>
                <w:szCs w:val="14"/>
                <w:b w:val="1"/>
                <w:bCs w:val="1"/>
                <w:color w:val="auto"/>
              </w:rPr>
              <w:t>Cost</w:t>
            </w:r>
          </w:p>
        </w:tc>
        <w:tc>
          <w:tcPr>
            <w:tcW w:w="102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90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jc w:val="center"/>
              <w:ind w:right="34"/>
              <w:spacing w:after="0" w:line="119" w:lineRule="exact"/>
              <w:rPr>
                <w:sz w:val="20"/>
                <w:szCs w:val="20"/>
                <w:color w:val="auto"/>
              </w:rPr>
            </w:pPr>
            <w:r>
              <w:rPr>
                <w:rFonts w:ascii="Arial" w:cs="Arial" w:eastAsia="Arial" w:hAnsi="Arial"/>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gridSpan w:val="2"/>
          </w:tcPr>
          <w:p>
            <w:pPr>
              <w:ind w:left="40"/>
              <w:spacing w:after="0"/>
              <w:rPr>
                <w:sz w:val="20"/>
                <w:szCs w:val="20"/>
                <w:color w:val="auto"/>
              </w:rPr>
            </w:pPr>
            <w:r>
              <w:rPr>
                <w:rFonts w:ascii="Arial" w:cs="Arial" w:eastAsia="Arial" w:hAnsi="Arial"/>
                <w:sz w:val="14"/>
                <w:szCs w:val="14"/>
                <w:b w:val="1"/>
                <w:bCs w:val="1"/>
                <w:color w:val="auto"/>
              </w:rPr>
              <w:t>gains</w:t>
            </w:r>
          </w:p>
        </w:tc>
        <w:tc>
          <w:tcPr>
            <w:tcW w:w="140" w:type="dxa"/>
            <w:vAlign w:val="bottom"/>
          </w:tcPr>
          <w:p>
            <w:pPr>
              <w:spacing w:after="0"/>
              <w:rPr>
                <w:sz w:val="14"/>
                <w:szCs w:val="14"/>
                <w:color w:val="auto"/>
              </w:rPr>
            </w:pPr>
          </w:p>
        </w:tc>
        <w:tc>
          <w:tcPr>
            <w:tcW w:w="7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82"/>
              </w:rPr>
              <w:t>losses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4"/>
              </w:rPr>
              <w:t>value</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18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Cash and cash equivalents:</w:t>
            </w:r>
          </w:p>
        </w:tc>
        <w:tc>
          <w:tcPr>
            <w:tcW w:w="12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Cash (Level 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2,062</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2,062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9"/>
              </w:rPr>
              <w:t>107,058</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2"/>
              </w:rPr>
              <w:t>107,058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Corporate debt securities due within 3 months of date of purchase (Level 2)</w:t>
            </w: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Total cash and cash equivalents</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9"/>
              </w:rPr>
              <w:t>109,120</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2"/>
              </w:rPr>
              <w:t>109,120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Marketable securities:</w:t>
            </w: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Corporate debt securities due within 1 year of date of purchase (Level 2)</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9"/>
              </w:rPr>
              <w:t>211,513</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413</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2"/>
              </w:rPr>
              <w:t>211,911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180" w:type="dxa"/>
            <w:vAlign w:val="bottom"/>
          </w:tcPr>
          <w:p>
            <w:pPr>
              <w:spacing w:after="0" w:line="201" w:lineRule="exact"/>
              <w:rPr>
                <w:sz w:val="20"/>
                <w:szCs w:val="20"/>
                <w:color w:val="auto"/>
              </w:rPr>
            </w:pPr>
            <w:r>
              <w:rPr>
                <w:rFonts w:ascii="Arial" w:cs="Arial" w:eastAsia="Arial" w:hAnsi="Arial"/>
                <w:sz w:val="18"/>
                <w:szCs w:val="18"/>
                <w:color w:val="auto"/>
                <w:w w:val="95"/>
              </w:rPr>
              <w:t>U.S. government and government sponsored entities due within 1 year of date of</w:t>
            </w: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180" w:type="dxa"/>
            <w:vAlign w:val="bottom"/>
          </w:tcPr>
          <w:p>
            <w:pPr>
              <w:ind w:left="160"/>
              <w:spacing w:after="0"/>
              <w:rPr>
                <w:sz w:val="20"/>
                <w:szCs w:val="20"/>
                <w:color w:val="auto"/>
              </w:rPr>
            </w:pPr>
            <w:r>
              <w:rPr>
                <w:rFonts w:ascii="Arial" w:cs="Arial" w:eastAsia="Arial" w:hAnsi="Arial"/>
                <w:sz w:val="18"/>
                <w:szCs w:val="18"/>
                <w:color w:val="auto"/>
              </w:rPr>
              <w:t>purchase (Level 2)</w:t>
            </w:r>
          </w:p>
        </w:tc>
        <w:tc>
          <w:tcPr>
            <w:tcW w:w="120" w:type="dxa"/>
            <w:vAlign w:val="bottom"/>
          </w:tcPr>
          <w:p>
            <w:pPr>
              <w:spacing w:after="0"/>
              <w:rPr>
                <w:sz w:val="20"/>
                <w:szCs w:val="20"/>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12,479</w:t>
            </w:r>
          </w:p>
        </w:tc>
        <w:tc>
          <w:tcPr>
            <w:tcW w:w="140" w:type="dxa"/>
            <w:vAlign w:val="bottom"/>
          </w:tcPr>
          <w:p>
            <w:pPr>
              <w:spacing w:after="0"/>
              <w:rPr>
                <w:sz w:val="20"/>
                <w:szCs w:val="20"/>
                <w:color w:val="auto"/>
              </w:rPr>
            </w:pP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22</w:t>
            </w:r>
          </w:p>
        </w:tc>
        <w:tc>
          <w:tcPr>
            <w:tcW w:w="140" w:type="dxa"/>
            <w:vAlign w:val="bottom"/>
          </w:tcPr>
          <w:p>
            <w:pPr>
              <w:spacing w:after="0"/>
              <w:rPr>
                <w:sz w:val="20"/>
                <w:szCs w:val="20"/>
                <w:color w:val="auto"/>
              </w:rPr>
            </w:pPr>
          </w:p>
        </w:tc>
        <w:tc>
          <w:tcPr>
            <w:tcW w:w="7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12,501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w w:val="99"/>
              </w:rPr>
              <w:t>Corporate debt securities due within 1 to 2 years of date of purchase (Level 2)</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2,404</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2,405</w:t>
            </w:r>
          </w:p>
        </w:tc>
        <w:tc>
          <w:tcPr>
            <w:tcW w:w="0" w:type="dxa"/>
            <w:vAlign w:val="bottom"/>
          </w:tcPr>
          <w:p>
            <w:pPr>
              <w:spacing w:after="0"/>
              <w:rPr>
                <w:sz w:val="1"/>
                <w:szCs w:val="1"/>
                <w:color w:val="auto"/>
              </w:rPr>
            </w:pPr>
          </w:p>
        </w:tc>
      </w:tr>
      <w:tr>
        <w:trPr>
          <w:trHeight w:val="223"/>
        </w:trPr>
        <w:tc>
          <w:tcPr>
            <w:tcW w:w="6200" w:type="dxa"/>
            <w:vAlign w:val="bottom"/>
            <w:gridSpan w:val="2"/>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335,516</w:t>
            </w:r>
          </w:p>
        </w:tc>
        <w:tc>
          <w:tcPr>
            <w:tcW w:w="36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4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8"/>
                <w:szCs w:val="18"/>
                <w:color w:val="auto"/>
                <w:w w:val="86"/>
              </w:rPr>
              <w:t>438</w:t>
            </w:r>
          </w:p>
        </w:tc>
        <w:tc>
          <w:tcPr>
            <w:tcW w:w="34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335,937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20" w:type="dxa"/>
            <w:vAlign w:val="bottom"/>
          </w:tcPr>
          <w:p>
            <w:pPr>
              <w:spacing w:after="0"/>
              <w:rPr>
                <w:sz w:val="24"/>
                <w:szCs w:val="24"/>
                <w:color w:val="auto"/>
              </w:rPr>
            </w:pPr>
          </w:p>
        </w:tc>
        <w:tc>
          <w:tcPr>
            <w:tcW w:w="618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rPr>
              <w:t>December 31, 2019</w:t>
            </w: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gridSpan w:val="2"/>
            <w:vMerge w:val="restart"/>
          </w:tcPr>
          <w:p>
            <w:pPr>
              <w:jc w:val="right"/>
              <w:ind w:right="580"/>
              <w:spacing w:after="0"/>
              <w:rPr>
                <w:sz w:val="20"/>
                <w:szCs w:val="20"/>
                <w:color w:val="auto"/>
              </w:rPr>
            </w:pPr>
            <w:r>
              <w:rPr>
                <w:rFonts w:ascii="Arial" w:cs="Arial" w:eastAsia="Arial" w:hAnsi="Arial"/>
                <w:sz w:val="14"/>
                <w:szCs w:val="14"/>
                <w:b w:val="1"/>
                <w:bCs w:val="1"/>
                <w:color w:val="auto"/>
              </w:rPr>
              <w:t>Cost</w:t>
            </w:r>
          </w:p>
        </w:tc>
        <w:tc>
          <w:tcPr>
            <w:tcW w:w="102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90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Unrealized</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jc w:val="center"/>
              <w:ind w:right="34"/>
              <w:spacing w:after="0" w:line="119" w:lineRule="exact"/>
              <w:rPr>
                <w:sz w:val="20"/>
                <w:szCs w:val="20"/>
                <w:color w:val="auto"/>
              </w:rPr>
            </w:pPr>
            <w:r>
              <w:rPr>
                <w:rFonts w:ascii="Arial" w:cs="Arial" w:eastAsia="Arial" w:hAnsi="Arial"/>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gridSpan w:val="2"/>
          </w:tcPr>
          <w:p>
            <w:pPr>
              <w:ind w:left="40"/>
              <w:spacing w:after="0"/>
              <w:rPr>
                <w:sz w:val="20"/>
                <w:szCs w:val="20"/>
                <w:color w:val="auto"/>
              </w:rPr>
            </w:pPr>
            <w:r>
              <w:rPr>
                <w:rFonts w:ascii="Arial" w:cs="Arial" w:eastAsia="Arial" w:hAnsi="Arial"/>
                <w:sz w:val="14"/>
                <w:szCs w:val="14"/>
                <w:b w:val="1"/>
                <w:bCs w:val="1"/>
                <w:color w:val="auto"/>
              </w:rPr>
              <w:t>gains</w:t>
            </w:r>
          </w:p>
        </w:tc>
        <w:tc>
          <w:tcPr>
            <w:tcW w:w="140" w:type="dxa"/>
            <w:vAlign w:val="bottom"/>
          </w:tcPr>
          <w:p>
            <w:pPr>
              <w:spacing w:after="0"/>
              <w:rPr>
                <w:sz w:val="14"/>
                <w:szCs w:val="14"/>
                <w:color w:val="auto"/>
              </w:rPr>
            </w:pPr>
          </w:p>
        </w:tc>
        <w:tc>
          <w:tcPr>
            <w:tcW w:w="7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82"/>
              </w:rPr>
              <w:t>losses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4"/>
              </w:rPr>
              <w:t>value</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18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Cash and cash equivalents:</w:t>
            </w:r>
          </w:p>
        </w:tc>
        <w:tc>
          <w:tcPr>
            <w:tcW w:w="12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Cash (Level 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1,772</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1,772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Money market funds (Level 1)</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44,925</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44,925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Corporate debt securities due within 3 months of date of purchase (Level 2)</w:t>
            </w: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Total cash and cash equivalents</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46,697</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46,697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Marketable securities:</w:t>
            </w: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Corporate debt securities due within 1 year of date of purchase (Level 2)</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9"/>
              </w:rPr>
              <w:t>309,365</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220</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2"/>
              </w:rPr>
              <w:t>309,545</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180" w:type="dxa"/>
            <w:vAlign w:val="bottom"/>
          </w:tcPr>
          <w:p>
            <w:pPr>
              <w:spacing w:after="0" w:line="201" w:lineRule="exact"/>
              <w:rPr>
                <w:sz w:val="20"/>
                <w:szCs w:val="20"/>
                <w:color w:val="auto"/>
              </w:rPr>
            </w:pPr>
            <w:r>
              <w:rPr>
                <w:rFonts w:ascii="Arial" w:cs="Arial" w:eastAsia="Arial" w:hAnsi="Arial"/>
                <w:sz w:val="18"/>
                <w:szCs w:val="18"/>
                <w:color w:val="auto"/>
              </w:rPr>
              <w:t>Corporate debt securities due within 1 to 2 years of date of purchase</w:t>
            </w: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180" w:type="dxa"/>
            <w:vAlign w:val="bottom"/>
          </w:tcPr>
          <w:p>
            <w:pPr>
              <w:ind w:left="160"/>
              <w:spacing w:after="0"/>
              <w:rPr>
                <w:sz w:val="20"/>
                <w:szCs w:val="20"/>
                <w:color w:val="auto"/>
              </w:rPr>
            </w:pPr>
            <w:r>
              <w:rPr>
                <w:rFonts w:ascii="Arial" w:cs="Arial" w:eastAsia="Arial" w:hAnsi="Arial"/>
                <w:sz w:val="18"/>
                <w:szCs w:val="18"/>
                <w:color w:val="auto"/>
              </w:rPr>
              <w:t>(Level 2)</w:t>
            </w:r>
          </w:p>
        </w:tc>
        <w:tc>
          <w:tcPr>
            <w:tcW w:w="120" w:type="dxa"/>
            <w:vAlign w:val="bottom"/>
          </w:tcPr>
          <w:p>
            <w:pPr>
              <w:spacing w:after="0"/>
              <w:rPr>
                <w:sz w:val="20"/>
                <w:szCs w:val="20"/>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82,767</w:t>
            </w:r>
          </w:p>
        </w:tc>
        <w:tc>
          <w:tcPr>
            <w:tcW w:w="140" w:type="dxa"/>
            <w:vAlign w:val="bottom"/>
          </w:tcPr>
          <w:p>
            <w:pPr>
              <w:spacing w:after="0"/>
              <w:rPr>
                <w:sz w:val="20"/>
                <w:szCs w:val="20"/>
                <w:color w:val="auto"/>
              </w:rPr>
            </w:pP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39</w:t>
            </w:r>
          </w:p>
        </w:tc>
        <w:tc>
          <w:tcPr>
            <w:tcW w:w="140" w:type="dxa"/>
            <w:vAlign w:val="bottom"/>
          </w:tcPr>
          <w:p>
            <w:pPr>
              <w:spacing w:after="0"/>
              <w:rPr>
                <w:sz w:val="20"/>
                <w:szCs w:val="20"/>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82,803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Total cash, cash equivalents and marketable securities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9"/>
              </w:rPr>
              <w:t>438,829</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259</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2"/>
              </w:rPr>
              <w:t>439,045</w:t>
            </w:r>
          </w:p>
        </w:tc>
        <w:tc>
          <w:tcPr>
            <w:tcW w:w="0" w:type="dxa"/>
            <w:vAlign w:val="bottom"/>
          </w:tcPr>
          <w:p>
            <w:pPr>
              <w:spacing w:after="0"/>
              <w:rPr>
                <w:sz w:val="1"/>
                <w:szCs w:val="1"/>
                <w:color w:val="auto"/>
              </w:rPr>
            </w:pPr>
          </w:p>
        </w:tc>
      </w:tr>
      <w:tr>
        <w:trPr>
          <w:trHeight w:val="20"/>
        </w:trPr>
        <w:tc>
          <w:tcPr>
            <w:tcW w:w="6200" w:type="dxa"/>
            <w:vAlign w:val="bottom"/>
            <w:gridSpan w:val="2"/>
            <w:vMerge w:val="restart"/>
          </w:tcPr>
          <w:p>
            <w:pPr>
              <w:jc w:val="right"/>
              <w:ind w:right="950"/>
              <w:spacing w:after="0"/>
              <w:rPr>
                <w:sz w:val="20"/>
                <w:szCs w:val="20"/>
                <w:color w:val="auto"/>
              </w:rPr>
            </w:pPr>
            <w:r>
              <w:rPr>
                <w:rFonts w:ascii="Arial" w:cs="Arial" w:eastAsia="Arial" w:hAnsi="Arial"/>
                <w:sz w:val="18"/>
                <w:szCs w:val="18"/>
                <w:color w:val="auto"/>
              </w:rPr>
              <w:t>11</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6200" w:type="dxa"/>
            <w:vAlign w:val="bottom"/>
            <w:gridSpan w:val="2"/>
            <w:vMerge w:val="continue"/>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00"/>
          </w:cols>
          <w:pgMar w:left="320" w:top="486" w:right="47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5. Accrued Liabilities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Accrued liabilities as of September 30, 2020 and December 31, 2019 consisted of the following (in thousands):</w:t>
      </w:r>
    </w:p>
    <w:p>
      <w:pPr>
        <w:spacing w:after="0" w:line="231"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59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500" w:type="dxa"/>
            <w:vAlign w:val="bottom"/>
            <w:gridSpan w:val="4"/>
          </w:tcPr>
          <w:p>
            <w:pPr>
              <w:spacing w:after="0"/>
              <w:rPr>
                <w:sz w:val="20"/>
                <w:szCs w:val="20"/>
                <w:color w:val="auto"/>
              </w:rPr>
            </w:pPr>
            <w:r>
              <w:rPr>
                <w:rFonts w:ascii="Arial" w:cs="Arial" w:eastAsia="Arial" w:hAnsi="Arial"/>
                <w:sz w:val="14"/>
                <w:szCs w:val="14"/>
                <w:b w:val="1"/>
                <w:bCs w:val="1"/>
                <w:color w:val="auto"/>
              </w:rPr>
              <w:t>September 30,</w:t>
            </w:r>
          </w:p>
        </w:tc>
        <w:tc>
          <w:tcPr>
            <w:tcW w:w="880" w:type="dxa"/>
            <w:vAlign w:val="bottom"/>
            <w:gridSpan w:val="3"/>
          </w:tcPr>
          <w:p>
            <w:pPr>
              <w:spacing w:after="0"/>
              <w:rPr>
                <w:sz w:val="20"/>
                <w:szCs w:val="20"/>
                <w:color w:val="auto"/>
              </w:rPr>
            </w:pPr>
            <w:r>
              <w:rPr>
                <w:rFonts w:ascii="Arial" w:cs="Arial" w:eastAsia="Arial" w:hAnsi="Arial"/>
                <w:sz w:val="14"/>
                <w:szCs w:val="14"/>
                <w:b w:val="1"/>
                <w:bCs w:val="1"/>
                <w:color w:val="auto"/>
                <w:w w:val="94"/>
              </w:rPr>
              <w:t>December 31,</w:t>
            </w:r>
          </w:p>
        </w:tc>
      </w:tr>
      <w:tr>
        <w:trPr>
          <w:trHeight w:val="171"/>
        </w:trPr>
        <w:tc>
          <w:tcPr>
            <w:tcW w:w="596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2020</w:t>
            </w:r>
          </w:p>
        </w:tc>
        <w:tc>
          <w:tcPr>
            <w:tcW w:w="20" w:type="dxa"/>
            <w:vAlign w:val="bottom"/>
            <w:tcBorders>
              <w:bottom w:val="single" w:sz="8" w:color="CCEEFF"/>
            </w:tcBorders>
          </w:tcPr>
          <w:p>
            <w:pPr>
              <w:spacing w:after="0"/>
              <w:rPr>
                <w:sz w:val="14"/>
                <w:szCs w:val="14"/>
                <w:color w:val="auto"/>
              </w:rPr>
            </w:pPr>
          </w:p>
        </w:tc>
        <w:tc>
          <w:tcPr>
            <w:tcW w:w="64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CCEEFF"/>
            </w:tcBorders>
          </w:tcPr>
          <w:p>
            <w:pPr>
              <w:spacing w:after="0"/>
              <w:rPr>
                <w:sz w:val="14"/>
                <w:szCs w:val="14"/>
                <w:color w:val="auto"/>
              </w:rPr>
            </w:pPr>
          </w:p>
        </w:tc>
      </w:tr>
      <w:tr>
        <w:trPr>
          <w:trHeight w:val="210"/>
        </w:trPr>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Contract research organization costs</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29,750</w:t>
            </w:r>
          </w:p>
        </w:tc>
        <w:tc>
          <w:tcPr>
            <w:tcW w:w="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13,775</w:t>
            </w:r>
          </w:p>
        </w:tc>
        <w:tc>
          <w:tcPr>
            <w:tcW w:w="40" w:type="dxa"/>
            <w:vAlign w:val="bottom"/>
            <w:shd w:val="clear" w:color="auto" w:fill="CCEEFF"/>
          </w:tcPr>
          <w:p>
            <w:pPr>
              <w:spacing w:after="0"/>
              <w:rPr>
                <w:sz w:val="18"/>
                <w:szCs w:val="18"/>
                <w:color w:val="auto"/>
              </w:rPr>
            </w:pPr>
          </w:p>
        </w:tc>
      </w:tr>
      <w:tr>
        <w:trPr>
          <w:trHeight w:val="216"/>
        </w:trPr>
        <w:tc>
          <w:tcPr>
            <w:tcW w:w="5960" w:type="dxa"/>
            <w:vAlign w:val="bottom"/>
          </w:tcPr>
          <w:p>
            <w:pPr>
              <w:spacing w:after="0"/>
              <w:rPr>
                <w:sz w:val="20"/>
                <w:szCs w:val="20"/>
                <w:color w:val="auto"/>
              </w:rPr>
            </w:pPr>
            <w:r>
              <w:rPr>
                <w:rFonts w:ascii="Arial" w:cs="Arial" w:eastAsia="Arial" w:hAnsi="Arial"/>
                <w:sz w:val="18"/>
                <w:szCs w:val="18"/>
                <w:color w:val="auto"/>
              </w:rPr>
              <w:t>Other clinical study related costs</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6,923</w:t>
            </w: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2,621</w:t>
            </w:r>
          </w:p>
        </w:tc>
      </w:tr>
      <w:tr>
        <w:trPr>
          <w:trHeight w:val="216"/>
        </w:trPr>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Compensation and benefits</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2,883</w:t>
            </w: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2,779</w:t>
            </w:r>
          </w:p>
        </w:tc>
      </w:tr>
      <w:tr>
        <w:trPr>
          <w:trHeight w:val="216"/>
        </w:trPr>
        <w:tc>
          <w:tcPr>
            <w:tcW w:w="5960" w:type="dxa"/>
            <w:vAlign w:val="bottom"/>
          </w:tcPr>
          <w:p>
            <w:pPr>
              <w:spacing w:after="0"/>
              <w:rPr>
                <w:sz w:val="20"/>
                <w:szCs w:val="20"/>
                <w:color w:val="auto"/>
              </w:rPr>
            </w:pPr>
            <w:r>
              <w:rPr>
                <w:rFonts w:ascii="Arial" w:cs="Arial" w:eastAsia="Arial" w:hAnsi="Arial"/>
                <w:sz w:val="18"/>
                <w:szCs w:val="18"/>
                <w:color w:val="auto"/>
              </w:rPr>
              <w:t>Professional fees</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790</w:t>
            </w: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1,177</w:t>
            </w:r>
          </w:p>
        </w:tc>
      </w:tr>
      <w:tr>
        <w:trPr>
          <w:trHeight w:val="216"/>
        </w:trPr>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2.427</w:t>
            </w: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3,285</w:t>
            </w:r>
          </w:p>
        </w:tc>
      </w:tr>
      <w:tr>
        <w:trPr>
          <w:trHeight w:val="223"/>
        </w:trPr>
        <w:tc>
          <w:tcPr>
            <w:tcW w:w="5960" w:type="dxa"/>
            <w:vAlign w:val="bottom"/>
          </w:tcPr>
          <w:p>
            <w:pPr>
              <w:spacing w:after="0"/>
              <w:rPr>
                <w:sz w:val="20"/>
                <w:szCs w:val="20"/>
                <w:color w:val="auto"/>
              </w:rPr>
            </w:pPr>
            <w:r>
              <w:rPr>
                <w:rFonts w:ascii="Arial" w:cs="Arial" w:eastAsia="Arial" w:hAnsi="Arial"/>
                <w:sz w:val="18"/>
                <w:szCs w:val="18"/>
                <w:color w:val="auto"/>
              </w:rPr>
              <w:t>Total accrued liabilities</w:t>
            </w:r>
          </w:p>
        </w:tc>
        <w:tc>
          <w:tcPr>
            <w:tcW w:w="20" w:type="dxa"/>
            <w:vAlign w:val="bottom"/>
            <w:tcBorders>
              <w:bottom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42,773</w:t>
            </w:r>
          </w:p>
        </w:tc>
        <w:tc>
          <w:tcPr>
            <w:tcW w:w="20" w:type="dxa"/>
            <w:vAlign w:val="bottom"/>
            <w:tcBorders>
              <w:bottom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23,637</w:t>
            </w:r>
          </w:p>
        </w:tc>
        <w:tc>
          <w:tcPr>
            <w:tcW w:w="40" w:type="dxa"/>
            <w:vAlign w:val="bottom"/>
          </w:tcPr>
          <w:p>
            <w:pPr>
              <w:spacing w:after="0"/>
              <w:rPr>
                <w:sz w:val="19"/>
                <w:szCs w:val="19"/>
                <w:color w:val="auto"/>
              </w:rPr>
            </w:pPr>
          </w:p>
        </w:tc>
      </w:tr>
      <w:tr>
        <w:trPr>
          <w:trHeight w:val="20"/>
        </w:trPr>
        <w:tc>
          <w:tcPr>
            <w:tcW w:w="5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319" w:lineRule="exact"/>
        <w:rPr>
          <w:sz w:val="20"/>
          <w:szCs w:val="20"/>
          <w:color w:val="auto"/>
        </w:rPr>
      </w:pPr>
    </w:p>
    <w:p>
      <w:pPr>
        <w:ind w:left="120" w:right="9160" w:hanging="4"/>
        <w:spacing w:after="0" w:line="425" w:lineRule="auto"/>
        <w:tabs>
          <w:tab w:leader="none" w:pos="300" w:val="left"/>
        </w:tabs>
        <w:numPr>
          <w:ilvl w:val="0"/>
          <w:numId w:val="5"/>
        </w:numPr>
        <w:rPr>
          <w:rFonts w:ascii="Arial" w:cs="Arial" w:eastAsia="Arial" w:hAnsi="Arial"/>
          <w:sz w:val="16"/>
          <w:szCs w:val="16"/>
          <w:b w:val="1"/>
          <w:bCs w:val="1"/>
          <w:color w:val="auto"/>
        </w:rPr>
      </w:pPr>
      <w:r>
        <w:rPr>
          <w:rFonts w:ascii="Arial" w:cs="Arial" w:eastAsia="Arial" w:hAnsi="Arial"/>
          <w:sz w:val="16"/>
          <w:szCs w:val="16"/>
          <w:b w:val="1"/>
          <w:bCs w:val="1"/>
          <w:color w:val="auto"/>
        </w:rPr>
        <w:t>Stockholders’ Equity Common Stock</w:t>
      </w:r>
    </w:p>
    <w:p>
      <w:pPr>
        <w:ind w:left="120" w:right="100"/>
        <w:spacing w:after="0" w:line="277" w:lineRule="auto"/>
        <w:rPr>
          <w:sz w:val="20"/>
          <w:szCs w:val="20"/>
          <w:color w:val="auto"/>
        </w:rPr>
      </w:pPr>
      <w:r>
        <w:rPr>
          <w:rFonts w:ascii="Arial" w:cs="Arial" w:eastAsia="Arial" w:hAnsi="Arial"/>
          <w:sz w:val="18"/>
          <w:szCs w:val="18"/>
          <w:color w:val="auto"/>
        </w:rPr>
        <w:t>Each common stockholder is entitled to one vote for each share of common stock held. Each share of common stock is entitled to receive dividends, as and when declared by the Company’s board of directors.</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Company has never declared cash dividends on its common stock and does not expect to do so in the foreseeable future.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right="40"/>
        <w:spacing w:after="0" w:line="288" w:lineRule="auto"/>
        <w:rPr>
          <w:sz w:val="20"/>
          <w:szCs w:val="20"/>
          <w:color w:val="auto"/>
        </w:rPr>
      </w:pPr>
      <w:r>
        <w:rPr>
          <w:rFonts w:ascii="Arial" w:cs="Arial" w:eastAsia="Arial" w:hAnsi="Arial"/>
          <w:sz w:val="16"/>
          <w:szCs w:val="16"/>
          <w:color w:val="auto"/>
        </w:rPr>
        <w:t>The Series A Preferred Stock has a par value of $0.0001 per share and is convertible into shares of the common stock at a one-to-one ratio, subject certain limitations and to adjustment provisions as provided in the Certificate of Designation of Preferences, Rights and Limitations of Series A Convertible Preferred Stock, that the Company filed with the Secretary of State of the State of Delaware on June 21, 2017 (the “Series A Certificate”). The terms of the Series A Preferred Stock are set forth in the Series A Certificate.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Preferred Stock upon liquidation, the holders of the Series A Preferred Stock shall participate pari passu with the holders of the Common Stock (on an as-if-converted-to-Common-Stock basis) in the net assets of the Company. Shares of the Series A Preferred Stock will generally have no voting rights, except as required by law. Shares of the Series A Preferred Stock will be entitled to receive dividends before shares of any other class or series of capital stock of the Company (other than dividends in the form of the Common Stock) generally equal to the dividend payable on each share of the Common Stock, on an as-converted basis.</w:t>
      </w:r>
    </w:p>
    <w:p>
      <w:pPr>
        <w:spacing w:after="0" w:line="27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7. Stock-based Compensation</w:t>
      </w:r>
    </w:p>
    <w:p>
      <w:pPr>
        <w:spacing w:after="0" w:line="121" w:lineRule="exact"/>
        <w:rPr>
          <w:sz w:val="20"/>
          <w:szCs w:val="20"/>
          <w:color w:val="auto"/>
        </w:rPr>
      </w:pPr>
    </w:p>
    <w:p>
      <w:pPr>
        <w:ind w:left="120"/>
        <w:spacing w:after="0" w:line="290" w:lineRule="auto"/>
        <w:rPr>
          <w:sz w:val="20"/>
          <w:szCs w:val="20"/>
          <w:color w:val="auto"/>
        </w:rPr>
      </w:pPr>
      <w:r>
        <w:rPr>
          <w:rFonts w:ascii="Arial" w:cs="Arial" w:eastAsia="Arial" w:hAnsi="Arial"/>
          <w:sz w:val="16"/>
          <w:szCs w:val="16"/>
          <w:color w:val="auto"/>
        </w:rPr>
        <w:t>The 2015 Stock Plan, as amended, is our primary plan through which equity based grants are awarded. We ceased making new awards under the 2006 Stock Plan upon adoption of the 2015 Stock Plan.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terms of stock options awarded under the 2015 Stock Plan, in general, are determined by the Compensation Committee, provided the exercise price per share generally shall not be set at less than the fair market value of a share of the common stock on the date of grant and the term shall not be greater than ten years from the date the option is granted. As of September 30, 2020, the Company had options outstanding to purchase 1,810,753 shares of its common stock, which includes options outstanding under its 2006 Stock Plan. As of September 30, 2020, 965,282 shares were available for future issuance.</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summarizes stock option activity during the nine months ended September 30, 2020:</w:t>
      </w:r>
    </w:p>
    <w:p>
      <w:pPr>
        <w:spacing w:after="0" w:line="231"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332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8"/>
        </w:trPr>
        <w:tc>
          <w:tcPr>
            <w:tcW w:w="33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8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rPr>
              <w:t>Shares</w:t>
            </w:r>
          </w:p>
        </w:tc>
        <w:tc>
          <w:tcPr>
            <w:tcW w:w="260" w:type="dxa"/>
            <w:vAlign w:val="bottom"/>
          </w:tcPr>
          <w:p>
            <w:pPr>
              <w:spacing w:after="0"/>
              <w:rPr>
                <w:sz w:val="12"/>
                <w:szCs w:val="12"/>
                <w:color w:val="auto"/>
              </w:rPr>
            </w:pPr>
          </w:p>
        </w:tc>
        <w:tc>
          <w:tcPr>
            <w:tcW w:w="10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2"/>
              </w:rPr>
              <w:t>average exercise</w:t>
            </w:r>
          </w:p>
        </w:tc>
        <w:tc>
          <w:tcPr>
            <w:tcW w:w="0" w:type="dxa"/>
            <w:vAlign w:val="bottom"/>
          </w:tcPr>
          <w:p>
            <w:pPr>
              <w:spacing w:after="0"/>
              <w:rPr>
                <w:sz w:val="1"/>
                <w:szCs w:val="1"/>
                <w:color w:val="auto"/>
              </w:rPr>
            </w:pPr>
          </w:p>
        </w:tc>
      </w:tr>
      <w:tr>
        <w:trPr>
          <w:trHeight w:val="171"/>
        </w:trPr>
        <w:tc>
          <w:tcPr>
            <w:tcW w:w="332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price</w:t>
            </w:r>
          </w:p>
        </w:tc>
        <w:tc>
          <w:tcPr>
            <w:tcW w:w="0" w:type="dxa"/>
            <w:vAlign w:val="bottom"/>
          </w:tcPr>
          <w:p>
            <w:pPr>
              <w:spacing w:after="0"/>
              <w:rPr>
                <w:sz w:val="1"/>
                <w:szCs w:val="1"/>
                <w:color w:val="auto"/>
              </w:rPr>
            </w:pPr>
          </w:p>
        </w:tc>
      </w:tr>
      <w:tr>
        <w:trPr>
          <w:trHeight w:val="210"/>
        </w:trPr>
        <w:tc>
          <w:tcPr>
            <w:tcW w:w="33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at January 1, 2020</w:t>
            </w:r>
          </w:p>
        </w:tc>
        <w:tc>
          <w:tcPr>
            <w:tcW w:w="264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1,461,987</w:t>
            </w:r>
          </w:p>
        </w:tc>
        <w:tc>
          <w:tcPr>
            <w:tcW w:w="3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64.67</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tcPr>
          <w:p>
            <w:pPr>
              <w:spacing w:after="0"/>
              <w:rPr>
                <w:sz w:val="20"/>
                <w:szCs w:val="20"/>
                <w:color w:val="auto"/>
              </w:rPr>
            </w:pPr>
            <w:r>
              <w:rPr>
                <w:rFonts w:ascii="Arial" w:cs="Arial" w:eastAsia="Arial" w:hAnsi="Arial"/>
                <w:sz w:val="18"/>
                <w:szCs w:val="18"/>
                <w:color w:val="auto"/>
              </w:rPr>
              <w:t>Options granted</w:t>
            </w:r>
          </w:p>
        </w:tc>
        <w:tc>
          <w:tcPr>
            <w:tcW w:w="3720" w:type="dxa"/>
            <w:vAlign w:val="bottom"/>
            <w:gridSpan w:val="3"/>
          </w:tcPr>
          <w:p>
            <w:pPr>
              <w:jc w:val="right"/>
              <w:ind w:right="300"/>
              <w:spacing w:after="0"/>
              <w:rPr>
                <w:sz w:val="20"/>
                <w:szCs w:val="20"/>
                <w:color w:val="auto"/>
              </w:rPr>
            </w:pPr>
            <w:r>
              <w:rPr>
                <w:rFonts w:ascii="Arial" w:cs="Arial" w:eastAsia="Arial" w:hAnsi="Arial"/>
                <w:sz w:val="18"/>
                <w:szCs w:val="18"/>
                <w:color w:val="auto"/>
              </w:rPr>
              <w:t>410,125</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89.21</w:t>
            </w: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Options exercised</w:t>
            </w:r>
          </w:p>
        </w:tc>
        <w:tc>
          <w:tcPr>
            <w:tcW w:w="37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(37,297)</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12.30</w:t>
            </w:r>
          </w:p>
        </w:tc>
        <w:tc>
          <w:tcPr>
            <w:tcW w:w="0" w:type="dxa"/>
            <w:vAlign w:val="bottom"/>
          </w:tcPr>
          <w:p>
            <w:pPr>
              <w:spacing w:after="0"/>
              <w:rPr>
                <w:sz w:val="1"/>
                <w:szCs w:val="1"/>
                <w:color w:val="auto"/>
              </w:rPr>
            </w:pPr>
          </w:p>
        </w:tc>
      </w:tr>
      <w:tr>
        <w:trPr>
          <w:trHeight w:val="223"/>
        </w:trPr>
        <w:tc>
          <w:tcPr>
            <w:tcW w:w="3320" w:type="dxa"/>
            <w:vAlign w:val="bottom"/>
          </w:tcPr>
          <w:p>
            <w:pPr>
              <w:spacing w:after="0"/>
              <w:rPr>
                <w:sz w:val="20"/>
                <w:szCs w:val="20"/>
                <w:color w:val="auto"/>
              </w:rPr>
            </w:pPr>
            <w:r>
              <w:rPr>
                <w:rFonts w:ascii="Arial" w:cs="Arial" w:eastAsia="Arial" w:hAnsi="Arial"/>
                <w:sz w:val="18"/>
                <w:szCs w:val="18"/>
                <w:color w:val="auto"/>
              </w:rPr>
              <w:t>Options cancelled</w:t>
            </w:r>
          </w:p>
        </w:tc>
        <w:tc>
          <w:tcPr>
            <w:tcW w:w="2640" w:type="dxa"/>
            <w:vAlign w:val="bottom"/>
          </w:tcPr>
          <w:p>
            <w:pPr>
              <w:spacing w:after="0"/>
              <w:rPr>
                <w:sz w:val="19"/>
                <w:szCs w:val="19"/>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(24,062)</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96.47</w:t>
            </w:r>
          </w:p>
        </w:tc>
        <w:tc>
          <w:tcPr>
            <w:tcW w:w="0" w:type="dxa"/>
            <w:vAlign w:val="bottom"/>
          </w:tcPr>
          <w:p>
            <w:pPr>
              <w:spacing w:after="0"/>
              <w:rPr>
                <w:sz w:val="1"/>
                <w:szCs w:val="1"/>
                <w:color w:val="auto"/>
              </w:rPr>
            </w:pPr>
          </w:p>
        </w:tc>
      </w:tr>
      <w:tr>
        <w:trPr>
          <w:trHeight w:val="216"/>
        </w:trPr>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September 30, 2020</w:t>
            </w:r>
          </w:p>
        </w:tc>
        <w:tc>
          <w:tcPr>
            <w:tcW w:w="2640" w:type="dxa"/>
            <w:vAlign w:val="bottom"/>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1,810,753</w:t>
            </w: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70.89</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320" w:type="dxa"/>
            <w:vAlign w:val="bottom"/>
            <w:vMerge w:val="restart"/>
          </w:tcPr>
          <w:p>
            <w:pPr>
              <w:spacing w:after="0"/>
              <w:rPr>
                <w:sz w:val="20"/>
                <w:szCs w:val="20"/>
                <w:color w:val="auto"/>
              </w:rPr>
            </w:pPr>
            <w:r>
              <w:rPr>
                <w:rFonts w:ascii="Arial" w:cs="Arial" w:eastAsia="Arial" w:hAnsi="Arial"/>
                <w:sz w:val="18"/>
                <w:szCs w:val="18"/>
                <w:color w:val="auto"/>
              </w:rPr>
              <w:t>Exercisable at September 30, 2020</w:t>
            </w:r>
          </w:p>
        </w:tc>
        <w:tc>
          <w:tcPr>
            <w:tcW w:w="372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3320" w:type="dxa"/>
            <w:vAlign w:val="bottom"/>
            <w:vMerge w:val="continue"/>
          </w:tcPr>
          <w:p>
            <w:pPr>
              <w:spacing w:after="0"/>
              <w:rPr>
                <w:sz w:val="18"/>
                <w:szCs w:val="18"/>
                <w:color w:val="auto"/>
              </w:rPr>
            </w:pPr>
          </w:p>
        </w:tc>
        <w:tc>
          <w:tcPr>
            <w:tcW w:w="2640" w:type="dxa"/>
            <w:vAlign w:val="bottom"/>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1,147,815</w:t>
            </w: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4"/>
        </w:trPr>
        <w:tc>
          <w:tcPr>
            <w:tcW w:w="3320" w:type="dxa"/>
            <w:vAlign w:val="bottom"/>
          </w:tcPr>
          <w:p>
            <w:pPr>
              <w:spacing w:after="0"/>
              <w:rPr>
                <w:sz w:val="24"/>
                <w:szCs w:val="24"/>
                <w:color w:val="auto"/>
              </w:rPr>
            </w:pPr>
          </w:p>
        </w:tc>
        <w:tc>
          <w:tcPr>
            <w:tcW w:w="2640" w:type="dxa"/>
            <w:vAlign w:val="bottom"/>
          </w:tcPr>
          <w:p>
            <w:pPr>
              <w:jc w:val="right"/>
              <w:ind w:right="1590"/>
              <w:spacing w:after="0"/>
              <w:rPr>
                <w:sz w:val="20"/>
                <w:szCs w:val="20"/>
                <w:color w:val="auto"/>
              </w:rPr>
            </w:pPr>
            <w:r>
              <w:rPr>
                <w:rFonts w:ascii="Arial" w:cs="Arial" w:eastAsia="Arial" w:hAnsi="Arial"/>
                <w:sz w:val="18"/>
                <w:szCs w:val="18"/>
                <w:color w:val="auto"/>
              </w:rPr>
              <w:t>12</w:t>
            </w:r>
          </w:p>
        </w:tc>
        <w:tc>
          <w:tcPr>
            <w:tcW w:w="7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80"/>
          </w:cols>
          <w:pgMar w:left="320" w:top="486" w:right="4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3" w:lineRule="auto"/>
        <w:rPr>
          <w:sz w:val="20"/>
          <w:szCs w:val="20"/>
          <w:color w:val="auto"/>
        </w:rPr>
      </w:pPr>
      <w:r>
        <w:rPr>
          <w:rFonts w:ascii="Arial" w:cs="Arial" w:eastAsia="Arial" w:hAnsi="Arial"/>
          <w:sz w:val="18"/>
          <w:szCs w:val="18"/>
          <w:color w:val="auto"/>
        </w:rPr>
        <w:t>The total cash received by the Company as a result of stock option exercises was $0.5 million and $0.2 million, respectively, for the nine months ended September 30, 2020 and 2019. The weighted-average grant date fair values, based on the Black-Scholes option model, of options granted during the nine months ended September 30, 2020 and 2019 were $65.65 and $91.65, respectively.</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Stock-Based Compensation Expense</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Stock-based compensation expense during the nine months ended September 30, 2020 and 2019 was as follows (in thousands):</w:t>
      </w:r>
    </w:p>
    <w:p>
      <w:pPr>
        <w:spacing w:after="0" w:line="244"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8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gridSpan w:val="6"/>
          </w:tcPr>
          <w:p>
            <w:pPr>
              <w:spacing w:after="0"/>
              <w:rPr>
                <w:sz w:val="20"/>
                <w:szCs w:val="20"/>
                <w:color w:val="auto"/>
              </w:rPr>
            </w:pPr>
            <w:r>
              <w:rPr>
                <w:rFonts w:ascii="Arial" w:cs="Arial" w:eastAsia="Arial" w:hAnsi="Arial"/>
                <w:sz w:val="14"/>
                <w:szCs w:val="14"/>
                <w:b w:val="1"/>
                <w:bCs w:val="1"/>
                <w:color w:val="auto"/>
              </w:rPr>
              <w:t>Three Months Ended September 30,</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20" w:type="dxa"/>
            <w:vAlign w:val="bottom"/>
            <w:gridSpan w:val="6"/>
          </w:tcPr>
          <w:p>
            <w:pPr>
              <w:ind w:left="20"/>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4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255"/>
              <w:spacing w:after="0" w:line="142" w:lineRule="exact"/>
              <w:rPr>
                <w:sz w:val="20"/>
                <w:szCs w:val="20"/>
                <w:color w:val="auto"/>
              </w:rPr>
            </w:pPr>
            <w:r>
              <w:rPr>
                <w:rFonts w:ascii="Arial" w:cs="Arial" w:eastAsia="Arial" w:hAnsi="Arial"/>
                <w:sz w:val="14"/>
                <w:szCs w:val="14"/>
                <w:b w:val="1"/>
                <w:bCs w:val="1"/>
                <w:color w:val="auto"/>
              </w:rPr>
              <w:t>2020</w:t>
            </w:r>
          </w:p>
        </w:tc>
        <w:tc>
          <w:tcPr>
            <w:tcW w:w="20" w:type="dxa"/>
            <w:vAlign w:val="bottom"/>
            <w:tcBorders>
              <w:top w:val="single" w:sz="8" w:color="auto"/>
              <w:bottom w:val="single" w:sz="8" w:color="CCEEFF"/>
            </w:tcBorders>
          </w:tcPr>
          <w:p>
            <w:pPr>
              <w:spacing w:after="0"/>
              <w:rPr>
                <w:sz w:val="12"/>
                <w:szCs w:val="12"/>
                <w:color w:val="auto"/>
              </w:rPr>
            </w:pPr>
          </w:p>
        </w:tc>
        <w:tc>
          <w:tcPr>
            <w:tcW w:w="46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2020</w:t>
            </w:r>
          </w:p>
        </w:tc>
        <w:tc>
          <w:tcPr>
            <w:tcW w:w="24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3"/>
              <w:spacing w:after="0" w:line="142" w:lineRule="exact"/>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8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Stock-based compensation expense by type of award:</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40" w:type="dxa"/>
            <w:vAlign w:val="bottom"/>
          </w:tcPr>
          <w:p>
            <w:pPr>
              <w:ind w:left="340"/>
              <w:spacing w:after="0"/>
              <w:rPr>
                <w:sz w:val="20"/>
                <w:szCs w:val="20"/>
                <w:color w:val="auto"/>
              </w:rPr>
            </w:pPr>
            <w:r>
              <w:rPr>
                <w:rFonts w:ascii="Arial" w:cs="Arial" w:eastAsia="Arial" w:hAnsi="Arial"/>
                <w:sz w:val="18"/>
                <w:szCs w:val="18"/>
                <w:color w:val="auto"/>
              </w:rPr>
              <w:t>Stock options</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5,061</w:t>
            </w:r>
          </w:p>
        </w:tc>
        <w:tc>
          <w:tcPr>
            <w:tcW w:w="68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4,922</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15,596</w:t>
            </w:r>
          </w:p>
        </w:tc>
        <w:tc>
          <w:tcPr>
            <w:tcW w:w="44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18,455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Restricted stock</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272</w:t>
            </w:r>
          </w:p>
        </w:tc>
        <w:tc>
          <w:tcPr>
            <w:tcW w:w="0" w:type="dxa"/>
            <w:vAlign w:val="bottom"/>
          </w:tcPr>
          <w:p>
            <w:pPr>
              <w:spacing w:after="0"/>
              <w:rPr>
                <w:sz w:val="1"/>
                <w:szCs w:val="1"/>
                <w:color w:val="auto"/>
              </w:rPr>
            </w:pPr>
          </w:p>
        </w:tc>
      </w:tr>
      <w:tr>
        <w:trPr>
          <w:trHeight w:val="223"/>
        </w:trPr>
        <w:tc>
          <w:tcPr>
            <w:tcW w:w="4860" w:type="dxa"/>
            <w:vAlign w:val="bottom"/>
            <w:gridSpan w:val="2"/>
          </w:tcPr>
          <w:p>
            <w:pPr>
              <w:spacing w:after="0"/>
              <w:rPr>
                <w:sz w:val="20"/>
                <w:szCs w:val="20"/>
                <w:color w:val="auto"/>
              </w:rPr>
            </w:pPr>
            <w:r>
              <w:rPr>
                <w:rFonts w:ascii="Arial" w:cs="Arial" w:eastAsia="Arial" w:hAnsi="Arial"/>
                <w:sz w:val="18"/>
                <w:szCs w:val="18"/>
                <w:color w:val="auto"/>
              </w:rPr>
              <w:t>Total stock-based compensation expense</w:t>
            </w:r>
          </w:p>
        </w:tc>
        <w:tc>
          <w:tcPr>
            <w:tcW w:w="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5,061</w:t>
            </w: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4,950</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15,596</w:t>
            </w: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18,727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vMerge w:val="restart"/>
          </w:tcPr>
          <w:p>
            <w:pPr>
              <w:spacing w:after="0"/>
              <w:rPr>
                <w:sz w:val="8"/>
                <w:szCs w:val="8"/>
                <w:color w:val="auto"/>
              </w:rPr>
            </w:pPr>
          </w:p>
        </w:tc>
        <w:tc>
          <w:tcPr>
            <w:tcW w:w="48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6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8"/>
                <w:szCs w:val="18"/>
                <w:color w:val="auto"/>
              </w:rPr>
              <w:t>Effect of stock-based compensation expense by line item:</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40" w:type="dxa"/>
            <w:vAlign w:val="bottom"/>
          </w:tcPr>
          <w:p>
            <w:pPr>
              <w:ind w:left="340"/>
              <w:spacing w:after="0"/>
              <w:rPr>
                <w:sz w:val="20"/>
                <w:szCs w:val="20"/>
                <w:color w:val="auto"/>
              </w:rPr>
            </w:pPr>
            <w:r>
              <w:rPr>
                <w:rFonts w:ascii="Arial" w:cs="Arial" w:eastAsia="Arial" w:hAnsi="Arial"/>
                <w:sz w:val="18"/>
                <w:szCs w:val="18"/>
                <w:color w:val="auto"/>
              </w:rPr>
              <w:t>Research and development</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2,266</w:t>
            </w:r>
          </w:p>
        </w:tc>
        <w:tc>
          <w:tcPr>
            <w:tcW w:w="68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2,404</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6,633</w:t>
            </w:r>
          </w:p>
        </w:tc>
        <w:tc>
          <w:tcPr>
            <w:tcW w:w="44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6,647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2,795</w:t>
            </w: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2,546</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8,963</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12,080</w:t>
            </w:r>
          </w:p>
        </w:tc>
        <w:tc>
          <w:tcPr>
            <w:tcW w:w="0" w:type="dxa"/>
            <w:vAlign w:val="bottom"/>
          </w:tcPr>
          <w:p>
            <w:pPr>
              <w:spacing w:after="0"/>
              <w:rPr>
                <w:sz w:val="1"/>
                <w:szCs w:val="1"/>
                <w:color w:val="auto"/>
              </w:rPr>
            </w:pPr>
          </w:p>
        </w:tc>
      </w:tr>
      <w:tr>
        <w:trPr>
          <w:trHeight w:val="223"/>
        </w:trPr>
        <w:tc>
          <w:tcPr>
            <w:tcW w:w="4860" w:type="dxa"/>
            <w:vAlign w:val="bottom"/>
            <w:gridSpan w:val="2"/>
          </w:tcPr>
          <w:p>
            <w:pPr>
              <w:spacing w:after="0"/>
              <w:rPr>
                <w:sz w:val="20"/>
                <w:szCs w:val="20"/>
                <w:color w:val="auto"/>
              </w:rPr>
            </w:pPr>
            <w:r>
              <w:rPr>
                <w:rFonts w:ascii="Arial" w:cs="Arial" w:eastAsia="Arial" w:hAnsi="Arial"/>
                <w:sz w:val="18"/>
                <w:szCs w:val="18"/>
                <w:color w:val="auto"/>
                <w:w w:val="98"/>
              </w:rPr>
              <w:t>Total stock-based compensation expense included in net loss</w:t>
            </w: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5,061</w:t>
            </w:r>
          </w:p>
        </w:tc>
        <w:tc>
          <w:tcPr>
            <w:tcW w:w="20" w:type="dxa"/>
            <w:vAlign w:val="bottom"/>
            <w:tcBorders>
              <w:bottom w:val="single" w:sz="8" w:color="auto"/>
            </w:tcBorders>
          </w:tcPr>
          <w:p>
            <w:pPr>
              <w:spacing w:after="0"/>
              <w:rPr>
                <w:sz w:val="19"/>
                <w:szCs w:val="19"/>
                <w:color w:val="auto"/>
              </w:rPr>
            </w:pPr>
          </w:p>
        </w:tc>
        <w:tc>
          <w:tcPr>
            <w:tcW w:w="46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4,950</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15,596</w:t>
            </w: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18,727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left="120" w:right="420"/>
        <w:spacing w:after="0" w:line="277" w:lineRule="auto"/>
        <w:rPr>
          <w:sz w:val="20"/>
          <w:szCs w:val="20"/>
          <w:color w:val="auto"/>
        </w:rPr>
      </w:pPr>
      <w:r>
        <w:rPr>
          <w:rFonts w:ascii="Arial" w:cs="Arial" w:eastAsia="Arial" w:hAnsi="Arial"/>
          <w:sz w:val="18"/>
          <w:szCs w:val="18"/>
          <w:color w:val="auto"/>
        </w:rPr>
        <w:t>Unrecognized stock-based compensation expense on stock options as of September 30, 2020 was $41.1 million with a weighted average remaining period of 2.7 years.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8. Commitments and Contingencies</w:t>
      </w:r>
    </w:p>
    <w:p>
      <w:pPr>
        <w:spacing w:after="0" w:line="121" w:lineRule="exact"/>
        <w:rPr>
          <w:sz w:val="20"/>
          <w:szCs w:val="20"/>
          <w:color w:val="auto"/>
        </w:rPr>
      </w:pPr>
    </w:p>
    <w:p>
      <w:pPr>
        <w:ind w:left="120" w:right="20"/>
        <w:spacing w:after="0" w:line="293" w:lineRule="auto"/>
        <w:rPr>
          <w:sz w:val="20"/>
          <w:szCs w:val="20"/>
          <w:color w:val="auto"/>
        </w:rPr>
      </w:pPr>
      <w:r>
        <w:rPr>
          <w:rFonts w:ascii="Arial" w:cs="Arial" w:eastAsia="Arial" w:hAnsi="Arial"/>
          <w:sz w:val="16"/>
          <w:szCs w:val="16"/>
          <w:color w:val="auto"/>
        </w:rPr>
        <w:t>The Company has a Research, Development and Commercialization Agreement with Hoffmann-La Roche (“Roche”) which grants the Company a sole and exclusive license to develop, use, sell, offer for sale and import any Licensed Product as defined by the agreement. The agreement requires future milestone payments to Roche. Remaining milestones under the agreement total $8 million and are earned by achieving specified objectives related to future regulatory approval in the United States and Europe of a product developed from resmetirom. A single-digit royalty payment range is based on net sales of products developed from resmetirom, subject to certain reductions. Except as described above, the Company has not achieved any additional product development or regulatory milestones and had no Licensed Product sales for the nine months ended September 30, 2020 and 2019.</w:t>
      </w:r>
    </w:p>
    <w:p>
      <w:pPr>
        <w:spacing w:after="0" w:line="16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Company has entered into customary contractual arrangements and letters of intent in support of its Phase 3 clinical trials.</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9. Subsequent Event</w:t>
      </w:r>
    </w:p>
    <w:p>
      <w:pPr>
        <w:spacing w:after="0" w:line="121" w:lineRule="exact"/>
        <w:rPr>
          <w:sz w:val="20"/>
          <w:szCs w:val="20"/>
          <w:color w:val="auto"/>
        </w:rPr>
      </w:pPr>
    </w:p>
    <w:p>
      <w:pPr>
        <w:ind w:left="120" w:right="140"/>
        <w:spacing w:after="0" w:line="287" w:lineRule="auto"/>
        <w:rPr>
          <w:sz w:val="20"/>
          <w:szCs w:val="20"/>
          <w:color w:val="auto"/>
        </w:rPr>
      </w:pPr>
      <w:r>
        <w:rPr>
          <w:rFonts w:ascii="Arial" w:cs="Arial" w:eastAsia="Arial" w:hAnsi="Arial"/>
          <w:sz w:val="16"/>
          <w:szCs w:val="16"/>
          <w:color w:val="auto"/>
        </w:rPr>
        <w:t>In November 2020, the Company is entering into an at-the-market sales agreement (the “2020 Sales Agreement”), with Cowen and Company, LLC (“Cowen”), pursuant to which the Company may, from time to time, issue and sell shares of its common stock. The Company is not obligated to make any sales of its common stock under the 2020 Sales Agreement. Any shares sold will be sold pursuant to an effective shelf registration statement on Form S-3, (the “Registration Statement”), and a prospectus supplement that will be filed pursuant to the Registration Statement. The Sales Agreement will authorize an aggregate offering price of up to $200 million in shares of our common stock, from time to time, at the Company’s option, through Cowen as its sales agent. Sales of common stock through Cowen may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Subject to the terms and conditions of the 2020 Sales Agreement, Cowen will use commercially reasonable efforts consistent with its normal trading and sales practices to sell the common stock based upon the Company’s instructions (including any price, time or size limits or other customary parameters or conditions the Company may impose). The 2020 Sales Agreement may be terminated by the Company at any time upon 10 days’ notice.</w:t>
      </w:r>
    </w:p>
    <w:p>
      <w:pPr>
        <w:spacing w:after="0" w:line="14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320" w:top="486" w:right="4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120"/>
        <w:spacing w:after="0" w:line="285" w:lineRule="auto"/>
        <w:rPr>
          <w:sz w:val="20"/>
          <w:szCs w:val="20"/>
          <w:color w:val="auto"/>
        </w:rPr>
      </w:pPr>
      <w:r>
        <w:rPr>
          <w:rFonts w:ascii="Arial" w:cs="Arial" w:eastAsia="Arial" w:hAnsi="Arial"/>
          <w:sz w:val="16"/>
          <w:szCs w:val="16"/>
          <w:color w:val="auto"/>
        </w:rPr>
        <w:t>This Quarterly Report on Form 10-Q contains “forward-looking statements” made pursuant to the safe harbor provisions of the Private Securities Litigation Reform Act of 1995, that are based on our beliefs and assumptions and on information currently available to us, but are subject to factors beyond our control. Forward-looking statements include but are not limited to statements or references concerning: our clinical trials; research and development activities; the timing and results associated with the future development of our lead product candidate, MGL-3196 (resmetirom); our primary and secondary study endpoints for resmetirom and the potential for achieving such endpoints and projections; optimal dosing levels for resmetirom; projections regarding potential future NASH resolution, safety, fibrosis treatment, cardiovascular effects, lipid treatment or biomarker effects with resmetirom; the predictive power of liver fat reduction on NASH resolution with fibrosis reduction or improvement; the achievement of enrollment objectives concerning patient number, safety database and/or timing for our studies; potential NASH or NAFLD patient risk profile benefits with resmetirom; our possible or assumed future results of operations and expenses, business strategies and plans, capital needs and financing plans, trends, market sizing, competitive position, industry environment and potential growth opportunities, among other things. Forward-looking statements: reflect management’s current knowledge, assumptions, judgment and expectations regarding future performance or events; include all statements that are not historical facts; and can be identified by terms such as “allow,” “anticipates,” “be,” “believes,” “continue,” “could,” “demonstrates,” ”design,” “estimates,” “expects,” “forecasts,” “future,” “hopeful,” “goal,” “intends,” “may,” “might,” “plans,” “potential,” “predicts,” ”predictive,” “projects,” “seeks,” “should,” “will,” “will achieve,” “would” or similar expressions and the negatives of those terms.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w:t>
      </w:r>
    </w:p>
    <w:p>
      <w:pPr>
        <w:spacing w:after="0" w:line="176" w:lineRule="exact"/>
        <w:rPr>
          <w:sz w:val="20"/>
          <w:szCs w:val="20"/>
          <w:color w:val="auto"/>
        </w:rPr>
      </w:pPr>
    </w:p>
    <w:p>
      <w:pPr>
        <w:ind w:left="120"/>
        <w:spacing w:after="0" w:line="269" w:lineRule="auto"/>
        <w:rPr>
          <w:sz w:val="20"/>
          <w:szCs w:val="20"/>
          <w:color w:val="auto"/>
        </w:rPr>
      </w:pPr>
      <w:r>
        <w:rPr>
          <w:rFonts w:ascii="Arial" w:cs="Arial" w:eastAsia="Arial" w:hAnsi="Arial"/>
          <w:sz w:val="17"/>
          <w:szCs w:val="17"/>
          <w:color w:val="auto"/>
        </w:rPr>
        <w:t>Forward-looking statements are subject to a number of risks and uncertainties including, but not limited to: our clinical development of resmetirom; enrollment uncertainties, generally and in relation to COVID-19 quarantine, shelter-in-place and social distancing measures and individual precautionary measures that may be implemented or continued for an uncertain period of time; outcomes or trends from competitive studies; future topline data timing or results; the risks of achieving potential benefits in studies that includes substantially more patients than our prior studies; the timing and outcomes of clinical studies of resmetirom; and the uncertainties inherent in clinical testing. Undue reliance should not be placed on forward-looking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filings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“Risk Factors” sections appearing in Part I, Item 1A of our Annual Report on Form 10-K for the year ended December 31, 2019, filed with the SEC on February 26, 2020, and Part II, Item 1A of the Quarterly Report on Form 10-Q for the period ended June 30, 2020, filed with the SEC on August 6, 2020, as well as in our other filings with the SEC.</w:t>
      </w:r>
    </w:p>
    <w:p>
      <w:pPr>
        <w:spacing w:after="0" w:line="28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ind w:left="120" w:right="40"/>
        <w:spacing w:after="0" w:line="284" w:lineRule="auto"/>
        <w:rPr>
          <w:sz w:val="20"/>
          <w:szCs w:val="20"/>
          <w:color w:val="auto"/>
        </w:rPr>
      </w:pPr>
      <w:r>
        <w:rPr>
          <w:rFonts w:ascii="Arial" w:cs="Arial" w:eastAsia="Arial" w:hAnsi="Arial"/>
          <w:sz w:val="16"/>
          <w:szCs w:val="16"/>
          <w:i w:val="1"/>
          <w:iCs w:val="1"/>
          <w:color w:val="auto"/>
        </w:rPr>
        <w:t>The consolidated financial statements, included elsewhere in this Quarterly Report on Form 10-Q, and this Management’s Discussion and Analysis of Financial Condition and Results of Operations should be read together with our audited financial statements and accompanying notes for year ended December 31, 2019 and the related Management’s Discussion and Analysis of Financial Condition and Results of Operations, both of which are included in our Annual Report on Form 10-K. In addition to historical information, this discussion and analysis contains forward-looking statements within the meaning of Section 27A of the Securities Act of 1933, as amended, or the Securities Act, and Section 21E of the Securities Exchange Act of 1934, as amended, or the Exchange Act, that involve risks and uncertainties, such as statements of our plans, objectives, expectations and intentions. As disclosed in this report, our actual results could differ materially from those discussed in these forward-looking statements. Factors that could cause or contribute to such differences include, but are not limited to, those discussed in “Special Note Regarding Forward-Looking Statements” in this</w:t>
      </w:r>
    </w:p>
    <w:p>
      <w:pPr>
        <w:spacing w:after="0" w:line="1" w:lineRule="exact"/>
        <w:rPr>
          <w:sz w:val="20"/>
          <w:szCs w:val="20"/>
          <w:color w:val="auto"/>
        </w:rPr>
      </w:pPr>
    </w:p>
    <w:p>
      <w:pPr>
        <w:jc w:val="both"/>
        <w:ind w:left="120" w:right="60"/>
        <w:spacing w:after="0" w:line="302" w:lineRule="auto"/>
        <w:rPr>
          <w:sz w:val="20"/>
          <w:szCs w:val="20"/>
          <w:color w:val="auto"/>
        </w:rPr>
      </w:pPr>
      <w:r>
        <w:rPr>
          <w:rFonts w:ascii="Arial" w:cs="Arial" w:eastAsia="Arial" w:hAnsi="Arial"/>
          <w:sz w:val="16"/>
          <w:szCs w:val="16"/>
          <w:i w:val="1"/>
          <w:iCs w:val="1"/>
          <w:color w:val="auto"/>
        </w:rPr>
        <w:t>Form 10-Q and in the “Risk Factors” sections contained in Part I, Item 1A of our Annual Report on Form 10-K for the year ended December 31, 2019, filed with the SEC on February 26, 2020, and Part II, Item 1A of the Quarterly Report on Form 10-Q for the period ended June 30, 2020, filed with the SEC on August 6, 2020. Our operating results are not necessarily indicative of results that may occur for the full fiscal year or any other future period.</w:t>
      </w:r>
    </w:p>
    <w:p>
      <w:pPr>
        <w:spacing w:after="0" w:line="25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About Madrigal Pharmaceuticals, Inc.</w:t>
      </w:r>
    </w:p>
    <w:p>
      <w:pPr>
        <w:spacing w:after="0" w:line="121" w:lineRule="exact"/>
        <w:rPr>
          <w:sz w:val="20"/>
          <w:szCs w:val="20"/>
          <w:color w:val="auto"/>
        </w:rPr>
      </w:pPr>
    </w:p>
    <w:p>
      <w:pPr>
        <w:ind w:left="120" w:right="20"/>
        <w:spacing w:after="0" w:line="279" w:lineRule="auto"/>
        <w:rPr>
          <w:sz w:val="20"/>
          <w:szCs w:val="20"/>
          <w:color w:val="auto"/>
        </w:rPr>
      </w:pPr>
      <w:r>
        <w:rPr>
          <w:rFonts w:ascii="Arial" w:cs="Arial" w:eastAsia="Arial" w:hAnsi="Arial"/>
          <w:sz w:val="17"/>
          <w:szCs w:val="17"/>
          <w:i w:val="1"/>
          <w:iCs w:val="1"/>
          <w:color w:val="auto"/>
        </w:rPr>
        <w:t xml:space="preserve">Our Focus. </w:t>
      </w:r>
      <w:r>
        <w:rPr>
          <w:rFonts w:ascii="Arial" w:cs="Arial" w:eastAsia="Arial" w:hAnsi="Arial"/>
          <w:sz w:val="17"/>
          <w:szCs w:val="17"/>
          <w:color w:val="auto"/>
        </w:rPr>
        <w:t>We are a clinical-stage biopharmaceutical company focused on the development and commercialization of innovative therapeutic candidates</w:t>
      </w:r>
      <w:r>
        <w:rPr>
          <w:rFonts w:ascii="Arial" w:cs="Arial" w:eastAsia="Arial" w:hAnsi="Arial"/>
          <w:sz w:val="17"/>
          <w:szCs w:val="17"/>
          <w:i w:val="1"/>
          <w:iCs w:val="1"/>
          <w:color w:val="auto"/>
        </w:rPr>
        <w:t xml:space="preserve"> </w:t>
      </w:r>
      <w:r>
        <w:rPr>
          <w:rFonts w:ascii="Arial" w:cs="Arial" w:eastAsia="Arial" w:hAnsi="Arial"/>
          <w:sz w:val="17"/>
          <w:szCs w:val="17"/>
          <w:color w:val="auto"/>
        </w:rPr>
        <w:t>for the treatment of cardiovascular, metabolic, and liver diseases. Our lead product candidate, MGL-3196 (resmetirom), is a proprietary, liver-directed, selective thyroid hormone receptor-ß, or THR-ß, agonist being developed as a once-daily oral pill that can potentially be used to treat a number of disease states with high unmet medical need, including non-alcoholic steatohepatitis, or NASH.</w:t>
      </w:r>
    </w:p>
    <w:p>
      <w:pPr>
        <w:spacing w:after="0" w:line="171" w:lineRule="exact"/>
        <w:rPr>
          <w:sz w:val="20"/>
          <w:szCs w:val="20"/>
          <w:color w:val="auto"/>
        </w:rPr>
      </w:pPr>
    </w:p>
    <w:p>
      <w:pPr>
        <w:ind w:left="120" w:right="20"/>
        <w:spacing w:after="0" w:line="259" w:lineRule="auto"/>
        <w:rPr>
          <w:sz w:val="20"/>
          <w:szCs w:val="20"/>
          <w:color w:val="auto"/>
        </w:rPr>
      </w:pPr>
      <w:r>
        <w:rPr>
          <w:rFonts w:ascii="Arial" w:cs="Arial" w:eastAsia="Arial" w:hAnsi="Arial"/>
          <w:sz w:val="18"/>
          <w:szCs w:val="18"/>
          <w:i w:val="1"/>
          <w:iCs w:val="1"/>
          <w:color w:val="auto"/>
        </w:rPr>
        <w:t xml:space="preserve">Our Patient Market Opportunity. </w:t>
      </w:r>
      <w:r>
        <w:rPr>
          <w:rFonts w:ascii="Arial" w:cs="Arial" w:eastAsia="Arial" w:hAnsi="Arial"/>
          <w:sz w:val="18"/>
          <w:szCs w:val="18"/>
          <w:color w:val="auto"/>
        </w:rPr>
        <w:t>NASH is a serious inflammatory form of nonalcoholic fatty liver disease, or NAFLD. NAFLD has become the most</w:t>
      </w:r>
      <w:r>
        <w:rPr>
          <w:rFonts w:ascii="Arial" w:cs="Arial" w:eastAsia="Arial" w:hAnsi="Arial"/>
          <w:sz w:val="18"/>
          <w:szCs w:val="18"/>
          <w:i w:val="1"/>
          <w:iCs w:val="1"/>
          <w:color w:val="auto"/>
        </w:rPr>
        <w:t xml:space="preserve"> </w:t>
      </w:r>
      <w:r>
        <w:rPr>
          <w:rFonts w:ascii="Arial" w:cs="Arial" w:eastAsia="Arial" w:hAnsi="Arial"/>
          <w:sz w:val="18"/>
          <w:szCs w:val="18"/>
          <w:color w:val="auto"/>
        </w:rPr>
        <w:t>common liver disease in the United States and other developed countries and is characterized by an accumulation of fat in the liver with no other apparent causes. NASH can progress to cirrhosis or liver failure, require liver transplantation and can also result in liver cancer. Progression of NASH to end stage liver disease will soon surpass all other causes of liver failure requiring liver</w:t>
      </w:r>
    </w:p>
    <w:p>
      <w:pPr>
        <w:sectPr>
          <w:pgSz w:w="11900" w:h="16838" w:orient="portrait"/>
          <w:cols w:equalWidth="0" w:num="1">
            <w:col w:w="11120"/>
          </w:cols>
          <w:pgMar w:left="320" w:top="486" w:right="459" w:bottom="1440" w:gutter="0" w:footer="0" w:header="0"/>
        </w:sectPr>
      </w:pPr>
    </w:p>
    <w:p>
      <w:pPr>
        <w:spacing w:after="0" w:line="119"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120"/>
          </w:cols>
          <w:pgMar w:left="320" w:top="486" w:right="459" w:bottom="1440" w:gutter="0" w:footer="0" w:header="0"/>
          <w:type w:val="continuous"/>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5" w:lineRule="auto"/>
        <w:rPr>
          <w:sz w:val="20"/>
          <w:szCs w:val="20"/>
          <w:color w:val="auto"/>
        </w:rPr>
      </w:pPr>
      <w:r>
        <w:rPr>
          <w:rFonts w:ascii="Arial" w:cs="Arial" w:eastAsia="Arial" w:hAnsi="Arial"/>
          <w:sz w:val="18"/>
          <w:szCs w:val="18"/>
          <w:color w:val="auto"/>
        </w:rPr>
        <w:t>transplantation. Importantly, beyond these critical conditions, NASH and NAFLD patients additionally suffer heightened cardiovascular risk and, in fact, die more frequently from cardiovascular events than from liver disease. NASH and NAFLD have grown as a consequence of rising worldwide obesity-related disorders. In the United States alone, NAFLD is estimated to affect approximately 27% to 34% of the population, or an estimated 86 million to 108 million people, and approximately 10% to 20% of this population is projected to progress from NAFLD to NASH. Current estimates place NASH prevalence at approximately 9 million to 15 million people in the United States, or three percent to five percent of the population, with similar prevalence in Europe and Asia.</w:t>
      </w:r>
    </w:p>
    <w:p>
      <w:pPr>
        <w:spacing w:after="0" w:line="192" w:lineRule="exact"/>
        <w:rPr>
          <w:sz w:val="20"/>
          <w:szCs w:val="20"/>
          <w:color w:val="auto"/>
        </w:rPr>
      </w:pPr>
    </w:p>
    <w:p>
      <w:pPr>
        <w:ind w:left="120" w:right="60"/>
        <w:spacing w:after="0" w:line="289" w:lineRule="auto"/>
        <w:rPr>
          <w:sz w:val="20"/>
          <w:szCs w:val="20"/>
          <w:color w:val="auto"/>
        </w:rPr>
      </w:pPr>
      <w:r>
        <w:rPr>
          <w:rFonts w:ascii="Arial" w:cs="Arial" w:eastAsia="Arial" w:hAnsi="Arial"/>
          <w:sz w:val="16"/>
          <w:szCs w:val="16"/>
          <w:i w:val="1"/>
          <w:iCs w:val="1"/>
          <w:color w:val="auto"/>
        </w:rPr>
        <w:t xml:space="preserve">Our Completed Studies. </w:t>
      </w:r>
      <w:r>
        <w:rPr>
          <w:rFonts w:ascii="Arial" w:cs="Arial" w:eastAsia="Arial" w:hAnsi="Arial"/>
          <w:sz w:val="16"/>
          <w:szCs w:val="16"/>
          <w:color w:val="auto"/>
        </w:rPr>
        <w:t>For NASH, we enrolled 125 patients in a Phase 2 clinical trial with resmetirom. We achieved the 12-week primary endpoint for</w:t>
      </w:r>
      <w:r>
        <w:rPr>
          <w:rFonts w:ascii="Arial" w:cs="Arial" w:eastAsia="Arial" w:hAnsi="Arial"/>
          <w:sz w:val="16"/>
          <w:szCs w:val="16"/>
          <w:i w:val="1"/>
          <w:iCs w:val="1"/>
          <w:color w:val="auto"/>
        </w:rPr>
        <w:t xml:space="preserve"> </w:t>
      </w:r>
      <w:r>
        <w:rPr>
          <w:rFonts w:ascii="Arial" w:cs="Arial" w:eastAsia="Arial" w:hAnsi="Arial"/>
          <w:sz w:val="16"/>
          <w:szCs w:val="16"/>
          <w:color w:val="auto"/>
        </w:rPr>
        <w:t>this Phase 2 clinical trial and reported the results in December 2017, and we reported positive topline 36-week results at the conclusion of the Phase 2 clinical trial in May 2018. We have completed treatment in a 36-week, open-label extension study in 31 participating NASH patients from our Phase 2 clinical trial, which includes 14 patients who received placebo in the main study. We also completed a 116 patient Phase 2 clinical trial and announced results in February 2018 for the use of resmetirom in patients with heterozygous familial hypercholesterolemia, or HeFH. In addition to the NASH and HeFH Phase 2 clinical trials, resmetirom has also been studied in eight completed Phase 1 trials in a total of 219 subjects. Resmetirom appeared to be safe and was well-tolerated in these trials, which included a single ascending dose trial, a multiple ascending dose trial, two drug interaction trials with statins, a multiple dose mass balance study, a single dose relative bioavailability study of tablet formulation versus capsule formulation, a multiple dose drug interaction study, and a multiple dose drug interaction with food effect study.</w:t>
      </w:r>
    </w:p>
    <w:p>
      <w:pPr>
        <w:spacing w:after="0" w:line="166" w:lineRule="exact"/>
        <w:rPr>
          <w:sz w:val="20"/>
          <w:szCs w:val="20"/>
          <w:color w:val="auto"/>
        </w:rPr>
      </w:pPr>
    </w:p>
    <w:p>
      <w:pPr>
        <w:ind w:left="120" w:right="100"/>
        <w:spacing w:after="0" w:line="269" w:lineRule="auto"/>
        <w:rPr>
          <w:sz w:val="20"/>
          <w:szCs w:val="20"/>
          <w:color w:val="auto"/>
        </w:rPr>
      </w:pPr>
      <w:r>
        <w:rPr>
          <w:rFonts w:ascii="Arial" w:cs="Arial" w:eastAsia="Arial" w:hAnsi="Arial"/>
          <w:sz w:val="17"/>
          <w:szCs w:val="17"/>
          <w:i w:val="1"/>
          <w:iCs w:val="1"/>
          <w:color w:val="auto"/>
        </w:rPr>
        <w:t xml:space="preserve">Our Ongoing and Planned Studies. </w:t>
      </w:r>
      <w:r>
        <w:rPr>
          <w:rFonts w:ascii="Arial" w:cs="Arial" w:eastAsia="Arial" w:hAnsi="Arial"/>
          <w:sz w:val="17"/>
          <w:szCs w:val="17"/>
          <w:color w:val="auto"/>
        </w:rPr>
        <w:t>On March 28, 2019, the Company announced that it had initiated MAESTRO-NASH, a Phase 3 trial in NASH with</w:t>
      </w:r>
      <w:r>
        <w:rPr>
          <w:rFonts w:ascii="Arial" w:cs="Arial" w:eastAsia="Arial" w:hAnsi="Arial"/>
          <w:sz w:val="17"/>
          <w:szCs w:val="17"/>
          <w:i w:val="1"/>
          <w:iCs w:val="1"/>
          <w:color w:val="auto"/>
        </w:rPr>
        <w:t xml:space="preserve"> </w:t>
      </w:r>
      <w:r>
        <w:rPr>
          <w:rFonts w:ascii="Arial" w:cs="Arial" w:eastAsia="Arial" w:hAnsi="Arial"/>
          <w:sz w:val="17"/>
          <w:szCs w:val="17"/>
          <w:color w:val="auto"/>
        </w:rPr>
        <w:t>its once daily, oral thyroid hormone receptor beta selective agonist, resmetirom. This double-blind, placebo-controlled study will be conducted at more than 150 sites in the United States and the rest of the world. Patients with liver biopsy confirmed NASH with stage 2 or 3 fibrosis will be randomized 1:1:1 to receive a single oral daily dose of placebo, resmetirom 80 mg or resmetirom 100 mg. A second liver biopsy at week 52 in the first 900 patients will be the basis of filing for subpart H-accelerated approval; the primary endpoint will be the percent of patients treated with either dose of resmetirom as compared with placebo who achieve NASH resolution on the week 52 liver biopsy, defined as the absence of hepatocyte ballooning (score=0), and minimal lobular inflammation (score 0-1), associated with at least a 2-point reduction in NAS (NAFLD Activity Score), and no worsening of fibrosis stage. Two key secondary endpoints are reduction in LDL-cholesterol and a 1-point or more improvement in fibrosis stage on the week 52 biopsy with no worsening of NASH. Patients will continue in the study for a total of approximately 54 months, and will be evaluated for a composite clinical outcome including cirrhosis on liver biopsy, or a liver related event such a hepatic decompensation. The total anticipated enrollment is approximately 2,000 patients, and will include up to 15% high risk F1 fibrosis stage NASH patients whose efficacy responses will be evaluated as exploratory endpoints.</w:t>
      </w:r>
    </w:p>
    <w:p>
      <w:pPr>
        <w:spacing w:after="0" w:line="179" w:lineRule="exact"/>
        <w:rPr>
          <w:sz w:val="20"/>
          <w:szCs w:val="20"/>
          <w:color w:val="auto"/>
        </w:rPr>
      </w:pPr>
    </w:p>
    <w:p>
      <w:pPr>
        <w:ind w:left="120" w:right="20"/>
        <w:spacing w:after="0" w:line="270" w:lineRule="auto"/>
        <w:rPr>
          <w:sz w:val="20"/>
          <w:szCs w:val="20"/>
          <w:color w:val="auto"/>
        </w:rPr>
      </w:pPr>
      <w:r>
        <w:rPr>
          <w:rFonts w:ascii="Arial" w:cs="Arial" w:eastAsia="Arial" w:hAnsi="Arial"/>
          <w:sz w:val="17"/>
          <w:szCs w:val="17"/>
          <w:color w:val="auto"/>
        </w:rPr>
        <w:t>On December 18, 2019 the Company announced it had opened for enrollment MAESTRO-NAFLD-1, a 52-week, double-blind, placebo controlled Phase 3 clinical study originally targeting enrollment of 700 patients with biopsy-confirmed or presumed NASH recruited from sites in the U.S. Key endpoints are safety, including safety biomarkers, LDL cholesterol, lipid biomarkers, and fibrosis biomarkers. Except for serial liver biopsies, the study protocol is similar to the MAESTRO-NASH study with resmetirom doses of 80 mg or 100 mg or placebo and includes key secondary lipid, MRI-PDFF and NASH biomarker endpoints. Enrollment objectives for this study have been exceeded, with approximately 1,200 patients enrolled overall. In October 2020 we completed enrollment of the double-blind, placebo controlled arms of the study. This may allow topline data from the 52 week double blind arms by the end of 2021. Open label enrollment is ongoing for patients with compensated NASH cirrhosis. The MAESTRO-NAFLD-1 study will help support the adequacy of the safety database at the time of NDA submission for subpart H approval for treatment of NASH in patients with F2 or F3 fibrosis (MAESTRO-NASH, NASH resolution surrogate endpoint).</w:t>
      </w:r>
    </w:p>
    <w:p>
      <w:pPr>
        <w:spacing w:after="0" w:line="28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Recent Developments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Initiation of MAESTRO-NASH Phase 3 clinical trial</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In March of 2019 we initiated a Phase 3 trial in NASH, described in detail above under “About Madrigal; Our Ongoing and Planned Studies.”</w:t>
      </w:r>
    </w:p>
    <w:p>
      <w:pPr>
        <w:spacing w:after="0" w:line="34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FDA grants Fast Track designation for resmetirom in NASH</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In October 2019, FDA granted Fast Track designation to resmetirom for NASH.</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Initiation of MAESTRO-NAFLD-1 Phase 3 clinical trial and completion of enrollment of the double-blind, placebo controlled arm</w:t>
      </w:r>
    </w:p>
    <w:p>
      <w:pPr>
        <w:spacing w:after="0" w:line="117" w:lineRule="exact"/>
        <w:rPr>
          <w:sz w:val="20"/>
          <w:szCs w:val="20"/>
          <w:color w:val="auto"/>
        </w:rPr>
      </w:pPr>
    </w:p>
    <w:p>
      <w:pPr>
        <w:ind w:left="120" w:right="660"/>
        <w:spacing w:after="0" w:line="277" w:lineRule="auto"/>
        <w:rPr>
          <w:sz w:val="20"/>
          <w:szCs w:val="20"/>
          <w:color w:val="auto"/>
        </w:rPr>
      </w:pPr>
      <w:r>
        <w:rPr>
          <w:rFonts w:ascii="Arial" w:cs="Arial" w:eastAsia="Arial" w:hAnsi="Arial"/>
          <w:sz w:val="18"/>
          <w:szCs w:val="18"/>
          <w:color w:val="auto"/>
        </w:rPr>
        <w:t>In December 2019 we initiated a Phase 3 trial in presumed NASH, described in detail above under “About Madrigal; Our Ongoing and Planned Studies.”</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In October 2020 we completed enrollment of the double-blind, placebo controlled arms of the study.</w:t>
      </w:r>
    </w:p>
    <w:p>
      <w:pPr>
        <w:spacing w:after="0" w:line="1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120"/>
          </w:cols>
          <w:pgMar w:left="320" w:top="486" w:right="4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COVID-19 Pandemic Effects on Madrigal</w:t>
      </w:r>
    </w:p>
    <w:p>
      <w:pPr>
        <w:spacing w:after="0" w:line="117" w:lineRule="exact"/>
        <w:rPr>
          <w:sz w:val="20"/>
          <w:szCs w:val="20"/>
          <w:color w:val="auto"/>
        </w:rPr>
      </w:pPr>
    </w:p>
    <w:p>
      <w:pPr>
        <w:ind w:left="120" w:right="20"/>
        <w:spacing w:after="0" w:line="272" w:lineRule="auto"/>
        <w:rPr>
          <w:sz w:val="20"/>
          <w:szCs w:val="20"/>
          <w:color w:val="auto"/>
        </w:rPr>
      </w:pPr>
      <w:r>
        <w:rPr>
          <w:rFonts w:ascii="Arial" w:cs="Arial" w:eastAsia="Arial" w:hAnsi="Arial"/>
          <w:sz w:val="17"/>
          <w:szCs w:val="17"/>
          <w:color w:val="auto"/>
        </w:rPr>
        <w:t>In April 2020 we announced that in response to guidance from regulatory agencies, measures for COVID-19 at impacted sites have been put in place for its Phase 3 MAESTRO-NASH and MAESTRO-NAFLD-1 studies, allowing both studies to continue without changes to the protocol. At a recently conducted Data Monitoring Committee (DMC) meeting it was recommended that Phase 3 studies proceed without modification. The COVID-19 pandemic had no material adverse impact on our operating results, MAESTRO-NAFLD-1 study or liquidity for the period ended September 30, 2020, but it did introduce clinical trial and operational risks and uncertainties that are both general in nature and relate specifically to our MAESTRO-NASH study. These risks and uncertainties, which are beyond our control, are referenced as “Risk Factors” and summarized in Part II, Item 1A, “Risk Factors” on Form 10-Q for the period ending June 30, 2020 filed with the SEC on August 6, 2020.</w:t>
      </w:r>
    </w:p>
    <w:p>
      <w:pPr>
        <w:spacing w:after="0" w:line="2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17" w:lineRule="exact"/>
        <w:rPr>
          <w:sz w:val="20"/>
          <w:szCs w:val="20"/>
          <w:color w:val="auto"/>
        </w:rPr>
      </w:pPr>
    </w:p>
    <w:p>
      <w:pPr>
        <w:ind w:left="120" w:right="40"/>
        <w:spacing w:after="0" w:line="291"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We expense our research and development expenses as incurred. We contract with clinical research organizations to manage our clinical trials under agreed upon budgets for each study, with oversight by our clinical program managers. We account for nonrefundable advance payments for goods and services that will be used in future research and development activities as expenses when the service has been performed or when the goods have been received. Manufacturing expense includes costs associated with drug formulation development and clinical drug production. We do not track employee and facility related research and development costs by project, as we typically use our employee and infrastructure resources across multiple research and development programs. We believe that the allocation of such costs would be arbitrary and not be meaningful.</w:t>
      </w:r>
    </w:p>
    <w:p>
      <w:pPr>
        <w:spacing w:after="0" w:line="16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Our research and development expenses consist primarily of:</w:t>
      </w:r>
    </w:p>
    <w:p>
      <w:pPr>
        <w:spacing w:after="0" w:line="131" w:lineRule="exact"/>
        <w:rPr>
          <w:sz w:val="20"/>
          <w:szCs w:val="20"/>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salaries and related expense, including stock-based compensation;</w:t>
      </w:r>
    </w:p>
    <w:p>
      <w:pPr>
        <w:spacing w:after="0" w:line="130" w:lineRule="exact"/>
        <w:rPr>
          <w:rFonts w:ascii="Arial" w:cs="Arial" w:eastAsia="Arial" w:hAnsi="Arial"/>
          <w:sz w:val="18"/>
          <w:szCs w:val="18"/>
          <w:color w:val="auto"/>
        </w:rPr>
      </w:pPr>
    </w:p>
    <w:p>
      <w:pPr>
        <w:ind w:left="1080" w:right="220" w:hanging="532"/>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external expenses paid to clinical trial sites, contract research organizations, laboratories, database software and consultants that conduct clinical trials;</w:t>
      </w:r>
    </w:p>
    <w:p>
      <w:pPr>
        <w:spacing w:after="0" w:line="75"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color w:val="auto"/>
        </w:rPr>
        <w:t>expenses related to development and the production of nonclinical and clinical trial supplies, including fees paid to contract manufacturers;</w:t>
      </w:r>
    </w:p>
    <w:p>
      <w:pPr>
        <w:spacing w:after="0" w:line="153" w:lineRule="exact"/>
        <w:rPr>
          <w:rFonts w:ascii="Arial" w:cs="Arial" w:eastAsia="Arial" w:hAnsi="Arial"/>
          <w:sz w:val="16"/>
          <w:szCs w:val="16"/>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expenses related to preclinical studies;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expenses related to compliance with drug development regulatory requirements; and</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other allocated expenses, which include direct and allocated expenses for depreciation of equipment and other supplies.</w:t>
      </w:r>
    </w:p>
    <w:p>
      <w:pPr>
        <w:spacing w:after="0" w:line="225" w:lineRule="exact"/>
        <w:rPr>
          <w:sz w:val="20"/>
          <w:szCs w:val="20"/>
          <w:color w:val="auto"/>
        </w:rPr>
      </w:pPr>
    </w:p>
    <w:p>
      <w:pPr>
        <w:ind w:left="120" w:right="120"/>
        <w:spacing w:after="0" w:line="290" w:lineRule="auto"/>
        <w:rPr>
          <w:sz w:val="20"/>
          <w:szCs w:val="20"/>
          <w:color w:val="auto"/>
        </w:rPr>
      </w:pPr>
      <w:r>
        <w:rPr>
          <w:rFonts w:ascii="Arial" w:cs="Arial" w:eastAsia="Arial" w:hAnsi="Arial"/>
          <w:sz w:val="16"/>
          <w:szCs w:val="16"/>
          <w:color w:val="auto"/>
        </w:rPr>
        <w:t>We expect to continue to incur substantial expenses related to our development activities for the foreseeable future as we conduct our clinical studies programs, manufacturing and toxicology studies. Product candidates in later stages of clinical development generally have higher development costs than those in earlier stages of clinical development, primarily due to the increased size and duration of later-stage clinical trials, additional drug manufacturing requirements, and later stage toxicology studies such as carcinogenicity studies. Our research and development expenses have increased period over period in each of 2020 and 2019 and we expect that our research and development expenses will increase substantially in the future. The process of conducting preclinical studies and clinical trials necessary to obtain regulatory approval is costly and time consuming. The probability of success for each product candidate is affected by numerous factors, including preclinical data, clinical data, competition, manufacturing capability and commercial viability. Accordingly, we may never succeed in achieving marketing approval for any of our product candidates.</w:t>
      </w:r>
    </w:p>
    <w:p>
      <w:pPr>
        <w:spacing w:after="0" w:line="165" w:lineRule="exact"/>
        <w:rPr>
          <w:sz w:val="20"/>
          <w:szCs w:val="20"/>
          <w:color w:val="auto"/>
        </w:rPr>
      </w:pPr>
    </w:p>
    <w:p>
      <w:pPr>
        <w:ind w:left="120"/>
        <w:spacing w:after="0" w:line="293" w:lineRule="auto"/>
        <w:rPr>
          <w:sz w:val="20"/>
          <w:szCs w:val="20"/>
          <w:color w:val="auto"/>
        </w:rPr>
      </w:pPr>
      <w:r>
        <w:rPr>
          <w:rFonts w:ascii="Arial" w:cs="Arial" w:eastAsia="Arial" w:hAnsi="Arial"/>
          <w:sz w:val="16"/>
          <w:szCs w:val="16"/>
          <w:color w:val="auto"/>
        </w:rPr>
        <w:t>Completion dates and costs for our clinical development programs as well as our research program can vary significantly for each current and future product candidate and are difficult to predict. As a result, we cannot estimate with any degree of certainty the costs we will incur in connection with the development of our product candidates at this point in time. We expect that we will make determinations as to which programs and product candidates to pursue and how much funding to direct to each program and product candidate on an ongoing basis in response to the scientific success of early research programs, results of ongoing and future clinical trials, our ability to enter into collaborative agreements with respect to programs or potential product candidates, as well as ongoing assessments as to each current or future product candidate’s commercial potential.</w:t>
      </w:r>
    </w:p>
    <w:p>
      <w:pPr>
        <w:spacing w:after="0" w:line="27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17" w:lineRule="exact"/>
        <w:rPr>
          <w:sz w:val="20"/>
          <w:szCs w:val="20"/>
          <w:color w:val="auto"/>
        </w:rPr>
      </w:pPr>
    </w:p>
    <w:p>
      <w:pPr>
        <w:jc w:val="both"/>
        <w:ind w:left="120" w:right="200"/>
        <w:spacing w:after="0" w:line="263" w:lineRule="auto"/>
        <w:rPr>
          <w:sz w:val="20"/>
          <w:szCs w:val="20"/>
          <w:color w:val="auto"/>
        </w:rPr>
      </w:pPr>
      <w:r>
        <w:rPr>
          <w:rFonts w:ascii="Arial" w:cs="Arial" w:eastAsia="Arial" w:hAnsi="Arial"/>
          <w:sz w:val="18"/>
          <w:szCs w:val="18"/>
          <w:color w:val="auto"/>
        </w:rPr>
        <w:t>General and administrative expenses consist primarily of salaries, benefits and stock-based compensation expenses for employees, management costs, costs associated with obtaining and maintaining our patent portfolio, professional fees for accounting, auditing, consulting and legal services, liability insurance, and allocated overhead expenses.</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20"/>
          </w:cols>
          <w:pgMar w:left="320" w:top="486" w:right="4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80"/>
        <w:spacing w:after="0" w:line="257" w:lineRule="auto"/>
        <w:rPr>
          <w:sz w:val="20"/>
          <w:szCs w:val="20"/>
          <w:color w:val="auto"/>
        </w:rPr>
      </w:pPr>
      <w:r>
        <w:rPr>
          <w:rFonts w:ascii="Arial" w:cs="Arial" w:eastAsia="Arial" w:hAnsi="Arial"/>
          <w:sz w:val="18"/>
          <w:szCs w:val="18"/>
          <w:color w:val="auto"/>
        </w:rPr>
        <w:t>We expect that our general and administrative expenses may increase in the future as we advance our clinical and preclinical development programs for resmetirom and expand our operating activities, including maintaining and expanding our patent portfolio, incurring additional costs associated with being a public company and maintaining compliance with exchange listing and SEC requirements. We expect these potential increases will likely include management costs, legal fees, accounting fees, directors’ and officers’ liability insurance premiums and expenses associated with investor relations.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left="120" w:right="60"/>
        <w:spacing w:after="0" w:line="269" w:lineRule="auto"/>
        <w:rPr>
          <w:sz w:val="20"/>
          <w:szCs w:val="20"/>
          <w:color w:val="auto"/>
        </w:rPr>
      </w:pPr>
      <w:r>
        <w:rPr>
          <w:rFonts w:ascii="Arial" w:cs="Arial" w:eastAsia="Arial" w:hAnsi="Arial"/>
          <w:sz w:val="17"/>
          <w:szCs w:val="17"/>
          <w:color w:val="auto"/>
        </w:rPr>
        <w:t>Our management’s discussion and analysis of our financial condition and results of operations are based on our financial statements, which have been prepared in accordance with generally accepted accounting principles in the United States. The preparation of these financial statements requires us to make estimates and judgments that affect the reported amount of assets, liabilities, and expenses and the disclosure of contingent assets and liabilities as of the date of the financial statements. On an ongoing basis, we evaluate our estimates and judgments, including those related to accrued research and development expenses and stock-based compensation expense. We base our estimates on historical experience, known trends and events, and various other factors that are believed to be reasonable under the circumstances, the results of which form the basis for making judgments about the carrying value of assets and liabilities that are not readily apparent from other sources. Actual results may differ materially from these estimates under different assumptions or conditions. There have been no material changes in our critical accounting policies and significant judgments and estimates during the nine months ended September 30, 2020, as compared to those disclosed in our Annual Report on Form 10-K for the fiscal year ended December 31, 2019 filed with the SEC on February 26, 2020.</w:t>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Three months Ended September 30, 2020 and 2019</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following table provides comparative unaudited results of operations for the three months ended September 30, 2020 and 2019 (in thousands):</w:t>
      </w:r>
    </w:p>
    <w:p>
      <w:pPr>
        <w:spacing w:after="0" w:line="267"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43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560" w:type="dxa"/>
            <w:vAlign w:val="bottom"/>
            <w:gridSpan w:val="7"/>
          </w:tcPr>
          <w:p>
            <w:pPr>
              <w:jc w:val="right"/>
              <w:ind w:right="320"/>
              <w:spacing w:after="0"/>
              <w:rPr>
                <w:sz w:val="20"/>
                <w:szCs w:val="20"/>
                <w:color w:val="auto"/>
              </w:rPr>
            </w:pPr>
            <w:r>
              <w:rPr>
                <w:rFonts w:ascii="Arial" w:cs="Arial" w:eastAsia="Arial" w:hAnsi="Arial"/>
                <w:sz w:val="14"/>
                <w:szCs w:val="14"/>
                <w:b w:val="1"/>
                <w:bCs w:val="1"/>
                <w:color w:val="auto"/>
                <w:w w:val="93"/>
              </w:rPr>
              <w:t>Three Months Ended September 30,</w:t>
            </w:r>
          </w:p>
        </w:tc>
        <w:tc>
          <w:tcPr>
            <w:tcW w:w="162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w w:val="92"/>
              </w:rPr>
              <w:t>Increase / (Decrease)</w:t>
            </w:r>
          </w:p>
        </w:tc>
      </w:tr>
      <w:tr>
        <w:trPr>
          <w:trHeight w:val="142"/>
        </w:trPr>
        <w:tc>
          <w:tcPr>
            <w:tcW w:w="4340" w:type="dxa"/>
            <w:vAlign w:val="bottom"/>
            <w:tcBorders>
              <w:bottom w:val="single" w:sz="8" w:color="CCEEFF"/>
            </w:tcBorders>
          </w:tcPr>
          <w:p>
            <w:pPr>
              <w:spacing w:after="0"/>
              <w:rPr>
                <w:sz w:val="12"/>
                <w:szCs w:val="12"/>
                <w:color w:val="auto"/>
              </w:rPr>
            </w:pPr>
          </w:p>
        </w:tc>
        <w:tc>
          <w:tcPr>
            <w:tcW w:w="1600" w:type="dxa"/>
            <w:vAlign w:val="bottom"/>
            <w:tcBorders>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2020</w:t>
            </w:r>
          </w:p>
        </w:tc>
        <w:tc>
          <w:tcPr>
            <w:tcW w:w="22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w:t>
            </w:r>
          </w:p>
        </w:tc>
        <w:tc>
          <w:tcPr>
            <w:tcW w:w="300" w:type="dxa"/>
            <w:vAlign w:val="bottom"/>
            <w:tcBorders>
              <w:top w:val="single" w:sz="8" w:color="auto"/>
              <w:bottom w:val="single" w:sz="8" w:color="CCEEFF"/>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2"/>
                <w:szCs w:val="12"/>
                <w:color w:val="auto"/>
              </w:rPr>
            </w:pPr>
          </w:p>
        </w:tc>
      </w:tr>
      <w:tr>
        <w:trPr>
          <w:trHeight w:val="210"/>
        </w:trPr>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53,292</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19,447</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33,845</w:t>
            </w: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174%</w:t>
            </w:r>
          </w:p>
        </w:tc>
      </w:tr>
      <w:tr>
        <w:trPr>
          <w:trHeight w:val="216"/>
        </w:trPr>
        <w:tc>
          <w:tcPr>
            <w:tcW w:w="434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5,494</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4,748</w:t>
            </w: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746</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r>
      <w:tr>
        <w:trPr>
          <w:trHeight w:val="216"/>
        </w:trPr>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(823)</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(2,766)</w:t>
            </w: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(1,943)</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(70%)</w:t>
            </w:r>
          </w:p>
        </w:tc>
      </w:tr>
      <w:tr>
        <w:trPr>
          <w:trHeight w:val="224"/>
        </w:trPr>
        <w:tc>
          <w:tcPr>
            <w:tcW w:w="43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22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57,963</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21,429</w:t>
            </w:r>
          </w:p>
        </w:tc>
        <w:tc>
          <w:tcPr>
            <w:tcW w:w="300" w:type="dxa"/>
            <w:vAlign w:val="bottom"/>
          </w:tcPr>
          <w:p>
            <w:pPr>
              <w:spacing w:after="0"/>
              <w:rPr>
                <w:sz w:val="19"/>
                <w:szCs w:val="19"/>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36,534</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170%</w:t>
            </w:r>
          </w:p>
        </w:tc>
      </w:tr>
    </w:tbl>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Revenue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had no revenue for the three months ended September 30, 2020 and 2019.</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left="120" w:right="420"/>
        <w:spacing w:after="0" w:line="279" w:lineRule="auto"/>
        <w:rPr>
          <w:sz w:val="20"/>
          <w:szCs w:val="20"/>
          <w:color w:val="auto"/>
        </w:rPr>
      </w:pPr>
      <w:r>
        <w:rPr>
          <w:rFonts w:ascii="Arial" w:cs="Arial" w:eastAsia="Arial" w:hAnsi="Arial"/>
          <w:sz w:val="17"/>
          <w:szCs w:val="17"/>
          <w:color w:val="auto"/>
        </w:rPr>
        <w:t>Our research and development expenses were $53.3 million for the three months ended September 30, 2020, compared to $19.4 million in the corresponding period in 2019. Research and development expenses increased by $33.8 million in the 2020 period due primarily to the additional activities related to the Phase 3 clinical trials initiated in 2019, and an increase in head count. We expect our research and development expenses to increase over time as we advance our clinical and preclinical development programs for resmetirom.</w:t>
      </w:r>
    </w:p>
    <w:p>
      <w:pPr>
        <w:spacing w:after="0" w:line="27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left="120"/>
        <w:spacing w:after="0" w:line="257" w:lineRule="auto"/>
        <w:rPr>
          <w:sz w:val="20"/>
          <w:szCs w:val="20"/>
          <w:color w:val="auto"/>
        </w:rPr>
      </w:pPr>
      <w:r>
        <w:rPr>
          <w:rFonts w:ascii="Arial" w:cs="Arial" w:eastAsia="Arial" w:hAnsi="Arial"/>
          <w:sz w:val="18"/>
          <w:szCs w:val="18"/>
          <w:color w:val="auto"/>
        </w:rPr>
        <w:t>Our general and administrative expenses were $5.5 million for the three months ended September 30, 2020, compared to $4.7 million in the corresponding period in 2019. General and administrative expenses increased by $0.7 million in the 2020 period due primarily to increases in head count and consulting costs. We believe our general and administrative expenses may increase over time as we advance our clinical and preclinical development programs for resmetirom and expand our operating activities, which will likely result in an increase in our headcount, consulting services, and related overhead needed to support those efforts.</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Our net interest income was $0.8 million for the three months ended September 30, 2020, compared to $2.8 million in the corresponding period in 2019.</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decrease in interest income was due primarily to a lower average principal balance in our investment account in 2020 and decreased interest rates.</w:t>
      </w:r>
    </w:p>
    <w:p>
      <w:pPr>
        <w:spacing w:after="0" w:line="16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120"/>
          </w:cols>
          <w:pgMar w:left="320" w:top="486" w:right="4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Nine months Ended September 30, 2020 and 2019</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following table provides comparative unaudited results of operations for the nine months ended September 30, 2020 and 2019 (in thousands):</w:t>
      </w:r>
    </w:p>
    <w:p>
      <w:pPr>
        <w:spacing w:after="0" w:line="267" w:lineRule="exact"/>
        <w:rPr>
          <w:sz w:val="20"/>
          <w:szCs w:val="20"/>
          <w:color w:val="auto"/>
        </w:rPr>
      </w:pPr>
    </w:p>
    <w:tbl>
      <w:tblPr>
        <w:tblLayout w:type="fixed"/>
        <w:tblInd w:w="560" w:type="dxa"/>
        <w:tblCellMar>
          <w:top w:w="0" w:type="dxa"/>
          <w:left w:w="0" w:type="dxa"/>
          <w:bottom w:w="0" w:type="dxa"/>
          <w:right w:w="0" w:type="dxa"/>
        </w:tblCellMar>
      </w:tblPr>
      <w:tr>
        <w:trPr>
          <w:trHeight w:val="171"/>
        </w:trPr>
        <w:tc>
          <w:tcPr>
            <w:tcW w:w="6000" w:type="dxa"/>
            <w:vAlign w:val="bottom"/>
          </w:tcPr>
          <w:p>
            <w:pPr>
              <w:spacing w:after="0"/>
              <w:rPr>
                <w:sz w:val="14"/>
                <w:szCs w:val="14"/>
                <w:color w:val="auto"/>
              </w:rPr>
            </w:pPr>
          </w:p>
        </w:tc>
        <w:tc>
          <w:tcPr>
            <w:tcW w:w="2500" w:type="dxa"/>
            <w:vAlign w:val="bottom"/>
            <w:gridSpan w:val="6"/>
          </w:tcPr>
          <w:p>
            <w:pPr>
              <w:jc w:val="right"/>
              <w:ind w:right="320"/>
              <w:spacing w:after="0"/>
              <w:rPr>
                <w:sz w:val="20"/>
                <w:szCs w:val="20"/>
                <w:color w:val="auto"/>
              </w:rPr>
            </w:pPr>
            <w:r>
              <w:rPr>
                <w:rFonts w:ascii="Arial" w:cs="Arial" w:eastAsia="Arial" w:hAnsi="Arial"/>
                <w:sz w:val="14"/>
                <w:szCs w:val="14"/>
                <w:b w:val="1"/>
                <w:bCs w:val="1"/>
                <w:color w:val="auto"/>
                <w:w w:val="93"/>
              </w:rPr>
              <w:t>Nine Months Ended September 30,</w:t>
            </w:r>
          </w:p>
        </w:tc>
        <w:tc>
          <w:tcPr>
            <w:tcW w:w="1620" w:type="dxa"/>
            <w:vAlign w:val="bottom"/>
            <w:gridSpan w:val="4"/>
          </w:tcPr>
          <w:p>
            <w:pPr>
              <w:jc w:val="right"/>
              <w:ind w:right="300"/>
              <w:spacing w:after="0"/>
              <w:rPr>
                <w:sz w:val="20"/>
                <w:szCs w:val="20"/>
                <w:color w:val="auto"/>
              </w:rPr>
            </w:pPr>
            <w:r>
              <w:rPr>
                <w:rFonts w:ascii="Arial" w:cs="Arial" w:eastAsia="Arial" w:hAnsi="Arial"/>
                <w:sz w:val="14"/>
                <w:szCs w:val="14"/>
                <w:b w:val="1"/>
                <w:bCs w:val="1"/>
                <w:color w:val="auto"/>
                <w:w w:val="92"/>
              </w:rPr>
              <w:t>Increase / (Decrease)</w:t>
            </w:r>
          </w:p>
        </w:tc>
      </w:tr>
      <w:tr>
        <w:trPr>
          <w:trHeight w:val="142"/>
        </w:trPr>
        <w:tc>
          <w:tcPr>
            <w:tcW w:w="6000" w:type="dxa"/>
            <w:vAlign w:val="bottom"/>
            <w:tcBorders>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2020</w:t>
            </w:r>
          </w:p>
        </w:tc>
        <w:tc>
          <w:tcPr>
            <w:tcW w:w="340" w:type="dxa"/>
            <w:vAlign w:val="bottom"/>
            <w:tcBorders>
              <w:top w:val="single" w:sz="8" w:color="auto"/>
              <w:bottom w:val="single" w:sz="8" w:color="CCEEFF"/>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2019</w:t>
            </w:r>
          </w:p>
        </w:tc>
        <w:tc>
          <w:tcPr>
            <w:tcW w:w="300" w:type="dxa"/>
            <w:vAlign w:val="bottom"/>
            <w:tcBorders>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215"/>
              <w:spacing w:after="0" w:line="142" w:lineRule="exact"/>
              <w:rPr>
                <w:sz w:val="20"/>
                <w:szCs w:val="20"/>
                <w:color w:val="auto"/>
              </w:rPr>
            </w:pPr>
            <w:r>
              <w:rPr>
                <w:rFonts w:ascii="Arial" w:cs="Arial" w:eastAsia="Arial" w:hAnsi="Arial"/>
                <w:sz w:val="14"/>
                <w:szCs w:val="14"/>
                <w:b w:val="1"/>
                <w:bCs w:val="1"/>
                <w:color w:val="auto"/>
              </w:rPr>
              <w:t>$</w:t>
            </w:r>
          </w:p>
        </w:tc>
        <w:tc>
          <w:tcPr>
            <w:tcW w:w="300" w:type="dxa"/>
            <w:vAlign w:val="bottom"/>
            <w:tcBorders>
              <w:top w:val="single" w:sz="8" w:color="auto"/>
              <w:bottom w:val="single" w:sz="8" w:color="CCEEFF"/>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33"/>
              <w:spacing w:after="0" w:line="142" w:lineRule="exact"/>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2"/>
                <w:szCs w:val="12"/>
                <w:color w:val="auto"/>
              </w:rPr>
            </w:pPr>
          </w:p>
        </w:tc>
      </w:tr>
      <w:tr>
        <w:trPr>
          <w:trHeight w:val="209"/>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131,380</w:t>
            </w: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47,414</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83,966</w:t>
            </w:r>
          </w:p>
        </w:tc>
        <w:tc>
          <w:tcPr>
            <w:tcW w:w="3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177%</w:t>
            </w:r>
          </w:p>
        </w:tc>
      </w:tr>
      <w:tr>
        <w:trPr>
          <w:trHeight w:val="216"/>
        </w:trPr>
        <w:tc>
          <w:tcPr>
            <w:tcW w:w="600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220" w:type="dxa"/>
            <w:vAlign w:val="bottom"/>
          </w:tcPr>
          <w:p>
            <w:pPr>
              <w:spacing w:after="0"/>
              <w:rPr>
                <w:sz w:val="18"/>
                <w:szCs w:val="18"/>
                <w:color w:val="auto"/>
              </w:rPr>
            </w:pPr>
          </w:p>
        </w:tc>
        <w:tc>
          <w:tcPr>
            <w:tcW w:w="1120" w:type="dxa"/>
            <w:vAlign w:val="bottom"/>
            <w:gridSpan w:val="2"/>
          </w:tcPr>
          <w:p>
            <w:pPr>
              <w:jc w:val="right"/>
              <w:ind w:right="340"/>
              <w:spacing w:after="0"/>
              <w:rPr>
                <w:sz w:val="20"/>
                <w:szCs w:val="20"/>
                <w:color w:val="auto"/>
              </w:rPr>
            </w:pPr>
            <w:r>
              <w:rPr>
                <w:rFonts w:ascii="Arial" w:cs="Arial" w:eastAsia="Arial" w:hAnsi="Arial"/>
                <w:sz w:val="18"/>
                <w:szCs w:val="18"/>
                <w:color w:val="auto"/>
              </w:rPr>
              <w:t>15,738</w:t>
            </w:r>
          </w:p>
        </w:tc>
        <w:tc>
          <w:tcPr>
            <w:tcW w:w="180" w:type="dxa"/>
            <w:vAlign w:val="bottom"/>
          </w:tcPr>
          <w:p>
            <w:pPr>
              <w:spacing w:after="0"/>
              <w:rPr>
                <w:sz w:val="18"/>
                <w:szCs w:val="18"/>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17,604</w:t>
            </w: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(1,866)</w:t>
            </w: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r>
      <w:tr>
        <w:trPr>
          <w:trHeight w:val="216"/>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(3,897)</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(8,810)</w:t>
            </w: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(4,913)</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(56%)</w:t>
            </w:r>
          </w:p>
        </w:tc>
      </w:tr>
      <w:tr>
        <w:trPr>
          <w:trHeight w:val="216"/>
        </w:trPr>
        <w:tc>
          <w:tcPr>
            <w:tcW w:w="6000" w:type="dxa"/>
            <w:vAlign w:val="bottom"/>
          </w:tcPr>
          <w:p>
            <w:pPr>
              <w:spacing w:after="0"/>
              <w:rPr>
                <w:sz w:val="20"/>
                <w:szCs w:val="20"/>
                <w:color w:val="auto"/>
              </w:rPr>
            </w:pPr>
            <w:r>
              <w:rPr>
                <w:rFonts w:ascii="Arial" w:cs="Arial" w:eastAsia="Arial" w:hAnsi="Arial"/>
                <w:sz w:val="18"/>
                <w:szCs w:val="18"/>
                <w:color w:val="auto"/>
              </w:rPr>
              <w:t>Other (income)</w:t>
            </w:r>
          </w:p>
        </w:tc>
        <w:tc>
          <w:tcPr>
            <w:tcW w:w="22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8"/>
                <w:szCs w:val="18"/>
                <w:color w:val="auto"/>
              </w:rPr>
              <w:t>(100)</w:t>
            </w:r>
          </w:p>
        </w:tc>
        <w:tc>
          <w:tcPr>
            <w:tcW w:w="18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100</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r>
      <w:tr>
        <w:trPr>
          <w:trHeight w:val="27"/>
        </w:trPr>
        <w:tc>
          <w:tcPr>
            <w:tcW w:w="60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60" w:type="dxa"/>
            <w:vAlign w:val="bottom"/>
          </w:tcPr>
          <w:p>
            <w:pPr>
              <w:spacing w:after="0"/>
              <w:rPr>
                <w:sz w:val="2"/>
                <w:szCs w:val="2"/>
                <w:color w:val="auto"/>
              </w:rPr>
            </w:pPr>
          </w:p>
        </w:tc>
      </w:tr>
      <w:tr>
        <w:trPr>
          <w:trHeight w:val="216"/>
        </w:trPr>
        <w:tc>
          <w:tcPr>
            <w:tcW w:w="60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143,121</w:t>
            </w: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56,208</w:t>
            </w: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86,913</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155%</w:t>
            </w:r>
          </w:p>
        </w:tc>
      </w:tr>
    </w:tbl>
    <w:p>
      <w:pPr>
        <w:spacing w:after="0" w:line="310"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Revenue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had no revenue for the nine months ended September 30, 2020 and 2019.</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left="120" w:right="400"/>
        <w:spacing w:after="0" w:line="279" w:lineRule="auto"/>
        <w:rPr>
          <w:sz w:val="20"/>
          <w:szCs w:val="20"/>
          <w:color w:val="auto"/>
        </w:rPr>
      </w:pPr>
      <w:r>
        <w:rPr>
          <w:rFonts w:ascii="Arial" w:cs="Arial" w:eastAsia="Arial" w:hAnsi="Arial"/>
          <w:sz w:val="17"/>
          <w:szCs w:val="17"/>
          <w:color w:val="auto"/>
        </w:rPr>
        <w:t>Our research and development expenses were $131.4 million for the nine months ended September 30, 2020, compared to $47.4 million in the corresponding period in 2019. Research and development expenses increased by $84.0 million in the 2020 period due primarily to the additional activities related to the Phase 3 clinical trials initiated in 2019, and an increase in head count. We expect our research and development expenses to increase over time as we advance our clinical and preclinical development programs for resmetirom.</w:t>
      </w:r>
    </w:p>
    <w:p>
      <w:pPr>
        <w:spacing w:after="0" w:line="27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left="120"/>
        <w:spacing w:after="0" w:line="296" w:lineRule="auto"/>
        <w:rPr>
          <w:sz w:val="20"/>
          <w:szCs w:val="20"/>
          <w:color w:val="auto"/>
        </w:rPr>
      </w:pPr>
      <w:r>
        <w:rPr>
          <w:rFonts w:ascii="Arial" w:cs="Arial" w:eastAsia="Arial" w:hAnsi="Arial"/>
          <w:sz w:val="16"/>
          <w:szCs w:val="16"/>
          <w:color w:val="auto"/>
        </w:rPr>
        <w:t>Our general and administrative expenses were $15.7 million for the nine months ended September 30, 2020, compared to $17.6 million in the corresponding period in 2019. General and administrative expenses decreased by $1.9 million in the 2020 period due primarily to a decrease in non-cash stock compensation from stock option awards, partially offset by increases in other general and administrative expenses. We believe our general and administrative expenses may increase over time as we advance our clinical and preclinical development programs for resmetirom and expand our operating activities, which will likely result in an increase in our headcount, consulting services, and related overhead needed to support those efforts.</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Our net interest income was $3.9 million for the nine months ended September 30, 2020, compared to $8.8 million in the corresponding period in 2019.</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decrease in interest income was due primarily to a lower average principal balance in our investment account in 2020 and decreased interest rates.</w:t>
      </w:r>
    </w:p>
    <w:p>
      <w:pPr>
        <w:spacing w:after="0" w:line="33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120" w:right="340"/>
        <w:spacing w:after="0" w:line="259" w:lineRule="auto"/>
        <w:rPr>
          <w:sz w:val="20"/>
          <w:szCs w:val="20"/>
          <w:color w:val="auto"/>
        </w:rPr>
      </w:pPr>
      <w:r>
        <w:rPr>
          <w:rFonts w:ascii="Arial" w:cs="Arial" w:eastAsia="Arial" w:hAnsi="Arial"/>
          <w:sz w:val="18"/>
          <w:szCs w:val="18"/>
          <w:color w:val="auto"/>
        </w:rPr>
        <w:t>Since inception, we have incurred significant net losses and we have funded our operations primarily through the issuance of shares of our common stock and shares of our preferred stock. Our most significant use of capital pertains to salaries and benefits for our employees, including clinical, scientific, operational, financial and management personnel, and external research and development expenses, such as clinical trials and preclinical activity related to our product candidates.</w:t>
      </w:r>
    </w:p>
    <w:p>
      <w:pPr>
        <w:spacing w:after="0" w:line="187" w:lineRule="exact"/>
        <w:rPr>
          <w:sz w:val="20"/>
          <w:szCs w:val="20"/>
          <w:color w:val="auto"/>
        </w:rPr>
      </w:pPr>
    </w:p>
    <w:p>
      <w:pPr>
        <w:ind w:left="120" w:right="420"/>
        <w:spacing w:after="0" w:line="257" w:lineRule="auto"/>
        <w:rPr>
          <w:sz w:val="20"/>
          <w:szCs w:val="20"/>
          <w:color w:val="auto"/>
        </w:rPr>
      </w:pPr>
      <w:r>
        <w:rPr>
          <w:rFonts w:ascii="Arial" w:cs="Arial" w:eastAsia="Arial" w:hAnsi="Arial"/>
          <w:sz w:val="18"/>
          <w:szCs w:val="18"/>
          <w:color w:val="auto"/>
        </w:rPr>
        <w:t>As of September 30, 2020, we had cash, cash equivalents and marketable securities totaling $335.9 million compared to $439.0 million as of December 31, 2019, with the decrease attributable to the funding of operations. Our cash and investment balances are held in a variety of interest bearing instruments, including obligations of U.S. government agencies, U.S. Treasury debt securities, corporate debt securities and money market funds. Cash in excess of immediate requirements is invested in accordance with our investment policy with a view toward capital preservation and liquidity.</w:t>
      </w:r>
    </w:p>
    <w:p>
      <w:pPr>
        <w:spacing w:after="0" w:line="188" w:lineRule="exact"/>
        <w:rPr>
          <w:sz w:val="20"/>
          <w:szCs w:val="20"/>
          <w:color w:val="auto"/>
        </w:rPr>
      </w:pPr>
    </w:p>
    <w:p>
      <w:pPr>
        <w:ind w:left="120" w:right="40"/>
        <w:spacing w:after="0" w:line="289" w:lineRule="auto"/>
        <w:rPr>
          <w:sz w:val="20"/>
          <w:szCs w:val="20"/>
          <w:color w:val="auto"/>
        </w:rPr>
      </w:pPr>
      <w:r>
        <w:rPr>
          <w:rFonts w:ascii="Arial" w:cs="Arial" w:eastAsia="Arial" w:hAnsi="Arial"/>
          <w:sz w:val="16"/>
          <w:szCs w:val="16"/>
          <w:color w:val="auto"/>
        </w:rPr>
        <w:t>We anticipate continuing to incur operating losses for the foreseeable future. While our rate of cash usage will likely increase in the future, in particular to support our product development and clinical trial efforts, we believe our available cash resources as of September 30, 2020 will be sufficient to fund our operations past one year from the issuance of the financial statements contained herein, and this outlook takes into account circumstances that are currently reasonably foreseeable in connection with the COVID-19 pandemic. For a description of COVID-19 pandemic risks, including risks and uncertainties beyond our control, see Part II, Item 1A, “Risk Factors” on Form 10-Q for the period ending June 30, 2020 filed with the SEC on August 6, 2020. Our future long-term liquidity requirements will be substantial and will depend on many factors. To meet future long-term liquidity requirements, we will need to raise additional capital to fund our operations through equity or debt financing. We regularly consider fundraising opportunities and may decide, from time to time, to raise capital based on various factors, including market conditions and our plans of operation. This includes, but is not limited to, the use of a $200 million at-the-market sales agreement entered into in November of 2020, with</w:t>
      </w:r>
    </w:p>
    <w:p>
      <w:pPr>
        <w:sectPr>
          <w:pgSz w:w="11900" w:h="16838" w:orient="portrait"/>
          <w:cols w:equalWidth="0" w:num="1">
            <w:col w:w="11100"/>
          </w:cols>
          <w:pgMar w:left="320" w:top="486" w:right="479" w:bottom="1440" w:gutter="0" w:footer="0" w:header="0"/>
        </w:sectPr>
      </w:pPr>
    </w:p>
    <w:p>
      <w:pPr>
        <w:spacing w:after="0" w:line="99" w:lineRule="exact"/>
        <w:rPr>
          <w:sz w:val="20"/>
          <w:szCs w:val="20"/>
          <w:color w:val="auto"/>
        </w:rPr>
      </w:pPr>
    </w:p>
    <w:p>
      <w:pPr>
        <w:jc w:val="center"/>
        <w:ind w:right="-159"/>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100"/>
          </w:cols>
          <w:pgMar w:left="320" w:top="486" w:right="479" w:bottom="1440" w:gutter="0" w:footer="0" w:header="0"/>
          <w:type w:val="continuous"/>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Cowen and Company, LLC. See footnote 9 to our condensed consolidated financial statements in this Form 10-Q. Additional capital may not be available on terms acceptable to us, or at all. If adequate funds are not available, or if the terms of potential funding sources are unfavorable, our business and our ability to develop our product candidates would be harmed. Furthermore, any sales of additional equity securities may result in dilution to our stockholders, and any debt financing may include covenants that restrict our business.</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provides a summary of our net cash flow activity (in thousands):</w:t>
      </w:r>
    </w:p>
    <w:p>
      <w:pPr>
        <w:spacing w:after="0" w:line="244" w:lineRule="exact"/>
        <w:rPr>
          <w:sz w:val="20"/>
          <w:szCs w:val="20"/>
          <w:color w:val="auto"/>
        </w:rPr>
      </w:pPr>
    </w:p>
    <w:tbl>
      <w:tblPr>
        <w:tblLayout w:type="fixed"/>
        <w:tblInd w:w="1440" w:type="dxa"/>
        <w:tblCellMar>
          <w:top w:w="0" w:type="dxa"/>
          <w:left w:w="0" w:type="dxa"/>
          <w:bottom w:w="0" w:type="dxa"/>
          <w:right w:w="0" w:type="dxa"/>
        </w:tblCellMar>
      </w:tblPr>
      <w:tr>
        <w:trPr>
          <w:trHeight w:val="171"/>
        </w:trPr>
        <w:tc>
          <w:tcPr>
            <w:tcW w:w="6000" w:type="dxa"/>
            <w:vAlign w:val="bottom"/>
          </w:tcPr>
          <w:p>
            <w:pPr>
              <w:spacing w:after="0"/>
              <w:rPr>
                <w:sz w:val="14"/>
                <w:szCs w:val="14"/>
                <w:color w:val="auto"/>
              </w:rPr>
            </w:pPr>
          </w:p>
        </w:tc>
        <w:tc>
          <w:tcPr>
            <w:tcW w:w="2360" w:type="dxa"/>
            <w:vAlign w:val="bottom"/>
            <w:gridSpan w:val="6"/>
          </w:tcPr>
          <w:p>
            <w:pPr>
              <w:jc w:val="right"/>
              <w:ind w:right="160"/>
              <w:spacing w:after="0"/>
              <w:rPr>
                <w:sz w:val="20"/>
                <w:szCs w:val="20"/>
                <w:color w:val="auto"/>
              </w:rPr>
            </w:pPr>
            <w:r>
              <w:rPr>
                <w:rFonts w:ascii="Arial" w:cs="Arial" w:eastAsia="Arial" w:hAnsi="Arial"/>
                <w:sz w:val="14"/>
                <w:szCs w:val="14"/>
                <w:b w:val="1"/>
                <w:bCs w:val="1"/>
                <w:color w:val="auto"/>
                <w:w w:val="94"/>
              </w:rPr>
              <w:t>Nine Months Ended September 30,</w:t>
            </w:r>
          </w:p>
        </w:tc>
      </w:tr>
      <w:tr>
        <w:trPr>
          <w:trHeight w:val="142"/>
        </w:trPr>
        <w:tc>
          <w:tcPr>
            <w:tcW w:w="6000" w:type="dxa"/>
            <w:vAlign w:val="bottom"/>
            <w:tcBorders>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4"/>
              <w:spacing w:after="0" w:line="142" w:lineRule="exact"/>
              <w:rPr>
                <w:sz w:val="20"/>
                <w:szCs w:val="20"/>
                <w:color w:val="auto"/>
              </w:rPr>
            </w:pPr>
            <w:r>
              <w:rPr>
                <w:rFonts w:ascii="Arial" w:cs="Arial" w:eastAsia="Arial" w:hAnsi="Arial"/>
                <w:sz w:val="14"/>
                <w:szCs w:val="14"/>
                <w:b w:val="1"/>
                <w:bCs w:val="1"/>
                <w:color w:val="auto"/>
              </w:rPr>
              <w:t>2020</w:t>
            </w:r>
          </w:p>
        </w:tc>
        <w:tc>
          <w:tcPr>
            <w:tcW w:w="36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2"/>
                <w:szCs w:val="12"/>
                <w:color w:val="auto"/>
              </w:rPr>
            </w:pPr>
          </w:p>
        </w:tc>
      </w:tr>
      <w:tr>
        <w:trPr>
          <w:trHeight w:val="210"/>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(102,614)</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(29,342)</w:t>
            </w:r>
          </w:p>
        </w:tc>
        <w:tc>
          <w:tcPr>
            <w:tcW w:w="100" w:type="dxa"/>
            <w:vAlign w:val="bottom"/>
            <w:shd w:val="clear" w:color="auto" w:fill="CCEEFF"/>
          </w:tcPr>
          <w:p>
            <w:pPr>
              <w:spacing w:after="0"/>
              <w:rPr>
                <w:sz w:val="18"/>
                <w:szCs w:val="18"/>
                <w:color w:val="auto"/>
              </w:rPr>
            </w:pPr>
          </w:p>
        </w:tc>
      </w:tr>
      <w:tr>
        <w:trPr>
          <w:trHeight w:val="216"/>
        </w:trPr>
        <w:tc>
          <w:tcPr>
            <w:tcW w:w="6000" w:type="dxa"/>
            <w:vAlign w:val="bottom"/>
          </w:tcPr>
          <w:p>
            <w:pPr>
              <w:spacing w:after="0"/>
              <w:rPr>
                <w:sz w:val="20"/>
                <w:szCs w:val="20"/>
                <w:color w:val="auto"/>
              </w:rPr>
            </w:pPr>
            <w:r>
              <w:rPr>
                <w:rFonts w:ascii="Arial" w:cs="Arial" w:eastAsia="Arial" w:hAnsi="Arial"/>
                <w:sz w:val="18"/>
                <w:szCs w:val="18"/>
                <w:color w:val="auto"/>
              </w:rPr>
              <w:t>Net cash provided by investing activities</w:t>
            </w:r>
          </w:p>
        </w:tc>
        <w:tc>
          <w:tcPr>
            <w:tcW w:w="220" w:type="dxa"/>
            <w:vAlign w:val="bottom"/>
          </w:tcPr>
          <w:p>
            <w:pPr>
              <w:spacing w:after="0"/>
              <w:rPr>
                <w:sz w:val="18"/>
                <w:szCs w:val="18"/>
                <w:color w:val="auto"/>
              </w:rPr>
            </w:pPr>
          </w:p>
        </w:tc>
        <w:tc>
          <w:tcPr>
            <w:tcW w:w="1140" w:type="dxa"/>
            <w:vAlign w:val="bottom"/>
            <w:gridSpan w:val="2"/>
          </w:tcPr>
          <w:p>
            <w:pPr>
              <w:jc w:val="right"/>
              <w:ind w:right="360"/>
              <w:spacing w:after="0"/>
              <w:rPr>
                <w:sz w:val="20"/>
                <w:szCs w:val="20"/>
                <w:color w:val="auto"/>
              </w:rPr>
            </w:pPr>
            <w:r>
              <w:rPr>
                <w:rFonts w:ascii="Arial" w:cs="Arial" w:eastAsia="Arial" w:hAnsi="Arial"/>
                <w:sz w:val="18"/>
                <w:szCs w:val="18"/>
                <w:color w:val="auto"/>
              </w:rPr>
              <w:t>164,578</w:t>
            </w:r>
          </w:p>
        </w:tc>
        <w:tc>
          <w:tcPr>
            <w:tcW w:w="2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61,214</w:t>
            </w:r>
          </w:p>
        </w:tc>
      </w:tr>
      <w:tr>
        <w:trPr>
          <w:trHeight w:val="216"/>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2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459</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235</w:t>
            </w:r>
          </w:p>
        </w:tc>
      </w:tr>
      <w:tr>
        <w:trPr>
          <w:trHeight w:val="224"/>
        </w:trPr>
        <w:tc>
          <w:tcPr>
            <w:tcW w:w="6000" w:type="dxa"/>
            <w:vAlign w:val="bottom"/>
          </w:tcPr>
          <w:p>
            <w:pPr>
              <w:spacing w:after="0"/>
              <w:rPr>
                <w:sz w:val="20"/>
                <w:szCs w:val="20"/>
                <w:color w:val="auto"/>
              </w:rPr>
            </w:pPr>
            <w:r>
              <w:rPr>
                <w:rFonts w:ascii="Arial" w:cs="Arial" w:eastAsia="Arial" w:hAnsi="Arial"/>
                <w:sz w:val="18"/>
                <w:szCs w:val="18"/>
                <w:color w:val="auto"/>
              </w:rPr>
              <w:t>Net increase in cash and cash equivalents</w:t>
            </w:r>
          </w:p>
        </w:tc>
        <w:tc>
          <w:tcPr>
            <w:tcW w:w="22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62,423</w:t>
            </w:r>
          </w:p>
        </w:tc>
        <w:tc>
          <w:tcPr>
            <w:tcW w:w="360" w:type="dxa"/>
            <w:vAlign w:val="bottom"/>
          </w:tcPr>
          <w:p>
            <w:pPr>
              <w:spacing w:after="0"/>
              <w:rPr>
                <w:sz w:val="19"/>
                <w:szCs w:val="19"/>
                <w:color w:val="auto"/>
              </w:rPr>
            </w:pPr>
          </w:p>
        </w:tc>
        <w:tc>
          <w:tcPr>
            <w:tcW w:w="200" w:type="dxa"/>
            <w:vAlign w:val="bottom"/>
            <w:tcBorders>
              <w:top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32,107</w:t>
            </w:r>
          </w:p>
        </w:tc>
        <w:tc>
          <w:tcPr>
            <w:tcW w:w="100" w:type="dxa"/>
            <w:vAlign w:val="bottom"/>
          </w:tcPr>
          <w:p>
            <w:pPr>
              <w:spacing w:after="0"/>
              <w:rPr>
                <w:sz w:val="19"/>
                <w:szCs w:val="19"/>
                <w:color w:val="auto"/>
              </w:rPr>
            </w:pPr>
          </w:p>
        </w:tc>
      </w:tr>
    </w:tbl>
    <w:p>
      <w:pPr>
        <w:spacing w:after="0" w:line="201" w:lineRule="exact"/>
        <w:rPr>
          <w:sz w:val="20"/>
          <w:szCs w:val="20"/>
          <w:color w:val="auto"/>
        </w:rPr>
      </w:pPr>
    </w:p>
    <w:p>
      <w:pPr>
        <w:ind w:left="120" w:right="120"/>
        <w:spacing w:after="0" w:line="263" w:lineRule="auto"/>
        <w:rPr>
          <w:sz w:val="20"/>
          <w:szCs w:val="20"/>
          <w:color w:val="auto"/>
        </w:rPr>
      </w:pPr>
      <w:r>
        <w:rPr>
          <w:rFonts w:ascii="Arial" w:cs="Arial" w:eastAsia="Arial" w:hAnsi="Arial"/>
          <w:sz w:val="18"/>
          <w:szCs w:val="18"/>
          <w:color w:val="auto"/>
        </w:rPr>
        <w:t>Net cash used in operating activities was $102.6 million for the nine months ended September 30, 2020, compared to $29.3 million for the corresponding period in 2019. The use of cash in these periods resulted primarily from our losses from operations, as adjusted for non-cash charges for stock-based compensation, and changes in our working capital accounts.</w:t>
      </w:r>
    </w:p>
    <w:p>
      <w:pPr>
        <w:spacing w:after="0" w:line="184" w:lineRule="exact"/>
        <w:rPr>
          <w:sz w:val="20"/>
          <w:szCs w:val="20"/>
          <w:color w:val="auto"/>
        </w:rPr>
      </w:pPr>
    </w:p>
    <w:p>
      <w:pPr>
        <w:ind w:left="120" w:right="20"/>
        <w:spacing w:after="0" w:line="255" w:lineRule="auto"/>
        <w:rPr>
          <w:sz w:val="20"/>
          <w:szCs w:val="20"/>
          <w:color w:val="auto"/>
        </w:rPr>
      </w:pPr>
      <w:r>
        <w:rPr>
          <w:rFonts w:ascii="Arial" w:cs="Arial" w:eastAsia="Arial" w:hAnsi="Arial"/>
          <w:sz w:val="18"/>
          <w:szCs w:val="18"/>
          <w:color w:val="auto"/>
        </w:rPr>
        <w:t>Net cash provided by investing activities was $164.6 million for the nine months ended September 30, 2020, compared to $61.2 million for the corresponding period in 2019. Net cash provided by investing activities for the nine months ended September 30, 2020 consisted of $378.1 million from sales and maturities of marketable securities, partially offset by $213.2 million of purchases of marketable securities for our investment portfolio and $0.3 million of purchases of property and equipment. Net cash provided by investing activities for the nine months ended September 30, 2019 consisted of $468.3 million from sales and maturities of marketable securities, partially offset by $407.1 million of purchases of marketable securities for our investment portfolio.</w:t>
      </w:r>
    </w:p>
    <w:p>
      <w:pPr>
        <w:spacing w:after="0" w:line="192" w:lineRule="exact"/>
        <w:rPr>
          <w:sz w:val="20"/>
          <w:szCs w:val="20"/>
          <w:color w:val="auto"/>
        </w:rPr>
      </w:pPr>
    </w:p>
    <w:p>
      <w:pPr>
        <w:ind w:left="120" w:right="940"/>
        <w:spacing w:after="0" w:line="277" w:lineRule="auto"/>
        <w:rPr>
          <w:sz w:val="20"/>
          <w:szCs w:val="20"/>
          <w:color w:val="auto"/>
        </w:rPr>
      </w:pPr>
      <w:r>
        <w:rPr>
          <w:rFonts w:ascii="Arial" w:cs="Arial" w:eastAsia="Arial" w:hAnsi="Arial"/>
          <w:sz w:val="18"/>
          <w:szCs w:val="18"/>
          <w:color w:val="auto"/>
        </w:rPr>
        <w:t>Net cash provided by financing activities was $0.5 million for the nine months ended September 30, 2020, compared to $0.2 million for the corresponding period in 2019, both of which consisted of proceeds from exercise of stock options.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ind w:left="120" w:right="180"/>
        <w:spacing w:after="0" w:line="308" w:lineRule="auto"/>
        <w:rPr>
          <w:sz w:val="20"/>
          <w:szCs w:val="20"/>
          <w:color w:val="auto"/>
        </w:rPr>
      </w:pPr>
      <w:r>
        <w:rPr>
          <w:rFonts w:ascii="Arial" w:cs="Arial" w:eastAsia="Arial" w:hAnsi="Arial"/>
          <w:sz w:val="17"/>
          <w:szCs w:val="17"/>
          <w:color w:val="auto"/>
        </w:rPr>
        <w:t>No significant changes to contractual obligations and commitments occurred during the nine months ended September 30, 2020, as compared to those disclosed in our Annual Report on Form 10-K for the fiscal year ended December 31, 2019 filed with the SEC on February 26, 2020.</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do not have any off balance sheet arrangements as defined in Item 303(a)(4)(ii) of Regulation S-K.</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17" w:lineRule="exact"/>
        <w:rPr>
          <w:sz w:val="20"/>
          <w:szCs w:val="20"/>
          <w:color w:val="auto"/>
        </w:rPr>
      </w:pPr>
    </w:p>
    <w:p>
      <w:pPr>
        <w:ind w:left="120" w:right="80"/>
        <w:spacing w:after="0" w:line="272" w:lineRule="auto"/>
        <w:rPr>
          <w:sz w:val="20"/>
          <w:szCs w:val="20"/>
          <w:color w:val="auto"/>
        </w:rPr>
      </w:pPr>
      <w:r>
        <w:rPr>
          <w:rFonts w:ascii="Arial" w:cs="Arial" w:eastAsia="Arial" w:hAnsi="Arial"/>
          <w:sz w:val="17"/>
          <w:szCs w:val="17"/>
          <w:color w:val="auto"/>
        </w:rPr>
        <w:t>Our exposure to market risk is confined to our cash, cash equivalents and marketable securities. We regularly review our investments and monitor the financial markets. We invest in high-quality financial instruments, primarily money market funds, U.S. government and agency securities, government-sponsored bond obligations and certain other corporate debt securities, with the effective duration of the portfolio less than twelve months and no security with a duration in excess of twenty-four months, which we believe are subject to limited credit risk. We currently do not hedge interest rate exposure. Due to the short-term duration of our investment portfolio and the current risk profile of our investments, we believe that an immediate 10% change in interest rates would not have a material effect on the fair market value of our portfolio. We do not believe that we have any material exposure to interest rate risk or changes in credit ratings arising from our investments.</w:t>
      </w:r>
    </w:p>
    <w:p>
      <w:pPr>
        <w:spacing w:after="0" w:line="11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100"/>
          </w:cols>
          <w:pgMar w:left="320" w:top="486" w:right="47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Effects of Inflation</w:t>
      </w:r>
    </w:p>
    <w:p>
      <w:pPr>
        <w:spacing w:after="0" w:line="117" w:lineRule="exact"/>
        <w:rPr>
          <w:sz w:val="20"/>
          <w:szCs w:val="20"/>
          <w:color w:val="auto"/>
        </w:rPr>
      </w:pPr>
    </w:p>
    <w:p>
      <w:pPr>
        <w:ind w:left="120" w:right="100"/>
        <w:spacing w:after="0" w:line="277" w:lineRule="auto"/>
        <w:rPr>
          <w:sz w:val="20"/>
          <w:szCs w:val="20"/>
          <w:color w:val="auto"/>
        </w:rPr>
      </w:pPr>
      <w:r>
        <w:rPr>
          <w:rFonts w:ascii="Arial" w:cs="Arial" w:eastAsia="Arial" w:hAnsi="Arial"/>
          <w:sz w:val="18"/>
          <w:szCs w:val="18"/>
          <w:color w:val="auto"/>
        </w:rPr>
        <w:t>Inflation generally affects us with increased cost of labor and clinical trial costs. We do not believe that inflation and changing prices had a significant impact on our results of operations for any periods presented herein.</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4. Controls and Procedures.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Definition and Limitations of Disclosure Controls</w:t>
      </w:r>
    </w:p>
    <w:p>
      <w:pPr>
        <w:spacing w:after="0" w:line="117" w:lineRule="exact"/>
        <w:rPr>
          <w:sz w:val="20"/>
          <w:szCs w:val="20"/>
          <w:color w:val="auto"/>
        </w:rPr>
      </w:pPr>
    </w:p>
    <w:p>
      <w:pPr>
        <w:ind w:left="120" w:right="40"/>
        <w:spacing w:after="0" w:line="296" w:lineRule="auto"/>
        <w:rPr>
          <w:sz w:val="20"/>
          <w:szCs w:val="20"/>
          <w:color w:val="auto"/>
        </w:rPr>
      </w:pPr>
      <w:r>
        <w:rPr>
          <w:rFonts w:ascii="Arial" w:cs="Arial" w:eastAsia="Arial" w:hAnsi="Arial"/>
          <w:sz w:val="16"/>
          <w:szCs w:val="16"/>
          <w:color w:val="auto"/>
        </w:rPr>
        <w:t>Our disclosure controls and procedures (as defined in Rules 13a-15(e) and 15d-15(e) under the Exchange Act) are designed to provide reasonable assurance that information required to be disclosed by us in the reports that we file under the Exchange Act, such as this Quarterly Report,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Our management evaluates these controls and procedures on an ongoing basis.</w:t>
      </w:r>
    </w:p>
    <w:p>
      <w:pPr>
        <w:spacing w:after="0" w:line="161" w:lineRule="exact"/>
        <w:rPr>
          <w:sz w:val="20"/>
          <w:szCs w:val="20"/>
          <w:color w:val="auto"/>
        </w:rPr>
      </w:pPr>
    </w:p>
    <w:p>
      <w:pPr>
        <w:ind w:left="120" w:right="80"/>
        <w:spacing w:after="0" w:line="259" w:lineRule="auto"/>
        <w:rPr>
          <w:sz w:val="20"/>
          <w:szCs w:val="20"/>
          <w:color w:val="auto"/>
        </w:rPr>
      </w:pPr>
      <w:r>
        <w:rPr>
          <w:rFonts w:ascii="Arial" w:cs="Arial" w:eastAsia="Arial" w:hAnsi="Arial"/>
          <w:sz w:val="18"/>
          <w:szCs w:val="18"/>
          <w:color w:val="auto"/>
        </w:rPr>
        <w:t>We carried out an evaluation, under the supervision of and with the participation of our management, including our Chief Executive Officer and Chief Financial Officer, of the effectiveness of the design and operation of our disclosure controls and procedures as of the end of the period covered by this Quarterly Report. Based on the foregoing, our Chief Executive Officer and Chief Financial Officer concluded that our disclosure controls and procedures were effective at the reasonable assurance level.</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Limitations on the Effectiveness of Controls and Procedures</w:t>
      </w:r>
    </w:p>
    <w:p>
      <w:pPr>
        <w:spacing w:after="0" w:line="117" w:lineRule="exact"/>
        <w:rPr>
          <w:sz w:val="20"/>
          <w:szCs w:val="20"/>
          <w:color w:val="auto"/>
        </w:rPr>
      </w:pPr>
    </w:p>
    <w:p>
      <w:pPr>
        <w:ind w:left="120" w:right="60"/>
        <w:spacing w:after="0" w:line="255" w:lineRule="auto"/>
        <w:rPr>
          <w:sz w:val="20"/>
          <w:szCs w:val="20"/>
          <w:color w:val="auto"/>
        </w:rPr>
      </w:pPr>
      <w:r>
        <w:rPr>
          <w:rFonts w:ascii="Arial" w:cs="Arial" w:eastAsia="Arial" w:hAnsi="Arial"/>
          <w:sz w:val="18"/>
          <w:szCs w:val="18"/>
          <w:color w:val="auto"/>
        </w:rPr>
        <w:t>In designing and evaluating our disclosure controls and procedures, management recognizes that any controls and procedures, no matter how well designed and operated, can provide only reasonable, not absolute,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 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ind w:left="120"/>
        <w:spacing w:after="0" w:line="308" w:lineRule="auto"/>
        <w:rPr>
          <w:sz w:val="20"/>
          <w:szCs w:val="20"/>
          <w:color w:val="auto"/>
        </w:rPr>
      </w:pPr>
      <w:r>
        <w:rPr>
          <w:rFonts w:ascii="Arial" w:cs="Arial" w:eastAsia="Arial" w:hAnsi="Arial"/>
          <w:sz w:val="17"/>
          <w:szCs w:val="17"/>
          <w:color w:val="auto"/>
        </w:rPr>
        <w:t>There has been no change in our internal control over financial reporting (as defined in Rule 13a-15(f) under the Exchange Act) during our most recent fiscal quarter that has materially affected, or is reasonably likely to materially affect, our internal control over financial reporting.</w:t>
      </w:r>
    </w:p>
    <w:p>
      <w:pPr>
        <w:spacing w:after="0" w:line="7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000"/>
          </w:cols>
          <w:pgMar w:left="320" w:top="486" w:right="57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ind w:left="120" w:right="20"/>
        <w:spacing w:after="0" w:line="277" w:lineRule="auto"/>
        <w:rPr>
          <w:sz w:val="20"/>
          <w:szCs w:val="20"/>
          <w:color w:val="auto"/>
        </w:rPr>
      </w:pPr>
      <w:r>
        <w:rPr>
          <w:rFonts w:ascii="Arial" w:cs="Arial" w:eastAsia="Arial" w:hAnsi="Arial"/>
          <w:sz w:val="18"/>
          <w:szCs w:val="18"/>
          <w:color w:val="auto"/>
        </w:rPr>
        <w:t>We are not party to any material pending legal proceedings. From time to time, we may be involved in legal proceedings arising in the ordinary course of business.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ind w:left="120"/>
        <w:spacing w:after="0" w:line="263" w:lineRule="auto"/>
        <w:rPr>
          <w:sz w:val="20"/>
          <w:szCs w:val="20"/>
          <w:color w:val="auto"/>
        </w:rPr>
      </w:pPr>
      <w:r>
        <w:rPr>
          <w:rFonts w:ascii="Arial" w:cs="Arial" w:eastAsia="Arial" w:hAnsi="Arial"/>
          <w:sz w:val="18"/>
          <w:szCs w:val="18"/>
          <w:color w:val="auto"/>
        </w:rPr>
        <w:t>There have been no material changes to the risk factors included in detail in the “Risk Factors” sections appearing in Part I, Item 1A of our Annual Report on Form 10-K for the year ended December 31, 2019, filed with the SEC on February 26, 2020, and in Part II, Item 1A in our Quarterly Report on Form 10-Q for the period ended June 30, 2020 filed with the SEC on August 6, 2020.</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Item 6. Exhibits.</w:t>
      </w:r>
    </w:p>
    <w:p>
      <w:pPr>
        <w:spacing w:after="0" w:line="121" w:lineRule="exact"/>
        <w:rPr>
          <w:sz w:val="20"/>
          <w:szCs w:val="20"/>
          <w:color w:val="auto"/>
        </w:rPr>
      </w:pPr>
    </w:p>
    <w:p>
      <w:pPr>
        <w:ind w:left="120" w:right="200"/>
        <w:spacing w:after="0" w:line="277" w:lineRule="auto"/>
        <w:rPr>
          <w:sz w:val="20"/>
          <w:szCs w:val="20"/>
          <w:color w:val="auto"/>
        </w:rPr>
      </w:pPr>
      <w:r>
        <w:rPr>
          <w:rFonts w:ascii="Arial" w:cs="Arial" w:eastAsia="Arial" w:hAnsi="Arial"/>
          <w:sz w:val="18"/>
          <w:szCs w:val="18"/>
          <w:color w:val="auto"/>
        </w:rPr>
        <w:t>The exhibits filed or furnished as part of this Quarterly Report on Form 10-Q are set forth on the Exhibit Index, which Exhibit Index is incorporated herein by reference.</w:t>
      </w:r>
    </w:p>
    <w:p>
      <w:pPr>
        <w:spacing w:after="0" w:line="103"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0960"/>
          </w:cols>
          <w:pgMar w:left="320" w:top="486" w:right="61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EXHIBIT INDEX</w:t>
      </w:r>
    </w:p>
    <w:p>
      <w:pPr>
        <w:spacing w:after="0" w:line="23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0" w:type="dxa"/>
            <w:vAlign w:val="bottom"/>
          </w:tcPr>
          <w:p>
            <w:pPr>
              <w:spacing w:after="0"/>
              <w:rPr>
                <w:sz w:val="14"/>
                <w:szCs w:val="14"/>
                <w:color w:val="auto"/>
              </w:rPr>
            </w:pPr>
          </w:p>
        </w:tc>
        <w:tc>
          <w:tcPr>
            <w:tcW w:w="98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8"/>
              </w:rPr>
              <w:t>Exhibit</w:t>
            </w: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260" w:type="dxa"/>
            <w:vAlign w:val="bottom"/>
            <w:gridSpan w:val="2"/>
          </w:tcPr>
          <w:p>
            <w:pPr>
              <w:ind w:left="300"/>
              <w:spacing w:after="0"/>
              <w:rPr>
                <w:sz w:val="20"/>
                <w:szCs w:val="20"/>
                <w:color w:val="auto"/>
              </w:rPr>
            </w:pPr>
            <w:r>
              <w:rPr>
                <w:rFonts w:ascii="Arial" w:cs="Arial" w:eastAsia="Arial" w:hAnsi="Arial"/>
                <w:sz w:val="14"/>
                <w:szCs w:val="14"/>
                <w:b w:val="1"/>
                <w:bCs w:val="1"/>
                <w:color w:val="auto"/>
              </w:rPr>
              <w:t>Incorporated by Reference</w:t>
            </w:r>
          </w:p>
        </w:tc>
        <w:tc>
          <w:tcPr>
            <w:tcW w:w="1200" w:type="dxa"/>
            <w:vAlign w:val="bottom"/>
          </w:tcPr>
          <w:p>
            <w:pPr>
              <w:spacing w:after="0"/>
              <w:rPr>
                <w:sz w:val="14"/>
                <w:szCs w:val="14"/>
                <w:color w:val="auto"/>
              </w:rPr>
            </w:pPr>
          </w:p>
        </w:tc>
        <w:tc>
          <w:tcPr>
            <w:tcW w:w="800" w:type="dxa"/>
            <w:vAlign w:val="bottom"/>
          </w:tcPr>
          <w:p>
            <w:pPr>
              <w:jc w:val="right"/>
              <w:ind w:right="53"/>
              <w:spacing w:after="0"/>
              <w:rPr>
                <w:sz w:val="20"/>
                <w:szCs w:val="20"/>
                <w:color w:val="auto"/>
              </w:rPr>
            </w:pPr>
            <w:r>
              <w:rPr>
                <w:rFonts w:ascii="Arial" w:cs="Arial" w:eastAsia="Arial" w:hAnsi="Arial"/>
                <w:sz w:val="14"/>
                <w:szCs w:val="14"/>
                <w:b w:val="1"/>
                <w:bCs w:val="1"/>
                <w:color w:val="auto"/>
              </w:rPr>
              <w:t>Filed</w:t>
            </w:r>
          </w:p>
        </w:tc>
      </w:tr>
      <w:tr>
        <w:trPr>
          <w:trHeight w:val="185"/>
        </w:trPr>
        <w:tc>
          <w:tcPr>
            <w:tcW w:w="80" w:type="dxa"/>
            <w:vAlign w:val="bottom"/>
          </w:tcPr>
          <w:p>
            <w:pPr>
              <w:spacing w:after="0"/>
              <w:rPr>
                <w:sz w:val="16"/>
                <w:szCs w:val="16"/>
                <w:color w:val="auto"/>
              </w:rPr>
            </w:pPr>
          </w:p>
        </w:tc>
        <w:tc>
          <w:tcPr>
            <w:tcW w:w="98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4"/>
              </w:rPr>
              <w:t>Number</w:t>
            </w:r>
          </w:p>
        </w:tc>
        <w:tc>
          <w:tcPr>
            <w:tcW w:w="4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3360" w:type="dxa"/>
            <w:vAlign w:val="bottom"/>
            <w:gridSpan w:val="7"/>
          </w:tcPr>
          <w:p>
            <w:pPr>
              <w:ind w:left="300"/>
              <w:spacing w:after="0"/>
              <w:rPr>
                <w:sz w:val="20"/>
                <w:szCs w:val="20"/>
                <w:color w:val="auto"/>
              </w:rPr>
            </w:pPr>
            <w:r>
              <w:rPr>
                <w:rFonts w:ascii="Arial" w:cs="Arial" w:eastAsia="Arial" w:hAnsi="Arial"/>
                <w:sz w:val="14"/>
                <w:szCs w:val="14"/>
                <w:b w:val="1"/>
                <w:bCs w:val="1"/>
                <w:color w:val="auto"/>
              </w:rPr>
              <w:t>Exhibit Description</w:t>
            </w:r>
          </w:p>
        </w:tc>
        <w:tc>
          <w:tcPr>
            <w:tcW w:w="880" w:type="dxa"/>
            <w:vAlign w:val="bottom"/>
          </w:tcPr>
          <w:p>
            <w:pPr>
              <w:ind w:left="240"/>
              <w:spacing w:after="0"/>
              <w:rPr>
                <w:sz w:val="20"/>
                <w:szCs w:val="20"/>
                <w:color w:val="auto"/>
              </w:rPr>
            </w:pPr>
            <w:r>
              <w:rPr>
                <w:rFonts w:ascii="Arial" w:cs="Arial" w:eastAsia="Arial" w:hAnsi="Arial"/>
                <w:sz w:val="14"/>
                <w:szCs w:val="14"/>
                <w:b w:val="1"/>
                <w:bCs w:val="1"/>
                <w:color w:val="auto"/>
              </w:rPr>
              <w:t>Form</w:t>
            </w:r>
          </w:p>
        </w:tc>
        <w:tc>
          <w:tcPr>
            <w:tcW w:w="1140" w:type="dxa"/>
            <w:vAlign w:val="bottom"/>
          </w:tcPr>
          <w:p>
            <w:pPr>
              <w:ind w:left="280"/>
              <w:spacing w:after="0"/>
              <w:rPr>
                <w:sz w:val="20"/>
                <w:szCs w:val="20"/>
                <w:color w:val="auto"/>
              </w:rPr>
            </w:pPr>
            <w:r>
              <w:rPr>
                <w:rFonts w:ascii="Arial" w:cs="Arial" w:eastAsia="Arial" w:hAnsi="Arial"/>
                <w:sz w:val="14"/>
                <w:szCs w:val="14"/>
                <w:b w:val="1"/>
                <w:bCs w:val="1"/>
                <w:color w:val="auto"/>
              </w:rPr>
              <w:t>File No.</w:t>
            </w:r>
          </w:p>
        </w:tc>
        <w:tc>
          <w:tcPr>
            <w:tcW w:w="1120" w:type="dxa"/>
            <w:vAlign w:val="bottom"/>
          </w:tcPr>
          <w:p>
            <w:pPr>
              <w:ind w:left="360"/>
              <w:spacing w:after="0"/>
              <w:rPr>
                <w:sz w:val="20"/>
                <w:szCs w:val="20"/>
                <w:color w:val="auto"/>
              </w:rPr>
            </w:pPr>
            <w:r>
              <w:rPr>
                <w:rFonts w:ascii="Arial" w:cs="Arial" w:eastAsia="Arial" w:hAnsi="Arial"/>
                <w:sz w:val="14"/>
                <w:szCs w:val="14"/>
                <w:b w:val="1"/>
                <w:bCs w:val="1"/>
                <w:color w:val="auto"/>
              </w:rPr>
              <w:t>Exhibit</w:t>
            </w:r>
          </w:p>
        </w:tc>
        <w:tc>
          <w:tcPr>
            <w:tcW w:w="1200" w:type="dxa"/>
            <w:vAlign w:val="bottom"/>
          </w:tcPr>
          <w:p>
            <w:pPr>
              <w:ind w:left="280"/>
              <w:spacing w:after="0"/>
              <w:rPr>
                <w:sz w:val="20"/>
                <w:szCs w:val="20"/>
                <w:color w:val="auto"/>
              </w:rPr>
            </w:pPr>
            <w:r>
              <w:rPr>
                <w:rFonts w:ascii="Arial" w:cs="Arial" w:eastAsia="Arial" w:hAnsi="Arial"/>
                <w:sz w:val="14"/>
                <w:szCs w:val="14"/>
                <w:b w:val="1"/>
                <w:bCs w:val="1"/>
                <w:color w:val="auto"/>
              </w:rPr>
              <w:t>Filing Date</w:t>
            </w: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Herewith</w:t>
            </w:r>
          </w:p>
        </w:tc>
      </w:tr>
      <w:tr>
        <w:trPr>
          <w:trHeight w:val="263"/>
        </w:trPr>
        <w:tc>
          <w:tcPr>
            <w:tcW w:w="80" w:type="dxa"/>
            <w:vAlign w:val="bottom"/>
          </w:tcPr>
          <w:p>
            <w:pPr>
              <w:spacing w:after="0"/>
              <w:rPr>
                <w:sz w:val="22"/>
                <w:szCs w:val="22"/>
                <w:color w:val="auto"/>
              </w:rPr>
            </w:pPr>
          </w:p>
        </w:tc>
        <w:tc>
          <w:tcPr>
            <w:tcW w:w="5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31.1</w:t>
            </w:r>
          </w:p>
        </w:tc>
        <w:tc>
          <w:tcPr>
            <w:tcW w:w="480" w:type="dxa"/>
            <w:vAlign w:val="bottom"/>
          </w:tcPr>
          <w:p>
            <w:pPr>
              <w:spacing w:after="0"/>
              <w:rPr>
                <w:sz w:val="22"/>
                <w:szCs w:val="22"/>
                <w:color w:val="auto"/>
              </w:rPr>
            </w:pPr>
          </w:p>
        </w:tc>
        <w:tc>
          <w:tcPr>
            <w:tcW w:w="4760" w:type="dxa"/>
            <w:vAlign w:val="bottom"/>
            <w:gridSpan w:val="9"/>
          </w:tcPr>
          <w:p>
            <w:pPr>
              <w:spacing w:after="0"/>
              <w:rPr>
                <w:rFonts w:ascii="Arial" w:cs="Arial" w:eastAsia="Arial" w:hAnsi="Arial"/>
                <w:sz w:val="18"/>
                <w:szCs w:val="18"/>
                <w:color w:val="0000EE"/>
              </w:rPr>
            </w:pPr>
            <w:hyperlink w:anchor="page25">
              <w:r>
                <w:rPr>
                  <w:rFonts w:ascii="Arial" w:cs="Arial" w:eastAsia="Arial" w:hAnsi="Arial"/>
                  <w:sz w:val="18"/>
                  <w:szCs w:val="18"/>
                  <w:color w:val="0000EE"/>
                </w:rPr>
                <w:t>Certification of Principal Executive Officer pursuant to Rule</w:t>
              </w:r>
            </w:hyperlink>
          </w:p>
        </w:tc>
        <w:tc>
          <w:tcPr>
            <w:tcW w:w="8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0" w:type="dxa"/>
            <w:vAlign w:val="bottom"/>
          </w:tcPr>
          <w:p>
            <w:pPr>
              <w:spacing w:after="0"/>
              <w:rPr>
                <w:sz w:val="22"/>
                <w:szCs w:val="22"/>
                <w:color w:val="auto"/>
              </w:rPr>
            </w:pPr>
          </w:p>
        </w:tc>
      </w:tr>
      <w:tr>
        <w:trPr>
          <w:trHeight w:val="20"/>
        </w:trPr>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27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760" w:type="dxa"/>
            <w:vAlign w:val="bottom"/>
            <w:gridSpan w:val="9"/>
          </w:tcPr>
          <w:p>
            <w:pPr>
              <w:spacing w:after="0" w:line="196" w:lineRule="exact"/>
              <w:rPr>
                <w:rFonts w:ascii="Arial" w:cs="Arial" w:eastAsia="Arial" w:hAnsi="Arial"/>
                <w:sz w:val="18"/>
                <w:szCs w:val="18"/>
                <w:color w:val="0000EE"/>
                <w:w w:val="95"/>
              </w:rPr>
            </w:pPr>
            <w:hyperlink w:anchor="page25">
              <w:r>
                <w:rPr>
                  <w:rFonts w:ascii="Arial" w:cs="Arial" w:eastAsia="Arial" w:hAnsi="Arial"/>
                  <w:sz w:val="18"/>
                  <w:szCs w:val="18"/>
                  <w:color w:val="0000EE"/>
                  <w:w w:val="95"/>
                </w:rPr>
                <w:t>13a-14(a) or Rule 15d-14(a) of the Securities Exchange Act of</w:t>
              </w:r>
            </w:hyperlink>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18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8"/>
              </w:rPr>
            </w:pPr>
            <w:hyperlink w:anchor="page25">
              <w:r>
                <w:rPr>
                  <w:rFonts w:ascii="Arial" w:cs="Arial" w:eastAsia="Arial" w:hAnsi="Arial"/>
                  <w:sz w:val="18"/>
                  <w:szCs w:val="18"/>
                  <w:color w:val="0000EE"/>
                  <w:w w:val="88"/>
                </w:rPr>
                <w:t>1934, as adopted pursuant to Section 302 of the Sarbanes-</w:t>
              </w:r>
            </w:hyperlink>
          </w:p>
        </w:tc>
        <w:tc>
          <w:tcPr>
            <w:tcW w:w="320" w:type="dxa"/>
            <w:vAlign w:val="bottom"/>
            <w:tcBorders>
              <w:top w:val="single" w:sz="8" w:color="0000EE"/>
            </w:tcBorders>
            <w:gridSpan w:val="4"/>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25">
              <w:r>
                <w:rPr>
                  <w:rFonts w:ascii="Arial" w:cs="Arial" w:eastAsia="Arial" w:hAnsi="Arial"/>
                  <w:sz w:val="18"/>
                  <w:szCs w:val="18"/>
                  <w:color w:val="0000EE"/>
                  <w:w w:val="93"/>
                </w:rPr>
                <w:t>Oxley Act of 2002.</w:t>
              </w:r>
            </w:hyperlink>
          </w:p>
        </w:tc>
        <w:tc>
          <w:tcPr>
            <w:tcW w:w="3360" w:type="dxa"/>
            <w:vAlign w:val="bottom"/>
            <w:gridSpan w:val="7"/>
          </w:tcPr>
          <w:p>
            <w:pPr>
              <w:spacing w:after="0"/>
              <w:rPr>
                <w:sz w:val="17"/>
                <w:szCs w:val="17"/>
                <w:color w:val="auto"/>
              </w:rPr>
            </w:pPr>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Arial" w:cs="Arial" w:eastAsia="Arial" w:hAnsi="Arial"/>
                <w:sz w:val="18"/>
                <w:szCs w:val="18"/>
                <w:color w:val="auto"/>
              </w:rPr>
              <w:t>X</w:t>
            </w:r>
          </w:p>
        </w:tc>
      </w:tr>
      <w:tr>
        <w:trPr>
          <w:trHeight w:val="304"/>
        </w:trPr>
        <w:tc>
          <w:tcPr>
            <w:tcW w:w="580" w:type="dxa"/>
            <w:vAlign w:val="bottom"/>
            <w:gridSpan w:val="2"/>
          </w:tcPr>
          <w:p>
            <w:pPr>
              <w:ind w:left="80"/>
              <w:spacing w:after="0"/>
              <w:rPr>
                <w:sz w:val="20"/>
                <w:szCs w:val="20"/>
                <w:color w:val="auto"/>
              </w:rPr>
            </w:pPr>
            <w:r>
              <w:rPr>
                <w:rFonts w:ascii="Arial" w:cs="Arial" w:eastAsia="Arial" w:hAnsi="Arial"/>
                <w:sz w:val="18"/>
                <w:szCs w:val="18"/>
                <w:color w:val="auto"/>
              </w:rPr>
              <w:t>31.2</w:t>
            </w:r>
          </w:p>
        </w:tc>
        <w:tc>
          <w:tcPr>
            <w:tcW w:w="480" w:type="dxa"/>
            <w:vAlign w:val="bottom"/>
          </w:tcPr>
          <w:p>
            <w:pPr>
              <w:spacing w:after="0"/>
              <w:rPr>
                <w:sz w:val="24"/>
                <w:szCs w:val="24"/>
                <w:color w:val="auto"/>
              </w:rPr>
            </w:pPr>
          </w:p>
        </w:tc>
        <w:tc>
          <w:tcPr>
            <w:tcW w:w="4360" w:type="dxa"/>
            <w:vAlign w:val="bottom"/>
            <w:tcBorders>
              <w:bottom w:val="single" w:sz="8" w:color="0000EE"/>
            </w:tcBorders>
            <w:gridSpan w:val="6"/>
          </w:tcPr>
          <w:p>
            <w:pPr>
              <w:spacing w:after="0"/>
              <w:rPr>
                <w:rFonts w:ascii="Arial" w:cs="Arial" w:eastAsia="Arial" w:hAnsi="Arial"/>
                <w:sz w:val="18"/>
                <w:szCs w:val="18"/>
                <w:color w:val="0000EE"/>
                <w:w w:val="93"/>
              </w:rPr>
            </w:pPr>
            <w:hyperlink w:anchor="page26">
              <w:r>
                <w:rPr>
                  <w:rFonts w:ascii="Arial" w:cs="Arial" w:eastAsia="Arial" w:hAnsi="Arial"/>
                  <w:sz w:val="18"/>
                  <w:szCs w:val="18"/>
                  <w:color w:val="0000EE"/>
                  <w:w w:val="93"/>
                </w:rPr>
                <w:t>Certification of Principal Financial Officer pursuant to Rule</w:t>
              </w:r>
            </w:hyperlink>
          </w:p>
        </w:tc>
        <w:tc>
          <w:tcPr>
            <w:tcW w:w="400" w:type="dxa"/>
            <w:vAlign w:val="bottom"/>
            <w:gridSpan w:val="3"/>
          </w:tcPr>
          <w:p>
            <w:pPr>
              <w:spacing w:after="0"/>
              <w:rPr>
                <w:sz w:val="24"/>
                <w:szCs w:val="24"/>
                <w:color w:val="auto"/>
              </w:rPr>
            </w:pP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760" w:type="dxa"/>
            <w:vAlign w:val="bottom"/>
            <w:gridSpan w:val="9"/>
          </w:tcPr>
          <w:p>
            <w:pPr>
              <w:spacing w:after="0" w:line="196" w:lineRule="exact"/>
              <w:rPr>
                <w:rFonts w:ascii="Arial" w:cs="Arial" w:eastAsia="Arial" w:hAnsi="Arial"/>
                <w:sz w:val="18"/>
                <w:szCs w:val="18"/>
                <w:color w:val="0000EE"/>
                <w:w w:val="95"/>
              </w:rPr>
            </w:pPr>
            <w:hyperlink w:anchor="page26">
              <w:r>
                <w:rPr>
                  <w:rFonts w:ascii="Arial" w:cs="Arial" w:eastAsia="Arial" w:hAnsi="Arial"/>
                  <w:sz w:val="18"/>
                  <w:szCs w:val="18"/>
                  <w:color w:val="0000EE"/>
                  <w:w w:val="95"/>
                </w:rPr>
                <w:t>13a-14(a) or Rule 15d-14(a) of the Securities Exchange Act of</w:t>
              </w:r>
            </w:hyperlink>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18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8"/>
              </w:rPr>
            </w:pPr>
            <w:hyperlink w:anchor="page26">
              <w:r>
                <w:rPr>
                  <w:rFonts w:ascii="Arial" w:cs="Arial" w:eastAsia="Arial" w:hAnsi="Arial"/>
                  <w:sz w:val="18"/>
                  <w:szCs w:val="18"/>
                  <w:color w:val="0000EE"/>
                  <w:w w:val="88"/>
                </w:rPr>
                <w:t>1934, as adopted pursuant to Section 302 of the Sarbanes-</w:t>
              </w:r>
            </w:hyperlink>
          </w:p>
        </w:tc>
        <w:tc>
          <w:tcPr>
            <w:tcW w:w="320" w:type="dxa"/>
            <w:vAlign w:val="bottom"/>
            <w:tcBorders>
              <w:top w:val="single" w:sz="8" w:color="0000EE"/>
            </w:tcBorders>
            <w:gridSpan w:val="4"/>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26">
              <w:r>
                <w:rPr>
                  <w:rFonts w:ascii="Arial" w:cs="Arial" w:eastAsia="Arial" w:hAnsi="Arial"/>
                  <w:sz w:val="18"/>
                  <w:szCs w:val="18"/>
                  <w:color w:val="0000EE"/>
                  <w:w w:val="93"/>
                </w:rPr>
                <w:t>Oxley Act of 2002.</w:t>
              </w:r>
            </w:hyperlink>
          </w:p>
        </w:tc>
        <w:tc>
          <w:tcPr>
            <w:tcW w:w="3360" w:type="dxa"/>
            <w:vAlign w:val="bottom"/>
            <w:gridSpan w:val="7"/>
          </w:tcPr>
          <w:p>
            <w:pPr>
              <w:spacing w:after="0"/>
              <w:rPr>
                <w:sz w:val="17"/>
                <w:szCs w:val="17"/>
                <w:color w:val="auto"/>
              </w:rPr>
            </w:pPr>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Arial" w:cs="Arial" w:eastAsia="Arial" w:hAnsi="Arial"/>
                <w:sz w:val="18"/>
                <w:szCs w:val="18"/>
                <w:color w:val="auto"/>
              </w:rPr>
              <w:t>X</w:t>
            </w:r>
          </w:p>
        </w:tc>
      </w:tr>
      <w:tr>
        <w:trPr>
          <w:trHeight w:val="304"/>
        </w:trPr>
        <w:tc>
          <w:tcPr>
            <w:tcW w:w="580" w:type="dxa"/>
            <w:vAlign w:val="bottom"/>
            <w:gridSpan w:val="2"/>
          </w:tcPr>
          <w:p>
            <w:pPr>
              <w:ind w:left="80"/>
              <w:spacing w:after="0"/>
              <w:rPr>
                <w:sz w:val="20"/>
                <w:szCs w:val="20"/>
                <w:color w:val="auto"/>
              </w:rPr>
            </w:pPr>
            <w:r>
              <w:rPr>
                <w:rFonts w:ascii="Arial" w:cs="Arial" w:eastAsia="Arial" w:hAnsi="Arial"/>
                <w:sz w:val="18"/>
                <w:szCs w:val="18"/>
                <w:color w:val="auto"/>
                <w:w w:val="97"/>
              </w:rPr>
              <w:t>32.1**</w:t>
            </w:r>
          </w:p>
        </w:tc>
        <w:tc>
          <w:tcPr>
            <w:tcW w:w="480" w:type="dxa"/>
            <w:vAlign w:val="bottom"/>
          </w:tcPr>
          <w:p>
            <w:pPr>
              <w:spacing w:after="0"/>
              <w:rPr>
                <w:sz w:val="24"/>
                <w:szCs w:val="24"/>
                <w:color w:val="auto"/>
              </w:rPr>
            </w:pPr>
          </w:p>
        </w:tc>
        <w:tc>
          <w:tcPr>
            <w:tcW w:w="4200" w:type="dxa"/>
            <w:vAlign w:val="bottom"/>
            <w:tcBorders>
              <w:bottom w:val="single" w:sz="8" w:color="0000EE"/>
            </w:tcBorders>
            <w:gridSpan w:val="5"/>
          </w:tcPr>
          <w:p>
            <w:pPr>
              <w:spacing w:after="0"/>
              <w:rPr>
                <w:rFonts w:ascii="Arial" w:cs="Arial" w:eastAsia="Arial" w:hAnsi="Arial"/>
                <w:sz w:val="18"/>
                <w:szCs w:val="18"/>
                <w:color w:val="0000EE"/>
                <w:w w:val="93"/>
              </w:rPr>
            </w:pPr>
            <w:hyperlink w:anchor="page27">
              <w:r>
                <w:rPr>
                  <w:rFonts w:ascii="Arial" w:cs="Arial" w:eastAsia="Arial" w:hAnsi="Arial"/>
                  <w:sz w:val="18"/>
                  <w:szCs w:val="18"/>
                  <w:color w:val="0000EE"/>
                  <w:w w:val="93"/>
                </w:rPr>
                <w:t>Certifications of Principal Executive Officer and Principal</w:t>
              </w:r>
            </w:hyperlink>
          </w:p>
        </w:tc>
        <w:tc>
          <w:tcPr>
            <w:tcW w:w="560" w:type="dxa"/>
            <w:vAlign w:val="bottom"/>
            <w:gridSpan w:val="4"/>
          </w:tcPr>
          <w:p>
            <w:pPr>
              <w:spacing w:after="0"/>
              <w:rPr>
                <w:sz w:val="24"/>
                <w:szCs w:val="24"/>
                <w:color w:val="auto"/>
              </w:rPr>
            </w:pP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760" w:type="dxa"/>
            <w:vAlign w:val="bottom"/>
            <w:gridSpan w:val="9"/>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Financial Officer, pursuant to 18 U.S.C. Section 1350, as</w:t>
              </w:r>
            </w:hyperlink>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0"/>
        </w:trPr>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3700" w:type="dxa"/>
            <w:vAlign w:val="bottom"/>
            <w:gridSpan w:val="2"/>
            <w:shd w:val="clear" w:color="auto" w:fill="0000EE"/>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760" w:type="dxa"/>
            <w:vAlign w:val="bottom"/>
            <w:gridSpan w:val="9"/>
          </w:tcPr>
          <w:p>
            <w:pPr>
              <w:spacing w:after="0" w:line="196" w:lineRule="exact"/>
              <w:rPr>
                <w:rFonts w:ascii="Arial" w:cs="Arial" w:eastAsia="Arial" w:hAnsi="Arial"/>
                <w:sz w:val="18"/>
                <w:szCs w:val="18"/>
                <w:color w:val="0000EE"/>
                <w:w w:val="95"/>
              </w:rPr>
            </w:pPr>
            <w:hyperlink w:anchor="page27">
              <w:r>
                <w:rPr>
                  <w:rFonts w:ascii="Arial" w:cs="Arial" w:eastAsia="Arial" w:hAnsi="Arial"/>
                  <w:sz w:val="18"/>
                  <w:szCs w:val="18"/>
                  <w:color w:val="0000EE"/>
                  <w:w w:val="95"/>
                </w:rPr>
                <w:t>adopted pursuant to Section 906 of the Sarbanes-Oxley Act of</w:t>
              </w:r>
            </w:hyperlink>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4"/>
              </w:rPr>
            </w:pPr>
            <w:hyperlink w:anchor="page27">
              <w:r>
                <w:rPr>
                  <w:rFonts w:ascii="Arial" w:cs="Arial" w:eastAsia="Arial" w:hAnsi="Arial"/>
                  <w:sz w:val="18"/>
                  <w:szCs w:val="18"/>
                  <w:color w:val="0000EE"/>
                  <w:w w:val="84"/>
                </w:rPr>
                <w:t>2002.</w:t>
              </w:r>
            </w:hyperlink>
          </w:p>
        </w:tc>
        <w:tc>
          <w:tcPr>
            <w:tcW w:w="1000" w:type="dxa"/>
            <w:vAlign w:val="bottom"/>
            <w:tcBorders>
              <w:top w:val="single" w:sz="8" w:color="0000EE"/>
            </w:tcBorders>
          </w:tcPr>
          <w:p>
            <w:pPr>
              <w:spacing w:after="0"/>
              <w:rPr>
                <w:sz w:val="17"/>
                <w:szCs w:val="17"/>
                <w:color w:val="auto"/>
              </w:rPr>
            </w:pPr>
          </w:p>
        </w:tc>
        <w:tc>
          <w:tcPr>
            <w:tcW w:w="27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Arial" w:cs="Arial" w:eastAsia="Arial" w:hAnsi="Arial"/>
                <w:sz w:val="18"/>
                <w:szCs w:val="18"/>
                <w:color w:val="auto"/>
              </w:rPr>
              <w:t>X</w:t>
            </w:r>
          </w:p>
        </w:tc>
      </w:tr>
      <w:tr>
        <w:trPr>
          <w:trHeight w:val="345"/>
        </w:trPr>
        <w:tc>
          <w:tcPr>
            <w:tcW w:w="1060" w:type="dxa"/>
            <w:vAlign w:val="bottom"/>
            <w:gridSpan w:val="3"/>
          </w:tcPr>
          <w:p>
            <w:pPr>
              <w:spacing w:after="0"/>
              <w:rPr>
                <w:sz w:val="20"/>
                <w:szCs w:val="20"/>
                <w:color w:val="auto"/>
              </w:rPr>
            </w:pPr>
            <w:r>
              <w:rPr>
                <w:rFonts w:ascii="Arial" w:cs="Arial" w:eastAsia="Arial" w:hAnsi="Arial"/>
                <w:sz w:val="18"/>
                <w:szCs w:val="18"/>
                <w:color w:val="auto"/>
              </w:rPr>
              <w:t>101.INS</w:t>
            </w:r>
          </w:p>
        </w:tc>
        <w:tc>
          <w:tcPr>
            <w:tcW w:w="4760" w:type="dxa"/>
            <w:vAlign w:val="bottom"/>
            <w:gridSpan w:val="9"/>
          </w:tcPr>
          <w:p>
            <w:pPr>
              <w:spacing w:after="0"/>
              <w:rPr>
                <w:sz w:val="20"/>
                <w:szCs w:val="20"/>
                <w:color w:val="auto"/>
              </w:rPr>
            </w:pPr>
            <w:r>
              <w:rPr>
                <w:rFonts w:ascii="Arial" w:cs="Arial" w:eastAsia="Arial" w:hAnsi="Arial"/>
                <w:sz w:val="18"/>
                <w:szCs w:val="18"/>
                <w:color w:val="auto"/>
              </w:rPr>
              <w:t>Inline XBRL Instance Document.</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X</w:t>
            </w:r>
          </w:p>
        </w:tc>
      </w:tr>
      <w:tr>
        <w:trPr>
          <w:trHeight w:val="324"/>
        </w:trPr>
        <w:tc>
          <w:tcPr>
            <w:tcW w:w="1060" w:type="dxa"/>
            <w:vAlign w:val="bottom"/>
            <w:gridSpan w:val="3"/>
          </w:tcPr>
          <w:p>
            <w:pPr>
              <w:jc w:val="center"/>
              <w:ind w:right="400"/>
              <w:spacing w:after="0"/>
              <w:rPr>
                <w:sz w:val="20"/>
                <w:szCs w:val="20"/>
                <w:color w:val="auto"/>
              </w:rPr>
            </w:pPr>
            <w:r>
              <w:rPr>
                <w:rFonts w:ascii="Arial" w:cs="Arial" w:eastAsia="Arial" w:hAnsi="Arial"/>
                <w:sz w:val="18"/>
                <w:szCs w:val="18"/>
                <w:color w:val="auto"/>
                <w:w w:val="90"/>
              </w:rPr>
              <w:t>101.SCH</w:t>
            </w:r>
          </w:p>
        </w:tc>
        <w:tc>
          <w:tcPr>
            <w:tcW w:w="4760" w:type="dxa"/>
            <w:vAlign w:val="bottom"/>
            <w:gridSpan w:val="9"/>
          </w:tcPr>
          <w:p>
            <w:pPr>
              <w:spacing w:after="0"/>
              <w:rPr>
                <w:sz w:val="20"/>
                <w:szCs w:val="20"/>
                <w:color w:val="auto"/>
              </w:rPr>
            </w:pPr>
            <w:r>
              <w:rPr>
                <w:rFonts w:ascii="Arial" w:cs="Arial" w:eastAsia="Arial" w:hAnsi="Arial"/>
                <w:sz w:val="18"/>
                <w:szCs w:val="18"/>
                <w:color w:val="auto"/>
              </w:rPr>
              <w:t>Inline XBRL Taxonomy Extension Schema Document.</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X</w:t>
            </w:r>
          </w:p>
        </w:tc>
      </w:tr>
      <w:tr>
        <w:trPr>
          <w:trHeight w:val="310"/>
        </w:trPr>
        <w:tc>
          <w:tcPr>
            <w:tcW w:w="1060" w:type="dxa"/>
            <w:vAlign w:val="bottom"/>
            <w:gridSpan w:val="3"/>
          </w:tcPr>
          <w:p>
            <w:pPr>
              <w:jc w:val="center"/>
              <w:ind w:right="380"/>
              <w:spacing w:after="0"/>
              <w:rPr>
                <w:sz w:val="20"/>
                <w:szCs w:val="20"/>
                <w:color w:val="auto"/>
              </w:rPr>
            </w:pPr>
            <w:r>
              <w:rPr>
                <w:rFonts w:ascii="Arial" w:cs="Arial" w:eastAsia="Arial" w:hAnsi="Arial"/>
                <w:sz w:val="18"/>
                <w:szCs w:val="18"/>
                <w:color w:val="auto"/>
                <w:w w:val="97"/>
              </w:rPr>
              <w:t>101.CAL</w:t>
            </w:r>
          </w:p>
        </w:tc>
        <w:tc>
          <w:tcPr>
            <w:tcW w:w="4760" w:type="dxa"/>
            <w:vAlign w:val="bottom"/>
            <w:gridSpan w:val="9"/>
          </w:tcPr>
          <w:p>
            <w:pPr>
              <w:spacing w:after="0"/>
              <w:rPr>
                <w:sz w:val="20"/>
                <w:szCs w:val="20"/>
                <w:color w:val="auto"/>
              </w:rPr>
            </w:pPr>
            <w:r>
              <w:rPr>
                <w:rFonts w:ascii="Arial" w:cs="Arial" w:eastAsia="Arial" w:hAnsi="Arial"/>
                <w:sz w:val="18"/>
                <w:szCs w:val="18"/>
                <w:color w:val="auto"/>
              </w:rPr>
              <w:t>Inline XBRL Taxonomy Extension Calculation Linkbase</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30"/>
        </w:trPr>
        <w:tc>
          <w:tcPr>
            <w:tcW w:w="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760" w:type="dxa"/>
            <w:vAlign w:val="bottom"/>
            <w:gridSpan w:val="9"/>
          </w:tcPr>
          <w:p>
            <w:pPr>
              <w:spacing w:after="0"/>
              <w:rPr>
                <w:sz w:val="20"/>
                <w:szCs w:val="20"/>
                <w:color w:val="auto"/>
              </w:rPr>
            </w:pPr>
            <w:r>
              <w:rPr>
                <w:rFonts w:ascii="Arial" w:cs="Arial" w:eastAsia="Arial" w:hAnsi="Arial"/>
                <w:sz w:val="18"/>
                <w:szCs w:val="18"/>
                <w:color w:val="auto"/>
              </w:rPr>
              <w:t>Document.</w:t>
            </w:r>
          </w:p>
        </w:tc>
        <w:tc>
          <w:tcPr>
            <w:tcW w:w="8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X</w:t>
            </w:r>
          </w:p>
        </w:tc>
      </w:tr>
      <w:tr>
        <w:trPr>
          <w:trHeight w:val="324"/>
        </w:trPr>
        <w:tc>
          <w:tcPr>
            <w:tcW w:w="1060" w:type="dxa"/>
            <w:vAlign w:val="bottom"/>
            <w:gridSpan w:val="3"/>
          </w:tcPr>
          <w:p>
            <w:pPr>
              <w:jc w:val="center"/>
              <w:ind w:right="380"/>
              <w:spacing w:after="0"/>
              <w:rPr>
                <w:sz w:val="20"/>
                <w:szCs w:val="20"/>
                <w:color w:val="auto"/>
              </w:rPr>
            </w:pPr>
            <w:r>
              <w:rPr>
                <w:rFonts w:ascii="Arial" w:cs="Arial" w:eastAsia="Arial" w:hAnsi="Arial"/>
                <w:sz w:val="18"/>
                <w:szCs w:val="18"/>
                <w:color w:val="auto"/>
                <w:w w:val="98"/>
              </w:rPr>
              <w:t>101.LAB</w:t>
            </w:r>
          </w:p>
        </w:tc>
        <w:tc>
          <w:tcPr>
            <w:tcW w:w="4760" w:type="dxa"/>
            <w:vAlign w:val="bottom"/>
            <w:gridSpan w:val="9"/>
          </w:tcPr>
          <w:p>
            <w:pPr>
              <w:spacing w:after="0"/>
              <w:rPr>
                <w:sz w:val="20"/>
                <w:szCs w:val="20"/>
                <w:color w:val="auto"/>
              </w:rPr>
            </w:pPr>
            <w:r>
              <w:rPr>
                <w:rFonts w:ascii="Arial" w:cs="Arial" w:eastAsia="Arial" w:hAnsi="Arial"/>
                <w:sz w:val="18"/>
                <w:szCs w:val="18"/>
                <w:color w:val="auto"/>
                <w:w w:val="97"/>
              </w:rPr>
              <w:t>Inline XBRL Taxonomy Extension Label Linkbase Document.</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X</w:t>
            </w:r>
          </w:p>
        </w:tc>
      </w:tr>
      <w:tr>
        <w:trPr>
          <w:trHeight w:val="310"/>
        </w:trPr>
        <w:tc>
          <w:tcPr>
            <w:tcW w:w="1060" w:type="dxa"/>
            <w:vAlign w:val="bottom"/>
            <w:gridSpan w:val="3"/>
          </w:tcPr>
          <w:p>
            <w:pPr>
              <w:jc w:val="center"/>
              <w:ind w:right="420"/>
              <w:spacing w:after="0"/>
              <w:rPr>
                <w:sz w:val="20"/>
                <w:szCs w:val="20"/>
                <w:color w:val="auto"/>
              </w:rPr>
            </w:pPr>
            <w:r>
              <w:rPr>
                <w:rFonts w:ascii="Arial" w:cs="Arial" w:eastAsia="Arial" w:hAnsi="Arial"/>
                <w:sz w:val="18"/>
                <w:szCs w:val="18"/>
                <w:color w:val="auto"/>
                <w:w w:val="88"/>
              </w:rPr>
              <w:t>101.PRE</w:t>
            </w:r>
          </w:p>
        </w:tc>
        <w:tc>
          <w:tcPr>
            <w:tcW w:w="4760" w:type="dxa"/>
            <w:vAlign w:val="bottom"/>
            <w:gridSpan w:val="9"/>
          </w:tcPr>
          <w:p>
            <w:pPr>
              <w:spacing w:after="0"/>
              <w:rPr>
                <w:sz w:val="20"/>
                <w:szCs w:val="20"/>
                <w:color w:val="auto"/>
              </w:rPr>
            </w:pPr>
            <w:r>
              <w:rPr>
                <w:rFonts w:ascii="Arial" w:cs="Arial" w:eastAsia="Arial" w:hAnsi="Arial"/>
                <w:sz w:val="18"/>
                <w:szCs w:val="18"/>
                <w:color w:val="auto"/>
              </w:rPr>
              <w:t>Inline XBRL Taxonomy Extension Presentation Linkbase</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30"/>
        </w:trPr>
        <w:tc>
          <w:tcPr>
            <w:tcW w:w="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760" w:type="dxa"/>
            <w:vAlign w:val="bottom"/>
            <w:gridSpan w:val="9"/>
          </w:tcPr>
          <w:p>
            <w:pPr>
              <w:spacing w:after="0"/>
              <w:rPr>
                <w:sz w:val="20"/>
                <w:szCs w:val="20"/>
                <w:color w:val="auto"/>
              </w:rPr>
            </w:pPr>
            <w:r>
              <w:rPr>
                <w:rFonts w:ascii="Arial" w:cs="Arial" w:eastAsia="Arial" w:hAnsi="Arial"/>
                <w:sz w:val="18"/>
                <w:szCs w:val="18"/>
                <w:color w:val="auto"/>
              </w:rPr>
              <w:t>Document.</w:t>
            </w:r>
          </w:p>
        </w:tc>
        <w:tc>
          <w:tcPr>
            <w:tcW w:w="8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X</w:t>
            </w:r>
          </w:p>
        </w:tc>
      </w:tr>
      <w:tr>
        <w:trPr>
          <w:trHeight w:val="310"/>
        </w:trPr>
        <w:tc>
          <w:tcPr>
            <w:tcW w:w="1060" w:type="dxa"/>
            <w:vAlign w:val="bottom"/>
            <w:gridSpan w:val="3"/>
          </w:tcPr>
          <w:p>
            <w:pPr>
              <w:jc w:val="center"/>
              <w:ind w:right="400"/>
              <w:spacing w:after="0"/>
              <w:rPr>
                <w:sz w:val="20"/>
                <w:szCs w:val="20"/>
                <w:color w:val="auto"/>
              </w:rPr>
            </w:pPr>
            <w:r>
              <w:rPr>
                <w:rFonts w:ascii="Arial" w:cs="Arial" w:eastAsia="Arial" w:hAnsi="Arial"/>
                <w:sz w:val="18"/>
                <w:szCs w:val="18"/>
                <w:color w:val="auto"/>
                <w:w w:val="92"/>
              </w:rPr>
              <w:t>101.DEF</w:t>
            </w:r>
          </w:p>
        </w:tc>
        <w:tc>
          <w:tcPr>
            <w:tcW w:w="4760" w:type="dxa"/>
            <w:vAlign w:val="bottom"/>
            <w:gridSpan w:val="9"/>
          </w:tcPr>
          <w:p>
            <w:pPr>
              <w:spacing w:after="0"/>
              <w:rPr>
                <w:sz w:val="20"/>
                <w:szCs w:val="20"/>
                <w:color w:val="auto"/>
              </w:rPr>
            </w:pPr>
            <w:r>
              <w:rPr>
                <w:rFonts w:ascii="Arial" w:cs="Arial" w:eastAsia="Arial" w:hAnsi="Arial"/>
                <w:sz w:val="18"/>
                <w:szCs w:val="18"/>
                <w:color w:val="auto"/>
              </w:rPr>
              <w:t>Inline XBRL Taxonomy Extension Definition Linkbase</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30"/>
        </w:trPr>
        <w:tc>
          <w:tcPr>
            <w:tcW w:w="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760" w:type="dxa"/>
            <w:vAlign w:val="bottom"/>
            <w:gridSpan w:val="9"/>
          </w:tcPr>
          <w:p>
            <w:pPr>
              <w:spacing w:after="0"/>
              <w:rPr>
                <w:sz w:val="20"/>
                <w:szCs w:val="20"/>
                <w:color w:val="auto"/>
              </w:rPr>
            </w:pPr>
            <w:r>
              <w:rPr>
                <w:rFonts w:ascii="Arial" w:cs="Arial" w:eastAsia="Arial" w:hAnsi="Arial"/>
                <w:sz w:val="18"/>
                <w:szCs w:val="18"/>
                <w:color w:val="auto"/>
              </w:rPr>
              <w:t>Document.</w:t>
            </w:r>
          </w:p>
        </w:tc>
        <w:tc>
          <w:tcPr>
            <w:tcW w:w="8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X</w:t>
            </w:r>
          </w:p>
        </w:tc>
      </w:tr>
    </w:tbl>
    <w:p>
      <w:pPr>
        <w:spacing w:after="0" w:line="94" w:lineRule="exact"/>
        <w:rPr>
          <w:sz w:val="20"/>
          <w:szCs w:val="20"/>
          <w:color w:val="auto"/>
        </w:rPr>
      </w:pPr>
    </w:p>
    <w:p>
      <w:pPr>
        <w:ind w:left="1180" w:right="5760" w:hanging="1064"/>
        <w:spacing w:after="0" w:line="263" w:lineRule="auto"/>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Inline XBRL for the cover page of this Annual Report on Form 10-K, included in the Exhibit 101 Inline XBRL Document Set.</w:t>
      </w:r>
    </w:p>
    <w:p>
      <w:pPr>
        <w:spacing w:after="0" w:line="211" w:lineRule="exact"/>
        <w:rPr>
          <w:sz w:val="20"/>
          <w:szCs w:val="20"/>
          <w:color w:val="auto"/>
        </w:rPr>
      </w:pPr>
    </w:p>
    <w:p>
      <w:pPr>
        <w:ind w:left="540" w:hanging="424"/>
        <w:spacing w:after="0"/>
        <w:tabs>
          <w:tab w:leader="none" w:pos="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Certain portions of this exhibit have been redacted in accordance with Item 601(b)(10) of Regulation S-K.</w:t>
      </w:r>
    </w:p>
    <w:p>
      <w:pPr>
        <w:spacing w:after="0" w:line="23" w:lineRule="exact"/>
        <w:rPr>
          <w:sz w:val="20"/>
          <w:szCs w:val="20"/>
          <w:color w:val="auto"/>
        </w:rPr>
      </w:pPr>
    </w:p>
    <w:p>
      <w:pPr>
        <w:ind w:left="540" w:hanging="424"/>
        <w:spacing w:after="0" w:line="253" w:lineRule="auto"/>
        <w:tabs>
          <w:tab w:leader="none" w:pos="5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certifications attached as Exhibit 32.1 that accompany this Quarterly Report pursuant to 18 U.S.C. Section 1350, as adopted pursuant to Section 906 of the Sarbanes-Oxley Act of 2002, shall not be deemed “filed” by the registrant for purposes of Section 18 of the Exchange Act and are not to be incorporated by reference into any of the registrant’s filings under the Securities Act or the Exchange Act, irrespective of any general incorporation language contained in any such filing.</w:t>
      </w:r>
    </w:p>
    <w:p>
      <w:pPr>
        <w:spacing w:after="0" w:line="12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080"/>
          </w:cols>
          <w:pgMar w:left="320" w:top="486" w:right="49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0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MADRIGAL PHARMACEUTICALS, INC.</w:t>
      </w:r>
    </w:p>
    <w:p>
      <w:pPr>
        <w:sectPr>
          <w:pgSz w:w="11900" w:h="16838" w:orient="portrait"/>
          <w:cols w:equalWidth="0" w:num="1">
            <w:col w:w="10380"/>
          </w:cols>
          <w:pgMar w:left="320" w:top="486" w:right="1199" w:bottom="1440" w:gutter="0" w:footer="0" w:header="0"/>
        </w:sectPr>
      </w:pPr>
    </w:p>
    <w:p>
      <w:pPr>
        <w:spacing w:after="0" w:line="225" w:lineRule="exact"/>
        <w:rPr>
          <w:sz w:val="20"/>
          <w:szCs w:val="20"/>
          <w:color w:val="auto"/>
        </w:rPr>
      </w:pPr>
    </w:p>
    <w:p>
      <w:pPr>
        <w:ind w:left="120"/>
        <w:spacing w:after="0"/>
        <w:rPr>
          <w:sz w:val="20"/>
          <w:szCs w:val="20"/>
          <w:color w:val="auto"/>
        </w:rPr>
      </w:pPr>
      <w:r>
        <w:rPr>
          <w:rFonts w:ascii="Arial" w:cs="Arial" w:eastAsia="Arial" w:hAnsi="Arial"/>
          <w:sz w:val="16"/>
          <w:szCs w:val="16"/>
          <w:color w:val="auto"/>
        </w:rPr>
        <w:t>Date: November 5, 2020</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/s/ Paul A. Friedman,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M.D. Paul A. Friedman,</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M.D. Chief Executive Officer</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(Principal Executive Officer)</w:t>
      </w:r>
    </w:p>
    <w:p>
      <w:pPr>
        <w:spacing w:after="0" w:line="200" w:lineRule="exact"/>
        <w:rPr>
          <w:sz w:val="20"/>
          <w:szCs w:val="20"/>
          <w:color w:val="auto"/>
        </w:rPr>
      </w:pPr>
    </w:p>
    <w:p>
      <w:pPr>
        <w:sectPr>
          <w:pgSz w:w="11900" w:h="16838" w:orient="portrait"/>
          <w:cols w:equalWidth="0" w:num="3">
            <w:col w:w="5020" w:space="720"/>
            <w:col w:w="260" w:space="180"/>
            <w:col w:w="4200"/>
          </w:cols>
          <w:pgMar w:left="320" w:top="486" w:right="1199" w:bottom="1440" w:gutter="0" w:footer="0" w:header="0"/>
          <w:type w:val="continuous"/>
        </w:sectPr>
      </w:pPr>
    </w:p>
    <w:p>
      <w:pPr>
        <w:spacing w:after="0" w:line="2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Date: November 5, 2020</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/s/ Marc R. Schneebaum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 R. Schneebaum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(Principal Financial and Accounting Officer)</w:t>
      </w:r>
    </w:p>
    <w:p>
      <w:pPr>
        <w:spacing w:after="0" w:line="166" w:lineRule="exact"/>
        <w:rPr>
          <w:sz w:val="20"/>
          <w:szCs w:val="20"/>
          <w:color w:val="auto"/>
        </w:rPr>
      </w:pPr>
    </w:p>
    <w:p>
      <w:pPr>
        <w:sectPr>
          <w:pgSz w:w="11900" w:h="16838" w:orient="portrait"/>
          <w:cols w:equalWidth="0" w:num="3">
            <w:col w:w="5020" w:space="720"/>
            <w:col w:w="260" w:space="180"/>
            <w:col w:w="4200"/>
          </w:cols>
          <w:pgMar w:left="320" w:top="486" w:right="1199" w:bottom="1440" w:gutter="0" w:footer="0" w:header="0"/>
          <w:type w:val="continuous"/>
        </w:sectPr>
      </w:pPr>
    </w:p>
    <w:p>
      <w:pPr>
        <w:ind w:left="5540"/>
        <w:spacing w:after="0"/>
        <w:rPr>
          <w:sz w:val="20"/>
          <w:szCs w:val="20"/>
          <w:color w:val="auto"/>
        </w:rPr>
      </w:pPr>
      <w:r>
        <w:rPr>
          <w:rFonts w:ascii="Arial" w:cs="Arial" w:eastAsia="Arial" w:hAnsi="Arial"/>
          <w:sz w:val="16"/>
          <w:szCs w:val="16"/>
          <w:color w:val="auto"/>
        </w:rPr>
        <w:t>23</w:t>
      </w:r>
    </w:p>
    <w:p>
      <w:pPr>
        <w:sectPr>
          <w:pgSz w:w="11900" w:h="16838" w:orient="portrait"/>
          <w:cols w:equalWidth="0" w:num="1">
            <w:col w:w="10380"/>
          </w:cols>
          <w:pgMar w:left="320" w:top="486" w:right="1199" w:bottom="1440" w:gutter="0" w:footer="0" w:header="0"/>
          <w:type w:val="continuous"/>
        </w:sectPr>
      </w:pPr>
    </w:p>
    <w:bookmarkStart w:id="24" w:name="page25"/>
    <w:bookmarkEnd w:id="24"/>
    <w:p>
      <w:pPr>
        <w:ind w:left="10080"/>
        <w:spacing w:after="0"/>
        <w:rPr>
          <w:sz w:val="20"/>
          <w:szCs w:val="20"/>
          <w:color w:val="auto"/>
        </w:rPr>
      </w:pPr>
      <w:r>
        <w:rPr>
          <w:rFonts w:ascii="Arial" w:cs="Arial" w:eastAsia="Arial" w:hAnsi="Arial"/>
          <w:sz w:val="16"/>
          <w:szCs w:val="16"/>
          <w:b w:val="1"/>
          <w:bCs w:val="1"/>
          <w:color w:val="auto"/>
        </w:rPr>
        <w:t>Exhibit 31.1</w:t>
      </w:r>
    </w:p>
    <w:p>
      <w:pPr>
        <w:spacing w:after="0" w:line="248" w:lineRule="exact"/>
        <w:rPr>
          <w:sz w:val="20"/>
          <w:szCs w:val="20"/>
          <w:color w:val="auto"/>
        </w:rPr>
      </w:pPr>
    </w:p>
    <w:p>
      <w:pPr>
        <w:jc w:val="center"/>
        <w:ind w:right="20"/>
        <w:spacing w:after="0" w:line="282" w:lineRule="auto"/>
        <w:rPr>
          <w:sz w:val="20"/>
          <w:szCs w:val="20"/>
          <w:color w:val="auto"/>
        </w:rPr>
      </w:pPr>
      <w:r>
        <w:rPr>
          <w:rFonts w:ascii="Arial" w:cs="Arial" w:eastAsia="Arial" w:hAnsi="Arial"/>
          <w:sz w:val="18"/>
          <w:szCs w:val="18"/>
          <w:b w:val="1"/>
          <w:bCs w:val="1"/>
          <w:color w:val="auto"/>
        </w:rPr>
        <w:t>CERTIFICATION OF PRINCIPAL EXECUTIVE OFFICER PURSUANT TO EXCHANGE ACT RULES 13a-14(a) AND 15d-14(a) AS ADOPTED PURSUANT TO SECTION 302 OF THE SARBANES-OXLEY ACT OF 2002</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I, Paul A. Friedman, M.D., certify that:</w:t>
      </w:r>
    </w:p>
    <w:p>
      <w:pPr>
        <w:spacing w:after="0" w:line="131" w:lineRule="exact"/>
        <w:rPr>
          <w:sz w:val="20"/>
          <w:szCs w:val="20"/>
          <w:color w:val="auto"/>
        </w:rPr>
      </w:pPr>
    </w:p>
    <w:p>
      <w:pPr>
        <w:ind w:left="960" w:hanging="532"/>
        <w:spacing w:after="0"/>
        <w:tabs>
          <w:tab w:leader="none" w:pos="9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Madrigal Pharmaceuticals, Inc.;</w:t>
      </w:r>
    </w:p>
    <w:p>
      <w:pPr>
        <w:spacing w:after="0" w:line="130" w:lineRule="exact"/>
        <w:rPr>
          <w:rFonts w:ascii="Arial" w:cs="Arial" w:eastAsia="Arial" w:hAnsi="Arial"/>
          <w:sz w:val="18"/>
          <w:szCs w:val="18"/>
          <w:color w:val="auto"/>
        </w:rPr>
      </w:pPr>
    </w:p>
    <w:p>
      <w:pPr>
        <w:ind w:left="960" w:right="60" w:hanging="532"/>
        <w:spacing w:after="0" w:line="263" w:lineRule="auto"/>
        <w:tabs>
          <w:tab w:leader="none" w:pos="9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9" w:lineRule="exact"/>
        <w:rPr>
          <w:rFonts w:ascii="Arial" w:cs="Arial" w:eastAsia="Arial" w:hAnsi="Arial"/>
          <w:sz w:val="18"/>
          <w:szCs w:val="18"/>
          <w:color w:val="auto"/>
        </w:rPr>
      </w:pPr>
    </w:p>
    <w:p>
      <w:pPr>
        <w:ind w:left="960" w:right="340" w:hanging="532"/>
        <w:spacing w:after="0" w:line="342" w:lineRule="auto"/>
        <w:tabs>
          <w:tab w:leader="none" w:pos="9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9" w:lineRule="exact"/>
        <w:rPr>
          <w:rFonts w:ascii="Arial" w:cs="Arial" w:eastAsia="Arial" w:hAnsi="Arial"/>
          <w:sz w:val="16"/>
          <w:szCs w:val="16"/>
          <w:color w:val="auto"/>
        </w:rPr>
      </w:pPr>
    </w:p>
    <w:p>
      <w:pPr>
        <w:ind w:left="960" w:right="220" w:hanging="532"/>
        <w:spacing w:after="0" w:line="291" w:lineRule="auto"/>
        <w:tabs>
          <w:tab w:leader="none" w:pos="9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w:t>
      </w:r>
    </w:p>
    <w:p>
      <w:pPr>
        <w:ind w:left="960"/>
        <w:spacing w:after="0"/>
        <w:rPr>
          <w:rFonts w:ascii="Arial" w:cs="Arial" w:eastAsia="Arial" w:hAnsi="Arial"/>
          <w:sz w:val="16"/>
          <w:szCs w:val="16"/>
          <w:color w:val="auto"/>
        </w:rPr>
      </w:pPr>
      <w:r>
        <w:rPr>
          <w:rFonts w:ascii="Arial" w:cs="Arial" w:eastAsia="Arial" w:hAnsi="Arial"/>
          <w:sz w:val="18"/>
          <w:szCs w:val="18"/>
          <w:color w:val="auto"/>
        </w:rPr>
        <w:t>13a-15(f) and 15d-15(f)) for the registrant and have:</w:t>
      </w:r>
    </w:p>
    <w:p>
      <w:pPr>
        <w:spacing w:after="0" w:line="116" w:lineRule="exact"/>
        <w:rPr>
          <w:sz w:val="20"/>
          <w:szCs w:val="20"/>
          <w:color w:val="auto"/>
        </w:rPr>
      </w:pPr>
    </w:p>
    <w:p>
      <w:pPr>
        <w:ind w:left="960" w:right="20" w:hanging="532"/>
        <w:spacing w:after="0" w:line="263" w:lineRule="auto"/>
        <w:tabs>
          <w:tab w:leader="none" w:pos="9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9" w:lineRule="exact"/>
        <w:rPr>
          <w:rFonts w:ascii="Arial" w:cs="Arial" w:eastAsia="Arial" w:hAnsi="Arial"/>
          <w:sz w:val="18"/>
          <w:szCs w:val="18"/>
          <w:color w:val="auto"/>
        </w:rPr>
      </w:pPr>
    </w:p>
    <w:p>
      <w:pPr>
        <w:ind w:left="960" w:right="160" w:hanging="532"/>
        <w:spacing w:after="0" w:line="263" w:lineRule="auto"/>
        <w:tabs>
          <w:tab w:leader="none" w:pos="9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9" w:lineRule="exact"/>
        <w:rPr>
          <w:rFonts w:ascii="Arial" w:cs="Arial" w:eastAsia="Arial" w:hAnsi="Arial"/>
          <w:sz w:val="18"/>
          <w:szCs w:val="18"/>
          <w:color w:val="auto"/>
        </w:rPr>
      </w:pPr>
    </w:p>
    <w:p>
      <w:pPr>
        <w:jc w:val="both"/>
        <w:ind w:left="960" w:right="320" w:hanging="532"/>
        <w:spacing w:after="0" w:line="342" w:lineRule="auto"/>
        <w:tabs>
          <w:tab w:leader="none" w:pos="9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9" w:lineRule="exact"/>
        <w:rPr>
          <w:rFonts w:ascii="Arial" w:cs="Arial" w:eastAsia="Arial" w:hAnsi="Arial"/>
          <w:sz w:val="16"/>
          <w:szCs w:val="16"/>
          <w:color w:val="auto"/>
        </w:rPr>
      </w:pPr>
    </w:p>
    <w:p>
      <w:pPr>
        <w:ind w:left="960" w:right="20" w:hanging="532"/>
        <w:spacing w:after="0" w:line="263" w:lineRule="auto"/>
        <w:tabs>
          <w:tab w:leader="none" w:pos="9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9" w:lineRule="exact"/>
        <w:rPr>
          <w:sz w:val="20"/>
          <w:szCs w:val="20"/>
          <w:color w:val="auto"/>
        </w:rPr>
      </w:pPr>
    </w:p>
    <w:p>
      <w:pPr>
        <w:ind w:left="960" w:right="260" w:hanging="532"/>
        <w:spacing w:after="0" w:line="263" w:lineRule="auto"/>
        <w:tabs>
          <w:tab w:leader="none" w:pos="9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9" w:lineRule="exact"/>
        <w:rPr>
          <w:sz w:val="20"/>
          <w:szCs w:val="20"/>
          <w:color w:val="auto"/>
        </w:rPr>
      </w:pPr>
    </w:p>
    <w:p>
      <w:pPr>
        <w:ind w:left="960" w:right="560" w:hanging="532"/>
        <w:spacing w:after="0" w:line="342" w:lineRule="auto"/>
        <w:tabs>
          <w:tab w:leader="none" w:pos="9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9" w:lineRule="exact"/>
        <w:rPr>
          <w:rFonts w:ascii="Arial" w:cs="Arial" w:eastAsia="Arial" w:hAnsi="Arial"/>
          <w:sz w:val="16"/>
          <w:szCs w:val="16"/>
          <w:color w:val="auto"/>
        </w:rPr>
      </w:pPr>
    </w:p>
    <w:p>
      <w:pPr>
        <w:ind w:left="960" w:right="260" w:hanging="532"/>
        <w:spacing w:after="0" w:line="277" w:lineRule="auto"/>
        <w:tabs>
          <w:tab w:leader="none" w:pos="9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79463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Paul A. Friedman, M.D.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 and Chairman of the Board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2020</w:t>
      </w:r>
    </w:p>
    <w:p>
      <w:pPr>
        <w:sectPr>
          <w:pgSz w:w="11900" w:h="16838" w:orient="portrait"/>
          <w:cols w:equalWidth="0" w:num="1">
            <w:col w:w="11020"/>
          </w:cols>
          <w:pgMar w:left="440" w:top="121" w:right="439" w:bottom="1440" w:gutter="0" w:footer="0" w:header="0"/>
        </w:sectPr>
      </w:pPr>
    </w:p>
    <w:bookmarkStart w:id="25" w:name="page26"/>
    <w:bookmarkEnd w:id="25"/>
    <w:p>
      <w:pPr>
        <w:ind w:left="10080"/>
        <w:spacing w:after="0"/>
        <w:rPr>
          <w:sz w:val="20"/>
          <w:szCs w:val="20"/>
          <w:color w:val="auto"/>
        </w:rPr>
      </w:pPr>
      <w:r>
        <w:rPr>
          <w:rFonts w:ascii="Arial" w:cs="Arial" w:eastAsia="Arial" w:hAnsi="Arial"/>
          <w:sz w:val="16"/>
          <w:szCs w:val="16"/>
          <w:b w:val="1"/>
          <w:bCs w:val="1"/>
          <w:color w:val="auto"/>
        </w:rPr>
        <w:t>Exhibit 31.2</w:t>
      </w:r>
    </w:p>
    <w:p>
      <w:pPr>
        <w:spacing w:after="0" w:line="248"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CERTIFICATION OF PRINCIPAL FINANCIAL OFFICER PURSUANT TO EXCHANGE ACT RULES 13a-14(a) AND 15d-14(a) AS ADOPTED PURSUANT TO SECTION 302 OF THE SARBANES-OXLEY ACT OF 2002</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I, Marc R. Schneebaum, certify that:</w:t>
      </w:r>
    </w:p>
    <w:p>
      <w:pPr>
        <w:spacing w:after="0" w:line="131" w:lineRule="exact"/>
        <w:rPr>
          <w:sz w:val="20"/>
          <w:szCs w:val="20"/>
          <w:color w:val="auto"/>
        </w:rPr>
      </w:pPr>
    </w:p>
    <w:p>
      <w:pPr>
        <w:ind w:left="960" w:hanging="532"/>
        <w:spacing w:after="0"/>
        <w:tabs>
          <w:tab w:leader="none" w:pos="9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Madrigal Pharmaceuticals, Inc.;</w:t>
      </w:r>
    </w:p>
    <w:p>
      <w:pPr>
        <w:spacing w:after="0" w:line="130" w:lineRule="exact"/>
        <w:rPr>
          <w:rFonts w:ascii="Arial" w:cs="Arial" w:eastAsia="Arial" w:hAnsi="Arial"/>
          <w:sz w:val="18"/>
          <w:szCs w:val="18"/>
          <w:color w:val="auto"/>
        </w:rPr>
      </w:pPr>
    </w:p>
    <w:p>
      <w:pPr>
        <w:ind w:left="960" w:right="60" w:hanging="532"/>
        <w:spacing w:after="0" w:line="263" w:lineRule="auto"/>
        <w:tabs>
          <w:tab w:leader="none" w:pos="9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9" w:lineRule="exact"/>
        <w:rPr>
          <w:rFonts w:ascii="Arial" w:cs="Arial" w:eastAsia="Arial" w:hAnsi="Arial"/>
          <w:sz w:val="18"/>
          <w:szCs w:val="18"/>
          <w:color w:val="auto"/>
        </w:rPr>
      </w:pPr>
    </w:p>
    <w:p>
      <w:pPr>
        <w:ind w:left="960" w:right="340" w:hanging="532"/>
        <w:spacing w:after="0" w:line="342" w:lineRule="auto"/>
        <w:tabs>
          <w:tab w:leader="none" w:pos="9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9" w:lineRule="exact"/>
        <w:rPr>
          <w:rFonts w:ascii="Arial" w:cs="Arial" w:eastAsia="Arial" w:hAnsi="Arial"/>
          <w:sz w:val="16"/>
          <w:szCs w:val="16"/>
          <w:color w:val="auto"/>
        </w:rPr>
      </w:pPr>
    </w:p>
    <w:p>
      <w:pPr>
        <w:ind w:left="960" w:right="220" w:hanging="532"/>
        <w:spacing w:after="0" w:line="291" w:lineRule="auto"/>
        <w:tabs>
          <w:tab w:leader="none" w:pos="9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w:t>
      </w:r>
    </w:p>
    <w:p>
      <w:pPr>
        <w:ind w:left="960"/>
        <w:spacing w:after="0"/>
        <w:rPr>
          <w:rFonts w:ascii="Arial" w:cs="Arial" w:eastAsia="Arial" w:hAnsi="Arial"/>
          <w:sz w:val="16"/>
          <w:szCs w:val="16"/>
          <w:color w:val="auto"/>
        </w:rPr>
      </w:pPr>
      <w:r>
        <w:rPr>
          <w:rFonts w:ascii="Arial" w:cs="Arial" w:eastAsia="Arial" w:hAnsi="Arial"/>
          <w:sz w:val="18"/>
          <w:szCs w:val="18"/>
          <w:color w:val="auto"/>
        </w:rPr>
        <w:t>13a-15(f) and 15d-15(f)) for the registrant and have:</w:t>
      </w:r>
    </w:p>
    <w:p>
      <w:pPr>
        <w:spacing w:after="0" w:line="116" w:lineRule="exact"/>
        <w:rPr>
          <w:sz w:val="20"/>
          <w:szCs w:val="20"/>
          <w:color w:val="auto"/>
        </w:rPr>
      </w:pPr>
    </w:p>
    <w:p>
      <w:pPr>
        <w:ind w:left="960" w:right="20" w:hanging="532"/>
        <w:spacing w:after="0" w:line="263" w:lineRule="auto"/>
        <w:tabs>
          <w:tab w:leader="none" w:pos="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9" w:lineRule="exact"/>
        <w:rPr>
          <w:rFonts w:ascii="Arial" w:cs="Arial" w:eastAsia="Arial" w:hAnsi="Arial"/>
          <w:sz w:val="18"/>
          <w:szCs w:val="18"/>
          <w:color w:val="auto"/>
        </w:rPr>
      </w:pPr>
    </w:p>
    <w:p>
      <w:pPr>
        <w:ind w:left="960" w:right="160" w:hanging="532"/>
        <w:spacing w:after="0" w:line="263" w:lineRule="auto"/>
        <w:tabs>
          <w:tab w:leader="none" w:pos="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9" w:lineRule="exact"/>
        <w:rPr>
          <w:rFonts w:ascii="Arial" w:cs="Arial" w:eastAsia="Arial" w:hAnsi="Arial"/>
          <w:sz w:val="18"/>
          <w:szCs w:val="18"/>
          <w:color w:val="auto"/>
        </w:rPr>
      </w:pPr>
    </w:p>
    <w:p>
      <w:pPr>
        <w:jc w:val="both"/>
        <w:ind w:left="960" w:right="320" w:hanging="532"/>
        <w:spacing w:after="0" w:line="342" w:lineRule="auto"/>
        <w:tabs>
          <w:tab w:leader="none" w:pos="9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9" w:lineRule="exact"/>
        <w:rPr>
          <w:rFonts w:ascii="Arial" w:cs="Arial" w:eastAsia="Arial" w:hAnsi="Arial"/>
          <w:sz w:val="16"/>
          <w:szCs w:val="16"/>
          <w:color w:val="auto"/>
        </w:rPr>
      </w:pPr>
    </w:p>
    <w:p>
      <w:pPr>
        <w:ind w:left="960" w:right="20" w:hanging="532"/>
        <w:spacing w:after="0" w:line="263" w:lineRule="auto"/>
        <w:tabs>
          <w:tab w:leader="none" w:pos="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9" w:lineRule="exact"/>
        <w:rPr>
          <w:sz w:val="20"/>
          <w:szCs w:val="20"/>
          <w:color w:val="auto"/>
        </w:rPr>
      </w:pPr>
    </w:p>
    <w:p>
      <w:pPr>
        <w:ind w:left="960" w:right="260" w:hanging="532"/>
        <w:spacing w:after="0" w:line="263" w:lineRule="auto"/>
        <w:tabs>
          <w:tab w:leader="none" w:pos="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9" w:lineRule="exact"/>
        <w:rPr>
          <w:sz w:val="20"/>
          <w:szCs w:val="20"/>
          <w:color w:val="auto"/>
        </w:rPr>
      </w:pPr>
    </w:p>
    <w:p>
      <w:pPr>
        <w:ind w:left="960" w:right="560" w:hanging="532"/>
        <w:spacing w:after="0" w:line="342" w:lineRule="auto"/>
        <w:tabs>
          <w:tab w:leader="none" w:pos="9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9" w:lineRule="exact"/>
        <w:rPr>
          <w:rFonts w:ascii="Arial" w:cs="Arial" w:eastAsia="Arial" w:hAnsi="Arial"/>
          <w:sz w:val="16"/>
          <w:szCs w:val="16"/>
          <w:color w:val="auto"/>
        </w:rPr>
      </w:pPr>
    </w:p>
    <w:p>
      <w:pPr>
        <w:ind w:left="960" w:right="260" w:hanging="532"/>
        <w:spacing w:after="0" w:line="277" w:lineRule="auto"/>
        <w:tabs>
          <w:tab w:leader="none" w:pos="9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79463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Marc R. Schneebaum</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and Accounting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2020</w:t>
      </w:r>
    </w:p>
    <w:p>
      <w:pPr>
        <w:sectPr>
          <w:pgSz w:w="11900" w:h="16838" w:orient="portrait"/>
          <w:cols w:equalWidth="0" w:num="1">
            <w:col w:w="11020"/>
          </w:cols>
          <w:pgMar w:left="440" w:top="121" w:right="439" w:bottom="1440" w:gutter="0" w:footer="0" w:header="0"/>
        </w:sectPr>
      </w:pPr>
    </w:p>
    <w:bookmarkStart w:id="26" w:name="page27"/>
    <w:bookmarkEnd w:id="26"/>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184" w:lineRule="exact"/>
        <w:rPr>
          <w:sz w:val="20"/>
          <w:szCs w:val="20"/>
          <w:color w:val="auto"/>
        </w:rPr>
      </w:pPr>
    </w:p>
    <w:p>
      <w:pPr>
        <w:ind w:right="300"/>
        <w:spacing w:after="0" w:line="263" w:lineRule="auto"/>
        <w:rPr>
          <w:sz w:val="20"/>
          <w:szCs w:val="20"/>
          <w:color w:val="auto"/>
        </w:rPr>
      </w:pPr>
      <w:r>
        <w:rPr>
          <w:rFonts w:ascii="Arial" w:cs="Arial" w:eastAsia="Arial" w:hAnsi="Arial"/>
          <w:sz w:val="18"/>
          <w:szCs w:val="18"/>
          <w:color w:val="auto"/>
        </w:rPr>
        <w:t>The Quarterly Report on Form 10-Q for the quarterly period ended September 30, 2020 (the “Form 10-Q”)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11" w:lineRule="exact"/>
        <w:rPr>
          <w:sz w:val="20"/>
          <w:szCs w:val="20"/>
          <w:color w:val="auto"/>
        </w:rPr>
      </w:pPr>
    </w:p>
    <w:p>
      <w:pPr>
        <w:spacing w:after="0"/>
        <w:tabs>
          <w:tab w:leader="none" w:pos="6140" w:val="left"/>
        </w:tabs>
        <w:rPr>
          <w:sz w:val="20"/>
          <w:szCs w:val="20"/>
          <w:color w:val="auto"/>
        </w:rPr>
      </w:pPr>
      <w:r>
        <w:rPr>
          <w:rFonts w:ascii="Arial" w:cs="Arial" w:eastAsia="Arial" w:hAnsi="Arial"/>
          <w:sz w:val="18"/>
          <w:szCs w:val="18"/>
          <w:color w:val="auto"/>
        </w:rPr>
        <w:t>Dated: November 5, 2020</w:t>
      </w:r>
      <w:r>
        <w:rPr>
          <w:sz w:val="20"/>
          <w:szCs w:val="20"/>
          <w:color w:val="auto"/>
        </w:rPr>
        <w:tab/>
      </w: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3914775</wp:posOffset>
            </wp:positionH>
            <wp:positionV relativeFrom="paragraph">
              <wp:posOffset>14605</wp:posOffset>
            </wp:positionV>
            <wp:extent cx="307721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077210" cy="8255"/>
                    </a:xfrm>
                    <a:prstGeom prst="rect">
                      <a:avLst/>
                    </a:prstGeom>
                    <a:noFill/>
                  </pic:spPr>
                </pic:pic>
              </a:graphicData>
            </a:graphic>
          </wp:anchor>
        </w:drawing>
      </w:r>
    </w:p>
    <w:p>
      <w:pPr>
        <w:spacing w:after="0" w:line="16"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Paul A. Friedman, M.D.</w:t>
      </w:r>
    </w:p>
    <w:p>
      <w:pPr>
        <w:spacing w:after="0" w:line="23"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Chief Executive Officer and Chairman of the Board</w:t>
      </w:r>
    </w:p>
    <w:p>
      <w:pPr>
        <w:spacing w:after="0" w:line="9"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(Principal Executive Officer)</w:t>
      </w:r>
    </w:p>
    <w:p>
      <w:pPr>
        <w:spacing w:after="0" w:line="211" w:lineRule="exact"/>
        <w:rPr>
          <w:sz w:val="20"/>
          <w:szCs w:val="20"/>
          <w:color w:val="auto"/>
        </w:rPr>
      </w:pPr>
    </w:p>
    <w:p>
      <w:pPr>
        <w:spacing w:after="0"/>
        <w:tabs>
          <w:tab w:leader="none" w:pos="6140" w:val="left"/>
        </w:tabs>
        <w:rPr>
          <w:sz w:val="20"/>
          <w:szCs w:val="20"/>
          <w:color w:val="auto"/>
        </w:rPr>
      </w:pPr>
      <w:r>
        <w:rPr>
          <w:rFonts w:ascii="Arial" w:cs="Arial" w:eastAsia="Arial" w:hAnsi="Arial"/>
          <w:sz w:val="18"/>
          <w:szCs w:val="18"/>
          <w:color w:val="auto"/>
        </w:rPr>
        <w:t>Dated: November 5, 2020</w:t>
      </w:r>
      <w:r>
        <w:rPr>
          <w:sz w:val="20"/>
          <w:szCs w:val="20"/>
          <w:color w:val="auto"/>
        </w:rPr>
        <w:tab/>
      </w:r>
      <w:r>
        <w:rPr>
          <w:rFonts w:ascii="Arial" w:cs="Arial" w:eastAsia="Arial" w:hAnsi="Arial"/>
          <w:sz w:val="16"/>
          <w:szCs w:val="16"/>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3914775</wp:posOffset>
            </wp:positionH>
            <wp:positionV relativeFrom="paragraph">
              <wp:posOffset>14605</wp:posOffset>
            </wp:positionV>
            <wp:extent cx="307721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077210" cy="8255"/>
                    </a:xfrm>
                    <a:prstGeom prst="rect">
                      <a:avLst/>
                    </a:prstGeom>
                    <a:noFill/>
                  </pic:spPr>
                </pic:pic>
              </a:graphicData>
            </a:graphic>
          </wp:anchor>
        </w:drawing>
      </w:r>
    </w:p>
    <w:p>
      <w:pPr>
        <w:spacing w:after="0" w:line="16"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Marc R. Schneebaum</w:t>
      </w:r>
    </w:p>
    <w:p>
      <w:pPr>
        <w:spacing w:after="0" w:line="23"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Senior Vice President and Chief Financial Officer</w:t>
      </w:r>
    </w:p>
    <w:p>
      <w:pPr>
        <w:spacing w:after="0" w:line="9"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(Principal Financial and Accounting Officer)</w:t>
      </w:r>
    </w:p>
    <w:p>
      <w:pPr>
        <w:spacing w:after="0" w:line="211" w:lineRule="exact"/>
        <w:rPr>
          <w:sz w:val="20"/>
          <w:szCs w:val="20"/>
          <w:color w:val="auto"/>
        </w:rPr>
      </w:pPr>
    </w:p>
    <w:p>
      <w:pPr>
        <w:jc w:val="both"/>
        <w:ind w:right="240"/>
        <w:spacing w:after="0" w:line="311" w:lineRule="auto"/>
        <w:rPr>
          <w:sz w:val="20"/>
          <w:szCs w:val="20"/>
          <w:color w:val="auto"/>
        </w:rPr>
      </w:pPr>
      <w:r>
        <w:rPr>
          <w:rFonts w:ascii="Arial" w:cs="Arial" w:eastAsia="Arial" w:hAnsi="Arial"/>
          <w:sz w:val="16"/>
          <w:szCs w:val="16"/>
          <w:color w:val="auto"/>
        </w:rPr>
        <w:t>These certifications accompany the Form 10-Q,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10-Q), irrespective of any general incorporation language contained in such filing.</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1."/>
      <w:numFmt w:val="decimal"/>
      <w:start w:val="1"/>
    </w:lvl>
  </w:abstractNum>
  <w:abstractNum w:abstractNumId="3">
    <w:nsid w:val="216231B"/>
    <w:multiLevelType w:val="hybridMultilevel"/>
    <w:lvl w:ilvl="0">
      <w:lvlJc w:val="left"/>
      <w:lvlText w:val="%1."/>
      <w:numFmt w:val="decimal"/>
      <w:start w:val="2"/>
    </w:lvl>
  </w:abstractNum>
  <w:abstractNum w:abstractNumId="4">
    <w:nsid w:val="1F16E9E8"/>
    <w:multiLevelType w:val="hybridMultilevel"/>
    <w:lvl w:ilvl="0">
      <w:lvlJc w:val="left"/>
      <w:lvlText w:val="%1."/>
      <w:numFmt w:val="decimal"/>
      <w:start w:val="6"/>
    </w:lvl>
  </w:abstractNum>
  <w:abstractNum w:abstractNumId="5">
    <w:nsid w:val="1190CDE7"/>
    <w:multiLevelType w:val="hybridMultilevel"/>
    <w:lvl w:ilvl="0">
      <w:lvlJc w:val="left"/>
      <w:lvlText w:val="•"/>
      <w:numFmt w:val="bullet"/>
      <w:start w:val="1"/>
    </w:lvl>
  </w:abstractNum>
  <w:abstractNum w:abstractNumId="6">
    <w:nsid w:val="66EF438D"/>
    <w:multiLevelType w:val="hybridMultilevel"/>
    <w:lvl w:ilvl="0">
      <w:lvlJc w:val="left"/>
      <w:lvlText w:val="%1"/>
      <w:numFmt w:val="decimal"/>
      <w:start w:val="104"/>
    </w:lvl>
  </w:abstractNum>
  <w:abstractNum w:abstractNumId="7">
    <w:nsid w:val="140E0F76"/>
    <w:multiLevelType w:val="hybridMultilevel"/>
    <w:lvl w:ilvl="0">
      <w:lvlJc w:val="left"/>
      <w:lvlText w:val="*"/>
      <w:numFmt w:val="bullet"/>
      <w:start w:val="1"/>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1."/>
      <w:numFmt w:val="decimal"/>
      <w:start w:val="1"/>
    </w:lvl>
  </w:abstractNum>
  <w:abstractNum w:abstractNumId="10">
    <w:nsid w:val="DED7263"/>
    <w:multiLevelType w:val="hybridMultilevel"/>
    <w:lvl w:ilvl="0">
      <w:lvlJc w:val="left"/>
      <w:lvlText w:val="(%1)"/>
      <w:numFmt w:val="lowerLetter"/>
      <w:start w:val="1"/>
    </w:lvl>
  </w:abstractNum>
  <w:abstractNum w:abstractNumId="11">
    <w:nsid w:val="7FDCC233"/>
    <w:multiLevelType w:val="hybridMultilevel"/>
    <w:lvl w:ilvl="0">
      <w:lvlJc w:val="left"/>
      <w:lvlText w:val="%1."/>
      <w:numFmt w:val="decimal"/>
      <w:start w:val="5"/>
    </w:lvl>
  </w:abstractNum>
  <w:abstractNum w:abstractNumId="12">
    <w:nsid w:val="1BEFD79F"/>
    <w:multiLevelType w:val="hybridMultilevel"/>
    <w:lvl w:ilvl="0">
      <w:lvlJc w:val="left"/>
      <w:lvlText w:val="(%1)"/>
      <w:numFmt w:val="lowerLetter"/>
      <w:start w:val="1"/>
    </w:lvl>
  </w:abstractNum>
  <w:abstractNum w:abstractNumId="13">
    <w:nsid w:val="41A7C4C9"/>
    <w:multiLevelType w:val="hybridMultilevel"/>
    <w:lvl w:ilvl="0">
      <w:lvlJc w:val="left"/>
      <w:lvlText w:val="%1."/>
      <w:numFmt w:val="decimal"/>
      <w:start w:val="1"/>
    </w:lvl>
  </w:abstractNum>
  <w:abstractNum w:abstractNumId="14">
    <w:nsid w:val="6B68079A"/>
    <w:multiLevelType w:val="hybridMultilevel"/>
    <w:lvl w:ilvl="0">
      <w:lvlJc w:val="left"/>
      <w:lvlText w:val="(%1)"/>
      <w:numFmt w:val="lowerLetter"/>
      <w:start w:val="1"/>
    </w:lvl>
  </w:abstractNum>
  <w:abstractNum w:abstractNumId="15">
    <w:nsid w:val="4E6AFB66"/>
    <w:multiLevelType w:val="hybridMultilevel"/>
    <w:lvl w:ilvl="0">
      <w:lvlJc w:val="left"/>
      <w:lvlText w:val="%1."/>
      <w:numFmt w:val="decimal"/>
      <w:start w:val="5"/>
    </w:lvl>
  </w:abstractNum>
  <w:abstractNum w:abstractNumId="16">
    <w:nsid w:val="25E45D32"/>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2020-11-05T05:32:45Z</dcterms:created>
  <dcterms:modified xsi:type="dcterms:W3CDTF">2020-11-05T05:32:45Z</dcterms:modified>
</cp:coreProperties>
</file>