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36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0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220"/>
        <w:spacing w:after="0"/>
        <w:tabs>
          <w:tab w:leader="none" w:pos="3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001-33277</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MADRIGAL PHARMACEUTICALS,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3"/>
              </w:rPr>
              <w:t>Delaware</w:t>
            </w:r>
          </w:p>
        </w:tc>
        <w:tc>
          <w:tcPr>
            <w:tcW w:w="4160" w:type="dxa"/>
            <w:vAlign w:val="bottom"/>
          </w:tcPr>
          <w:p>
            <w:pPr>
              <w:jc w:val="right"/>
              <w:ind w:right="790"/>
              <w:spacing w:after="0"/>
              <w:rPr>
                <w:sz w:val="20"/>
                <w:szCs w:val="20"/>
                <w:color w:val="auto"/>
              </w:rPr>
            </w:pPr>
            <w:r>
              <w:rPr>
                <w:rFonts w:ascii="Arial" w:cs="Arial" w:eastAsia="Arial" w:hAnsi="Arial"/>
                <w:sz w:val="18"/>
                <w:szCs w:val="18"/>
                <w:b w:val="1"/>
                <w:bCs w:val="1"/>
                <w:color w:val="auto"/>
              </w:rPr>
              <w:t>04-3508648</w:t>
            </w:r>
          </w:p>
        </w:tc>
      </w:tr>
      <w:tr>
        <w:trPr>
          <w:trHeight w:val="216"/>
        </w:trPr>
        <w:tc>
          <w:tcPr>
            <w:tcW w:w="4400" w:type="dxa"/>
            <w:vAlign w:val="bottom"/>
          </w:tcPr>
          <w:p>
            <w:pPr>
              <w:jc w:val="center"/>
              <w:ind w:right="1450"/>
              <w:spacing w:after="0"/>
              <w:rPr>
                <w:sz w:val="20"/>
                <w:szCs w:val="20"/>
                <w:color w:val="auto"/>
              </w:rPr>
            </w:pPr>
            <w:r>
              <w:rPr>
                <w:rFonts w:ascii="Arial" w:cs="Arial" w:eastAsia="Arial" w:hAnsi="Arial"/>
                <w:sz w:val="18"/>
                <w:szCs w:val="18"/>
                <w:color w:val="auto"/>
                <w:w w:val="92"/>
              </w:rPr>
              <w:t>(State or other jurisdiction</w:t>
            </w:r>
          </w:p>
        </w:tc>
        <w:tc>
          <w:tcPr>
            <w:tcW w:w="4160" w:type="dxa"/>
            <w:vAlign w:val="bottom"/>
          </w:tcPr>
          <w:p>
            <w:pPr>
              <w:jc w:val="center"/>
              <w:ind w:left="14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400" w:type="dxa"/>
            <w:vAlign w:val="bottom"/>
          </w:tcPr>
          <w:p>
            <w:pPr>
              <w:jc w:val="center"/>
              <w:ind w:right="1430"/>
              <w:spacing w:after="0"/>
              <w:rPr>
                <w:sz w:val="20"/>
                <w:szCs w:val="20"/>
                <w:color w:val="auto"/>
              </w:rPr>
            </w:pPr>
            <w:r>
              <w:rPr>
                <w:rFonts w:ascii="Arial" w:cs="Arial" w:eastAsia="Arial" w:hAnsi="Arial"/>
                <w:sz w:val="18"/>
                <w:szCs w:val="18"/>
                <w:color w:val="auto"/>
                <w:w w:val="92"/>
              </w:rPr>
              <w:t>of incorporation or organization)</w:t>
            </w:r>
          </w:p>
        </w:tc>
        <w:tc>
          <w:tcPr>
            <w:tcW w:w="4160" w:type="dxa"/>
            <w:vAlign w:val="bottom"/>
          </w:tcPr>
          <w:p>
            <w:pPr>
              <w:spacing w:after="0"/>
              <w:rPr>
                <w:sz w:val="20"/>
                <w:szCs w:val="20"/>
                <w:color w:val="auto"/>
              </w:rPr>
            </w:pPr>
          </w:p>
        </w:tc>
      </w:tr>
      <w:tr>
        <w:trPr>
          <w:trHeight w:val="414"/>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1"/>
              </w:rPr>
              <w:t>Four Tower Bridge</w:t>
            </w:r>
          </w:p>
        </w:tc>
        <w:tc>
          <w:tcPr>
            <w:tcW w:w="4160" w:type="dxa"/>
            <w:vAlign w:val="bottom"/>
          </w:tcPr>
          <w:p>
            <w:pPr>
              <w:spacing w:after="0"/>
              <w:rPr>
                <w:sz w:val="24"/>
                <w:szCs w:val="24"/>
                <w:color w:val="auto"/>
              </w:rPr>
            </w:pPr>
          </w:p>
        </w:tc>
      </w:tr>
      <w:tr>
        <w:trPr>
          <w:trHeight w:val="216"/>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3"/>
              </w:rPr>
              <w:t>200 Barr Harbor Drive, Suite 400</w:t>
            </w:r>
          </w:p>
        </w:tc>
        <w:tc>
          <w:tcPr>
            <w:tcW w:w="4160" w:type="dxa"/>
            <w:vAlign w:val="bottom"/>
          </w:tcPr>
          <w:p>
            <w:pPr>
              <w:spacing w:after="0"/>
              <w:rPr>
                <w:sz w:val="18"/>
                <w:szCs w:val="18"/>
                <w:color w:val="auto"/>
              </w:rPr>
            </w:pPr>
          </w:p>
        </w:tc>
      </w:tr>
      <w:tr>
        <w:trPr>
          <w:trHeight w:val="220"/>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87"/>
              </w:rPr>
              <w:t>West Conshohocken, Pennsylvania</w:t>
            </w:r>
          </w:p>
        </w:tc>
        <w:tc>
          <w:tcPr>
            <w:tcW w:w="4160" w:type="dxa"/>
            <w:vAlign w:val="bottom"/>
          </w:tcPr>
          <w:p>
            <w:pPr>
              <w:jc w:val="right"/>
              <w:ind w:right="1010"/>
              <w:spacing w:after="0"/>
              <w:rPr>
                <w:sz w:val="20"/>
                <w:szCs w:val="20"/>
                <w:color w:val="auto"/>
              </w:rPr>
            </w:pPr>
            <w:r>
              <w:rPr>
                <w:rFonts w:ascii="Arial" w:cs="Arial" w:eastAsia="Arial" w:hAnsi="Arial"/>
                <w:sz w:val="18"/>
                <w:szCs w:val="18"/>
                <w:b w:val="1"/>
                <w:bCs w:val="1"/>
                <w:color w:val="auto"/>
              </w:rPr>
              <w:t>19428</w:t>
            </w:r>
          </w:p>
        </w:tc>
      </w:tr>
      <w:tr>
        <w:trPr>
          <w:trHeight w:val="230"/>
        </w:trPr>
        <w:tc>
          <w:tcPr>
            <w:tcW w:w="4400" w:type="dxa"/>
            <w:vAlign w:val="bottom"/>
          </w:tcPr>
          <w:p>
            <w:pPr>
              <w:jc w:val="center"/>
              <w:ind w:right="1450"/>
              <w:spacing w:after="0"/>
              <w:rPr>
                <w:sz w:val="20"/>
                <w:szCs w:val="20"/>
                <w:color w:val="auto"/>
              </w:rPr>
            </w:pPr>
            <w:r>
              <w:rPr>
                <w:rFonts w:ascii="Arial" w:cs="Arial" w:eastAsia="Arial" w:hAnsi="Arial"/>
                <w:sz w:val="18"/>
                <w:szCs w:val="18"/>
                <w:color w:val="auto"/>
                <w:w w:val="92"/>
              </w:rPr>
              <w:t>(Address of principal executive offices)</w:t>
            </w:r>
          </w:p>
        </w:tc>
        <w:tc>
          <w:tcPr>
            <w:tcW w:w="4160" w:type="dxa"/>
            <w:vAlign w:val="bottom"/>
          </w:tcPr>
          <w:p>
            <w:pPr>
              <w:jc w:val="center"/>
              <w:ind w:left="14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(484) 380-9263</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ind w:right="44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6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8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233" w:right="279" w:bottom="1440" w:gutter="0" w:footer="0" w:header="0"/>
        </w:sectPr>
      </w:pPr>
    </w:p>
    <w:p>
      <w:pPr>
        <w:spacing w:after="0" w:line="181"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420"/>
          </w:cols>
          <w:pgMar w:left="240" w:top="233" w:right="279" w:bottom="1440" w:gutter="0" w:footer="0" w:header="0"/>
          <w:type w:val="continuous"/>
        </w:sectPr>
      </w:pPr>
    </w:p>
    <w:p>
      <w:pPr>
        <w:spacing w:after="0" w:line="48"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o</w:t>
      </w:r>
    </w:p>
    <w:p>
      <w:pPr>
        <w:spacing w:after="0" w:line="200" w:lineRule="exact"/>
        <w:rPr>
          <w:sz w:val="24"/>
          <w:szCs w:val="24"/>
          <w:color w:val="auto"/>
        </w:rPr>
      </w:pPr>
    </w:p>
    <w:p>
      <w:pPr>
        <w:sectPr>
          <w:pgSz w:w="11900" w:h="16838" w:orient="portrait"/>
          <w:cols w:equalWidth="0" w:num="2">
            <w:col w:w="6860" w:space="720"/>
            <w:col w:w="3800"/>
          </w:cols>
          <w:pgMar w:left="240" w:top="233" w:right="279" w:bottom="1440" w:gutter="0" w:footer="0" w:header="0"/>
          <w:type w:val="continuous"/>
        </w:sectPr>
      </w:pPr>
    </w:p>
    <w:p>
      <w:pPr>
        <w:spacing w:after="0" w:line="34"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01, 2018, the registrant had 15,393,309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Item</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740" w:type="dxa"/>
            <w:vAlign w:val="bottom"/>
            <w:tcBorders>
              <w:bottom w:val="single" w:sz="8" w:color="auto"/>
            </w:tcBorders>
            <w:gridSpan w:val="9"/>
          </w:tcPr>
          <w:p>
            <w:pPr>
              <w:jc w:val="center"/>
              <w:ind w:right="4000"/>
              <w:spacing w:after="0"/>
              <w:rPr>
                <w:sz w:val="20"/>
                <w:szCs w:val="20"/>
                <w:color w:val="auto"/>
              </w:rPr>
            </w:pPr>
            <w:r>
              <w:rPr>
                <w:rFonts w:ascii="Arial" w:cs="Arial" w:eastAsia="Arial" w:hAnsi="Arial"/>
                <w:sz w:val="14"/>
                <w:szCs w:val="14"/>
                <w:b w:val="1"/>
                <w:bCs w:val="1"/>
                <w:color w:val="auto"/>
                <w:w w:val="90"/>
              </w:rPr>
              <w:t>Description</w:t>
            </w:r>
          </w:p>
        </w:tc>
        <w:tc>
          <w:tcPr>
            <w:tcW w:w="280" w:type="dxa"/>
            <w:vAlign w:val="bottom"/>
          </w:tcPr>
          <w:p>
            <w:pPr>
              <w:spacing w:after="0"/>
              <w:rPr>
                <w:sz w:val="14"/>
                <w:szCs w:val="1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385"/>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6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5"/>
              </w:rPr>
            </w:pPr>
            <w:hyperlink w:anchor="page3">
              <w:r>
                <w:rPr>
                  <w:rFonts w:ascii="Arial" w:cs="Arial" w:eastAsia="Arial" w:hAnsi="Arial"/>
                  <w:sz w:val="18"/>
                  <w:szCs w:val="18"/>
                  <w:b w:val="1"/>
                  <w:bCs w:val="1"/>
                  <w:color w:val="0000EE"/>
                  <w:w w:val="95"/>
                </w:rPr>
                <w:t>Part I. Financial Information</w:t>
              </w:r>
            </w:hyperlink>
          </w:p>
        </w:tc>
        <w:tc>
          <w:tcPr>
            <w:tcW w:w="3520" w:type="dxa"/>
            <w:vAlign w:val="bottom"/>
            <w:gridSpan w:val="7"/>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Item 1.</w:t>
              </w:r>
            </w:hyperlink>
          </w:p>
        </w:tc>
        <w:tc>
          <w:tcPr>
            <w:tcW w:w="42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902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20" w:type="dxa"/>
            <w:vAlign w:val="bottom"/>
            <w:gridSpan w:val="2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September 30, 2018 and December 31, 2017</w:t>
              </w:r>
            </w:hyperlink>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and Nine Months Ended September 30, 2018</w:t>
              </w:r>
            </w:hyperlink>
          </w:p>
        </w:tc>
        <w:tc>
          <w:tcPr>
            <w:tcW w:w="48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2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2017</w:t>
              </w:r>
            </w:hyperlink>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20" w:type="dxa"/>
            <w:vAlign w:val="bottom"/>
            <w:gridSpan w:val="2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Loss for the Three Months and Nine Months Ended</w:t>
              </w:r>
            </w:hyperlink>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September 30, 2018 and 2017</w:t>
              </w:r>
            </w:hyperlink>
          </w:p>
        </w:tc>
        <w:tc>
          <w:tcPr>
            <w:tcW w:w="5600" w:type="dxa"/>
            <w:vAlign w:val="bottom"/>
            <w:tcBorders>
              <w:top w:val="single" w:sz="8" w:color="0000EE"/>
            </w:tcBorders>
            <w:gridSpan w:val="11"/>
          </w:tcPr>
          <w:p>
            <w:pPr>
              <w:spacing w:after="0"/>
              <w:rPr>
                <w:sz w:val="17"/>
                <w:szCs w:val="17"/>
                <w:color w:val="auto"/>
              </w:rPr>
            </w:pPr>
          </w:p>
        </w:tc>
        <w:tc>
          <w:tcPr>
            <w:tcW w:w="1260" w:type="dxa"/>
            <w:vAlign w:val="bottom"/>
            <w:gridSpan w:val="4"/>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94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Nine Months Ended September 30, 2018 and 2017</w:t>
              </w:r>
            </w:hyperlink>
          </w:p>
        </w:tc>
        <w:tc>
          <w:tcPr>
            <w:tcW w:w="1080" w:type="dxa"/>
            <w:vAlign w:val="bottom"/>
            <w:gridSpan w:val="3"/>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020" w:type="dxa"/>
            <w:vAlign w:val="bottom"/>
            <w:gridSpan w:val="10"/>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w:t>
            </w: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Item 2.</w:t>
              </w:r>
            </w:hyperlink>
          </w:p>
        </w:tc>
        <w:tc>
          <w:tcPr>
            <w:tcW w:w="4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9020" w:type="dxa"/>
            <w:vAlign w:val="bottom"/>
            <w:gridSpan w:val="2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15</w:t>
            </w: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4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Item 3.</w:t>
              </w:r>
            </w:hyperlink>
          </w:p>
        </w:tc>
        <w:tc>
          <w:tcPr>
            <w:tcW w:w="4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9020" w:type="dxa"/>
            <w:vAlign w:val="bottom"/>
            <w:gridSpan w:val="2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19</w:t>
            </w: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40" w:type="dxa"/>
            <w:vAlign w:val="bottom"/>
            <w:tcBorders>
              <w:left w:val="single" w:sz="8" w:color="0000EE"/>
            </w:tcBorders>
          </w:tcPr>
          <w:p>
            <w:pPr>
              <w:spacing w:after="0" w:line="20" w:lineRule="exact"/>
              <w:rPr>
                <w:sz w:val="1"/>
                <w:szCs w:val="1"/>
                <w:color w:val="auto"/>
              </w:rPr>
            </w:pPr>
          </w:p>
        </w:tc>
        <w:tc>
          <w:tcPr>
            <w:tcW w:w="3620" w:type="dxa"/>
            <w:vAlign w:val="bottom"/>
            <w:gridSpan w:val="8"/>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Item 4.</w:t>
              </w:r>
            </w:hyperlink>
          </w:p>
        </w:tc>
        <w:tc>
          <w:tcPr>
            <w:tcW w:w="4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9020" w:type="dxa"/>
            <w:vAlign w:val="bottom"/>
            <w:gridSpan w:val="2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w:t>
            </w:r>
          </w:p>
        </w:tc>
      </w:tr>
      <w:tr>
        <w:trPr>
          <w:trHeight w:val="412"/>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gridSpan w:val="11"/>
          </w:tcPr>
          <w:p>
            <w:pPr>
              <w:jc w:val="center"/>
              <w:ind w:right="3620"/>
              <w:spacing w:after="0"/>
              <w:rPr>
                <w:rFonts w:ascii="Arial" w:cs="Arial" w:eastAsia="Arial" w:hAnsi="Arial"/>
                <w:sz w:val="18"/>
                <w:szCs w:val="18"/>
                <w:b w:val="1"/>
                <w:bCs w:val="1"/>
                <w:color w:val="0000EE"/>
                <w:w w:val="97"/>
              </w:rPr>
            </w:pPr>
            <w:hyperlink w:anchor="page21">
              <w:r>
                <w:rPr>
                  <w:rFonts w:ascii="Arial" w:cs="Arial" w:eastAsia="Arial" w:hAnsi="Arial"/>
                  <w:sz w:val="18"/>
                  <w:szCs w:val="18"/>
                  <w:b w:val="1"/>
                  <w:bCs w:val="1"/>
                  <w:color w:val="0000EE"/>
                  <w:w w:val="97"/>
                </w:rPr>
                <w:t>Part II. Other Information</w:t>
              </w:r>
            </w:hyperlink>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Item 1.</w:t>
              </w:r>
            </w:hyperlink>
          </w:p>
        </w:tc>
        <w:tc>
          <w:tcPr>
            <w:tcW w:w="42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gridSpan w:val="1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2060" w:type="dxa"/>
            <w:vAlign w:val="bottom"/>
            <w:tcBorders>
              <w:top w:val="single" w:sz="8" w:color="0000EE"/>
            </w:tcBorders>
            <w:gridSpan w:val="3"/>
          </w:tcPr>
          <w:p>
            <w:pPr>
              <w:spacing w:after="0"/>
              <w:rPr>
                <w:sz w:val="24"/>
                <w:szCs w:val="24"/>
                <w:color w:val="auto"/>
              </w:rPr>
            </w:pPr>
          </w:p>
        </w:tc>
        <w:tc>
          <w:tcPr>
            <w:tcW w:w="3620" w:type="dxa"/>
            <w:vAlign w:val="bottom"/>
            <w:gridSpan w:val="8"/>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660" w:type="dxa"/>
            <w:vAlign w:val="bottom"/>
            <w:gridSpan w:val="9"/>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960" w:type="dxa"/>
            <w:vAlign w:val="bottom"/>
            <w:gridSpan w:val="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1A.</w:t>
              </w:r>
            </w:hyperlink>
          </w:p>
        </w:tc>
        <w:tc>
          <w:tcPr>
            <w:tcW w:w="300" w:type="dxa"/>
            <w:vAlign w:val="bottom"/>
          </w:tcPr>
          <w:p>
            <w:pPr>
              <w:spacing w:after="0"/>
              <w:rPr>
                <w:sz w:val="17"/>
                <w:szCs w:val="17"/>
                <w:color w:val="auto"/>
              </w:rPr>
            </w:pPr>
          </w:p>
        </w:tc>
        <w:tc>
          <w:tcPr>
            <w:tcW w:w="9020" w:type="dxa"/>
            <w:vAlign w:val="bottom"/>
            <w:gridSpan w:val="2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21</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660" w:type="dxa"/>
            <w:vAlign w:val="bottom"/>
            <w:gridSpan w:val="9"/>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2.</w:t>
              </w:r>
            </w:hyperlink>
          </w:p>
        </w:tc>
        <w:tc>
          <w:tcPr>
            <w:tcW w:w="12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20" w:type="dxa"/>
            <w:vAlign w:val="bottom"/>
            <w:gridSpan w:val="2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Unregistered Sales of Equity Securities and Use of Proceeds</w:t>
              </w:r>
            </w:hyperlink>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21</w:t>
            </w:r>
          </w:p>
        </w:tc>
      </w:tr>
      <w:tr>
        <w:trPr>
          <w:trHeight w:val="20"/>
        </w:trPr>
        <w:tc>
          <w:tcPr>
            <w:tcW w:w="52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4660" w:type="dxa"/>
            <w:vAlign w:val="bottom"/>
            <w:gridSpan w:val="9"/>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3.</w:t>
              </w:r>
            </w:hyperlink>
          </w:p>
        </w:tc>
        <w:tc>
          <w:tcPr>
            <w:tcW w:w="44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9020" w:type="dxa"/>
            <w:vAlign w:val="bottom"/>
            <w:gridSpan w:val="2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Defaults Upon Senior Securities</w:t>
              </w:r>
            </w:hyperlink>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21</w:t>
            </w:r>
          </w:p>
        </w:tc>
      </w:tr>
      <w:tr>
        <w:trPr>
          <w:trHeight w:val="20"/>
        </w:trPr>
        <w:tc>
          <w:tcPr>
            <w:tcW w:w="52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700" w:type="dxa"/>
            <w:vAlign w:val="bottom"/>
            <w:gridSpan w:val="1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4.</w:t>
              </w:r>
            </w:hyperlink>
          </w:p>
        </w:tc>
        <w:tc>
          <w:tcPr>
            <w:tcW w:w="44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9020" w:type="dxa"/>
            <w:vAlign w:val="bottom"/>
            <w:gridSpan w:val="2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21</w:t>
            </w:r>
          </w:p>
        </w:tc>
      </w:tr>
      <w:tr>
        <w:trPr>
          <w:trHeight w:val="20"/>
        </w:trPr>
        <w:tc>
          <w:tcPr>
            <w:tcW w:w="96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240" w:type="dxa"/>
            <w:vAlign w:val="bottom"/>
            <w:gridSpan w:val="16"/>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5.</w:t>
              </w:r>
            </w:hyperlink>
          </w:p>
        </w:tc>
        <w:tc>
          <w:tcPr>
            <w:tcW w:w="44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9020" w:type="dxa"/>
            <w:vAlign w:val="bottom"/>
            <w:gridSpan w:val="2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Other Information</w:t>
              </w:r>
            </w:hyperlink>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21</w:t>
            </w:r>
          </w:p>
        </w:tc>
      </w:tr>
      <w:tr>
        <w:trPr>
          <w:trHeight w:val="20"/>
        </w:trPr>
        <w:tc>
          <w:tcPr>
            <w:tcW w:w="52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700" w:type="dxa"/>
            <w:vAlign w:val="bottom"/>
            <w:gridSpan w:val="17"/>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6.</w:t>
              </w:r>
            </w:hyperlink>
          </w:p>
        </w:tc>
        <w:tc>
          <w:tcPr>
            <w:tcW w:w="2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9020" w:type="dxa"/>
            <w:vAlign w:val="bottom"/>
            <w:gridSpan w:val="2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21</w:t>
            </w: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60" w:type="dxa"/>
            <w:vAlign w:val="bottom"/>
            <w:gridSpan w:val="19"/>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20" w:type="dxa"/>
            <w:vAlign w:val="bottom"/>
            <w:gridSpan w:val="2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Signatures</w:t>
              </w:r>
            </w:hyperlink>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23</w:t>
            </w:r>
          </w:p>
        </w:tc>
      </w:tr>
      <w:tr>
        <w:trPr>
          <w:trHeight w:val="453"/>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740" w:type="dxa"/>
            <w:vAlign w:val="bottom"/>
            <w:tcBorders>
              <w:top w:val="single" w:sz="8" w:color="0000EE"/>
            </w:tcBorders>
            <w:gridSpan w:val="2"/>
          </w:tcPr>
          <w:p>
            <w:pPr>
              <w:spacing w:after="0"/>
              <w:rPr>
                <w:sz w:val="24"/>
                <w:szCs w:val="24"/>
                <w:color w:val="auto"/>
              </w:rPr>
            </w:pPr>
          </w:p>
        </w:tc>
        <w:tc>
          <w:tcPr>
            <w:tcW w:w="4640" w:type="dxa"/>
            <w:vAlign w:val="bottom"/>
            <w:gridSpan w:val="11"/>
          </w:tcPr>
          <w:p>
            <w:pPr>
              <w:jc w:val="right"/>
              <w:ind w:right="9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8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96"/>
        </w:trPr>
        <w:tc>
          <w:tcPr>
            <w:tcW w:w="8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148,627</w:t>
            </w:r>
          </w:p>
        </w:tc>
        <w:tc>
          <w:tcPr>
            <w:tcW w:w="80" w:type="dxa"/>
            <w:vAlign w:val="bottom"/>
            <w:shd w:val="clear" w:color="auto" w:fill="CCEEFF"/>
          </w:tcPr>
          <w:p>
            <w:pPr>
              <w:spacing w:after="0"/>
              <w:rPr>
                <w:sz w:val="18"/>
                <w:szCs w:val="18"/>
                <w:color w:val="auto"/>
              </w:rPr>
            </w:pPr>
          </w:p>
        </w:tc>
      </w:tr>
      <w:tr>
        <w:trPr>
          <w:trHeight w:val="216"/>
        </w:trPr>
        <w:tc>
          <w:tcPr>
            <w:tcW w:w="816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450,492</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42,900</w:t>
            </w:r>
          </w:p>
        </w:tc>
        <w:tc>
          <w:tcPr>
            <w:tcW w:w="80" w:type="dxa"/>
            <w:vAlign w:val="bottom"/>
          </w:tcPr>
          <w:p>
            <w:pPr>
              <w:spacing w:after="0"/>
              <w:rPr>
                <w:sz w:val="18"/>
                <w:szCs w:val="18"/>
                <w:color w:val="auto"/>
              </w:rPr>
            </w:pPr>
          </w:p>
        </w:tc>
      </w:tr>
      <w:tr>
        <w:trPr>
          <w:trHeight w:val="216"/>
        </w:trPr>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CEEFF"/>
          </w:tcPr>
          <w:p>
            <w:pPr>
              <w:spacing w:after="0"/>
              <w:rPr>
                <w:sz w:val="18"/>
                <w:szCs w:val="18"/>
                <w:color w:val="auto"/>
              </w:rPr>
            </w:pPr>
          </w:p>
        </w:tc>
      </w:tr>
      <w:tr>
        <w:trPr>
          <w:trHeight w:val="210"/>
        </w:trPr>
        <w:tc>
          <w:tcPr>
            <w:tcW w:w="81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489,305</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8"/>
                <w:szCs w:val="18"/>
                <w:color w:val="auto"/>
              </w:rPr>
            </w:pPr>
          </w:p>
        </w:tc>
      </w:tr>
      <w:tr>
        <w:trPr>
          <w:trHeight w:val="250"/>
        </w:trPr>
        <w:tc>
          <w:tcPr>
            <w:tcW w:w="8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489,549</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192,313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70"/>
        </w:trPr>
        <w:tc>
          <w:tcPr>
            <w:tcW w:w="81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1,929</w:t>
            </w:r>
          </w:p>
        </w:tc>
        <w:tc>
          <w:tcPr>
            <w:tcW w:w="80" w:type="dxa"/>
            <w:vAlign w:val="bottom"/>
            <w:shd w:val="clear" w:color="auto" w:fill="CCEEFF"/>
          </w:tcPr>
          <w:p>
            <w:pPr>
              <w:spacing w:after="0"/>
              <w:rPr>
                <w:sz w:val="18"/>
                <w:szCs w:val="18"/>
                <w:color w:val="auto"/>
              </w:rPr>
            </w:pPr>
          </w:p>
        </w:tc>
      </w:tr>
      <w:tr>
        <w:trPr>
          <w:trHeight w:val="216"/>
        </w:trPr>
        <w:tc>
          <w:tcPr>
            <w:tcW w:w="816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5,611</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8,125</w:t>
            </w:r>
          </w:p>
        </w:tc>
        <w:tc>
          <w:tcPr>
            <w:tcW w:w="80" w:type="dxa"/>
            <w:vAlign w:val="bottom"/>
          </w:tcPr>
          <w:p>
            <w:pPr>
              <w:spacing w:after="0"/>
              <w:rPr>
                <w:sz w:val="18"/>
                <w:szCs w:val="18"/>
                <w:color w:val="auto"/>
              </w:rPr>
            </w:pPr>
          </w:p>
        </w:tc>
      </w:tr>
      <w:tr>
        <w:trPr>
          <w:trHeight w:val="210"/>
        </w:trPr>
        <w:tc>
          <w:tcPr>
            <w:tcW w:w="81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6,642</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6"/>
        </w:trPr>
        <w:tc>
          <w:tcPr>
            <w:tcW w:w="8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8160" w:type="dxa"/>
            <w:vAlign w:val="bottom"/>
          </w:tcPr>
          <w:p>
            <w:pPr>
              <w:ind w:left="200"/>
              <w:spacing w:after="0" w:line="201" w:lineRule="exact"/>
              <w:rPr>
                <w:sz w:val="20"/>
                <w:szCs w:val="20"/>
                <w:color w:val="auto"/>
              </w:rPr>
            </w:pPr>
            <w:r>
              <w:rPr>
                <w:rFonts w:ascii="Arial" w:cs="Arial" w:eastAsia="Arial" w:hAnsi="Arial"/>
                <w:sz w:val="18"/>
                <w:szCs w:val="18"/>
                <w:color w:val="auto"/>
                <w:w w:val="97"/>
              </w:rPr>
              <w:t>Preferred stock, par value $0.0001 per share authorized: 5,000,000 shares at September 30, 2018 and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160" w:type="dxa"/>
            <w:vAlign w:val="bottom"/>
          </w:tcPr>
          <w:p>
            <w:pPr>
              <w:ind w:left="380"/>
              <w:spacing w:after="0"/>
              <w:rPr>
                <w:sz w:val="20"/>
                <w:szCs w:val="20"/>
                <w:color w:val="auto"/>
              </w:rPr>
            </w:pPr>
            <w:r>
              <w:rPr>
                <w:rFonts w:ascii="Arial" w:cs="Arial" w:eastAsia="Arial" w:hAnsi="Arial"/>
                <w:sz w:val="18"/>
                <w:szCs w:val="18"/>
                <w:color w:val="auto"/>
                <w:w w:val="92"/>
              </w:rPr>
              <w:t>December 31, 2017; 1,969,797 shares issued and outstanding at September 30, 2018 and December 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160" w:type="dxa"/>
            <w:vAlign w:val="bottom"/>
          </w:tcPr>
          <w:p>
            <w:pPr>
              <w:ind w:left="38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1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par value $0.0001 per share authorized: 200,000,000 at September 30, 2018 and</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1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December 31, 2017; 15,393,309 and 14,227,634 shares issued and outstanding at September 30, 2018 and</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December 31, 2017, respectively</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r>
      <w:tr>
        <w:trPr>
          <w:trHeight w:val="216"/>
        </w:trPr>
        <w:tc>
          <w:tcPr>
            <w:tcW w:w="8160" w:type="dxa"/>
            <w:vAlign w:val="bottom"/>
          </w:tcPr>
          <w:p>
            <w:pPr>
              <w:ind w:left="200"/>
              <w:spacing w:after="0"/>
              <w:rPr>
                <w:sz w:val="20"/>
                <w:szCs w:val="20"/>
                <w:color w:val="auto"/>
              </w:rPr>
            </w:pPr>
            <w:r>
              <w:rPr>
                <w:rFonts w:ascii="Arial" w:cs="Arial" w:eastAsia="Arial" w:hAnsi="Arial"/>
                <w:sz w:val="18"/>
                <w:szCs w:val="18"/>
                <w:color w:val="auto"/>
              </w:rPr>
              <w:t>Additional paid-in-capital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610,845</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288,750</w:t>
            </w:r>
          </w:p>
        </w:tc>
        <w:tc>
          <w:tcPr>
            <w:tcW w:w="80" w:type="dxa"/>
            <w:vAlign w:val="bottom"/>
          </w:tcPr>
          <w:p>
            <w:pPr>
              <w:spacing w:after="0"/>
              <w:rPr>
                <w:sz w:val="18"/>
                <w:szCs w:val="18"/>
                <w:color w:val="auto"/>
              </w:rPr>
            </w:pPr>
          </w:p>
        </w:tc>
      </w:tr>
      <w:tr>
        <w:trPr>
          <w:trHeight w:val="216"/>
        </w:trPr>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816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(127,797)</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(106,461)</w:t>
            </w:r>
          </w:p>
        </w:tc>
      </w:tr>
      <w:tr>
        <w:trPr>
          <w:trHeight w:val="210"/>
        </w:trPr>
        <w:tc>
          <w:tcPr>
            <w:tcW w:w="81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482,907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16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489,549</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192,313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6,211</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6,682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16,518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11,333</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26,228</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4,692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(8,512)</w:t>
            </w:r>
          </w:p>
        </w:tc>
        <w:tc>
          <w:tcPr>
            <w:tcW w:w="3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(8,363)</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(21,336)</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(22,709)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7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loss per common share:</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(0.56)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(0.68)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Basic and diluted weighted average number of common shares</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15,307,872</w:t>
            </w: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12,378,622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14,610,809</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12,126,004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540"/>
        <w:spacing w:after="0" w:line="275" w:lineRule="auto"/>
        <w:rPr>
          <w:sz w:val="20"/>
          <w:szCs w:val="20"/>
          <w:color w:val="auto"/>
        </w:rPr>
      </w:pPr>
      <w:r>
        <w:rPr>
          <w:rFonts w:ascii="Arial" w:cs="Arial" w:eastAsia="Arial" w:hAnsi="Arial"/>
          <w:sz w:val="18"/>
          <w:szCs w:val="18"/>
          <w:b w:val="1"/>
          <w:bCs w:val="1"/>
          <w:color w:val="auto"/>
        </w:rPr>
        <w:t>MADRIGAL PHARMACEUTICALS, INC. CONDENSED CONSOLIDATED STATEMENTS OF COMPREHENSIVE LOSS (Unaudited; in thousands)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9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80" w:type="dxa"/>
            <w:vAlign w:val="bottom"/>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(8,512)</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(8,363)</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(21,336)</w:t>
            </w: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(loss) on available-for-sale securities</w:t>
            </w:r>
          </w:p>
        </w:tc>
        <w:tc>
          <w:tcPr>
            <w:tcW w:w="7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360"/>
              <w:spacing w:after="0"/>
              <w:rPr>
                <w:sz w:val="20"/>
                <w:szCs w:val="20"/>
                <w:color w:val="auto"/>
              </w:rPr>
            </w:pPr>
            <w:r>
              <w:rPr>
                <w:rFonts w:ascii="Arial" w:cs="Arial" w:eastAsia="Arial" w:hAnsi="Arial"/>
                <w:sz w:val="18"/>
                <w:szCs w:val="18"/>
                <w:color w:val="auto"/>
              </w:rPr>
              <w:t>Comprehensive loss</w:t>
            </w:r>
          </w:p>
        </w:tc>
        <w:tc>
          <w:tcPr>
            <w:tcW w:w="780" w:type="dxa"/>
            <w:vAlign w:val="bottom"/>
            <w:tcBorders>
              <w:top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(8,612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(21,448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(22,687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6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(21,336)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8,370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expenses and other current assets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(898)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expense</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540"/>
              <w:spacing w:after="0"/>
              <w:rPr>
                <w:sz w:val="20"/>
                <w:szCs w:val="20"/>
                <w:color w:val="auto"/>
              </w:rPr>
            </w:pPr>
            <w:r>
              <w:rPr>
                <w:rFonts w:ascii="Arial" w:cs="Arial" w:eastAsia="Arial" w:hAnsi="Arial"/>
                <w:sz w:val="18"/>
                <w:szCs w:val="18"/>
                <w:color w:val="auto"/>
              </w:rPr>
              <w:t>Accrued interest, net of interest received on maturity of investments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(2,654)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operating activities</w:t>
            </w:r>
          </w:p>
        </w:tc>
        <w:tc>
          <w:tcPr>
            <w:tcW w:w="1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60" w:type="dxa"/>
            <w:vAlign w:val="bottom"/>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marketable securities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(524,935)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60"/>
              <w:spacing w:after="0"/>
              <w:rPr>
                <w:sz w:val="20"/>
                <w:szCs w:val="20"/>
                <w:color w:val="auto"/>
              </w:rPr>
            </w:pPr>
            <w:r>
              <w:rPr>
                <w:rFonts w:ascii="Arial" w:cs="Arial" w:eastAsia="Arial" w:hAnsi="Arial"/>
                <w:sz w:val="18"/>
                <w:szCs w:val="18"/>
                <w:color w:val="auto"/>
              </w:rPr>
              <w:t>Sales and maturities of marketable securities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119,885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 net of disposals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Net cash used in investing activities</w:t>
            </w:r>
          </w:p>
        </w:tc>
        <w:tc>
          <w:tcPr>
            <w:tcW w:w="14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(405,064)</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(28,091)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1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60"/>
              <w:spacing w:after="0"/>
              <w:rPr>
                <w:sz w:val="20"/>
                <w:szCs w:val="20"/>
                <w:color w:val="auto"/>
              </w:rPr>
            </w:pPr>
            <w:r>
              <w:rPr>
                <w:rFonts w:ascii="Arial" w:cs="Arial" w:eastAsia="Arial" w:hAnsi="Arial"/>
                <w:sz w:val="18"/>
                <w:szCs w:val="18"/>
                <w:color w:val="auto"/>
              </w:rPr>
              <w:t>Proceeds from issuance of stock, net of transaction costs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311,825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common stock options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Net cash provided by financing activities</w:t>
            </w:r>
          </w:p>
        </w:tc>
        <w:tc>
          <w:tcPr>
            <w:tcW w:w="14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313,725</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38,278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Net decrease in cash and cash equivalents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(110,581)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148,627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19,145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80" w:right="2720"/>
        <w:spacing w:after="0" w:line="275" w:lineRule="auto"/>
        <w:rPr>
          <w:sz w:val="20"/>
          <w:szCs w:val="20"/>
          <w:color w:val="auto"/>
        </w:rPr>
      </w:pPr>
      <w:r>
        <w:rPr>
          <w:rFonts w:ascii="Arial" w:cs="Arial" w:eastAsia="Arial" w:hAnsi="Arial"/>
          <w:sz w:val="18"/>
          <w:szCs w:val="18"/>
          <w:b w:val="1"/>
          <w:bCs w:val="1"/>
          <w:color w:val="auto"/>
        </w:rPr>
        <w:t>MADRIGAL PHARMACEUTICALS, INC. NOTES TO CONDENSED CONSOLIDATED FINANCIAL STATEMENTS (Unaudited)</w:t>
      </w:r>
    </w:p>
    <w:p>
      <w:pPr>
        <w:spacing w:after="0" w:line="390" w:lineRule="exact"/>
        <w:rPr>
          <w:sz w:val="20"/>
          <w:szCs w:val="20"/>
          <w:color w:val="auto"/>
        </w:rPr>
      </w:pPr>
    </w:p>
    <w:p>
      <w:pPr>
        <w:ind w:right="738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spacing w:after="0" w:line="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Madrigal Pharmaceuticals, Inc. (the “Company” or “Madrigal”) is a clinical-stage pharmaceutical company developing novel, high-quality, small-molecule drugs addressing major unmet needs in cardiovascular, metabolic, and liver diseases. The Company’s lead compound, MGL-3196, is being advanced for non-alcoholic steatohepatitis (“NASH”), a liver disease that commonly affects people with metabolic diseases such as obesity and diabetes, and indications in dyslipidemia, including genetic dyslipidemias such as familial hypercholesterolemia (“FH”). The Company initiated a Phase 2 study of MGL-3196 in NASH in October 2016. In February 2017, the Company initiated a Phase 2 study of MGL-3196 in patients with Heterozygous Familial Hypercholesterolemia (“HeFH”). Both Phase 2 studies were fully enrolled in 2017, the HeFH study was completed in February 2018, and the NASH study was completed in May 2018.</w:t>
      </w:r>
    </w:p>
    <w:p>
      <w:pPr>
        <w:spacing w:after="0" w:line="18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Madrigal was originally incorporated as a private company (“Private Madrigal”) on August 19, 2011 and commenced operations in September 2011. On July 22, 2016, Private Madrigal completed a reverse merger (the “Merger”) into Synta Pharmaceuticals Corp. (“Synta”). Upon the consummation of the Merger, the historical financial statements of Private Madrigal became the Company’s historical financial statements. The Company, or Madrigal, as used in the accompanying notes to the unaudited condensed consolidated financial statements, refers to Private Madrigal prior to the completion of the Merger and Public Madrigal subsequent to the completion of the Merger.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we believe that the disclosures included in these financial statements are adequate to make the information presented not misleading. The unaudited condensed financial statements, in the opinion of management, reflect all adjustments, which include normal recurring adjustments, necessary for a fair statement of such interim results. The interim results are not necessarily indicative of the results that we will have for the full year ended December 31, 2018 or any subsequent period. These unaudited condensed financial statements should be read in conjunction with the audited consolidated financial statements and the notes to those statements for the year ended December 31, 2017.</w:t>
      </w:r>
    </w:p>
    <w:p>
      <w:pPr>
        <w:spacing w:after="0" w:line="175" w:lineRule="exact"/>
        <w:rPr>
          <w:sz w:val="20"/>
          <w:szCs w:val="20"/>
          <w:color w:val="auto"/>
        </w:rPr>
      </w:pPr>
    </w:p>
    <w:p>
      <w:pPr>
        <w:ind w:right="7820" w:firstLine="8"/>
        <w:spacing w:after="0" w:line="503"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 of Consolidation</w:t>
      </w:r>
    </w:p>
    <w:p>
      <w:pPr>
        <w:spacing w:after="0" w:line="1"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Company and its wholly owned subsidiaries. All significant intercompany balances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certain reported amounts of assets and liabilities, the disclosure of contingent assets and liabilities at the date of the financial statements,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considers all highly liquid investments with original maturities of three months or less at the date of purchase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Company maintains its cash in bank accounts, the balance of which, at times, exceeds Federal Deposit Insurance Corporation insured limits.</w:t>
      </w:r>
    </w:p>
    <w:p>
      <w:pPr>
        <w:spacing w:after="0" w:line="22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short-term commercial paper and corporate bonds, which management believes are subject to minimal credit and market risk.</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other-than-temporary on available-for-sale securities are reported as a component of interest income, net. To determine whether an other-than-temporary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three and nine months ended September 30, 2018 and 2017, the Company determined it did not have any securities that were other-than-temporarily impaired.</w:t>
      </w:r>
    </w:p>
    <w:p>
      <w:pPr>
        <w:spacing w:after="0" w:line="18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three and nine months ended September 30, 2018 and 2017, the Company did not have any realized gains or losses on marketable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225"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 As of September 30, 2018, the Company’s financial assets valued based on Level 1 inputs consisted of cash and cash equivalents in a money market fund and its financial assets valued based on Level 2 inputs consisted of high-grade corporate bonds and commercial paper. During the three and nine months ended September 30, 2018 and 2017, the Company did not have any transfers of financial assets between Levels 1 and 2. As of September 30, 2018 and December 31, 2017, the Company did not have any financial liabilities that were recorded at fair value on a recurring basis on the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Research and development costs are expensed as incurred. Research and development costs are comprised of costs incurred in performing research and development activities, including internal costs (including stock-based compensation), costs for consultants, and other costs associated with the Company’s preclinical and clinical programs. In particular, Madrigal has conducted safety studies in animals, optimized and implemented the API manufacturing process, and conducted Phase 1 &amp; 2 clinical trials, all of which are considered research and development expenditures.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Costs to secure and defend patents are expensed as incurred and are classified as general and administrative expense in the Company’s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79"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Loss Per Common Share</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Basic net loss per share is computed using the weighted average number of common shares outstanding during the period, excluding restricted stock that has been issued but is not yet vested. Diluted net loss per common share is computed using the weighted average number of common shares outstanding and the weighted average dilutive potential common shares outstanding using the treasury stock method. However, for the three and nine months ended September 30, 2018 and 2017, diluted net loss per share is the same as basic net loss per share because the inclusion of weighted average shares of unvested restricted common stock, common stock issuable upon the exercise of stock options, and common stock issuable upon the conversion of preferred stock would be anti-dilutive.</w:t>
      </w:r>
    </w:p>
    <w:p>
      <w:pPr>
        <w:spacing w:after="0" w:line="19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summarizes outstanding securities not included in the computation of diluted net loss per common share, as their inclusion would be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3120" w:type="dxa"/>
            <w:vAlign w:val="bottom"/>
            <w:gridSpan w:val="4"/>
          </w:tcPr>
          <w:p>
            <w:pPr>
              <w:ind w:left="44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83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1,123,582</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991,711</w:t>
            </w:r>
          </w:p>
        </w:tc>
        <w:tc>
          <w:tcPr>
            <w:tcW w:w="10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52,063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105,199</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1,969,797</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1,969,797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2018, The Financial Accounting Standards Board (“FASB”) issued Accounting Standards Update (“ASU”) No. 2018-07, “Improvements to Nonemployee Share-Based Payment Accounting” to simplify the accounting for share-based payment transactions with non-employees of the Company. The guidance within this accounting standard update generally requires that share-based payment transactions for acquiring goods or services from non-employees of the Company be accounted for under the same</w:t>
      </w:r>
    </w:p>
    <w:p>
      <w:pPr>
        <w:sectPr>
          <w:pgSz w:w="11900" w:h="16838" w:orient="portrait"/>
          <w:cols w:equalWidth="0" w:num="1">
            <w:col w:w="11420"/>
          </w:cols>
          <w:pgMar w:left="240" w:top="125"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guidance and model as all other share-based payment transactions, including employees of the Company. For public business entities, ASU 2018-07 is effective for annual and interim reporting periods beginning after December 15, 2018, with early adoption permitted. The Company elected to early adopt the guidance within this accounting standard update in the second quarter of 2018. There was no significant impact from the adoption.</w:t>
      </w:r>
    </w:p>
    <w:p>
      <w:pPr>
        <w:spacing w:after="0" w:line="166"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May 2017, the FASB issued ASU No. 2017-09, “Compensation—Stock Compensation (Topic 718): Scope of Modification Accounting,” to provide clarity and reduce both diversity in practice, and cost and complexity when a change is made to the terms or conditions of a share-based payment award. For public business entities, ASU 2017-09 is effective for annual and interim reporting periods beginning after December 15, 2017, with early adoption permitted. The update should be applied prospectively to an award modified on or after the adoption date. The Company adopted ASU No. 2017-09 effective January 1, 2018. There was no significant impact from the adoption.</w:t>
      </w:r>
    </w:p>
    <w:p>
      <w:pPr>
        <w:spacing w:after="0" w:line="17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August 2016, the FASB issued ASU No. 2016-15, “Statement of Cash Flows (Topic 230): Clarification of Certain Cash Receipts and Cash Payments.” The objective of ASU No. 2016-15 is to eliminate the diversity in practice related to the classification of certain cash receipts and payments in the statement of cash flows, by adding or clarifying guidance on eight specific cash flow issues. For public business entities, ASU 2016-15 is effective for annual and interim reporting periods beginning after December 15, 2017, with early adoption permitted. ASU 2016-15 provides that the amendments in the update should be applied retrospectively to all periods presented, unless deemed impracticable, in which case, prospective application is permitted. The Company adopted ASU No. 2016-15 effective January 1, 2018. There was no significant impact from the adoption.</w:t>
      </w:r>
    </w:p>
    <w:p>
      <w:pPr>
        <w:spacing w:after="0" w:line="17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January 2016, the FASB issued ASU No. 2016-01, “Financial Instruments—Overall (Subtopic 825-10): Recognition and Measurement of Financial Assets and Financial Liabilities,” which amends the guidance in U.S. generally accepted accounting principles on the classification and measurement of financial instruments. Changes to the prior guidance primarily affect the accounting for equity investments, financial liabilities under the fair value option, and the presentation and disclosure requirements for financial instruments. In addition, the ASU clarifies guidance related to the valuation allowance assessment when recognizing deferred tax assets resulting from unrealized losses on available-for-sale debt securities. The amendments in this ASU are effective for fiscal years and interim periods beginning after December 15, 2017, and are to be adopted by means of a cumulative-effect adjustment to the balance sheet at the beginning of the first reporting period in which the guidance is effective. Early adoption is not permitted except for the provision to record fair value changes for financial liabilities under the fair value option resulting from instrument-specific credit risk in other comprehensive income. The Company adopted ASU No. 2016-01 effective January 1, 2018. There was no significant impact from the adoption.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Liquidity and Uncertainties</w:t>
      </w:r>
    </w:p>
    <w:p>
      <w:pPr>
        <w:spacing w:after="0" w:line="229"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and other government regulations.</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has incurred losses since inception, including approximately $21.3 million for the nine months ended September 30, 2018, resulting in an accumulated deficit of approximately $127.8 million as of September 30, 2018. Management expects to incur losses for the foreseeable future. To date, the Company has funded its operations primarily through the issuance of convertible debt, the proceeds from the Merger on July 22, 2016, and proceeds from sales of the Company’s equity securities (see Note 5).</w:t>
      </w:r>
    </w:p>
    <w:p>
      <w:pPr>
        <w:spacing w:after="0" w:line="187"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Company believes that its cash, cash equivalents and marketable securities at September 30, 2018 will be sufficient to fund operations past one year from the issuance of these financial statements.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Cash Equivalents and Marketable Securities</w:t>
      </w:r>
    </w:p>
    <w:p>
      <w:pPr>
        <w:spacing w:after="0" w:line="229" w:lineRule="exact"/>
        <w:rPr>
          <w:sz w:val="20"/>
          <w:szCs w:val="20"/>
          <w:color w:val="auto"/>
        </w:rPr>
      </w:pPr>
    </w:p>
    <w:p>
      <w:pPr>
        <w:ind w:right="40" w:firstLine="689"/>
        <w:spacing w:after="0" w:line="277" w:lineRule="auto"/>
        <w:rPr>
          <w:sz w:val="20"/>
          <w:szCs w:val="20"/>
          <w:color w:val="auto"/>
        </w:rPr>
      </w:pPr>
      <w:r>
        <w:rPr>
          <w:rFonts w:ascii="Arial" w:cs="Arial" w:eastAsia="Arial" w:hAnsi="Arial"/>
          <w:sz w:val="18"/>
          <w:szCs w:val="18"/>
          <w:color w:val="auto"/>
        </w:rPr>
        <w:t>A summary of cash, cash equivalents and available-for-sale marketable securities held by the Company as of September 30, 2018 and December 31, 2017 is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7"/>
          </w:tcPr>
          <w:p>
            <w:pPr>
              <w:jc w:val="right"/>
              <w:ind w:right="920"/>
              <w:spacing w:after="0"/>
              <w:rPr>
                <w:sz w:val="20"/>
                <w:szCs w:val="20"/>
                <w:color w:val="auto"/>
              </w:rPr>
            </w:pPr>
            <w:r>
              <w:rPr>
                <w:rFonts w:ascii="Arial" w:cs="Arial" w:eastAsia="Arial" w:hAnsi="Arial"/>
                <w:sz w:val="14"/>
                <w:szCs w:val="14"/>
                <w:b w:val="1"/>
                <w:bCs w:val="1"/>
                <w:color w:val="auto"/>
              </w:rPr>
              <w:t>September 30, 2018</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Cost</w:t>
            </w:r>
          </w:p>
        </w:tc>
        <w:tc>
          <w:tcPr>
            <w:tcW w:w="1020" w:type="dxa"/>
            <w:vAlign w:val="bottom"/>
          </w:tcPr>
          <w:p>
            <w:pPr>
              <w:jc w:val="center"/>
              <w:ind w:left="168"/>
              <w:spacing w:after="0" w:line="119" w:lineRule="exact"/>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jc w:val="center"/>
              <w:ind w:right="195"/>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20" w:type="dxa"/>
            <w:vAlign w:val="bottom"/>
          </w:tcPr>
          <w:p>
            <w:pPr>
              <w:jc w:val="center"/>
              <w:ind w:left="148"/>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7"/>
              </w:rPr>
              <w:t>losses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Cash (Level 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2,127</w:t>
            </w:r>
          </w:p>
        </w:tc>
        <w:tc>
          <w:tcPr>
            <w:tcW w:w="240" w:type="dxa"/>
            <w:vAlign w:val="bottom"/>
          </w:tcPr>
          <w:p>
            <w:pPr>
              <w:spacing w:after="0"/>
              <w:rPr>
                <w:sz w:val="18"/>
                <w:szCs w:val="18"/>
                <w:color w:val="auto"/>
              </w:rPr>
            </w:pPr>
          </w:p>
        </w:tc>
        <w:tc>
          <w:tcPr>
            <w:tcW w:w="1020" w:type="dxa"/>
            <w:vAlign w:val="bottom"/>
          </w:tcPr>
          <w:p>
            <w:pPr>
              <w:jc w:val="right"/>
              <w:ind w:right="868"/>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35,919</w:t>
            </w:r>
          </w:p>
        </w:tc>
        <w:tc>
          <w:tcPr>
            <w:tcW w:w="10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Corporate debt securities due within 3 months of date of purchase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(Level 2)</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38,046</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6"/>
              </w:rPr>
              <w:t>Corporate debt securities due within 1 year of date of purchase (Level 2)</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437,106</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436,975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Corporate debt securities due between 1 and 2 years of the date of</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purchase (Level 2)</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13,529</w:t>
            </w:r>
          </w:p>
        </w:tc>
        <w:tc>
          <w:tcPr>
            <w:tcW w:w="1020" w:type="dxa"/>
            <w:vAlign w:val="bottom"/>
          </w:tcPr>
          <w:p>
            <w:pPr>
              <w:spacing w:after="0"/>
              <w:rPr>
                <w:sz w:val="20"/>
                <w:szCs w:val="20"/>
                <w:color w:val="auto"/>
              </w:rPr>
            </w:pP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13,517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488,681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68"/>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488,538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right"/>
              <w:ind w:right="94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Cost</w:t>
            </w:r>
          </w:p>
        </w:tc>
        <w:tc>
          <w:tcPr>
            <w:tcW w:w="1020" w:type="dxa"/>
            <w:vAlign w:val="bottom"/>
          </w:tcPr>
          <w:p>
            <w:pPr>
              <w:jc w:val="center"/>
              <w:ind w:left="168"/>
              <w:spacing w:after="0" w:line="119" w:lineRule="exact"/>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jc w:val="center"/>
              <w:ind w:right="195"/>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20" w:type="dxa"/>
            <w:vAlign w:val="bottom"/>
          </w:tcPr>
          <w:p>
            <w:pPr>
              <w:jc w:val="center"/>
              <w:ind w:left="148"/>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7"/>
              </w:rPr>
              <w:t>losses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Cash (Level 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2,725</w:t>
            </w:r>
          </w:p>
        </w:tc>
        <w:tc>
          <w:tcPr>
            <w:tcW w:w="240" w:type="dxa"/>
            <w:vAlign w:val="bottom"/>
          </w:tcPr>
          <w:p>
            <w:pPr>
              <w:spacing w:after="0"/>
              <w:rPr>
                <w:sz w:val="18"/>
                <w:szCs w:val="18"/>
                <w:color w:val="auto"/>
              </w:rPr>
            </w:pPr>
          </w:p>
        </w:tc>
        <w:tc>
          <w:tcPr>
            <w:tcW w:w="1020" w:type="dxa"/>
            <w:vAlign w:val="bottom"/>
          </w:tcPr>
          <w:p>
            <w:pPr>
              <w:jc w:val="right"/>
              <w:ind w:right="868"/>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145,902</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145,902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Corporate debt securities due within 3 months of date of purchase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(Level 2)</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148,627</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6"/>
              </w:rPr>
              <w:t>Corporate debt securities due within 1 year of date of purchase (Level 2)</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42,931</w:t>
            </w:r>
          </w:p>
        </w:tc>
        <w:tc>
          <w:tcPr>
            <w:tcW w:w="10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191,558</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68"/>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9600" w:firstLine="8"/>
        <w:spacing w:after="0" w:line="533" w:lineRule="auto"/>
        <w:tabs>
          <w:tab w:leader="none" w:pos="18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w:t>
      </w:r>
    </w:p>
    <w:p>
      <w:pPr>
        <w:ind w:right="220" w:firstLine="648"/>
        <w:spacing w:after="0" w:line="264" w:lineRule="auto"/>
        <w:rPr>
          <w:sz w:val="20"/>
          <w:szCs w:val="20"/>
          <w:color w:val="auto"/>
        </w:rPr>
      </w:pPr>
      <w:r>
        <w:rPr>
          <w:rFonts w:ascii="Arial" w:cs="Arial" w:eastAsia="Arial" w:hAnsi="Arial"/>
          <w:sz w:val="18"/>
          <w:szCs w:val="18"/>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never declared cash dividends on its common stock and does not expect to do so in the foreseeable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June 2018 Registered Offering of Common Stock</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June 2018, the Company entered into an underwriting agreement with Goldman Sachs &amp; Co. LLC, as representative of the several underwriters named therein (the “June 2018 Underwriters”), relating to an underwritten public offering (the “June 2018 Offering”) of 1,079,580 shares of the Company’s common stock, including 95,973 shares of the Company’s common stock purchased by the June 2018 Underwriters pursuant to a 30-day option to purchase such additional shares granted therein, at a public offering price of $305.00 per share. The June 2018 Offering resulted in net proceeds to the Company of approximately $311.8 million, after deducting the June 2018 Underwriters’ discount and other offering costs. The June 2018 Offering closed on June 11,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2017 Registered Offering of Common Stock</w:t>
      </w:r>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In December 2017, the Company entered into an underwriting agreement with Goldman Sachs &amp; Co. LLC, as representative of the several underwriters named therein (the “December 2017 Underwriters”), relating to an underwritten public offering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“December 2017 Offering”) of 1,731,929 shares of the Company’s common stock, including 225,904 shares of the Company’s common stock purchased by the December 2017 Underwriters pursuant to a 30-day option to purchase such additional shares granted therein, at a public offering price of $83.00 per share. The December 2017 Offering resulted in net proceeds to the Company of approximately $135.5 million, after deducting the December 2017 Underwriters’ discount and other offering costs. The December 2017 Offering closed on December 21,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June 2017 Private Placement Offering of Common Stock and Series A Convertible Preferred Stock</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June 2017, the Company entered into a Securities Purchase Agreement (the “Purchase Agreement)” with a group of institutional accredited investors, who were existing, non-controlling stockholders of the Company, pursuant to which the Company sold securities to the Investors in a private placement transaction (the “June 2017 Offering”). Under the terms of the Purchase Agreement, the Company sold 328,300 shares of its common stock at a price of $15.23 per share, and 1,969,797 shares of its Series A Convertible Preferred Stock (the “Series A Preferred Stock”) at a price of $15.23 per share. The June 2017 Offering resulted in gross proceeds to the Company of approximately $35.0 million, and net proceeds to the Company of approximately $34.9 million. The June 2017 Offering closed on June 23, 2017.</w:t>
      </w:r>
    </w:p>
    <w:p>
      <w:pPr>
        <w:spacing w:after="0" w:line="17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Series A Preferred Stock has a par value of $0.0001 per share and is convertible into shares of the common stock at a one-to-one ratio, subject to adjustment as provided in the Purchase Agreement. The terms of the Series A Preferred Stock are set forth in the Certificate of Designation of Preferences, Rights and Limitations of Series A Convertible Preferred Stock, that the Company filed with the Secretary of State of the State of Delaware on June 21, 2017. Each share of the Series A Preferred Stock is convertible into shares of Common Stock at any time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Preferred Stock upon liquidation, the holders of the Series A Preferred Stock shall participate pari passu with the holders of the Common Stock (on an as-if-converted-to-Common-Stock basis) in the net assets of the Company. Shares of the Series A Preferred Stock will generally have no voting rights, except as required by law. Shares of the Series A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October 2015, the Company entered into an at-the-market issuance sales agreement (the “October 2015 Sales Agreement”), with Cowen and Company, LLC (“Cowen”), pursuant to which the Company may issue and sell shares of its common stock, having an aggregate offering price of up to $100 million, from time to time, at the Company’s option, through Cowen as its sales agent. Sales of common stock through Cowen may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 October 2015 Sales Agreement, Cowen will use commercially reasonable efforts consistent with its normal trading and sales practices to sell the common stock based upon the Company’s instructions (including any price, time or size limits or other customary parameters or conditions the Company may impose). The Company is not obligated to make any sales of its common stock under the October 2015 Sales Agreement. Any shares sold will be sold pursuant to an effective shelf registration statement on Form S-3 (file no. 333-206135). The Company will pay Cowen a commission of up to 3% of the gross proceeds. The October 2015 Sales Agreement may be terminated by the Company at any time upon 10 days’ notice.</w:t>
      </w:r>
    </w:p>
    <w:p>
      <w:pPr>
        <w:spacing w:after="0" w:line="16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As of September 30, 2018, 597,256 shares have been sold under the October 2015 Sales Agreement for an aggregate of approximately $9.6 million in gross proceeds. Net proceeds to the Company were approximately $9.4 million after deducting commissions and other transactions costs. Of those shares sold, none were sold in 2018, and 215,539 were sold in 2017. Approximately $90.4 million remained reserved under the Company’s shelf registration statement and the applicable prospectus supplement for possible future issuance under the October 2015 Sales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June 2015, upon obtaining stockholder approval at its annual shareholder meeting, the Company implemented its new 2015 Stock Plan. The 2015 Stock Plan replaced the 2006 Stock Plan, which was terminated upon adoption of the 2015 Stock Plan. Shares of common stock reserved for outstanding awards under the 2006 Stock Plan that lapse or are canceled will be added back to the share reserve available for future awards under the 2015 Stock Plan. The 2015 Stock Plan provides for the grant of incentive stock options, non-statutory stock options, restricted stock and other stock-based compensation awards to employees, officers, directors, and consultants of the Company. The administration of the 2015 Stock Plan is under the general supervision of the compensation committee of the board of directors. The exercise price of the stock options is determined by the compensation committee of the board of directors, provided that incentive stock options are granted with an exercise price not less than fair market value of the common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720"/>
        <w:spacing w:after="0" w:line="264" w:lineRule="auto"/>
        <w:rPr>
          <w:sz w:val="20"/>
          <w:szCs w:val="20"/>
          <w:color w:val="auto"/>
        </w:rPr>
      </w:pPr>
      <w:r>
        <w:rPr>
          <w:rFonts w:ascii="Arial" w:cs="Arial" w:eastAsia="Arial" w:hAnsi="Arial"/>
          <w:sz w:val="18"/>
          <w:szCs w:val="18"/>
          <w:color w:val="auto"/>
        </w:rPr>
        <w:t>stock on the date of grant and expire no later than ten years from the date the option is granted. As of September 30, 2018, the Company had options outstanding to purchase 1,123,582 shares of its common stock, which includes options outstanding under its 2006 Stock Plan that was terminated in June 2015. As of September 30, 2018, 1,225,595 shares were available for future issuance.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during the nine months ended September 30,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15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exercise</w:t>
            </w: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976,777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Options granted</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241,650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173.23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Options canceled</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(8,750)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113.81</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2018</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1,123,582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Exercisable at September 30, 2018</w:t>
            </w: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621,000</w:t>
            </w:r>
          </w:p>
        </w:tc>
        <w:tc>
          <w:tcPr>
            <w:tcW w:w="16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10.75</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total cash received by the Company as a result of stock option exercises was $1.9 million and $0, respectively, for the nine months ended September 30, 2018 and 2017. The weighted-average grant date fair values, based on the Black-Scholes option model, of options granted during the nine months ended September 30, 2018 and 2017 were $136.43 and $13.30,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225"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The Company’s share-based compensation plan provides for awards of restricted shares of common stock to employees, officers, directors and consultants to the Company. Restricted stock awards are subject to forfeiture if employment or service terminates during the prescribed retention period. Restricted shares vest over the service period.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unvested restricted share activity during the nine months ended September 30,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15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exercise</w:t>
            </w: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104,127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2018</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Stock-based compensation expense during the three and nine months ended September 2018 and 2017 was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8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6"/>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Stock-based compensation expense by type of award:</w:t>
            </w: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820" w:type="dxa"/>
            <w:vAlign w:val="bottom"/>
          </w:tcPr>
          <w:p>
            <w:pPr>
              <w:jc w:val="right"/>
              <w:ind w:right="66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4,852</w:t>
            </w:r>
          </w:p>
        </w:tc>
        <w:tc>
          <w:tcPr>
            <w:tcW w:w="2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878</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8,002</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stock-based compensation expense</w:t>
            </w:r>
          </w:p>
        </w:tc>
        <w:tc>
          <w:tcPr>
            <w:tcW w:w="82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4,976</w:t>
            </w:r>
          </w:p>
        </w:tc>
        <w:tc>
          <w:tcPr>
            <w:tcW w:w="2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Effect of stock-based compensation expense by line item:</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jc w:val="right"/>
              <w:ind w:right="66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2,287</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3,797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6,083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 included in net loss</w:t>
            </w:r>
          </w:p>
        </w:tc>
        <w:tc>
          <w:tcPr>
            <w:tcW w:w="820" w:type="dxa"/>
            <w:vAlign w:val="bottom"/>
            <w:tcBorders>
              <w:top w:val="single" w:sz="8" w:color="auto"/>
              <w:bottom w:val="single" w:sz="8" w:color="auto"/>
            </w:tcBorders>
            <w:shd w:val="clear" w:color="auto" w:fill="CCEEFF"/>
          </w:tcPr>
          <w:p>
            <w:pPr>
              <w:jc w:val="right"/>
              <w:ind w:right="66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4,976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Unrecognized stock-based compensation expense as of September 30, 2018 was as follows (in thousands):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Unrecognized</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stock</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expense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Restricted stock</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396</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7. Commitments and Contingencies</w:t>
            </w:r>
          </w:p>
        </w:tc>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20" w:type="dxa"/>
            <w:vAlign w:val="bottom"/>
            <w:vMerge w:val="continue"/>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agreement requires future milestone payments to Roche, the remainder of which total $10 million and are earned by the commencement of Phase 3 clinical trials as well as future regulatory approval in the United States and Europe of a product developed from MGL-3916. A single-digit royalty payment range is based on net sales of products developed from MGL-3196, subject to certain reductions. In October 2016, the Company commenced a Phase 2 study in Non-Alcoholic Steatohepatitis (NASH), which triggered a milestone payment under the agreement. Except as described above, the Company has not achieved any additional product development or regulatory milestones to date and has no Licensed Product sales for the nine months ended September 30, 2018 and 2017.</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entered into customary contractual arrangements and letters of intent in preparation for and in support of the Phase 2 and 3 clinical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trials.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are based on our beliefs and assumptions and on information currently available to us. Forward-looking statements include information with respect to our clinical trials, research and development activities, the timing and success of future development of MGL-3196, our possible or assumed future results of operations and expenses, business strategies and plans, capital needs and financing plans, trends, market sizing, competitive position, industry environment and potential growth opportunities, among other things. Forward-looking statements include all statements that are not historical facts and, in some cases, can be identified by terms such as “anticipates,” “believes,” “could,” “estimates,” “expects,” “intends,” “may,” “plans,” “potential,” “predicts,” “projects,” “seeks,” “should,” “will,” “would” or similar expressions and the negatives of those terms.</w:t>
      </w:r>
    </w:p>
    <w:p>
      <w:pPr>
        <w:spacing w:after="0" w:line="18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performances or achievements expressed or implied by the forward-looking statements, including those described in “Risk Factors” and elsewhere in this report. Given these uncertainties, you should not place undue reliance on these forward-looking statements.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The consolidated financial statements, included elsewhere in this Quarterly Report on Form 10-Q, and this Management’s Discussion and Analysis of Financial Condition and Results of Operations should be read together with our audited financial statements and accompanying notes for year ended December 31, 2017 and the related Management’s Discussion and Analysis of Financial Condition and Results of Operations, both of which are included in our Annual Report on Form 10-K. In addition to historical information, this discussion and analysis contains forward-looking statements within the meaning of Section 27A of the Securities Act of 1933, as amended, or the Securities Act, and Section 21E of the Securities Exchange Act of 1934, as amended, or the Exchange Act,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sections entitled “Risk Factors” included elsewhere in this report. Our operating results are not necessarily indicative of results that may occur for the full fiscal year or any other future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Madrigal Pharmaceuticals, Inc.</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 clinical-stage biopharmaceutical company focused on the development and commercialization of innovative therapeutic candidates for the treatment of cardiovascular, metabolic, and liver diseases. Our lead product candidate, MGL-3196, is a proprietary, liver-directed, selective thyroid hormone receptor-ß, or THR-ß, agonist being developed as a once-daily oral pill that can potentially be used to treat a number of disease states with high unmet medical need, including non-alcoholic steatohepatitis, or NASH. For NASH, we enrolled 125 patients in a Phase 2 clinical trial. We achieved the 12-week primary endpoint for this Phase 2 clinical trial and reported the results in December 2017, and we reported positive topline 36-week results at the conclusion of the Phase 2 clinical trial in May 2018. We have an ongoing 36-week, open-label extension study in 31 participating NASH patients from the Phase 2 clinical trial, which includes 14 patients who received placebo in the main study. We are also developing MGL-3196 for dyslipidemia, including genetic dyslipidemias such as heterozygous familial hypercholesterolemia, or HeFH. We enrolled 116 patients and completed a Phase 2 clinical trial in HeFH patients, and we reported the results in February 2018. In addition to the NASH and HeFH Phase 2 clinical trials, MGL-3196 has also been studied in six completed Phase 1 trials in a total of 183 subjects. MGL-3196 appeared to be safe and was well-tolerated in these trials, which included a single ascending dose trial, a multiple ascending dose trial, two drug interaction trials with statins, a multiple dose mass balance study, and a single dose relative bioavailability study of tablet formulations versus capsule formulation.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research and development expenses consist primarily of:</w:t>
      </w:r>
    </w:p>
    <w:p>
      <w:pPr>
        <w:spacing w:after="0" w:line="225" w:lineRule="exact"/>
        <w:rPr>
          <w:sz w:val="20"/>
          <w:szCs w:val="20"/>
          <w:color w:val="auto"/>
        </w:rPr>
      </w:pPr>
    </w:p>
    <w:p>
      <w:pPr>
        <w:ind w:left="1300" w:right="200" w:hanging="644"/>
        <w:spacing w:after="0" w:line="258" w:lineRule="auto"/>
        <w:tabs>
          <w:tab w:leader="none" w:pos="1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external expenses paid to clinical trial sites, contract research organizations, laboratories, database software providers and consultants that conduct clinical trials;</w:t>
      </w:r>
    </w:p>
    <w:p>
      <w:pPr>
        <w:spacing w:after="0" w:line="1" w:lineRule="exact"/>
        <w:rPr>
          <w:rFonts w:ascii="Arial" w:cs="Arial" w:eastAsia="Arial" w:hAnsi="Arial"/>
          <w:sz w:val="18"/>
          <w:szCs w:val="18"/>
          <w:color w:val="auto"/>
        </w:rPr>
      </w:pPr>
    </w:p>
    <w:p>
      <w:pPr>
        <w:ind w:left="1260" w:hanging="604"/>
        <w:spacing w:after="0"/>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expenses related to development and production of nonclinical and clinical trial supplies, including fees paid to contract manufacturers;</w:t>
      </w:r>
    </w:p>
    <w:p>
      <w:pPr>
        <w:spacing w:after="0" w:line="20" w:lineRule="exact"/>
        <w:rPr>
          <w:rFonts w:ascii="Arial" w:cs="Arial" w:eastAsia="Arial" w:hAnsi="Arial"/>
          <w:sz w:val="17"/>
          <w:szCs w:val="17"/>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related to preclinical studies;</w:t>
      </w:r>
    </w:p>
    <w:p>
      <w:pPr>
        <w:spacing w:after="0" w:line="9" w:lineRule="exact"/>
        <w:rPr>
          <w:rFonts w:ascii="Arial" w:cs="Arial" w:eastAsia="Arial" w:hAnsi="Arial"/>
          <w:sz w:val="18"/>
          <w:szCs w:val="18"/>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related to compliance with drug development regulatory requirements; and</w:t>
      </w:r>
    </w:p>
    <w:p>
      <w:pPr>
        <w:spacing w:after="0" w:line="9" w:lineRule="exact"/>
        <w:rPr>
          <w:rFonts w:ascii="Arial" w:cs="Arial" w:eastAsia="Arial" w:hAnsi="Arial"/>
          <w:sz w:val="18"/>
          <w:szCs w:val="18"/>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allocated expenses, which include direct and allocated expenses for depreciation of equipment and other supplies.</w:t>
      </w:r>
    </w:p>
    <w:p>
      <w:pPr>
        <w:spacing w:after="0" w:line="21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expect to continue to incur substantial expenses related to our development activities for the foreseeable future as we initiate our Phase 3 clinical program and continue to conduct our Phase 2 clinical program and manufacturing and toxicology studies. Product candidates in later stages of clinical development generally have higher development costs than those in earlier stages of clinical development, due primarily to the increased size and duration of later-stage clinical trials, additional drug manufacturing requirements, and later stage toxicology studies such as carcinogenicity studies. Our research and development expenses increased between 2017 and 2018, and we expect that our research and development expenses will increase substantially in the future.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16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early research programs, results of ongoing and future clinical trials, our ability to enter into collaborative agreements with respect to programs or potential product candidates, as well as ongoing assessments as to each current or future product candidate’s commercial potential.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General and administrative expenses consist primarily of management costs, costs associated with obtaining and maintaining our patent portfolio, professional fees for accounting, auditing, consulting and legal services, and allocated overhead expenses.</w:t>
      </w:r>
    </w:p>
    <w:p>
      <w:pPr>
        <w:spacing w:after="0" w:line="170"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We expect that our general and administrative expenses may increase in the future as we expand our operating activities, maintain and expand our patent portfolio and incur additional costs associated with being a public company and maintaining compliance with exchange listing and U.S. Securities and Exchange Commission, or SEC, requirements. We expect these potential increases will likely include management costs, legal fees, accounting fees, directors’ and officers’ liability insurance premiums and expenses associated with investor relations.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and expenses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and the disclosure of contingent assets and liabilities as of the date of the financial statements. On an ongoing basis, we evaluate our estimates and judgments, including those related to accrued research and development expenses and stock-based compensation expense.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during the nine months ended September 30, 2018, as compared to those disclosed in our Annual Report on Form 10-K for the fiscal year ended December 31, 2017 filed with the SEC on March 13,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comparative unaudited results of operations for the three months ended September 30, 2018 and 2017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20" w:type="dxa"/>
            <w:vAlign w:val="bottom"/>
            <w:gridSpan w:val="3"/>
          </w:tcPr>
          <w:p>
            <w:pPr>
              <w:jc w:val="right"/>
              <w:ind w:right="326"/>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3"/>
            <w:vMerge w:val="restart"/>
          </w:tcPr>
          <w:p>
            <w:pPr>
              <w:ind w:left="880"/>
              <w:spacing w:after="0"/>
              <w:rPr>
                <w:sz w:val="20"/>
                <w:szCs w:val="20"/>
                <w:color w:val="auto"/>
              </w:rPr>
            </w:pPr>
            <w:r>
              <w:rPr>
                <w:rFonts w:ascii="Arial" w:cs="Arial" w:eastAsia="Arial" w:hAnsi="Arial"/>
                <w:sz w:val="14"/>
                <w:szCs w:val="14"/>
                <w:b w:val="1"/>
                <w:bCs w:val="1"/>
                <w:color w:val="auto"/>
                <w:w w:val="92"/>
              </w:rPr>
              <w:t>Increase / (Decrease)</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54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Borders>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556"/>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6,211</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6,682</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(471)</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5,122</w:t>
            </w:r>
          </w:p>
        </w:tc>
        <w:tc>
          <w:tcPr>
            <w:tcW w:w="8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1,955</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3,167</w:t>
            </w:r>
          </w:p>
        </w:tc>
        <w:tc>
          <w:tcPr>
            <w:tcW w:w="5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(2,821)</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2,647</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Income</w:t>
            </w:r>
          </w:p>
        </w:tc>
        <w:tc>
          <w:tcPr>
            <w:tcW w:w="8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5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8,512</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8,363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had no revenue for the three months ended September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research and development expenses were $6.2 million for the three months ended September 30, 2018, compared to $6.7 million in the corresponding period in 2017. Research and development expenses decreased by $0.5 million in the 2018 period due primarily to the completion of treatment in our Phase 2 clinical trials in 2018. We expect our research and development expenses to increase over time as we advance our clinical and preclinical development programs for MGL-3196.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general and administrative expenses were $5.1 million for the three months ended September 30, 2018, compared to $2.0 million in the corresponding period in 2017. General and administrative expenses increased by $3.1 million in the 2018 period due primarily to an increase in non-cash stock compensation from stock option awards. We believe our general and administrative expenses may increase over time as we advance our clinical and preclinical development programs for MGL-3196, which will likely result in an increase in our headcount, consulting services, and related overhead needed to support those efforts.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Our net interest income was $2.8 million for the three months ended September 30, 2018, compared to $0.2 million for the three months ended September 30, 2017. The increase in interest income was due primarily to a higher average principal balance in our investment account in 2018, and increased interest rates.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comparative unaudited results of operations for the nine months ended September 30, 2018 and 2017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500" w:type="dxa"/>
            <w:vAlign w:val="bottom"/>
            <w:gridSpan w:val="4"/>
          </w:tcPr>
          <w:p>
            <w:pPr>
              <w:ind w:left="540"/>
              <w:spacing w:after="0"/>
              <w:rPr>
                <w:sz w:val="20"/>
                <w:szCs w:val="20"/>
                <w:color w:val="auto"/>
              </w:rPr>
            </w:pPr>
            <w:r>
              <w:rPr>
                <w:rFonts w:ascii="Arial" w:cs="Arial" w:eastAsia="Arial" w:hAnsi="Arial"/>
                <w:sz w:val="14"/>
                <w:szCs w:val="14"/>
                <w:b w:val="1"/>
                <w:bCs w:val="1"/>
                <w:color w:val="auto"/>
                <w:w w:val="93"/>
              </w:rPr>
              <w:t>Nine Months Ended September</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3"/>
            <w:vMerge w:val="restart"/>
          </w:tcPr>
          <w:p>
            <w:pPr>
              <w:ind w:left="880"/>
              <w:spacing w:after="0"/>
              <w:rPr>
                <w:sz w:val="20"/>
                <w:szCs w:val="20"/>
                <w:color w:val="auto"/>
              </w:rPr>
            </w:pPr>
            <w:r>
              <w:rPr>
                <w:rFonts w:ascii="Arial" w:cs="Arial" w:eastAsia="Arial" w:hAnsi="Arial"/>
                <w:sz w:val="14"/>
                <w:szCs w:val="14"/>
                <w:b w:val="1"/>
                <w:bCs w:val="1"/>
                <w:color w:val="auto"/>
                <w:w w:val="92"/>
              </w:rPr>
              <w:t>Increase / (Decrease)</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30,</w:t>
            </w: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860" w:type="dxa"/>
            <w:vAlign w:val="bottom"/>
            <w:tcBorders>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w w:val="96"/>
              </w:rPr>
              <w:t>2018</w:t>
            </w:r>
          </w:p>
        </w:tc>
        <w:tc>
          <w:tcPr>
            <w:tcW w:w="5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556"/>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60" w:type="dxa"/>
            <w:vAlign w:val="bottom"/>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16,518</w:t>
            </w:r>
          </w:p>
        </w:tc>
        <w:tc>
          <w:tcPr>
            <w:tcW w:w="820" w:type="dxa"/>
            <w:vAlign w:val="bottom"/>
            <w:shd w:val="clear" w:color="auto" w:fill="CCEEFF"/>
          </w:tcPr>
          <w:p>
            <w:pPr>
              <w:jc w:val="right"/>
              <w:ind w:right="66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17,878</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(1,360)</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9,710</w:t>
            </w:r>
          </w:p>
        </w:tc>
        <w:tc>
          <w:tcPr>
            <w:tcW w:w="8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5,273</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4,437</w:t>
            </w:r>
          </w:p>
        </w:tc>
        <w:tc>
          <w:tcPr>
            <w:tcW w:w="5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(4,692)</w:t>
            </w:r>
          </w:p>
        </w:tc>
        <w:tc>
          <w:tcPr>
            <w:tcW w:w="8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4,350</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Income</w:t>
            </w:r>
          </w:p>
        </w:tc>
        <w:tc>
          <w:tcPr>
            <w:tcW w:w="8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8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5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21,336</w:t>
            </w: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6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22,709</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had no revenue for the nine months ended September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research and development expenses were $16.5 million for the nine months ended September 30, 2018, compared to $17.9 million in the corresponding period in 2017. Research and development expenses decreased by $1.4 million in the 2018 period due primarily to the completion of treatment in our Phase 2 clinical trials in 2018. We expect our research and development expenses to increase over time as we advance our clinical and preclinical development programs for MGL-3196.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general and administrative expenses were $9.7 million for the nine months ended September 30, 2018, compared to $5.3 million in the corresponding period in 2017. General and administrative expenses increased by $4.4 million in the 2018 period due primarily to an increase in non-cash stock compensation from stock option awards. We believe our general and administrative expenses may increase over time as we advance our clinical and preclinical development programs for MGL-3196, which will likely result in an increase in our headcount, consulting services, and related overhead needed to support those efforts.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Our net interest income was $4.7 million for the nine months ended September 30, 2018, compared to $0.3 million for the nine months ended September 30, 2017. The increase in interest income was due primarily to a higher average principal balance in our investment account in 2018, and increased interest rates.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September 30, 2018, we had cash, cash equivalents and marketable securities totaling $488.5 million compared to $191.5 million as of December 31, 2017, with the increase primarily attributable to the proceeds from the June 2018 Offering, partially offset by our cash used in operating activities. To date, we have funded our operations primarily through the issuance of convertible debt, the issuance of shares of common stock and preferred stock, and the proceeds from the merger with Synta.</w:t>
      </w:r>
    </w:p>
    <w:p>
      <w:pPr>
        <w:spacing w:after="0" w:line="18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Our most significant use of capital pertains to salaries and benefits for our employees, including clinical, scientific, operational, financial and management personnel, and external research and development expenses, such as clinical trials and preclinical activity related to our product candidates. Our cash and investment balances are held in a variety of interest bearing instruments, including obligations of U.S. government agencies, U.S. Treasury debt securities, corporate debt securities and money market funds. Cash in excess of immediate requirements is invested in accordance with our investment policy with a view toward capital preservation and liquidity.</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anticipate continuing to incur operating losses for the foreseeable future. While our rate of cash usage may increase in the future, in particular to support our product development and clinical trial efforts, we believe our available cash resources as of September 30,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2018 will be sufficient to fund our operations past one year from the issuance of the financial statements contained herein. Future capital requirements will be substantial and will depend on many factors. To meet future capital requirements, we will need to raise additional capital to fund our operations through equity or debt financing. We regularly consider fundraising opportunities and may decide, from time to time, to raise capital based on various factors, including market conditions and our plans of operation. Additional capital may not be available on terms acceptable to us, or at all. If adequate funds are not available, or if the terms of potential funding sources are unfavorable, our business and our ability to develop our product candidates would be harmed. Furthermore, any sales of additional equity securities may result in dilution to our stockholders, and any debt financing may include covenants that restrict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net cash flow activity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42"/>
        </w:trPr>
        <w:tc>
          <w:tcPr>
            <w:tcW w:w="67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(16,372)</w:t>
            </w: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Net cash used by investing activities</w:t>
            </w: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(405,064)</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(28,091)</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313,725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38,278</w:t>
            </w:r>
          </w:p>
        </w:tc>
      </w:tr>
      <w:tr>
        <w:trPr>
          <w:trHeight w:val="224"/>
        </w:trPr>
        <w:tc>
          <w:tcPr>
            <w:tcW w:w="67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(110,581)</w:t>
            </w:r>
          </w:p>
        </w:tc>
        <w:tc>
          <w:tcPr>
            <w:tcW w:w="280" w:type="dxa"/>
            <w:vAlign w:val="bottom"/>
          </w:tcPr>
          <w:p>
            <w:pPr>
              <w:spacing w:after="0"/>
              <w:rPr>
                <w:sz w:val="19"/>
                <w:szCs w:val="19"/>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(6,185)</w:t>
            </w:r>
          </w:p>
        </w:tc>
        <w:tc>
          <w:tcPr>
            <w:tcW w:w="120" w:type="dxa"/>
            <w:vAlign w:val="bottom"/>
          </w:tcPr>
          <w:p>
            <w:pPr>
              <w:spacing w:after="0"/>
              <w:rPr>
                <w:sz w:val="19"/>
                <w:szCs w:val="19"/>
                <w:color w:val="auto"/>
              </w:rPr>
            </w:pPr>
          </w:p>
        </w:tc>
      </w:tr>
    </w:tbl>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cash used in operating activities was $19.2 million for the nine months ended September 30, 2018, compared to $16.4 million for the nine months ended September 30, 2017. The use of cash in these periods resulted primarily from our losses from operations, as adjusted for non-cash charges for stock-based compensation, and changes in our working capital accounts.</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Net cash used in investing activities was $405.1 million for the nine months ended September 30, 2018, compared to $28.1 million used in investing activities for the nine months ended September 30, 2017. Net cash used by investing activities for the nine months ended September 30, 2018 consisted of $524.9 million of purchases of marketable securities for our investment portfolio, partially offset by $119.9 million from sales and maturities of marketable securities. Net cash used by investing activities for the nine months ended September 30, 2017 consisted of $34.9 million of purchases of marketable securities for our investment portfolio, partially offset by $6.9 million from sales and maturities of marketable securities.</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cash provided by financing activities was $313.7 million for the nine months ended September 30, 2018, compared to $38.3 million for the nine months ended September 30, 2017. Net cash provided by financing activities for the nine months ended September 30, 2018 consisted of net proceeds from the issuance of common stock pursuant to the June 2018 Offering and the exercise of stock options. Net cash provided by financing activities for the nine months ended September 30, 2017 consisted of net proceeds from the sale of common stock under the October 2015 Sales Agreement and net proceeds from the sale of preferred stock and common stock in the June 2017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No significant changes to contractual obligations and commitments occurred during the nine months ended September 30, 2018, as compared to those disclosed in our Annual Report on Form 10-K for the fiscal year ended December 31, 2017, filed with the SEC on March 13,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defined in the rules and regulations of the SEC.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cash, cash equivalents and marketable securities as of September 30, 2018 consisted of readily available checking account balances, money market funds, and high-grade corporate and government obligations that are classified as available-for-sale. Our primary exposure to market risk is interest income sensitivity, which is affected by changes in the general level of U.S. interest rates. However, because of the short-term nature of the instruments in our portfolio, a sudden change in market interest rates would not be expected to have a material impact on our financial condition and/or results of operations. We do not believe that our cash, cash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equivalents and marketable securities have a significant risk of default or illiquidity. While we believe our cash, cash equivalents and marketable securities do not contain excessive risk, we cannot provide absolute assurance that in the future our investments will not be subject to adverse changes in market value. In addition, we maintain significant amounts of cash and cash equivalents at one or more financial institutions that are in excess of federally insured limits.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Inflation generally affects us with increased cost of labor and clinical trial costs. We do not believe that inflation and changing prices had a significant impact on our results of operations for any periods presented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Disclosure Controls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disclosure controls and procedures (as defined in Rules 13a-15(e) and 15d-15(e) under the Exchange Act) are designed to provide reasonable assurance that information required to be disclosed by us in the reports that we file under the Exchange Act, such as this Quarterly Report,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management evaluates these controls and procedures on an ongoing basis.</w:t>
      </w:r>
    </w:p>
    <w:p>
      <w:pPr>
        <w:spacing w:after="0" w:line="17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carried out an evaluation, under the supervision of and with the participation of our management, including our Chief Executive Officer and Chief Financial Officer, of the effectiveness of the design and operation of our disclosure controls and procedures as of the end of the period covered by this Quarterly Report. Based on the foregoing, our Chief Executive Officer and Chief Financial Officer concluded that our disclosure controls and procedures were effective at the reasonable assurance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 and Procedures</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under the Exchange Act) during our most recent fiscal quarter that has materially affected, or is reasonably likely to materially affect, our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are not party to any material pending legal proceedings. From time to time, we may be involved in legal proceedings arising in the ordinary course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the risk factors included in our Quarterly Report on Form 10-Q for the quarterly period ended June 30,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exhibits filed or furnished as part of this Quarterly Report on Form 10-Q are set forth on the Exhibit Index, which Exhibit Index is incorporated herein by reference.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40" w:type="dxa"/>
            <w:vAlign w:val="bottom"/>
          </w:tcPr>
          <w:p>
            <w:pPr>
              <w:spacing w:after="0"/>
              <w:rPr>
                <w:sz w:val="14"/>
                <w:szCs w:val="14"/>
                <w:color w:val="auto"/>
              </w:rPr>
            </w:pPr>
          </w:p>
        </w:tc>
      </w:tr>
      <w:tr>
        <w:trPr>
          <w:trHeight w:val="142"/>
        </w:trPr>
        <w:tc>
          <w:tcPr>
            <w:tcW w:w="17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Number</w:t>
            </w:r>
          </w:p>
        </w:tc>
        <w:tc>
          <w:tcPr>
            <w:tcW w:w="3840" w:type="dxa"/>
            <w:vAlign w:val="bottom"/>
            <w:gridSpan w:val="8"/>
          </w:tcPr>
          <w:p>
            <w:pPr>
              <w:ind w:left="1340"/>
              <w:spacing w:after="0" w:line="142" w:lineRule="exact"/>
              <w:rPr>
                <w:sz w:val="20"/>
                <w:szCs w:val="20"/>
                <w:color w:val="auto"/>
              </w:rPr>
            </w:pPr>
            <w:r>
              <w:rPr>
                <w:rFonts w:ascii="Arial" w:cs="Arial" w:eastAsia="Arial" w:hAnsi="Arial"/>
                <w:sz w:val="14"/>
                <w:szCs w:val="14"/>
                <w:b w:val="1"/>
                <w:bCs w:val="1"/>
                <w:color w:val="auto"/>
              </w:rPr>
              <w:t>Exhibit Description</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Form</w:t>
            </w:r>
          </w:p>
        </w:tc>
        <w:tc>
          <w:tcPr>
            <w:tcW w:w="108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File No.</w:t>
            </w:r>
          </w:p>
        </w:tc>
        <w:tc>
          <w:tcPr>
            <w:tcW w:w="10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Filing Date</w:t>
            </w:r>
          </w:p>
        </w:tc>
        <w:tc>
          <w:tcPr>
            <w:tcW w:w="28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Herewith</w:t>
            </w:r>
          </w:p>
        </w:tc>
        <w:tc>
          <w:tcPr>
            <w:tcW w:w="4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1420" w:type="dxa"/>
            <w:vAlign w:val="bottom"/>
            <w:tcBorders>
              <w:top w:val="single" w:sz="8" w:color="auto"/>
            </w:tcBorders>
          </w:tcPr>
          <w:p>
            <w:pPr>
              <w:ind w:left="340"/>
              <w:spacing w:after="0" w:line="170" w:lineRule="exact"/>
              <w:rPr>
                <w:sz w:val="20"/>
                <w:szCs w:val="20"/>
                <w:color w:val="auto"/>
              </w:rPr>
            </w:pPr>
            <w:r>
              <w:rPr>
                <w:rFonts w:ascii="Arial" w:cs="Arial" w:eastAsia="Arial" w:hAnsi="Arial"/>
                <w:sz w:val="18"/>
                <w:szCs w:val="18"/>
                <w:color w:val="auto"/>
              </w:rPr>
              <w:t>31.1</w:t>
            </w:r>
          </w:p>
        </w:tc>
        <w:tc>
          <w:tcPr>
            <w:tcW w:w="300" w:type="dxa"/>
            <w:vAlign w:val="bottom"/>
          </w:tcPr>
          <w:p>
            <w:pPr>
              <w:spacing w:after="0"/>
              <w:rPr>
                <w:sz w:val="14"/>
                <w:szCs w:val="14"/>
                <w:color w:val="auto"/>
              </w:rPr>
            </w:pPr>
          </w:p>
        </w:tc>
        <w:tc>
          <w:tcPr>
            <w:tcW w:w="3840" w:type="dxa"/>
            <w:vAlign w:val="bottom"/>
            <w:tcBorders>
              <w:top w:val="single" w:sz="8" w:color="auto"/>
            </w:tcBorders>
            <w:gridSpan w:val="8"/>
          </w:tcPr>
          <w:p>
            <w:pPr>
              <w:spacing w:after="0" w:line="170"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Certification of Principal Executive Officer pursuant</w:t>
              </w:r>
            </w:hyperlink>
          </w:p>
        </w:tc>
        <w:tc>
          <w:tcPr>
            <w:tcW w:w="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to Rule 13a-14(a) or Rule 15d-14(a) of the Securities</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Exchange Act of 1934, as adopted pursuant to</w:t>
              </w:r>
            </w:hyperlink>
          </w:p>
        </w:tc>
        <w:tc>
          <w:tcPr>
            <w:tcW w:w="52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Section 302 of the Sarbanes-Oxley Act of 2002.</w:t>
              </w:r>
            </w:hyperlink>
          </w:p>
        </w:tc>
        <w:tc>
          <w:tcPr>
            <w:tcW w:w="38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378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Certification of Principal Financial Officer pursuant</w:t>
              </w:r>
            </w:hyperlink>
          </w:p>
        </w:tc>
        <w:tc>
          <w:tcPr>
            <w:tcW w:w="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to Rule 13a-14(a) or Rule 15d-14(a) of the Securities</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Exchange Act of 1934, as adopted pursuant to</w:t>
              </w:r>
            </w:hyperlink>
          </w:p>
        </w:tc>
        <w:tc>
          <w:tcPr>
            <w:tcW w:w="52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Section 302 of the Sarbanes-Oxley Act of 2002.</w:t>
              </w:r>
            </w:hyperlink>
          </w:p>
        </w:tc>
        <w:tc>
          <w:tcPr>
            <w:tcW w:w="38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350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5">
              <w:r>
                <w:rPr>
                  <w:rFonts w:ascii="Arial" w:cs="Arial" w:eastAsia="Arial" w:hAnsi="Arial"/>
                  <w:sz w:val="18"/>
                  <w:szCs w:val="18"/>
                  <w:color w:val="0000EE"/>
                  <w:w w:val="93"/>
                </w:rPr>
                <w:t>Certifications of Principal Executive Officer and</w:t>
              </w:r>
            </w:hyperlink>
          </w:p>
        </w:tc>
        <w:tc>
          <w:tcPr>
            <w:tcW w:w="34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40" w:type="dxa"/>
            <w:vAlign w:val="bottom"/>
            <w:gridSpan w:val="8"/>
          </w:tcPr>
          <w:p>
            <w:pPr>
              <w:spacing w:after="0" w:line="196" w:lineRule="exact"/>
              <w:rPr>
                <w:rFonts w:ascii="Arial" w:cs="Arial" w:eastAsia="Arial" w:hAnsi="Arial"/>
                <w:sz w:val="18"/>
                <w:szCs w:val="18"/>
                <w:color w:val="0000EE"/>
                <w:w w:val="98"/>
              </w:rPr>
            </w:pPr>
            <w:hyperlink w:anchor="page25">
              <w:r>
                <w:rPr>
                  <w:rFonts w:ascii="Arial" w:cs="Arial" w:eastAsia="Arial" w:hAnsi="Arial"/>
                  <w:sz w:val="18"/>
                  <w:szCs w:val="18"/>
                  <w:color w:val="0000EE"/>
                  <w:w w:val="98"/>
                </w:rPr>
                <w:t>Principal Financial Officer, pursuant to 18 U.S.C.</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40" w:type="dxa"/>
            <w:vAlign w:val="bottom"/>
            <w:gridSpan w:val="8"/>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Section 1350, as adopted pursuant to Section 906 of</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the Sarbanes-Oxley Act of 2002.</w:t>
              </w:r>
            </w:hyperlink>
          </w:p>
        </w:tc>
        <w:tc>
          <w:tcPr>
            <w:tcW w:w="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53"/>
        </w:trPr>
        <w:tc>
          <w:tcPr>
            <w:tcW w:w="20" w:type="dxa"/>
            <w:vAlign w:val="bottom"/>
          </w:tcPr>
          <w:p>
            <w:pPr>
              <w:spacing w:after="0"/>
              <w:rPr>
                <w:sz w:val="24"/>
                <w:szCs w:val="24"/>
                <w:color w:val="auto"/>
              </w:rPr>
            </w:pP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101.INS</w:t>
            </w:r>
          </w:p>
        </w:tc>
        <w:tc>
          <w:tcPr>
            <w:tcW w:w="23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148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101.SCH</w:t>
            </w:r>
          </w:p>
        </w:tc>
        <w:tc>
          <w:tcPr>
            <w:tcW w:w="3840" w:type="dxa"/>
            <w:vAlign w:val="bottom"/>
            <w:gridSpan w:val="8"/>
          </w:tcPr>
          <w:p>
            <w:pPr>
              <w:spacing w:after="0"/>
              <w:rPr>
                <w:sz w:val="20"/>
                <w:szCs w:val="20"/>
                <w:color w:val="auto"/>
              </w:rPr>
            </w:pPr>
            <w:r>
              <w:rPr>
                <w:rFonts w:ascii="Arial" w:cs="Arial" w:eastAsia="Arial" w:hAnsi="Arial"/>
                <w:sz w:val="18"/>
                <w:szCs w:val="18"/>
                <w:color w:val="auto"/>
                <w:w w:val="99"/>
              </w:rPr>
              <w:t>XBRL Taxonomy Extension Schema Document.</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101.CAL</w:t>
            </w:r>
          </w:p>
        </w:tc>
        <w:tc>
          <w:tcPr>
            <w:tcW w:w="3840" w:type="dxa"/>
            <w:vAlign w:val="bottom"/>
            <w:gridSpan w:val="8"/>
          </w:tcPr>
          <w:p>
            <w:pPr>
              <w:spacing w:after="0"/>
              <w:rPr>
                <w:sz w:val="20"/>
                <w:szCs w:val="20"/>
                <w:color w:val="auto"/>
              </w:rPr>
            </w:pPr>
            <w:r>
              <w:rPr>
                <w:rFonts w:ascii="Arial" w:cs="Arial" w:eastAsia="Arial" w:hAnsi="Arial"/>
                <w:sz w:val="18"/>
                <w:szCs w:val="18"/>
                <w:color w:val="auto"/>
                <w:w w:val="97"/>
              </w:rPr>
              <w:t>XBRL Taxonomy Extension Calculation Linkbase</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40" w:type="dxa"/>
            <w:vAlign w:val="bottom"/>
            <w:gridSpan w:val="8"/>
          </w:tcPr>
          <w:p>
            <w:pPr>
              <w:spacing w:after="0"/>
              <w:rPr>
                <w:sz w:val="20"/>
                <w:szCs w:val="20"/>
                <w:color w:val="auto"/>
              </w:rPr>
            </w:pPr>
            <w:r>
              <w:rPr>
                <w:rFonts w:ascii="Arial" w:cs="Arial" w:eastAsia="Arial" w:hAnsi="Arial"/>
                <w:sz w:val="18"/>
                <w:szCs w:val="18"/>
                <w:color w:val="auto"/>
              </w:rPr>
              <w:t>Document.</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21</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6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64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38"/>
        </w:trPr>
        <w:tc>
          <w:tcPr>
            <w:tcW w:w="1280" w:type="dxa"/>
            <w:vAlign w:val="bottom"/>
            <w:tcBorders>
              <w:top w:val="single" w:sz="8" w:color="0000EE"/>
            </w:tcBorders>
          </w:tcPr>
          <w:p>
            <w:pPr>
              <w:ind w:left="360"/>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4"/>
                <w:szCs w:val="24"/>
                <w:color w:val="auto"/>
              </w:rPr>
            </w:pPr>
          </w:p>
        </w:tc>
        <w:tc>
          <w:tcPr>
            <w:tcW w:w="6640" w:type="dxa"/>
            <w:vAlign w:val="bottom"/>
          </w:tcPr>
          <w:p>
            <w:pPr>
              <w:ind w:left="220"/>
              <w:spacing w:after="0"/>
              <w:rPr>
                <w:sz w:val="20"/>
                <w:szCs w:val="20"/>
                <w:color w:val="auto"/>
              </w:rPr>
            </w:pPr>
            <w:r>
              <w:rPr>
                <w:rFonts w:ascii="Arial" w:cs="Arial" w:eastAsia="Arial" w:hAnsi="Arial"/>
                <w:sz w:val="18"/>
                <w:szCs w:val="18"/>
                <w:color w:val="auto"/>
              </w:rPr>
              <w:t>XBRL Taxonomy Extension Label Linkbase</w:t>
            </w:r>
          </w:p>
        </w:tc>
        <w:tc>
          <w:tcPr>
            <w:tcW w:w="2840" w:type="dxa"/>
            <w:vAlign w:val="bottom"/>
          </w:tcPr>
          <w:p>
            <w:pPr>
              <w:ind w:left="2720"/>
              <w:spacing w:after="0"/>
              <w:rPr>
                <w:sz w:val="20"/>
                <w:szCs w:val="20"/>
                <w:color w:val="auto"/>
              </w:rPr>
            </w:pPr>
            <w:r>
              <w:rPr>
                <w:rFonts w:ascii="Arial" w:cs="Arial" w:eastAsia="Arial" w:hAnsi="Arial"/>
                <w:sz w:val="18"/>
                <w:szCs w:val="18"/>
                <w:color w:val="auto"/>
                <w:w w:val="82"/>
              </w:rPr>
              <w:t>X</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40" w:type="dxa"/>
            <w:vAlign w:val="bottom"/>
          </w:tcPr>
          <w:p>
            <w:pPr>
              <w:ind w:left="220"/>
              <w:spacing w:after="0"/>
              <w:rPr>
                <w:sz w:val="20"/>
                <w:szCs w:val="20"/>
                <w:color w:val="auto"/>
              </w:rPr>
            </w:pPr>
            <w:r>
              <w:rPr>
                <w:rFonts w:ascii="Arial" w:cs="Arial" w:eastAsia="Arial" w:hAnsi="Arial"/>
                <w:sz w:val="18"/>
                <w:szCs w:val="18"/>
                <w:color w:val="auto"/>
              </w:rPr>
              <w:t>Document.</w:t>
            </w:r>
          </w:p>
        </w:tc>
        <w:tc>
          <w:tcPr>
            <w:tcW w:w="2840" w:type="dxa"/>
            <w:vAlign w:val="bottom"/>
          </w:tcPr>
          <w:p>
            <w:pPr>
              <w:spacing w:after="0"/>
              <w:rPr>
                <w:sz w:val="20"/>
                <w:szCs w:val="20"/>
                <w:color w:val="auto"/>
              </w:rPr>
            </w:pPr>
          </w:p>
        </w:tc>
      </w:tr>
      <w:tr>
        <w:trPr>
          <w:trHeight w:val="418"/>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101.PRE</w:t>
            </w:r>
          </w:p>
        </w:tc>
        <w:tc>
          <w:tcPr>
            <w:tcW w:w="664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w:t>
            </w:r>
          </w:p>
        </w:tc>
        <w:tc>
          <w:tcPr>
            <w:tcW w:w="2840" w:type="dxa"/>
            <w:vAlign w:val="bottom"/>
          </w:tcPr>
          <w:p>
            <w:pPr>
              <w:ind w:left="2720"/>
              <w:spacing w:after="0"/>
              <w:rPr>
                <w:sz w:val="20"/>
                <w:szCs w:val="20"/>
                <w:color w:val="auto"/>
              </w:rPr>
            </w:pPr>
            <w:r>
              <w:rPr>
                <w:rFonts w:ascii="Arial" w:cs="Arial" w:eastAsia="Arial" w:hAnsi="Arial"/>
                <w:sz w:val="18"/>
                <w:szCs w:val="18"/>
                <w:color w:val="auto"/>
                <w:w w:val="82"/>
              </w:rPr>
              <w:t>X</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40" w:type="dxa"/>
            <w:vAlign w:val="bottom"/>
          </w:tcPr>
          <w:p>
            <w:pPr>
              <w:ind w:left="220"/>
              <w:spacing w:after="0"/>
              <w:rPr>
                <w:sz w:val="20"/>
                <w:szCs w:val="20"/>
                <w:color w:val="auto"/>
              </w:rPr>
            </w:pPr>
            <w:r>
              <w:rPr>
                <w:rFonts w:ascii="Arial" w:cs="Arial" w:eastAsia="Arial" w:hAnsi="Arial"/>
                <w:sz w:val="18"/>
                <w:szCs w:val="18"/>
                <w:color w:val="auto"/>
              </w:rPr>
              <w:t>Document.</w:t>
            </w:r>
          </w:p>
        </w:tc>
        <w:tc>
          <w:tcPr>
            <w:tcW w:w="2840" w:type="dxa"/>
            <w:vAlign w:val="bottom"/>
          </w:tcPr>
          <w:p>
            <w:pPr>
              <w:spacing w:after="0"/>
              <w:rPr>
                <w:sz w:val="20"/>
                <w:szCs w:val="20"/>
                <w:color w:val="auto"/>
              </w:rPr>
            </w:pPr>
          </w:p>
        </w:tc>
      </w:tr>
      <w:tr>
        <w:trPr>
          <w:trHeight w:val="418"/>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101.DEF</w:t>
            </w:r>
          </w:p>
        </w:tc>
        <w:tc>
          <w:tcPr>
            <w:tcW w:w="664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w:t>
            </w:r>
          </w:p>
        </w:tc>
        <w:tc>
          <w:tcPr>
            <w:tcW w:w="2840" w:type="dxa"/>
            <w:vAlign w:val="bottom"/>
          </w:tcPr>
          <w:p>
            <w:pPr>
              <w:ind w:left="2720"/>
              <w:spacing w:after="0"/>
              <w:rPr>
                <w:sz w:val="20"/>
                <w:szCs w:val="20"/>
                <w:color w:val="auto"/>
              </w:rPr>
            </w:pPr>
            <w:r>
              <w:rPr>
                <w:rFonts w:ascii="Arial" w:cs="Arial" w:eastAsia="Arial" w:hAnsi="Arial"/>
                <w:sz w:val="18"/>
                <w:szCs w:val="18"/>
                <w:color w:val="auto"/>
                <w:w w:val="82"/>
              </w:rPr>
              <w:t>X</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40" w:type="dxa"/>
            <w:vAlign w:val="bottom"/>
          </w:tcPr>
          <w:p>
            <w:pPr>
              <w:ind w:left="220"/>
              <w:spacing w:after="0"/>
              <w:rPr>
                <w:sz w:val="20"/>
                <w:szCs w:val="20"/>
                <w:color w:val="auto"/>
              </w:rPr>
            </w:pPr>
            <w:r>
              <w:rPr>
                <w:rFonts w:ascii="Arial" w:cs="Arial" w:eastAsia="Arial" w:hAnsi="Arial"/>
                <w:sz w:val="18"/>
                <w:szCs w:val="18"/>
                <w:color w:val="auto"/>
              </w:rPr>
              <w:t>Document.</w:t>
            </w:r>
          </w:p>
        </w:tc>
        <w:tc>
          <w:tcPr>
            <w:tcW w:w="2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720" w:type="dxa"/>
            <w:vAlign w:val="bottom"/>
            <w:gridSpan w:val="2"/>
          </w:tcPr>
          <w:p>
            <w:pPr>
              <w:ind w:left="2020"/>
              <w:spacing w:after="0"/>
              <w:rPr>
                <w:sz w:val="20"/>
                <w:szCs w:val="20"/>
                <w:color w:val="auto"/>
              </w:rPr>
            </w:pPr>
            <w:r>
              <w:rPr>
                <w:rFonts w:ascii="Arial" w:cs="Arial" w:eastAsia="Arial" w:hAnsi="Arial"/>
                <w:sz w:val="18"/>
                <w:szCs w:val="18"/>
                <w:color w:val="auto"/>
              </w:rPr>
              <w:t>MADRIGAL PHARMACEUTICALS, INC.</w:t>
            </w:r>
          </w:p>
        </w:tc>
        <w:tc>
          <w:tcPr>
            <w:tcW w:w="40" w:type="dxa"/>
            <w:vAlign w:val="bottom"/>
          </w:tcPr>
          <w:p>
            <w:pPr>
              <w:spacing w:after="0"/>
              <w:rPr>
                <w:sz w:val="20"/>
                <w:szCs w:val="20"/>
                <w:color w:val="auto"/>
              </w:rPr>
            </w:pPr>
          </w:p>
        </w:tc>
      </w:tr>
      <w:tr>
        <w:trPr>
          <w:trHeight w:val="648"/>
        </w:trPr>
        <w:tc>
          <w:tcPr>
            <w:tcW w:w="3700" w:type="dxa"/>
            <w:vAlign w:val="bottom"/>
          </w:tcPr>
          <w:p>
            <w:pPr>
              <w:spacing w:after="0"/>
              <w:rPr>
                <w:sz w:val="20"/>
                <w:szCs w:val="20"/>
                <w:color w:val="auto"/>
              </w:rPr>
            </w:pPr>
            <w:r>
              <w:rPr>
                <w:rFonts w:ascii="Arial" w:cs="Arial" w:eastAsia="Arial" w:hAnsi="Arial"/>
                <w:sz w:val="18"/>
                <w:szCs w:val="18"/>
                <w:color w:val="auto"/>
              </w:rPr>
              <w:t>Date: November 6, 2018</w:t>
            </w:r>
          </w:p>
        </w:tc>
        <w:tc>
          <w:tcPr>
            <w:tcW w:w="2520" w:type="dxa"/>
            <w:vAlign w:val="bottom"/>
          </w:tcPr>
          <w:p>
            <w:pPr>
              <w:ind w:left="202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A. Friedman, M.D.</w:t>
            </w:r>
          </w:p>
        </w:tc>
        <w:tc>
          <w:tcPr>
            <w:tcW w:w="40" w:type="dxa"/>
            <w:vAlign w:val="bottom"/>
          </w:tcPr>
          <w:p>
            <w:pPr>
              <w:spacing w:after="0"/>
              <w:rPr>
                <w:sz w:val="24"/>
                <w:szCs w:val="24"/>
                <w:color w:val="auto"/>
              </w:rPr>
            </w:pPr>
          </w:p>
        </w:tc>
      </w:tr>
      <w:tr>
        <w:trPr>
          <w:trHeight w:val="195"/>
        </w:trPr>
        <w:tc>
          <w:tcPr>
            <w:tcW w:w="37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00" w:type="dxa"/>
            <w:vAlign w:val="bottom"/>
          </w:tcPr>
          <w:p>
            <w:pPr>
              <w:spacing w:after="0" w:line="195" w:lineRule="exact"/>
              <w:rPr>
                <w:sz w:val="20"/>
                <w:szCs w:val="20"/>
                <w:color w:val="auto"/>
              </w:rPr>
            </w:pPr>
            <w:r>
              <w:rPr>
                <w:rFonts w:ascii="Arial" w:cs="Arial" w:eastAsia="Arial" w:hAnsi="Arial"/>
                <w:sz w:val="18"/>
                <w:szCs w:val="18"/>
                <w:color w:val="auto"/>
              </w:rPr>
              <w:t>Paul A. Friedman, M.D.</w:t>
            </w:r>
          </w:p>
        </w:tc>
        <w:tc>
          <w:tcPr>
            <w:tcW w:w="4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648"/>
        </w:trPr>
        <w:tc>
          <w:tcPr>
            <w:tcW w:w="3700" w:type="dxa"/>
            <w:vAlign w:val="bottom"/>
          </w:tcPr>
          <w:p>
            <w:pPr>
              <w:spacing w:after="0"/>
              <w:rPr>
                <w:sz w:val="20"/>
                <w:szCs w:val="20"/>
                <w:color w:val="auto"/>
              </w:rPr>
            </w:pPr>
            <w:r>
              <w:rPr>
                <w:rFonts w:ascii="Arial" w:cs="Arial" w:eastAsia="Arial" w:hAnsi="Arial"/>
                <w:sz w:val="18"/>
                <w:szCs w:val="18"/>
                <w:color w:val="auto"/>
              </w:rPr>
              <w:t>Date: November 6, 2018</w:t>
            </w:r>
          </w:p>
        </w:tc>
        <w:tc>
          <w:tcPr>
            <w:tcW w:w="2520" w:type="dxa"/>
            <w:vAlign w:val="bottom"/>
          </w:tcPr>
          <w:p>
            <w:pPr>
              <w:ind w:left="202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R. Schneebaum</w:t>
            </w:r>
          </w:p>
        </w:tc>
        <w:tc>
          <w:tcPr>
            <w:tcW w:w="40" w:type="dxa"/>
            <w:vAlign w:val="bottom"/>
          </w:tcPr>
          <w:p>
            <w:pPr>
              <w:spacing w:after="0"/>
              <w:rPr>
                <w:sz w:val="24"/>
                <w:szCs w:val="24"/>
                <w:color w:val="auto"/>
              </w:rPr>
            </w:pPr>
          </w:p>
        </w:tc>
      </w:tr>
      <w:tr>
        <w:trPr>
          <w:trHeight w:val="195"/>
        </w:trPr>
        <w:tc>
          <w:tcPr>
            <w:tcW w:w="37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00" w:type="dxa"/>
            <w:vAlign w:val="bottom"/>
          </w:tcPr>
          <w:p>
            <w:pPr>
              <w:spacing w:after="0" w:line="195" w:lineRule="exact"/>
              <w:rPr>
                <w:sz w:val="20"/>
                <w:szCs w:val="20"/>
                <w:color w:val="auto"/>
              </w:rPr>
            </w:pPr>
            <w:r>
              <w:rPr>
                <w:rFonts w:ascii="Arial" w:cs="Arial" w:eastAsia="Arial" w:hAnsi="Arial"/>
                <w:sz w:val="18"/>
                <w:szCs w:val="18"/>
                <w:color w:val="auto"/>
              </w:rPr>
              <w:t>Marc R. Schneebaum</w:t>
            </w:r>
          </w:p>
        </w:tc>
        <w:tc>
          <w:tcPr>
            <w:tcW w:w="4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2520" w:type="dxa"/>
            <w:vAlign w:val="bottom"/>
          </w:tcPr>
          <w:p>
            <w:pPr>
              <w:jc w:val="right"/>
              <w:ind w:right="330"/>
              <w:spacing w:after="0"/>
              <w:rPr>
                <w:sz w:val="20"/>
                <w:szCs w:val="20"/>
                <w:color w:val="auto"/>
              </w:rPr>
            </w:pPr>
            <w:r>
              <w:rPr>
                <w:rFonts w:ascii="Arial" w:cs="Arial" w:eastAsia="Arial" w:hAnsi="Arial"/>
                <w:sz w:val="18"/>
                <w:szCs w:val="18"/>
                <w:color w:val="auto"/>
              </w:rPr>
              <w:t>23</w:t>
            </w: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00" w:type="dxa"/>
            <w:vAlign w:val="bottom"/>
            <w:tcBorders>
              <w:bottom w:val="single" w:sz="8" w:color="808080"/>
            </w:tcBorders>
          </w:tcPr>
          <w:p>
            <w:pPr>
              <w:spacing w:after="0"/>
              <w:rPr>
                <w:sz w:val="11"/>
                <w:szCs w:val="11"/>
                <w:color w:val="auto"/>
              </w:rPr>
            </w:pPr>
          </w:p>
        </w:tc>
        <w:tc>
          <w:tcPr>
            <w:tcW w:w="2520" w:type="dxa"/>
            <w:vAlign w:val="bottom"/>
            <w:tcBorders>
              <w:bottom w:val="single" w:sz="8" w:color="808080"/>
            </w:tcBorders>
          </w:tcPr>
          <w:p>
            <w:pPr>
              <w:spacing w:after="0"/>
              <w:rPr>
                <w:sz w:val="11"/>
                <w:szCs w:val="11"/>
                <w:color w:val="auto"/>
              </w:rPr>
            </w:pPr>
          </w:p>
        </w:tc>
        <w:tc>
          <w:tcPr>
            <w:tcW w:w="52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Paul A. Friedman, M.D., certify that:</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660" w:right="40" w:hanging="652"/>
        <w:spacing w:after="0" w:line="264" w:lineRule="auto"/>
        <w:tabs>
          <w:tab w:leader="none" w:pos="657"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652"/>
        <w:spacing w:after="0" w:line="264" w:lineRule="auto"/>
        <w:tabs>
          <w:tab w:leader="none" w:pos="667"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60" w:hanging="652"/>
        <w:spacing w:after="0" w:line="308" w:lineRule="auto"/>
        <w:tabs>
          <w:tab w:leader="none" w:pos="671" w:val="left"/>
        </w:tabs>
        <w:numPr>
          <w:ilvl w:val="0"/>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00" w:hanging="652"/>
        <w:spacing w:after="0" w:line="264" w:lineRule="auto"/>
        <w:tabs>
          <w:tab w:leader="none" w:pos="667"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660" w:right="260" w:hanging="652"/>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660" w:hanging="652"/>
        <w:spacing w:after="0" w:line="277" w:lineRule="auto"/>
        <w:tabs>
          <w:tab w:leader="none" w:pos="65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652"/>
        <w:spacing w:after="0" w:line="277" w:lineRule="auto"/>
        <w:tabs>
          <w:tab w:leader="none" w:pos="6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Paul A. Friedman,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 R. Schneebaum, certify that:</w:t>
      </w:r>
    </w:p>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660" w:right="40" w:hanging="652"/>
        <w:spacing w:after="0" w:line="264" w:lineRule="auto"/>
        <w:tabs>
          <w:tab w:leader="none" w:pos="6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652"/>
        <w:spacing w:after="0" w:line="264" w:lineRule="auto"/>
        <w:tabs>
          <w:tab w:leader="none" w:pos="6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60" w:hanging="652"/>
        <w:spacing w:after="0" w:line="308" w:lineRule="auto"/>
        <w:tabs>
          <w:tab w:leader="none" w:pos="671" w:val="left"/>
        </w:tabs>
        <w:numPr>
          <w:ilvl w:val="0"/>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00" w:hanging="652"/>
        <w:spacing w:after="0" w:line="264" w:lineRule="auto"/>
        <w:tabs>
          <w:tab w:leader="none" w:pos="6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660" w:right="260" w:hanging="652"/>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660" w:hanging="652"/>
        <w:spacing w:after="0" w:line="277" w:lineRule="auto"/>
        <w:tabs>
          <w:tab w:leader="none" w:pos="6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652"/>
        <w:spacing w:after="0" w:line="277" w:lineRule="auto"/>
        <w:tabs>
          <w:tab w:leader="none" w:pos="6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Marc R. Schneebaum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R. Schneebaum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Quarterly Report on Form 10-Q for the quarterly period ended September 30, 2018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Dated: November 6, 2018</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A. Friedman, M.D.</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Paul A. Friedman, M.D.</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 and Chairman of the Board</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Dated: November 6, 2018</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R. Schneebaum</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Marc R. Schneebaum</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Accounting and Financial Officer)</w:t>
            </w:r>
          </w:p>
        </w:tc>
      </w:tr>
    </w:tbl>
    <w:p>
      <w:pPr>
        <w:spacing w:after="0" w:line="20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decimal"/>
      <w:start w:val="5"/>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5"/>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2019-12-28T18:23:07Z</dcterms:created>
  <dcterms:modified xsi:type="dcterms:W3CDTF">2019-12-28T18:23:07Z</dcterms:modified>
</cp:coreProperties>
</file>