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067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06730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Schneebaum Marc R</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line="361" w:lineRule="auto"/>
        <w:rPr>
          <w:sz w:val="20"/>
          <w:szCs w:val="20"/>
          <w:color w:val="auto"/>
        </w:rPr>
      </w:pPr>
      <w:r>
        <w:rPr>
          <w:rFonts w:ascii="Arial" w:cs="Arial" w:eastAsia="Arial" w:hAnsi="Arial"/>
          <w:sz w:val="17"/>
          <w:szCs w:val="17"/>
          <w:color w:val="0000FF"/>
        </w:rPr>
        <w:t>C/O MADRIGAL PHARMACEUTICALS, INC. 200 BARR HARBOR DRIVE, SUITE 400</w:t>
      </w:r>
    </w:p>
    <w:p>
      <w:pPr>
        <w:spacing w:after="0" w:line="20" w:lineRule="exact"/>
        <w:rPr>
          <w:sz w:val="24"/>
          <w:szCs w:val="24"/>
          <w:color w:val="auto"/>
        </w:rPr>
      </w:pPr>
      <w:r>
        <w:rPr>
          <w:sz w:val="24"/>
          <w:szCs w:val="24"/>
          <w:color w:val="auto"/>
        </w:rPr>
        <w:br w:type="column"/>
      </w:r>
    </w:p>
    <w:p>
      <w:pPr>
        <w:ind w:left="9"/>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ind w:left="9"/>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MADRIGAL PHARMACEUTICALS, INC.</w:t>
        </w:r>
      </w:hyperlink>
    </w:p>
    <w:p>
      <w:pPr>
        <w:ind w:left="129" w:hanging="129"/>
        <w:spacing w:after="0"/>
        <w:tabs>
          <w:tab w:leader="none" w:pos="129" w:val="left"/>
        </w:tabs>
        <w:numPr>
          <w:ilvl w:val="0"/>
          <w:numId w:val="1"/>
        </w:numPr>
        <w:rPr>
          <w:rFonts w:ascii="Arial" w:cs="Arial" w:eastAsia="Arial" w:hAnsi="Arial"/>
          <w:sz w:val="21"/>
          <w:szCs w:val="21"/>
          <w:color w:val="auto"/>
        </w:rPr>
      </w:pPr>
      <w:r>
        <w:rPr>
          <w:rFonts w:ascii="Arial" w:cs="Arial" w:eastAsia="Arial" w:hAnsi="Arial"/>
          <w:sz w:val="17"/>
          <w:szCs w:val="17"/>
          <w:color w:val="0000FF"/>
        </w:rPr>
        <w:t xml:space="preserve">MDGL </w:t>
      </w:r>
      <w:r>
        <w:rPr>
          <w:rFonts w:ascii="Arial" w:cs="Arial" w:eastAsia="Arial" w:hAnsi="Arial"/>
          <w:sz w:val="21"/>
          <w:szCs w:val="21"/>
          <w:color w:val="000000"/>
        </w:rPr>
        <w:t>]</w:t>
      </w:r>
    </w:p>
    <w:p>
      <w:pPr>
        <w:spacing w:after="0" w:line="351" w:lineRule="exact"/>
        <w:rPr>
          <w:sz w:val="24"/>
          <w:szCs w:val="24"/>
          <w:color w:val="auto"/>
        </w:rPr>
      </w:pPr>
    </w:p>
    <w:p>
      <w:pPr>
        <w:ind w:left="9"/>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ind w:left="9"/>
        <w:spacing w:after="0"/>
        <w:rPr>
          <w:sz w:val="20"/>
          <w:szCs w:val="20"/>
          <w:color w:val="auto"/>
        </w:rPr>
      </w:pPr>
      <w:r>
        <w:rPr>
          <w:rFonts w:ascii="Arial" w:cs="Arial" w:eastAsia="Arial" w:hAnsi="Arial"/>
          <w:sz w:val="17"/>
          <w:szCs w:val="17"/>
          <w:color w:val="0000FF"/>
        </w:rPr>
        <w:t>03/01/2018</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2"/>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jc w:val="center"/>
        <w:ind w:right="174"/>
        <w:spacing w:after="0"/>
        <w:rPr>
          <w:sz w:val="20"/>
          <w:szCs w:val="20"/>
          <w:color w:val="auto"/>
        </w:rPr>
      </w:pPr>
      <w:r>
        <w:rPr>
          <w:rFonts w:ascii="Arial" w:cs="Arial" w:eastAsia="Arial" w:hAnsi="Arial"/>
          <w:sz w:val="17"/>
          <w:szCs w:val="17"/>
          <w:color w:val="0000FF"/>
        </w:rPr>
        <w:t>Chief Financial Officer</w:t>
      </w:r>
    </w:p>
    <w:p>
      <w:pPr>
        <w:spacing w:after="0" w:line="574" w:lineRule="exact"/>
        <w:rPr>
          <w:sz w:val="24"/>
          <w:szCs w:val="24"/>
          <w:color w:val="auto"/>
        </w:rPr>
      </w:pPr>
    </w:p>
    <w:p>
      <w:pPr>
        <w:sectPr>
          <w:pgSz w:w="11900" w:h="16838" w:orient="portrait"/>
          <w:cols w:equalWidth="0" w:num="3">
            <w:col w:w="3580" w:space="491"/>
            <w:col w:w="3829" w:space="154"/>
            <w:col w:w="3466"/>
          </w:cols>
          <w:pgMar w:left="240" w:top="225" w:right="13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1" w:lineRule="exact"/>
        <w:rPr>
          <w:sz w:val="24"/>
          <w:szCs w:val="24"/>
          <w:color w:val="auto"/>
        </w:rPr>
      </w:pPr>
    </w:p>
    <w:p>
      <w:pPr>
        <w:ind w:left="120" w:right="160"/>
        <w:spacing w:after="0"/>
        <w:rPr>
          <w:sz w:val="20"/>
          <w:szCs w:val="20"/>
          <w:color w:val="auto"/>
        </w:rPr>
      </w:pPr>
      <w:r>
        <w:rPr>
          <w:rFonts w:ascii="Arial" w:cs="Arial" w:eastAsia="Arial" w:hAnsi="Arial"/>
          <w:sz w:val="34"/>
          <w:szCs w:val="34"/>
          <w:color w:val="0000FF"/>
          <w:vertAlign w:val="superscript"/>
        </w:rPr>
        <w:t>WEST</w:t>
      </w:r>
      <w:r>
        <w:rPr>
          <w:rFonts w:ascii="Arial" w:cs="Arial" w:eastAsia="Arial" w:hAnsi="Arial"/>
          <w:sz w:val="17"/>
          <w:szCs w:val="17"/>
          <w:color w:val="0000FF"/>
        </w:rPr>
        <w:t xml:space="preserve"> PA 19428 CONSHOHOCKEN</w:t>
      </w:r>
    </w:p>
    <w:p>
      <w:pPr>
        <w:spacing w:after="0" w:line="368"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360" w:space="72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tcPr>
          <w:p>
            <w:pPr>
              <w:ind w:left="8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6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tcPr>
          <w:p>
            <w:pPr>
              <w:ind w:left="10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ind w:left="84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1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of Indirect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ind w:left="84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Beneficial</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Ownership</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9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6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6"/>
                <w:szCs w:val="6"/>
                <w:color w:val="auto"/>
              </w:rPr>
            </w:pPr>
          </w:p>
        </w:tc>
        <w:tc>
          <w:tcPr>
            <w:tcW w:w="840" w:type="dxa"/>
            <w:vAlign w:val="bottom"/>
            <w:vMerge w:val="restart"/>
          </w:tcPr>
          <w:p>
            <w:pPr>
              <w:ind w:left="100"/>
              <w:spacing w:after="0" w:line="134" w:lineRule="exact"/>
              <w:rPr>
                <w:sz w:val="20"/>
                <w:szCs w:val="20"/>
                <w:color w:val="auto"/>
              </w:rPr>
            </w:pPr>
            <w:r>
              <w:rPr>
                <w:rFonts w:ascii="Arial" w:cs="Arial" w:eastAsia="Arial" w:hAnsi="Arial"/>
                <w:sz w:val="12"/>
                <w:szCs w:val="12"/>
                <w:b w:val="1"/>
                <w:bCs w:val="1"/>
                <w:color w:val="auto"/>
              </w:rPr>
              <w:t>(Instr. 4)</w:t>
            </w: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9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9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2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9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90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90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7"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5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15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Indirect</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r>
      <w:tr>
        <w:trPr>
          <w:trHeight w:val="134"/>
        </w:trPr>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4)</w:t>
            </w:r>
          </w:p>
        </w:tc>
      </w:tr>
      <w:tr>
        <w:trPr>
          <w:trHeight w:val="134"/>
        </w:trPr>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59"/>
        </w:trPr>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51"/>
        </w:trPr>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r>
      <w:tr>
        <w:trPr>
          <w:trHeight w:val="172"/>
        </w:trPr>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59"/>
        </w:trPr>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51"/>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r>
      <w:tr>
        <w:trPr>
          <w:trHeight w:val="190"/>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9"/>
        </w:trPr>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124.45</w:t>
            </w:r>
          </w:p>
        </w:tc>
        <w:tc>
          <w:tcPr>
            <w:tcW w:w="1140" w:type="dxa"/>
            <w:vAlign w:val="bottom"/>
          </w:tcPr>
          <w:p>
            <w:pPr>
              <w:jc w:val="right"/>
              <w:ind w:right="198"/>
              <w:spacing w:after="0"/>
              <w:rPr>
                <w:sz w:val="20"/>
                <w:szCs w:val="20"/>
                <w:color w:val="auto"/>
              </w:rPr>
            </w:pPr>
            <w:r>
              <w:rPr>
                <w:rFonts w:ascii="Arial" w:cs="Arial" w:eastAsia="Arial" w:hAnsi="Arial"/>
                <w:sz w:val="13"/>
                <w:szCs w:val="13"/>
                <w:color w:val="0000FF"/>
              </w:rPr>
              <w:t>03/01/2018</w:t>
            </w:r>
          </w:p>
        </w:tc>
        <w:tc>
          <w:tcPr>
            <w:tcW w:w="1120" w:type="dxa"/>
            <w:vAlign w:val="bottom"/>
          </w:tcPr>
          <w:p>
            <w:pPr>
              <w:spacing w:after="0"/>
              <w:rPr>
                <w:sz w:val="17"/>
                <w:szCs w:val="17"/>
                <w:color w:val="auto"/>
              </w:rPr>
            </w:pPr>
          </w:p>
        </w:tc>
        <w:tc>
          <w:tcPr>
            <w:tcW w:w="840" w:type="dxa"/>
            <w:vAlign w:val="bottom"/>
          </w:tcPr>
          <w:p>
            <w:pPr>
              <w:ind w:left="180"/>
              <w:spacing w:after="0"/>
              <w:rPr>
                <w:sz w:val="20"/>
                <w:szCs w:val="20"/>
                <w:color w:val="auto"/>
              </w:rPr>
            </w:pPr>
            <w:r>
              <w:rPr>
                <w:rFonts w:ascii="Arial" w:cs="Arial" w:eastAsia="Arial" w:hAnsi="Arial"/>
                <w:sz w:val="13"/>
                <w:szCs w:val="13"/>
                <w:color w:val="0000FF"/>
              </w:rPr>
              <w:t>A</w:t>
            </w:r>
          </w:p>
        </w:tc>
        <w:tc>
          <w:tcPr>
            <w:tcW w:w="520" w:type="dxa"/>
            <w:vAlign w:val="bottom"/>
          </w:tcPr>
          <w:p>
            <w:pPr>
              <w:ind w:left="80"/>
              <w:spacing w:after="0"/>
              <w:rPr>
                <w:sz w:val="20"/>
                <w:szCs w:val="20"/>
                <w:color w:val="auto"/>
              </w:rPr>
            </w:pPr>
            <w:r>
              <w:rPr>
                <w:rFonts w:ascii="Arial" w:cs="Arial" w:eastAsia="Arial" w:hAnsi="Arial"/>
                <w:sz w:val="13"/>
                <w:szCs w:val="13"/>
                <w:color w:val="0000FF"/>
              </w:rPr>
              <w:t>28,000</w:t>
            </w:r>
          </w:p>
        </w:tc>
        <w:tc>
          <w:tcPr>
            <w:tcW w:w="300" w:type="dxa"/>
            <w:vAlign w:val="bottom"/>
          </w:tcPr>
          <w:p>
            <w:pPr>
              <w:spacing w:after="0"/>
              <w:rPr>
                <w:sz w:val="17"/>
                <w:szCs w:val="17"/>
                <w:color w:val="auto"/>
              </w:rPr>
            </w:pPr>
          </w:p>
        </w:tc>
        <w:tc>
          <w:tcPr>
            <w:tcW w:w="820" w:type="dxa"/>
            <w:vAlign w:val="bottom"/>
          </w:tcPr>
          <w:p>
            <w:pPr>
              <w:ind w:left="340"/>
              <w:spacing w:after="0"/>
              <w:rPr>
                <w:sz w:val="20"/>
                <w:szCs w:val="20"/>
                <w:color w:val="auto"/>
              </w:rPr>
            </w:pPr>
            <w:r>
              <w:rPr>
                <w:rFonts w:ascii="Arial" w:cs="Arial" w:eastAsia="Arial" w:hAnsi="Arial"/>
                <w:sz w:val="11"/>
                <w:szCs w:val="11"/>
                <w:color w:val="008000"/>
              </w:rPr>
              <w:t>(1)</w:t>
            </w:r>
          </w:p>
        </w:tc>
        <w:tc>
          <w:tcPr>
            <w:tcW w:w="760" w:type="dxa"/>
            <w:vAlign w:val="bottom"/>
          </w:tcPr>
          <w:p>
            <w:pPr>
              <w:ind w:left="80"/>
              <w:spacing w:after="0"/>
              <w:rPr>
                <w:sz w:val="20"/>
                <w:szCs w:val="20"/>
                <w:color w:val="auto"/>
              </w:rPr>
            </w:pPr>
            <w:r>
              <w:rPr>
                <w:rFonts w:ascii="Arial" w:cs="Arial" w:eastAsia="Arial" w:hAnsi="Arial"/>
                <w:sz w:val="13"/>
                <w:szCs w:val="13"/>
                <w:color w:val="0000FF"/>
              </w:rPr>
              <w:t>03/01/2028</w:t>
            </w: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560" w:type="dxa"/>
            <w:vAlign w:val="bottom"/>
          </w:tcPr>
          <w:p>
            <w:pPr>
              <w:spacing w:after="0"/>
              <w:rPr>
                <w:sz w:val="20"/>
                <w:szCs w:val="20"/>
                <w:color w:val="auto"/>
              </w:rPr>
            </w:pPr>
            <w:r>
              <w:rPr>
                <w:rFonts w:ascii="Arial" w:cs="Arial" w:eastAsia="Arial" w:hAnsi="Arial"/>
                <w:sz w:val="17"/>
                <w:szCs w:val="17"/>
                <w:color w:val="0000FF"/>
              </w:rPr>
              <w:t>28,000</w:t>
            </w:r>
          </w:p>
        </w:tc>
        <w:tc>
          <w:tcPr>
            <w:tcW w:w="72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60" w:type="dxa"/>
            <w:vAlign w:val="bottom"/>
          </w:tcPr>
          <w:p>
            <w:pPr>
              <w:ind w:left="300"/>
              <w:spacing w:after="0"/>
              <w:rPr>
                <w:sz w:val="20"/>
                <w:szCs w:val="20"/>
                <w:color w:val="auto"/>
              </w:rPr>
            </w:pPr>
            <w:r>
              <w:rPr>
                <w:rFonts w:ascii="Arial" w:cs="Arial" w:eastAsia="Arial" w:hAnsi="Arial"/>
                <w:sz w:val="13"/>
                <w:szCs w:val="13"/>
                <w:color w:val="0000FF"/>
              </w:rPr>
              <w:t>28,000</w:t>
            </w:r>
          </w:p>
        </w:tc>
        <w:tc>
          <w:tcPr>
            <w:tcW w:w="760" w:type="dxa"/>
            <w:vAlign w:val="bottom"/>
          </w:tcPr>
          <w:p>
            <w:pPr>
              <w:ind w:left="340"/>
              <w:spacing w:after="0"/>
              <w:rPr>
                <w:sz w:val="20"/>
                <w:szCs w:val="20"/>
                <w:color w:val="auto"/>
              </w:rPr>
            </w:pPr>
            <w:r>
              <w:rPr>
                <w:rFonts w:ascii="Arial" w:cs="Arial" w:eastAsia="Arial" w:hAnsi="Arial"/>
                <w:sz w:val="13"/>
                <w:szCs w:val="13"/>
                <w:color w:val="0000FF"/>
              </w:rPr>
              <w:t>D</w:t>
            </w:r>
          </w:p>
        </w:tc>
        <w:tc>
          <w:tcPr>
            <w:tcW w:w="780" w:type="dxa"/>
            <w:vAlign w:val="bottom"/>
          </w:tcPr>
          <w:p>
            <w:pPr>
              <w:spacing w:after="0"/>
              <w:rPr>
                <w:sz w:val="17"/>
                <w:szCs w:val="17"/>
                <w:color w:val="auto"/>
              </w:rPr>
            </w:pPr>
          </w:p>
        </w:tc>
      </w:tr>
      <w:tr>
        <w:trPr>
          <w:trHeight w:val="109"/>
        </w:trPr>
        <w:tc>
          <w:tcPr>
            <w:tcW w:w="720" w:type="dxa"/>
            <w:vAlign w:val="bottom"/>
          </w:tcPr>
          <w:p>
            <w:pPr>
              <w:ind w:left="60"/>
              <w:spacing w:after="0" w:line="109" w:lineRule="exact"/>
              <w:rPr>
                <w:sz w:val="20"/>
                <w:szCs w:val="20"/>
                <w:color w:val="auto"/>
              </w:rPr>
            </w:pPr>
            <w:r>
              <w:rPr>
                <w:rFonts w:ascii="Arial" w:cs="Arial" w:eastAsia="Arial" w:hAnsi="Arial"/>
                <w:sz w:val="12"/>
                <w:szCs w:val="12"/>
                <w:color w:val="0000FF"/>
              </w:rPr>
              <w:t>(Right to</w:t>
            </w:r>
          </w:p>
        </w:tc>
        <w:tc>
          <w:tcPr>
            <w:tcW w:w="8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40" w:type="dxa"/>
            <w:vAlign w:val="bottom"/>
          </w:tcPr>
          <w:p>
            <w:pPr>
              <w:spacing w:after="0"/>
              <w:rPr>
                <w:sz w:val="9"/>
                <w:szCs w:val="9"/>
                <w:color w:val="auto"/>
              </w:rPr>
            </w:pPr>
          </w:p>
        </w:tc>
        <w:tc>
          <w:tcPr>
            <w:tcW w:w="52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ind w:left="160"/>
              <w:spacing w:after="0" w:line="109" w:lineRule="exact"/>
              <w:rPr>
                <w:sz w:val="20"/>
                <w:szCs w:val="20"/>
                <w:color w:val="auto"/>
              </w:rPr>
            </w:pPr>
            <w:r>
              <w:rPr>
                <w:rFonts w:ascii="Arial" w:cs="Arial" w:eastAsia="Arial" w:hAnsi="Arial"/>
                <w:sz w:val="12"/>
                <w:szCs w:val="12"/>
                <w:color w:val="0000FF"/>
              </w:rPr>
              <w:t>Stock</w:t>
            </w:r>
          </w:p>
        </w:tc>
        <w:tc>
          <w:tcPr>
            <w:tcW w:w="560" w:type="dxa"/>
            <w:vAlign w:val="bottom"/>
          </w:tcPr>
          <w:p>
            <w:pPr>
              <w:spacing w:after="0"/>
              <w:rPr>
                <w:sz w:val="9"/>
                <w:szCs w:val="9"/>
                <w:color w:val="auto"/>
              </w:rPr>
            </w:pPr>
          </w:p>
        </w:tc>
        <w:tc>
          <w:tcPr>
            <w:tcW w:w="720" w:type="dxa"/>
            <w:vAlign w:val="bottom"/>
          </w:tcPr>
          <w:p>
            <w:pPr>
              <w:spacing w:after="0"/>
              <w:rPr>
                <w:sz w:val="9"/>
                <w:szCs w:val="9"/>
                <w:color w:val="auto"/>
              </w:rPr>
            </w:pPr>
          </w:p>
        </w:tc>
        <w:tc>
          <w:tcPr>
            <w:tcW w:w="9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80" w:type="dxa"/>
            <w:vAlign w:val="bottom"/>
          </w:tcPr>
          <w:p>
            <w:pPr>
              <w:spacing w:after="0"/>
              <w:rPr>
                <w:sz w:val="9"/>
                <w:szCs w:val="9"/>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560" w:firstLine="8"/>
        <w:spacing w:after="0" w:line="272" w:lineRule="auto"/>
        <w:tabs>
          <w:tab w:leader="none" w:pos="174"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option vests as to 25% of the shares on the first anniversary of the date of grant (March 1, 2019) and, thereafter, 6.25% of the shares shall vest on the last day of each successive three month period, provided the Reporting Person continues to serve as an officer of the Issuer on each such date.</w:t>
      </w:r>
    </w:p>
    <w:p>
      <w:pPr>
        <w:spacing w:after="0" w:line="39"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Michael Lawhead,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-7620</wp:posOffset>
            </wp:positionV>
            <wp:extent cx="10756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75690" cy="8255"/>
                    </a:xfrm>
                    <a:prstGeom prst="rect">
                      <a:avLst/>
                    </a:prstGeom>
                    <a:noFill/>
                  </pic:spPr>
                </pic:pic>
              </a:graphicData>
            </a:graphic>
          </wp:anchor>
        </w:drawing>
      </w:r>
    </w:p>
    <w:p>
      <w:pPr>
        <w:spacing w:after="0" w:line="6"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7"/>
          <w:szCs w:val="17"/>
          <w:color w:val="0000FF"/>
        </w:rPr>
        <w:t>attorney-in-fact for Marc R.</w:t>
      </w:r>
      <w:r>
        <w:rPr>
          <w:sz w:val="20"/>
          <w:szCs w:val="20"/>
          <w:color w:val="auto"/>
        </w:rPr>
        <w:tab/>
      </w:r>
      <w:r>
        <w:rPr>
          <w:rFonts w:ascii="Arial" w:cs="Arial" w:eastAsia="Arial" w:hAnsi="Arial"/>
          <w:sz w:val="15"/>
          <w:szCs w:val="15"/>
          <w:color w:val="0000FF"/>
        </w:rPr>
        <w:t>03/05/2018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-11430</wp:posOffset>
            </wp:positionV>
            <wp:extent cx="19608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6088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Schneebaum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-11430</wp:posOffset>
            </wp:positionV>
            <wp:extent cx="565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65785" cy="8255"/>
                    </a:xfrm>
                    <a:prstGeom prst="rect">
                      <a:avLst/>
                    </a:prstGeom>
                    <a:noFill/>
                  </pic:spPr>
                </pic:pic>
              </a:graphicData>
            </a:graphic>
          </wp:anchor>
        </w:drawing>
      </w:r>
    </w:p>
    <w:p>
      <w:pPr>
        <w:spacing w:after="0" w:line="5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396871" TargetMode="External"/><Relationship Id="rId13"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2019-12-04T00:51:43Z</dcterms:created>
  <dcterms:modified xsi:type="dcterms:W3CDTF">2019-12-04T00:51:43Z</dcterms:modified>
</cp:coreProperties>
</file>