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wp:posOffset>
            </wp:positionH>
            <wp:positionV relativeFrom="paragraph">
              <wp:posOffset>79375</wp:posOffset>
            </wp:positionV>
            <wp:extent cx="6929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wp:posOffset>
            </wp:positionH>
            <wp:positionV relativeFrom="paragraph">
              <wp:posOffset>-228600</wp:posOffset>
            </wp:positionV>
            <wp:extent cx="6929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233680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40" w:right="10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40" w:right="100" w:hanging="436"/>
        <w:spacing w:after="0" w:line="262"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226060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4500" w:type="dxa"/>
            <w:vAlign w:val="bottom"/>
          </w:tcPr>
          <w:p>
            <w:pPr>
              <w:jc w:val="center"/>
              <w:ind w:right="177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04-3508648</w:t>
            </w:r>
          </w:p>
        </w:tc>
      </w:tr>
      <w:tr>
        <w:trPr>
          <w:trHeight w:val="149"/>
        </w:trPr>
        <w:tc>
          <w:tcPr>
            <w:tcW w:w="4500" w:type="dxa"/>
            <w:vAlign w:val="bottom"/>
          </w:tcPr>
          <w:p>
            <w:pPr>
              <w:jc w:val="center"/>
              <w:ind w:right="177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00" w:type="dxa"/>
            <w:vAlign w:val="bottom"/>
          </w:tcPr>
          <w:p>
            <w:pPr>
              <w:jc w:val="center"/>
              <w:ind w:right="17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500" w:type="dxa"/>
            <w:vAlign w:val="bottom"/>
          </w:tcPr>
          <w:p>
            <w:pPr>
              <w:jc w:val="center"/>
              <w:ind w:right="1778"/>
              <w:spacing w:after="0"/>
              <w:rPr>
                <w:sz w:val="20"/>
                <w:szCs w:val="20"/>
                <w:color w:val="auto"/>
              </w:rPr>
            </w:pPr>
            <w:r>
              <w:rPr>
                <w:rFonts w:ascii="Times New Roman" w:cs="Times New Roman" w:eastAsia="Times New Roman" w:hAnsi="Times New Roman"/>
                <w:sz w:val="18"/>
                <w:szCs w:val="18"/>
                <w:b w:val="1"/>
                <w:bCs w:val="1"/>
                <w:color w:val="auto"/>
                <w:w w:val="99"/>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200 Barr Harbor Drive, Suite 200</w:t>
            </w:r>
          </w:p>
        </w:tc>
        <w:tc>
          <w:tcPr>
            <w:tcW w:w="2960" w:type="dxa"/>
            <w:vAlign w:val="bottom"/>
          </w:tcPr>
          <w:p>
            <w:pPr>
              <w:spacing w:after="0"/>
              <w:rPr>
                <w:sz w:val="18"/>
                <w:szCs w:val="18"/>
                <w:color w:val="auto"/>
              </w:rPr>
            </w:pPr>
          </w:p>
        </w:tc>
      </w:tr>
      <w:tr>
        <w:trPr>
          <w:trHeight w:val="214"/>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West Conshohocken, Pennsylvania</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19428</w:t>
            </w:r>
          </w:p>
        </w:tc>
      </w:tr>
      <w:tr>
        <w:trPr>
          <w:trHeight w:val="190"/>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 824-2827</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140335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200"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200"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200"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left="200"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tabs>
          <w:tab w:leader="none" w:pos="8540" w:val="left"/>
          <w:tab w:leader="none" w:pos="92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40"/>
          </w:cols>
          <w:pgMar w:left="240" w:top="226" w:right="41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November 01, 2019, the registrant had 15,429,154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163195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18"/>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284"/>
        </w:trPr>
        <w:tc>
          <w:tcPr>
            <w:tcW w:w="520" w:type="dxa"/>
            <w:vAlign w:val="bottom"/>
            <w:gridSpan w:val="3"/>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340" w:type="dxa"/>
            <w:vAlign w:val="bottom"/>
            <w:gridSpan w:val="2"/>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at September 30, 2019 and December 31, 2018</w:t>
              </w:r>
            </w:hyperlink>
          </w:p>
        </w:tc>
        <w:tc>
          <w:tcPr>
            <w:tcW w:w="3220" w:type="dxa"/>
            <w:vAlign w:val="bottom"/>
            <w:gridSpan w:val="5"/>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for the Three Months and Nine Months Ended September 30, 2019 and 2018</w:t>
              </w:r>
            </w:hyperlink>
          </w:p>
        </w:tc>
        <w:tc>
          <w:tcPr>
            <w:tcW w:w="340" w:type="dxa"/>
            <w:vAlign w:val="bottom"/>
            <w:gridSpan w:val="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Loss for the Three Months and Nine Months Ended September 30, 2019 and</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2018</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Stockholders’ Equity for the Three Months and Nine Months Ended September 30, 2019 and</w:t>
              </w:r>
            </w:hyperlink>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7">
              <w:r>
                <w:rPr>
                  <w:rFonts w:ascii="Times New Roman" w:cs="Times New Roman" w:eastAsia="Times New Roman" w:hAnsi="Times New Roman"/>
                  <w:sz w:val="18"/>
                  <w:szCs w:val="18"/>
                  <w:color w:val="0000EE"/>
                  <w:w w:val="94"/>
                </w:rPr>
                <w:t>2018</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Nine Months Ended September 30, 2019 and 2018</w:t>
              </w:r>
            </w:hyperlink>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1660" w:type="dxa"/>
            <w:vAlign w:val="bottom"/>
            <w:gridSpan w:val="3"/>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5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Item 2.</w:t>
              </w:r>
            </w:hyperlink>
          </w:p>
        </w:tc>
        <w:tc>
          <w:tcPr>
            <w:tcW w:w="340" w:type="dxa"/>
            <w:vAlign w:val="bottom"/>
            <w:gridSpan w:val="2"/>
          </w:tcPr>
          <w:p>
            <w:pPr>
              <w:spacing w:after="0"/>
              <w:rPr>
                <w:sz w:val="17"/>
                <w:szCs w:val="17"/>
                <w:color w:val="auto"/>
              </w:rPr>
            </w:pPr>
          </w:p>
        </w:tc>
        <w:tc>
          <w:tcPr>
            <w:tcW w:w="6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120" w:type="dxa"/>
            <w:vAlign w:val="bottom"/>
            <w:gridSpan w:val="4"/>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5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3.</w:t>
              </w:r>
            </w:hyperlink>
          </w:p>
        </w:tc>
        <w:tc>
          <w:tcPr>
            <w:tcW w:w="340" w:type="dxa"/>
            <w:vAlign w:val="bottom"/>
            <w:gridSpan w:val="2"/>
          </w:tcPr>
          <w:p>
            <w:pPr>
              <w:spacing w:after="0"/>
              <w:rPr>
                <w:sz w:val="17"/>
                <w:szCs w:val="17"/>
                <w:color w:val="auto"/>
              </w:rPr>
            </w:pPr>
          </w:p>
        </w:tc>
        <w:tc>
          <w:tcPr>
            <w:tcW w:w="4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Quantitative and Qualitative Disclosures About Market Risk</w:t>
              </w:r>
            </w:hyperlink>
          </w:p>
        </w:tc>
        <w:tc>
          <w:tcPr>
            <w:tcW w:w="5220" w:type="dxa"/>
            <w:vAlign w:val="bottom"/>
            <w:gridSpan w:val="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52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4.</w:t>
              </w:r>
            </w:hyperlink>
          </w:p>
        </w:tc>
        <w:tc>
          <w:tcPr>
            <w:tcW w:w="340" w:type="dxa"/>
            <w:vAlign w:val="bottom"/>
            <w:gridSpan w:val="2"/>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Controls and Procedures</w:t>
              </w:r>
            </w:hyperlink>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520" w:type="dxa"/>
            <w:vAlign w:val="bottom"/>
            <w:gridSpan w:val="3"/>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1.</w:t>
              </w:r>
            </w:hyperlink>
          </w:p>
        </w:tc>
        <w:tc>
          <w:tcPr>
            <w:tcW w:w="340" w:type="dxa"/>
            <w:vAlign w:val="bottom"/>
            <w:gridSpan w:val="2"/>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Legal Proceedings</w:t>
              </w:r>
            </w:hyperlink>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1A.</w:t>
              </w:r>
            </w:hyperlink>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Risk Factors</w:t>
              </w:r>
            </w:hyperlink>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52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Unregistered Sales of Equity Securities and Use of Proceeds</w:t>
              </w:r>
            </w:hyperlink>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3.</w:t>
              </w:r>
            </w:hyperlink>
          </w:p>
        </w:tc>
        <w:tc>
          <w:tcPr>
            <w:tcW w:w="34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5240" w:type="dxa"/>
            <w:vAlign w:val="bottom"/>
            <w:gridSpan w:val="7"/>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52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4.</w:t>
              </w:r>
            </w:hyperlink>
          </w:p>
        </w:tc>
        <w:tc>
          <w:tcPr>
            <w:tcW w:w="340" w:type="dxa"/>
            <w:vAlign w:val="bottom"/>
            <w:gridSpan w:val="2"/>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Mine Safety Disclosures</w:t>
              </w:r>
            </w:hyperlink>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5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5.</w:t>
              </w:r>
            </w:hyperlink>
          </w:p>
        </w:tc>
        <w:tc>
          <w:tcPr>
            <w:tcW w:w="340" w:type="dxa"/>
            <w:vAlign w:val="bottom"/>
            <w:gridSpan w:val="2"/>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Other Information</w:t>
              </w:r>
            </w:hyperlink>
          </w:p>
        </w:tc>
        <w:tc>
          <w:tcPr>
            <w:tcW w:w="7820" w:type="dxa"/>
            <w:vAlign w:val="bottom"/>
            <w:gridSpan w:val="11"/>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6.</w:t>
              </w:r>
            </w:hyperlink>
          </w:p>
        </w:tc>
        <w:tc>
          <w:tcPr>
            <w:tcW w:w="34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gridSpan w:val="3"/>
          </w:tcPr>
          <w:p>
            <w:pPr>
              <w:spacing w:after="0"/>
              <w:rPr>
                <w:sz w:val="17"/>
                <w:szCs w:val="17"/>
                <w:color w:val="auto"/>
              </w:rPr>
            </w:pPr>
          </w:p>
        </w:tc>
        <w:tc>
          <w:tcPr>
            <w:tcW w:w="8260" w:type="dxa"/>
            <w:vAlign w:val="bottom"/>
            <w:gridSpan w:val="1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Signatures</w:t>
              </w:r>
            </w:hyperlink>
          </w:p>
        </w:tc>
        <w:tc>
          <w:tcPr>
            <w:tcW w:w="8820" w:type="dxa"/>
            <w:vAlign w:val="bottom"/>
            <w:gridSpan w:val="14"/>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4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gridSpan w:val="12"/>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140"/>
          </w:cols>
          <w:pgMar w:left="240" w:top="401" w:right="5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authorized: 5,000,000 shares at September 30, 2019 and</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2018; 1,969,797 shares issued and outstanding at September 30, 2019 and December 31, 2018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200,000,000 at September 30, 2019 and December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2018; 15,429,154 and 15,409,023 shares issued and outstanding at September 30, 2019 and December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2018, respectively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(195,480)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401" w:right="4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38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(26,228)</w:t>
            </w: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 outstanding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15,415,096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15,383,034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14,610,809</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240" w:top="401" w:right="4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left="440" w:right="2360"/>
        <w:spacing w:after="0" w:line="261" w:lineRule="auto"/>
        <w:rPr>
          <w:sz w:val="20"/>
          <w:szCs w:val="20"/>
          <w:color w:val="auto"/>
        </w:rPr>
      </w:pPr>
      <w:r>
        <w:rPr>
          <w:rFonts w:ascii="Times New Roman" w:cs="Times New Roman" w:eastAsia="Times New Roman" w:hAnsi="Times New Roman"/>
          <w:sz w:val="18"/>
          <w:szCs w:val="18"/>
          <w:b w:val="1"/>
          <w:bCs w:val="1"/>
          <w:color w:val="auto"/>
        </w:rPr>
        <w:t>MADRIGAL PHARMACEUTICALS, INC. CONDENSED CONSOLIDATED STATEMENTS OF COMPREHENSIVE LOSS (Unaudited; in thousands)</w:t>
      </w:r>
    </w:p>
    <w:p>
      <w:pPr>
        <w:spacing w:after="0" w:line="38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340" w:type="dxa"/>
            <w:vAlign w:val="bottom"/>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(21,429)</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(8,512)</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(56,208)</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(21,336)</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0"/>
        </w:trPr>
        <w:tc>
          <w:tcPr>
            <w:tcW w:w="20" w:type="dxa"/>
            <w:vAlign w:val="bottom"/>
          </w:tcPr>
          <w:p>
            <w:pPr>
              <w:spacing w:after="0"/>
              <w:rPr>
                <w:sz w:val="18"/>
                <w:szCs w:val="18"/>
                <w:color w:val="auto"/>
              </w:rPr>
            </w:pPr>
          </w:p>
        </w:tc>
        <w:tc>
          <w:tcPr>
            <w:tcW w:w="6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(55,597</w:t>
            </w:r>
          </w:p>
        </w:tc>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401" w:right="4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left="460" w:right="2220"/>
        <w:spacing w:after="0" w:line="255" w:lineRule="auto"/>
        <w:rPr>
          <w:sz w:val="20"/>
          <w:szCs w:val="20"/>
          <w:color w:val="auto"/>
        </w:rPr>
      </w:pPr>
      <w:r>
        <w:rPr>
          <w:rFonts w:ascii="Times New Roman" w:cs="Times New Roman" w:eastAsia="Times New Roman" w:hAnsi="Times New Roman"/>
          <w:sz w:val="18"/>
          <w:szCs w:val="18"/>
          <w:b w:val="1"/>
          <w:bCs w:val="1"/>
          <w:color w:val="auto"/>
        </w:rPr>
        <w:t>MADRIGAL PHARMACEUTICALS, INC. CONDENSED CONSOLIDATED STATEMENTS OF STOCKHOLDERS’ EQUITY (Unaudited; in thousands, except share and per share amounts)</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Borders>
              <w:bottom w:val="single" w:sz="8" w:color="auto"/>
            </w:tcBorders>
            <w:gridSpan w:val="4"/>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9"/>
                <w:szCs w:val="9"/>
                <w:color w:val="auto"/>
              </w:rPr>
            </w:pPr>
          </w:p>
        </w:tc>
        <w:tc>
          <w:tcPr>
            <w:tcW w:w="118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gridSpan w:val="4"/>
            <w:vMerge w:val="restart"/>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line="20" w:lineRule="exact"/>
              <w:rPr>
                <w:sz w:val="1"/>
                <w:szCs w:val="1"/>
                <w:color w:val="auto"/>
              </w:rPr>
            </w:pPr>
          </w:p>
        </w:tc>
        <w:tc>
          <w:tcPr>
            <w:tcW w:w="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line="20" w:lineRule="exact"/>
              <w:rPr>
                <w:sz w:val="1"/>
                <w:szCs w:val="1"/>
                <w:color w:val="auto"/>
              </w:rPr>
            </w:pPr>
          </w:p>
        </w:tc>
        <w:tc>
          <w:tcPr>
            <w:tcW w:w="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1100" w:type="dxa"/>
            <w:vAlign w:val="bottom"/>
            <w:gridSpan w:val="4"/>
            <w:vMerge w:val="continue"/>
          </w:tcPr>
          <w:p>
            <w:pPr>
              <w:spacing w:after="0" w:line="20" w:lineRule="exact"/>
              <w:rPr>
                <w:sz w:val="1"/>
                <w:szCs w:val="1"/>
                <w:color w:val="auto"/>
              </w:rPr>
            </w:pPr>
          </w:p>
        </w:tc>
        <w:tc>
          <w:tcPr>
            <w:tcW w:w="11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15,409,023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$616,573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(139,272)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securities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497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15,417,064</w:t>
            </w:r>
          </w:p>
        </w:tc>
        <w:tc>
          <w:tcPr>
            <w:tcW w:w="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$622,678</w:t>
            </w:r>
          </w:p>
        </w:tc>
        <w:tc>
          <w:tcPr>
            <w:tcW w:w="4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178</w:t>
            </w:r>
          </w:p>
        </w:tc>
        <w:tc>
          <w:tcPr>
            <w:tcW w:w="10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(154,352)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securities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307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80" w:type="dxa"/>
            <w:vAlign w:val="bottom"/>
            <w:vMerge w:val="continue"/>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15,426,297</w:t>
            </w:r>
          </w:p>
        </w:tc>
        <w:tc>
          <w:tcPr>
            <w:tcW w:w="8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$630,550</w:t>
            </w:r>
          </w:p>
        </w:tc>
        <w:tc>
          <w:tcPr>
            <w:tcW w:w="8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485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(174,051)</w:t>
            </w:r>
          </w:p>
        </w:tc>
        <w:tc>
          <w:tcPr>
            <w:tcW w:w="120" w:type="dxa"/>
            <w:vAlign w:val="bottom"/>
            <w:vMerge w:val="continue"/>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6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securities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40" w:type="dxa"/>
            <w:vAlign w:val="bottom"/>
            <w:gridSpan w:val="2"/>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15,429,154</w:t>
            </w:r>
          </w:p>
        </w:tc>
        <w:tc>
          <w:tcPr>
            <w:tcW w:w="24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gridSpan w:val="2"/>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635,535</w:t>
            </w:r>
          </w:p>
        </w:tc>
        <w:tc>
          <w:tcPr>
            <w:tcW w:w="24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spacing w:after="0"/>
              <w:rPr>
                <w:sz w:val="17"/>
                <w:szCs w:val="17"/>
                <w:color w:val="auto"/>
              </w:rPr>
            </w:pPr>
          </w:p>
        </w:tc>
        <w:tc>
          <w:tcPr>
            <w:tcW w:w="4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3"/>
          </w:tcPr>
          <w:p>
            <w:pPr>
              <w:spacing w:after="0"/>
              <w:rPr>
                <w:sz w:val="17"/>
                <w:szCs w:val="17"/>
                <w:color w:val="auto"/>
              </w:rPr>
            </w:pPr>
          </w:p>
        </w:tc>
        <w:tc>
          <w:tcPr>
            <w:tcW w:w="420" w:type="dxa"/>
            <w:vAlign w:val="bottom"/>
            <w:gridSpan w:val="3"/>
          </w:tcPr>
          <w:p>
            <w:pPr>
              <w:spacing w:after="0"/>
              <w:rPr>
                <w:sz w:val="17"/>
                <w:szCs w:val="17"/>
                <w:color w:val="auto"/>
              </w:rPr>
            </w:pPr>
          </w:p>
        </w:tc>
        <w:tc>
          <w:tcPr>
            <w:tcW w:w="84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80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4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14,227,634</w:t>
            </w:r>
          </w:p>
        </w:tc>
        <w:tc>
          <w:tcPr>
            <w:tcW w:w="4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$288,750</w:t>
            </w:r>
          </w:p>
        </w:tc>
        <w:tc>
          <w:tcPr>
            <w:tcW w:w="4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securities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14,250,726</w:t>
            </w:r>
          </w:p>
        </w:tc>
        <w:tc>
          <w:tcPr>
            <w:tcW w:w="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$290,182</w:t>
            </w:r>
          </w:p>
        </w:tc>
        <w:tc>
          <w:tcPr>
            <w:tcW w:w="4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offering, excluding related parties,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net of transaction costs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1,079,580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311,824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securities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131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40" w:type="dxa"/>
            <w:vAlign w:val="bottom"/>
            <w:gridSpan w:val="2"/>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15,365,384</w:t>
            </w:r>
          </w:p>
        </w:tc>
        <w:tc>
          <w:tcPr>
            <w:tcW w:w="240" w:type="dxa"/>
            <w:vAlign w:val="bottom"/>
            <w:gridSpan w:val="2"/>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gridSpan w:val="2"/>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$605,418</w:t>
            </w:r>
          </w:p>
        </w:tc>
        <w:tc>
          <w:tcPr>
            <w:tcW w:w="24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(119,285)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securities</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40" w:type="dxa"/>
            <w:vAlign w:val="bottom"/>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15,393,309</w:t>
            </w:r>
          </w:p>
        </w:tc>
        <w:tc>
          <w:tcPr>
            <w:tcW w:w="240" w:type="dxa"/>
            <w:vAlign w:val="bottom"/>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610,845</w:t>
            </w:r>
          </w:p>
        </w:tc>
        <w:tc>
          <w:tcPr>
            <w:tcW w:w="240" w:type="dxa"/>
            <w:vAlign w:val="bottom"/>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240" w:top="401"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8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(56,208)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Accrued expense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1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89,486</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1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240" w:top="401"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left="480" w:right="2520"/>
        <w:spacing w:after="0" w:line="261" w:lineRule="auto"/>
        <w:rPr>
          <w:sz w:val="20"/>
          <w:szCs w:val="20"/>
          <w:color w:val="auto"/>
        </w:rPr>
      </w:pPr>
      <w:r>
        <w:rPr>
          <w:rFonts w:ascii="Times New Roman" w:cs="Times New Roman" w:eastAsia="Times New Roman" w:hAnsi="Times New Roman"/>
          <w:sz w:val="18"/>
          <w:szCs w:val="18"/>
          <w:b w:val="1"/>
          <w:bCs w:val="1"/>
          <w:color w:val="auto"/>
        </w:rPr>
        <w:t>MADRIGAL PHARMACEUTICALS, INC. NOTES TO CONDENSED CONSOLIDATED FINANCIAL STATEMENTS (Unaudited)</w:t>
      </w:r>
    </w:p>
    <w:p>
      <w:pPr>
        <w:spacing w:after="0" w:line="284" w:lineRule="exact"/>
        <w:rPr>
          <w:sz w:val="20"/>
          <w:szCs w:val="20"/>
          <w:color w:val="auto"/>
        </w:rPr>
      </w:pPr>
    </w:p>
    <w:p>
      <w:pPr>
        <w:ind w:left="200" w:right="7000" w:firstLine="4"/>
        <w:spacing w:after="0" w:line="378" w:lineRule="auto"/>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non-alcoholic fatty liver disease (“NAFLD”). The Company initiated a Phase 2 study of resmetirom in NASH in October 2016. In February 2017, the Company initiated a Phase 2 study of resmetirom in patients with Heterozygous Familial Hypercholesterolemia (“HeFH”). Both Phase 2 studies were fully enrolled in 2017, the HeFH study was completed in February 2018, and the NASH study was completed in May 2018. The Company initiated a Phase 3 study of resmetirom in NASH in March 2019.</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Madrigal was originally incorporated as a private company (“Private Madrigal”) on August 19, 2011 and operations commenced in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September 2011. On July 22, 2016, Private Madrigal completed a reverse merger (the “Merger”) into Synta Pharmaceuticals Corp. (“Synta”). Upon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consummation of the Merger, the historical financial statements of Private Madrigal became the Company’s historical financial statements.</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2019 or any subsequent period. These unaudited condensed financial statements should be read in conjunction with the audited consolidated financial statements and the notes to those statements for the year ended December 31, 2018.</w:t>
      </w:r>
    </w:p>
    <w:p>
      <w:pPr>
        <w:spacing w:after="0" w:line="289" w:lineRule="exact"/>
        <w:rPr>
          <w:sz w:val="20"/>
          <w:szCs w:val="20"/>
          <w:color w:val="auto"/>
        </w:rPr>
      </w:pPr>
    </w:p>
    <w:p>
      <w:pPr>
        <w:ind w:left="200" w:right="7420" w:firstLine="4"/>
        <w:spacing w:after="0" w:line="378" w:lineRule="auto"/>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ind w:left="200" w:right="680" w:firstLine="441"/>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200" w:right="320" w:firstLine="44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76"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1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240" w:top="401" w:right="4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99"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76" w:lineRule="exact"/>
        <w:rPr>
          <w:sz w:val="20"/>
          <w:szCs w:val="20"/>
          <w:color w:val="auto"/>
        </w:rPr>
      </w:pPr>
    </w:p>
    <w:p>
      <w:pPr>
        <w:ind w:left="200" w:right="160" w:firstLine="441"/>
        <w:spacing w:after="0" w:line="25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and nine months ended September 30, 2019 and 2018, the Company determined it did not have any securities that were other-than-temporarily impaired.</w:t>
      </w:r>
    </w:p>
    <w:p>
      <w:pPr>
        <w:spacing w:after="0" w:line="189"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and nine months ended September 30, 2019 and 2018, the Company did not have any realized gains or losses on marketable securities.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sz w:val="20"/>
          <w:szCs w:val="20"/>
          <w:color w:val="auto"/>
        </w:rPr>
      </w:pPr>
    </w:p>
    <w:p>
      <w:pPr>
        <w:ind w:left="640" w:right="34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640" w:right="28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As of September 30, 2019, the Company’s financial assets valued based on Level 1 inputs consisted of cash and cash equivalents in a money market fund and its financial assets valued based on Level 2 inputs consisted of high-grade corporate bonds and commercial paper. During the three and nine months ended September 30, 2019 and 2018, the Company did not have any transfers of financial assets between Levels 1 and 2. As of September 30, 2019 and December 31, 2018, the Company did not have any financial liabilities that were recorded at fair value on a recurring basis on the balance sheet.</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Significant judgment and estimates are made in determining the amount of research and development costs recognized in each reporting period. The Company analyzes the progress of its clinical trials, completion of milestones under its license agreements, invoices received and contracted costs when estimating research and development costs. Actual results could differ from the Company’s estimates. The Company’s historical estimates for research and development costs have not been materially different from the actual costs.</w:t>
      </w:r>
    </w:p>
    <w:p>
      <w:pPr>
        <w:spacing w:after="0" w:line="1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240" w:top="401"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99" w:lineRule="exact"/>
        <w:rPr>
          <w:sz w:val="20"/>
          <w:szCs w:val="20"/>
          <w:color w:val="auto"/>
        </w:rPr>
      </w:pPr>
    </w:p>
    <w:p>
      <w:pPr>
        <w:ind w:left="200" w:right="840" w:firstLine="441"/>
        <w:spacing w:after="0" w:line="282"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general and administrative expense in the Company’s consolidated statements of operations.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85"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left="200" w:right="440" w:firstLine="441"/>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21"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nine months ended September 30, 2019 and 2018,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88"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outstanding securities not included in the computation of diluted net loss per common share, as their inclusion would be anti-dilutive:</w:t>
      </w:r>
    </w:p>
    <w:p>
      <w:pPr>
        <w:spacing w:after="0" w:line="155"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1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w:t>
            </w: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1,461,237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8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ASU 2016-02, “Leases,” which, together with amendments comprising ASC 842, requires lessees to identify arrangements that should be accounted for as leases and generally recognized, for operating and finance leases with terms exceeding twelve months, a right-of-use asset (or “ROU”) and lease liability on the balance sheet. For public business entities,</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240" w:top="401"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60"/>
        <w:spacing w:after="0" w:line="252" w:lineRule="auto"/>
        <w:rPr>
          <w:sz w:val="20"/>
          <w:szCs w:val="20"/>
          <w:color w:val="auto"/>
        </w:rPr>
      </w:pPr>
      <w:r>
        <w:rPr>
          <w:rFonts w:ascii="Times New Roman" w:cs="Times New Roman" w:eastAsia="Times New Roman" w:hAnsi="Times New Roman"/>
          <w:sz w:val="18"/>
          <w:szCs w:val="18"/>
          <w:color w:val="auto"/>
        </w:rPr>
        <w:t>ASU 2016-02 is effective for annual and interim reporting periods beginning after December 15, 2018, with early adoption permitted. A modified retrospective transition approach is required, applying the new standard to all leases existing at the date of initial application. The Company adopted ASU 2016-02 effective January 1, 2019. There was no significant retrospective impact from the adoption. The new standard provides a number of optional practical expedients in transition. We have elected the package of practical expedients, which permits us not to reassess under the new standard our prior conclusions about lease identification, lease classification and initial direct costs. The new standard also provides practical expedients for an entity’s ongoing accounting. We have elected the short-term lease exception and we will not recognize ROU assets or lease liabilities for qualifying leases (leases with a term of less than 12 months from lease commencement). In 2019, the Company accounted for a new lease under the guidance (see Note 8).</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21" w:lineRule="exact"/>
        <w:rPr>
          <w:sz w:val="20"/>
          <w:szCs w:val="20"/>
          <w:color w:val="auto"/>
        </w:rPr>
      </w:pPr>
    </w:p>
    <w:p>
      <w:pPr>
        <w:ind w:left="200" w:right="280" w:firstLine="441"/>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Company has incurred losses since inception, including approximately $56.2 million for the nine months ended September 30, 2019, resulting in an accumulated deficit of approximately $195.5 million as of September 30, 2019. Management expects to incur losses for the foreseeable future. To date, the Company has funded its operations primarily through the issuance of convertible debt, the proceeds from the Merger on July 22, 2016, and proceeds from sales of the Company’s equity securities.</w:t>
      </w:r>
    </w:p>
    <w:p>
      <w:pPr>
        <w:spacing w:after="0" w:line="18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Company believes that its cash, cash equivalents and marketable securities at September 30, 2019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4. Cash, Cash Equivalents and Marketable Securities</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September 30, 2019 and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December 31, 2018 is as follows (in thousands):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0" w:type="dxa"/>
            <w:vAlign w:val="bottom"/>
            <w:gridSpan w:val="3"/>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60" w:type="dxa"/>
            <w:vAlign w:val="bottom"/>
            <w:gridSpan w:val="4"/>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due within 3 months of date of purchase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278,707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264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due within 1 to 2 years of date of purchase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59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453,318</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323</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453,610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01"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1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gridSpan w:val="3"/>
          </w:tcPr>
          <w:p>
            <w:pPr>
              <w:ind w:left="4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520" w:type="dxa"/>
            <w:vAlign w:val="bottom"/>
            <w:gridSpan w:val="4"/>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57,379</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426,658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426,339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484,037</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14</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483,718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liabilities as of September 30, 2019 and December 31, 2018 consisted of the following (in thousands):</w:t>
      </w: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360" w:type="dxa"/>
            <w:vAlign w:val="bottom"/>
            <w:gridSpan w:val="4"/>
          </w:tcPr>
          <w:p>
            <w:pPr>
              <w:ind w:left="1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research costs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ind w:left="200" w:right="9200" w:firstLine="4"/>
        <w:spacing w:after="0" w:line="378" w:lineRule="auto"/>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The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June 2018 Registered Offering of Common Stock</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an underwriting agreement with Goldman Sachs &amp; Co. LLC, as representative of the several underwriters named therein (the “June 2018 Underwriters”), relating to an underwritten public offering (the “June 2018 Offering”) of 1,079,580 shares of the Company’s common stock, including 95,973 shares of the Company’s common stock purchased by the June 2018 Underwriters pursuant to a 30-day option to purchase such additional shares granted therein, at a public offering price of $305.00 per share. The June 2018 Offering resulted in net proceeds to the Company of approximately $311.8 million, after deducting the June 2018 Underwriters’ discount and other offering costs. The June 2018 Offering closed on June 11, 2018.</w:t>
      </w:r>
    </w:p>
    <w:p>
      <w:pPr>
        <w:spacing w:after="0" w:line="1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240" w:top="401"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September 30, 2019, the Company had options outstanding to purchase 1,461,237 shares of its common stock, which includes options outstanding under its 2006 Stock Plan. As of September 30, 2019, 1,352,095 shares were available for future issuance.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2019:</w:t>
      </w: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1,132,618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1,461,237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7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922,149</w:t>
            </w:r>
          </w:p>
        </w:tc>
        <w:tc>
          <w:tcPr>
            <w:tcW w:w="2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$0.2 million and $1.9 million, respectively, for the nine months ended September 30, 2019 and 2018. The weighted-average grant date fair values, based on the Black-Scholes option model, of options granted during the nine months ended September 30, 2019 and 2018 were $91.65 and $136.43, respectively.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unvested restricted share activity during the nine months ended September 30, 2019:</w:t>
      </w: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3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4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(52,063)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3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30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01"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Stock-based compensation expense during the three and nine months ended September 30, 2019 and 2018 was as follows (in thousands):</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8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w:t>
            </w:r>
          </w:p>
        </w:tc>
        <w:tc>
          <w:tcPr>
            <w:tcW w:w="520" w:type="dxa"/>
            <w:vAlign w:val="bottom"/>
          </w:tcPr>
          <w:p>
            <w:pPr>
              <w:spacing w:after="0"/>
              <w:rPr>
                <w:sz w:val="18"/>
                <w:szCs w:val="18"/>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5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5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8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8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520" w:type="dxa"/>
            <w:vAlign w:val="bottom"/>
          </w:tcPr>
          <w:p>
            <w:pPr>
              <w:spacing w:after="0"/>
              <w:rPr>
                <w:sz w:val="18"/>
                <w:szCs w:val="18"/>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80" w:type="dxa"/>
            <w:vAlign w:val="bottom"/>
            <w:shd w:val="clear" w:color="auto" w:fill="CCEEFF"/>
          </w:tcPr>
          <w:p>
            <w:pPr>
              <w:spacing w:after="0"/>
              <w:rPr>
                <w:sz w:val="18"/>
                <w:szCs w:val="18"/>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Total stock-based compensation expense included in net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8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520" w:type="dxa"/>
            <w:vAlign w:val="bottom"/>
          </w:tcPr>
          <w:p>
            <w:pPr>
              <w:spacing w:after="0"/>
              <w:rPr>
                <w:sz w:val="20"/>
                <w:szCs w:val="20"/>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Unrecognized stock-based compensation expense as of September 30, 2019 was as follows (in thousands):</w:t>
      </w: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620" w:type="dxa"/>
            <w:vAlign w:val="bottom"/>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3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gridSpan w:val="3"/>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3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62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35,429</w:t>
            </w:r>
          </w:p>
        </w:tc>
        <w:tc>
          <w:tcPr>
            <w:tcW w:w="6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35,429</w:t>
            </w:r>
          </w:p>
        </w:tc>
        <w:tc>
          <w:tcPr>
            <w:tcW w:w="6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2019, the Company entered into an operating lease for office space. As described within Note 2, we adopted ASU 2016-02, “Leases,” on January 1, 2019 requiring, among other changes, operating and finance leases with terms exceeding twelve months to be recognized as ROU assets and lease liabilities on the balance sheet. Operating lease ROU assets and operating lease liabilities are recognized based on the present value of the future minimum lease payments over the lease term at the commencement date. The lease term is determined to be the non-cancelable period including any lessee renewal options that are considered reasonably certain of exercise. The interest rate implicit in lease contracts is typically not readily determinable. As such, the Company used judgment to determine an appropriate incremental borrowing rate, which is the rate incurred to borrow on a collateralized basis over a similar term in a similar economic environment.</w:t>
      </w:r>
    </w:p>
    <w:p>
      <w:pPr>
        <w:spacing w:after="0" w:line="189"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Future minimum payments under the Company’s operating leases related to the ROU asset and lease liability as of September 30, 2019 was as follows (in thousand):</w:t>
      </w:r>
    </w:p>
    <w:p>
      <w:pPr>
        <w:spacing w:after="0" w:line="14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960" w:type="dxa"/>
            <w:vAlign w:val="bottom"/>
            <w:gridSpan w:val="4"/>
          </w:tcPr>
          <w:p>
            <w:pPr>
              <w:ind w:left="22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4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22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Pr>
          <w:p>
            <w:pPr>
              <w:spacing w:after="0"/>
              <w:rPr>
                <w:sz w:val="19"/>
                <w:szCs w:val="19"/>
                <w:color w:val="auto"/>
              </w:rPr>
            </w:pPr>
          </w:p>
        </w:tc>
      </w:tr>
    </w:tbl>
    <w:p>
      <w:pPr>
        <w:spacing w:after="0" w:line="179"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As of September 30, 2019, the weighted average remaining operating lease term was 2.3 years and the weighted average discount rate used to determine the operating lease liabilities was 5.5%. Operating lease costs were $93 thousand and $267 thousand, short-term lease costs were</w:t>
      </w:r>
    </w:p>
    <w:p>
      <w:pPr>
        <w:ind w:left="200"/>
        <w:spacing w:after="0"/>
        <w:rPr>
          <w:sz w:val="20"/>
          <w:szCs w:val="20"/>
          <w:color w:val="auto"/>
        </w:rPr>
      </w:pPr>
      <w:r>
        <w:rPr>
          <w:rFonts w:ascii="Times New Roman" w:cs="Times New Roman" w:eastAsia="Times New Roman" w:hAnsi="Times New Roman"/>
          <w:sz w:val="18"/>
          <w:szCs w:val="18"/>
          <w:color w:val="auto"/>
        </w:rPr>
        <w:t>$23 thousand and $138 thousand, and there were no variable lease costs for the three and nine months ended September 30, 2019, respectively.</w:t>
      </w: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240" w:top="401" w:right="5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6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agreement requires future milestone payments to Roche. In 2019, the Company commenced a Phase 3 study in Non-Alcoholic Steatohepatitis (NASH), which triggered a $2 million milestone payment under the agreement. Remaining milestones under the agreement total $8 million and are earned by achieving specified objectives related to future regulatory approval in the United States and Europe of a product developed from MGL-3196 (resmetirom). A single-digit royalty payment range is based on net sales of products developed from resmetirom, subject to certain reductions. Except as described above, the Company has not achieved any additional product development or regulatory milestones and had no Licensed Product sales for the nine months ended September 30, 2019 and 2018.</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the Phase 3 clinical</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trials.</w:t>
      </w: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240" w:top="401"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7" w:lineRule="exact"/>
        <w:rPr>
          <w:sz w:val="20"/>
          <w:szCs w:val="20"/>
          <w:color w:val="auto"/>
        </w:rPr>
      </w:pPr>
    </w:p>
    <w:p>
      <w:pPr>
        <w:ind w:left="200" w:right="1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made pursuant to the safe harbor provisions of the Private Securities Litigation Reform Act of 1995, that are based on our beliefs and assumptions and on information currently available to us. Forward-looking statements include but are not limited to statements or references concerning: our clinical trials, research and development activities, the timing and results associated with the future development of our lead product candidate, MGL-3196 (resmetirom); our primary and secondary study endpoints for resmetirom and the potential for achieving such endpoints; optimal dosing levels for resmetirom; projections regarding potential future NASH resolution, fibrosis treatment, cardiovascular effects and lipid treatment; the achievement of enrollment objectives concerning patient number and/or timing for our studies; potential NASH or NAFLD patient risk profile benefits; our possible or assumed future results of operations and expenses, business strategies and plans, capital needs and financing plans, trends, market sizing, competitive position, industry environment and potential growth opportunities, among other things. Forward-looking statements: reflect management’s current knowledge, assumptions, judgment and expectations regarding future performance or events; include all statements that are not historical facts; and can be identified by terms such as “anticipates,” “be,” “believes,” “continue,” “could,” “estimates,” “expects,” “future,” “intends,” “may,” “might,” “plans,” “potential,” “predicts,” “projects,” “seeks,” “should,” “will,” “would” or similar expressions and the negatives of those terms.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99" w:lineRule="exact"/>
        <w:rPr>
          <w:sz w:val="20"/>
          <w:szCs w:val="20"/>
          <w:color w:val="auto"/>
        </w:rPr>
      </w:pPr>
    </w:p>
    <w:p>
      <w:pPr>
        <w:ind w:left="200" w:right="100"/>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including, but not limited to: the company’s clinical development of resmetirom; enrollment uncertainties; outcomes or trends from competitive studies; the risks of achieving potential benefits in a study that includes substantially more patients than our prior study; the timing and outcomes of clinical studies of resmetirom; the uncertainties inherent in clinical testing; and the risks affecting our development objectives, business, financial condition, prospects and resources, as set forth in detail under “Risk Factors” as disclosed in Part I, Item 1A of our Annual Report on Form 10-K for the fiscal year ended December 31, 2018 filed with the SEC on February 27,</w:t>
      </w:r>
    </w:p>
    <w:p>
      <w:pPr>
        <w:spacing w:after="0" w:line="3" w:lineRule="exact"/>
        <w:rPr>
          <w:sz w:val="20"/>
          <w:szCs w:val="20"/>
          <w:color w:val="auto"/>
        </w:rPr>
      </w:pPr>
    </w:p>
    <w:p>
      <w:pPr>
        <w:ind w:left="200" w:right="160"/>
        <w:spacing w:after="0" w:line="253" w:lineRule="auto"/>
        <w:rPr>
          <w:sz w:val="20"/>
          <w:szCs w:val="20"/>
          <w:color w:val="auto"/>
        </w:rPr>
      </w:pPr>
      <w:r>
        <w:rPr>
          <w:rFonts w:ascii="Times New Roman" w:cs="Times New Roman" w:eastAsia="Times New Roman" w:hAnsi="Times New Roman"/>
          <w:sz w:val="18"/>
          <w:szCs w:val="18"/>
          <w:color w:val="auto"/>
        </w:rPr>
        <w:t>2019.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also refer to Madrigal’s past and future filings with the U.S. Securities and Exchange Commission for more detailed information regarding these risks and uncertainties and other factors that may cause actual results to differ materially from those expressed or implied.</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200" w:right="40"/>
        <w:spacing w:after="0" w:line="254" w:lineRule="auto"/>
        <w:rPr>
          <w:sz w:val="20"/>
          <w:szCs w:val="20"/>
          <w:color w:val="auto"/>
        </w:rPr>
      </w:pPr>
      <w:r>
        <w:rPr>
          <w:rFonts w:ascii="Times New Roman" w:cs="Times New Roman" w:eastAsia="Times New Roman" w:hAnsi="Times New Roman"/>
          <w:sz w:val="18"/>
          <w:szCs w:val="18"/>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2018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the section entitled “Special Note Regarding Forward-Looking Statements” included elsewhere in this report. Our operating results are not necessarily indicative of results that may occur for the full fiscal year or any other future period.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119"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Focus. </w:t>
      </w:r>
      <w:r>
        <w:rPr>
          <w:rFonts w:ascii="Times New Roman" w:cs="Times New Roman" w:eastAsia="Times New Roman" w:hAnsi="Times New Roman"/>
          <w:sz w:val="18"/>
          <w:szCs w:val="18"/>
          <w:color w:val="auto"/>
        </w:rPr>
        <w:t>We are a clinical-stage biopharmaceutical company focused on the development and commercialization of innovative therapeutic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80"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Patient Market Opportunity. </w:t>
      </w:r>
      <w:r>
        <w:rPr>
          <w:rFonts w:ascii="Times New Roman" w:cs="Times New Roman" w:eastAsia="Times New Roman" w:hAnsi="Times New Roman"/>
          <w:sz w:val="18"/>
          <w:szCs w:val="18"/>
          <w:color w:val="auto"/>
        </w:rPr>
        <w:t>NASH is a serious inflammatory form of nonalcoholic fatty liver disease, or NAFLD. NAFLD has become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alone, NAFLD is estimated to affect approximately 27% to 34% of the population, or an estimated 86 million to 108 million people, and approximately 10% to 20% of this population is projected to progress from NAFLD to NASH. Current estimates place NASH prevalence at approximately 9 million to 15 million people in the United States, or three percent to five percent of the population, with similar prevalence in Europe and Asia.</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240" w:top="401"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right="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Our Completed Studies. </w:t>
      </w:r>
      <w:r>
        <w:rPr>
          <w:rFonts w:ascii="Times New Roman" w:cs="Times New Roman" w:eastAsia="Times New Roman" w:hAnsi="Times New Roman"/>
          <w:sz w:val="18"/>
          <w:szCs w:val="18"/>
          <w:color w:val="auto"/>
        </w:rPr>
        <w:t>For NASH, we enrolled 125 patients in a Phase 2 clinical trial with resmetirom. We achieved the 12-week primary endpoint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Phase 2 clinical trial and reported the results in December 2017, and we reported positive topline 36-week results at the conclusion of the Phase 2 clinical trial in May 2018. We have completed treatment in a 36-week, open-label extension study in 31 participating NASH patients from our Phase 2 clinical trial, which includes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eight completed Phase 1 trials in a total of 219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 versus capsule formulation, a multiple dose drug interaction study, and a multiple dose drug interaction with food effect study.</w:t>
      </w:r>
    </w:p>
    <w:p>
      <w:pPr>
        <w:spacing w:after="0" w:line="192"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Ongoing and Planned Studies. </w:t>
      </w:r>
      <w:r>
        <w:rPr>
          <w:rFonts w:ascii="Times New Roman" w:cs="Times New Roman" w:eastAsia="Times New Roman" w:hAnsi="Times New Roman"/>
          <w:sz w:val="18"/>
          <w:szCs w:val="18"/>
          <w:color w:val="auto"/>
        </w:rPr>
        <w:t>On March 28, 2019, the Company announced that it had initiated a Phase 3 trial in NASH with its once daily, oral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thyroid hormone receptor beta selective agonist, resmetirom. This double-blind, placebo-controlled study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 point reduction in NAS,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 We are also planning a second Phase 3 trial in NASH and NAFLD patients to further assess effects on LDL-cholesterol, other atherogenic lipids, biomarkers of fibrosis, MRI-PDFF and fibroscans to better characterize potential clinical benefits of resmetirom on cardiovascular and liver related endpoints using noninvasive measures.</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Initiation of Phase 3 clinical trial in NASH</w:t>
      </w:r>
    </w:p>
    <w:p>
      <w:pPr>
        <w:spacing w:after="0" w:line="121"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In March of 2019 we initiated a Phase 3 trial in NASH, described in detail above under “About Madrigal; Our Ongoing and Planned Studies.” In the second quarter, the Phase 3 NASH trial triggered a $2 million milestone payment under our Research, Development and Commercialization Agreement with Hoffmann-La Roche (“Roche”).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FDA grants Fast Track designation for resmetirom in NASH</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October 2019, FDA granted Fast Track designation to resmetirom for NASH.</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200" w:right="40"/>
        <w:spacing w:after="0" w:line="273" w:lineRule="auto"/>
        <w:rPr>
          <w:sz w:val="20"/>
          <w:szCs w:val="20"/>
          <w:color w:val="auto"/>
        </w:rPr>
      </w:pPr>
      <w:r>
        <w:rPr>
          <w:rFonts w:ascii="Times New Roman" w:cs="Times New Roman" w:eastAsia="Times New Roman" w:hAnsi="Times New Roman"/>
          <w:sz w:val="17"/>
          <w:szCs w:val="17"/>
          <w:color w:val="auto"/>
        </w:rPr>
        <w:t>Research and development expenses primarily consist of costs associated with our research activities, including the preclinical and clinical development of our product candidates. We expense our research and development costs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17" w:lineRule="exact"/>
        <w:rPr>
          <w:sz w:val="20"/>
          <w:szCs w:val="20"/>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17" w:lineRule="exact"/>
        <w:rPr>
          <w:rFonts w:ascii="Times New Roman" w:cs="Times New Roman" w:eastAsia="Times New Roman" w:hAnsi="Times New Roman"/>
          <w:sz w:val="18"/>
          <w:szCs w:val="18"/>
          <w:color w:val="auto"/>
        </w:rPr>
      </w:pPr>
    </w:p>
    <w:p>
      <w:pPr>
        <w:ind w:left="1060" w:right="200" w:hanging="316"/>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providers and consultants that conduct clinical trials;</w:t>
      </w:r>
    </w:p>
    <w:p>
      <w:pPr>
        <w:spacing w:after="0" w:line="53"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11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preclinical studies;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240" w:top="401"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98"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200" w:right="40"/>
        <w:spacing w:after="0" w:line="255"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2019 and 2018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85"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200" w:right="2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76"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200" w:right="6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nine months ended September 30, 2019, as compared to those disclosed in our Annual Report on Form 10-K for the fiscal year ended December 31, 2018 filed with the SEC on February 27, 2019.</w:t>
      </w:r>
    </w:p>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240" w:top="401"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2019 and 2018</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September 30, 2019 and 2018 (in thousands):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3"/>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50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$19,447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$ 6,211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3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(374)</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2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(2,766)</w:t>
            </w: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(2,821)</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9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$21,429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$ 8,512</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had no revenue for the three months ended September 30, 2019 and 2018.</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200" w:right="120"/>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were $19.4 million for the three months ended September 30, 2019, compared to $6.2 million in the corresponding period in 2018. Research and development expenses increased by $13.2 million in the 2019 period due primarily to the additional activities related to the initiation of the Phase 3 clinical trial in NASH, an increase in head count, and an increase in non-cash stock compensation from stock option awards. We expect our research and development expenses to increase over time as we advance our clinical and preclinical development programs for MGL-3196 (resmetirom).</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were $4.7 million for the three months ended September 30, 2019, compared to $5.1 million in the corresponding period in 2018. General and administrative expenses decreased by $0.4 million in the 2019 period due primarily to a decrease in non-cash stock compensation from stock option awards, partially offset by increases in other general and administrative expenses. We believe our general and administrative expenses may increase over time as we advance our clinical and preclinical development programs for MGL-3196 (resmetirom), which will likely result in an increase in our headcount, consulting services, and related overhead needed to support those efforts.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net interest income was $2.8 million for the three months ended September 30, 2019, compared to $2.8 million in the corresponding period in 2018.</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and 2018</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nine months ended September 30, 2019 and 2018 (in thousands):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9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00" w:type="dxa"/>
            <w:vAlign w:val="bottom"/>
            <w:gridSpan w:val="3"/>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$47,414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$16,518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30,896</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3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2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(8,810)</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(200)</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$56,208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$21,336</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34,872</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right"/>
        <w:ind w:left="200" w:right="5400"/>
        <w:spacing w:after="0" w:line="532" w:lineRule="auto"/>
        <w:rPr>
          <w:sz w:val="20"/>
          <w:szCs w:val="20"/>
          <w:color w:val="auto"/>
        </w:rPr>
      </w:pPr>
      <w:r>
        <w:rPr>
          <w:rFonts w:ascii="Times New Roman" w:cs="Times New Roman" w:eastAsia="Times New Roman" w:hAnsi="Times New Roman"/>
          <w:sz w:val="18"/>
          <w:szCs w:val="18"/>
          <w:color w:val="auto"/>
        </w:rPr>
        <w:t>We had no revenue for the nine months ended September 30, 2019 and 2018. 19</w:t>
      </w:r>
    </w:p>
    <w:p>
      <w:pPr>
        <w:sectPr>
          <w:pgSz w:w="11900" w:h="16838" w:orient="portrait"/>
          <w:cols w:equalWidth="0" w:num="1">
            <w:col w:w="11200"/>
          </w:cols>
          <w:pgMar w:left="240" w:top="401"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99" w:lineRule="exact"/>
        <w:rPr>
          <w:sz w:val="20"/>
          <w:szCs w:val="20"/>
          <w:color w:val="auto"/>
        </w:rPr>
      </w:pPr>
    </w:p>
    <w:p>
      <w:pPr>
        <w:ind w:left="200" w:right="300"/>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were $47.4 million for the nine months ended September 30, 2019, compared to $16.5 million in the corresponding period in 2018. Research and development expenses increased by $30.9 million in the 2019 period due primarily to the additional activities related to the initiation of the Phase 3 clinical trial in NASH, including a payment due related to a milestone achieved under our agreement with Roche, an increase in head count, and an increase in non-cash stock compensation from stock option awards. We expect our research and development expenses to increase over time as we advance our clinical and preclinical development programs for MGL-3196 (resmetirom).</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were $17.6 million for the nine months ended September 30, 2019, compared to $9.7 million in the corresponding period in 2018. General and administrative expenses increased by $7.9 million in the 2019 period due primarily to an increase in non-cash stock compensation from stock option awards. We believe our general and administrative expenses may increase over time as we advance our clinical and preclinical development programs for MGL-3196 (resmetirom), which will likely result in an increase in our headcount, consulting services, and related overhead needed to support those efforts.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net interest income was $8.8 million for the nine months ended September 30, 2019, compared to $4.7 million in the corresponding period in 2018.</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increase in interest income was due primarily to a higher average principal balance in our investment account in 2019.</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convertible debt, the issuance of shares of our common stock and shares of our preferred stock, and the proceeds from the Merger.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80" w:lineRule="exact"/>
        <w:rPr>
          <w:sz w:val="20"/>
          <w:szCs w:val="20"/>
          <w:color w:val="auto"/>
        </w:rPr>
      </w:pPr>
    </w:p>
    <w:p>
      <w:pPr>
        <w:ind w:left="200" w:right="100"/>
        <w:spacing w:after="0" w:line="258" w:lineRule="auto"/>
        <w:rPr>
          <w:sz w:val="20"/>
          <w:szCs w:val="20"/>
          <w:color w:val="auto"/>
        </w:rPr>
      </w:pPr>
      <w:r>
        <w:rPr>
          <w:rFonts w:ascii="Times New Roman" w:cs="Times New Roman" w:eastAsia="Times New Roman" w:hAnsi="Times New Roman"/>
          <w:sz w:val="18"/>
          <w:szCs w:val="18"/>
          <w:color w:val="auto"/>
        </w:rPr>
        <w:t>As of September 30, 2019, we had cash, cash equivalents and marketable securities totaling $453.6 million compared to $483.7 million as of December 31, 2018, with the decrease primarily attributable to our net operating loss.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84"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We anticipate continuing to incur operating losses for the foreseeable future. While our rate of cash usage may increase in the future, in particular to support our product development and clinical trial efforts, we believe our available cash resources as of September 30, 2019 will be sufficient to fund our operations past one year from the issuance of the financial statements contained herein. Future capital requirements will be substantial and will depend on many factors. To meet future capital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 could be harmed. Furthermore, any sales of additional equity securities may result in dilution to our stockholders, and any debt financing may include covenants that restrict our business.</w:t>
      </w:r>
    </w:p>
    <w:p>
      <w:pPr>
        <w:spacing w:after="0" w:line="1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240" w:top="401"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(in thousands):</w:t>
      </w: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0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$(29,342)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(405,064)</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313,725</w:t>
            </w:r>
          </w:p>
        </w:tc>
        <w:tc>
          <w:tcPr>
            <w:tcW w:w="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$ 32,107</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(110,581)</w:t>
            </w:r>
          </w:p>
        </w:tc>
        <w:tc>
          <w:tcPr>
            <w:tcW w:w="80" w:type="dxa"/>
            <w:vAlign w:val="bottom"/>
          </w:tcPr>
          <w:p>
            <w:pPr>
              <w:spacing w:after="0"/>
              <w:rPr>
                <w:sz w:val="19"/>
                <w:szCs w:val="19"/>
                <w:color w:val="auto"/>
              </w:rPr>
            </w:pPr>
          </w:p>
        </w:tc>
      </w:tr>
    </w:tbl>
    <w:p>
      <w:pPr>
        <w:spacing w:after="0" w:line="179"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$29.3 million for the nine months ended September 30, 2019, compared to $19.2 million for the corresponding period in 2018. The use of cash in these periods resulted primarily from our losses from operations, as adjusted for non-cash charges for stock-based compensation, and changes in our working capital accounts.</w:t>
      </w:r>
    </w:p>
    <w:p>
      <w:pPr>
        <w:spacing w:after="0" w:line="176" w:lineRule="exact"/>
        <w:rPr>
          <w:sz w:val="20"/>
          <w:szCs w:val="20"/>
          <w:color w:val="auto"/>
        </w:rPr>
      </w:pPr>
    </w:p>
    <w:p>
      <w:pPr>
        <w:ind w:left="200" w:right="180"/>
        <w:spacing w:after="0" w:line="277" w:lineRule="auto"/>
        <w:rPr>
          <w:sz w:val="20"/>
          <w:szCs w:val="20"/>
          <w:color w:val="auto"/>
        </w:rPr>
      </w:pPr>
      <w:r>
        <w:rPr>
          <w:rFonts w:ascii="Times New Roman" w:cs="Times New Roman" w:eastAsia="Times New Roman" w:hAnsi="Times New Roman"/>
          <w:sz w:val="17"/>
          <w:szCs w:val="17"/>
          <w:color w:val="auto"/>
        </w:rPr>
        <w:t>Net cash provided by investing activities was $61.2 million for the nine months ended September 30, 2019, compared to $405.1 million used in investing activities for the corresponding period in 2018. Net cash provided by investing activities for the nine months ended September 30, 2019 consisted of $468.3 million from sales and maturities of marketable securities, partially offset by $407.1 million of purchases of marketable securities for our investment portfolio. Net cash used by investing activities for the nine months ended September 30, 2018 consisted of $524.9 million of purchases of marketable securities for our investment portfolio, partially offset by $119.9 million from sales and maturities of marketable securities.</w:t>
      </w:r>
    </w:p>
    <w:p>
      <w:pPr>
        <w:spacing w:after="0" w:line="168" w:lineRule="exact"/>
        <w:rPr>
          <w:sz w:val="20"/>
          <w:szCs w:val="20"/>
          <w:color w:val="auto"/>
        </w:rPr>
      </w:pPr>
    </w:p>
    <w:p>
      <w:pPr>
        <w:ind w:left="200" w:right="20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$0.2 million for the nine months ended September 30, 2019, compared to $313.7 million for the corresponding period in 2018. Net cash provided by financing activities for the nine months ended September 30, 2019 consisted of proceeds from exercise of stock options. Net cash provided by financing activities for the nine months ended September 30, 2018 consisted of net proceeds from the issuance of common stock pursuant to the June 2018 Offering and the exercise of stock options.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200" w:right="140"/>
        <w:spacing w:after="0" w:line="282" w:lineRule="auto"/>
        <w:rPr>
          <w:sz w:val="20"/>
          <w:szCs w:val="20"/>
          <w:color w:val="auto"/>
        </w:rPr>
      </w:pPr>
      <w:r>
        <w:rPr>
          <w:rFonts w:ascii="Times New Roman" w:cs="Times New Roman" w:eastAsia="Times New Roman" w:hAnsi="Times New Roman"/>
          <w:sz w:val="18"/>
          <w:szCs w:val="18"/>
          <w:color w:val="auto"/>
        </w:rPr>
        <w:t>No significant changes to contractual obligations and commitments occurred during the nine months ended September 30, 2019, as compared to those disclosed in our Quarterly Report on Form 10-Q for the quarter ended March 31, 2019, filed with the SEC on May 8, 2019.</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do not have any off balance sheet arrangements as defined in Item 303(a)(4)(ii) of Regulation S-K.</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200" w:right="40"/>
        <w:spacing w:after="0" w:line="255" w:lineRule="auto"/>
        <w:rPr>
          <w:sz w:val="20"/>
          <w:szCs w:val="20"/>
          <w:color w:val="auto"/>
        </w:rPr>
      </w:pPr>
      <w:r>
        <w:rPr>
          <w:rFonts w:ascii="Times New Roman" w:cs="Times New Roman" w:eastAsia="Times New Roman" w:hAnsi="Times New Roman"/>
          <w:sz w:val="18"/>
          <w:szCs w:val="18"/>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left="200" w:right="160"/>
        <w:spacing w:after="0" w:line="282" w:lineRule="auto"/>
        <w:rPr>
          <w:sz w:val="20"/>
          <w:szCs w:val="20"/>
          <w:color w:val="auto"/>
        </w:rPr>
      </w:pPr>
      <w:r>
        <w:rPr>
          <w:rFonts w:ascii="Times New Roman" w:cs="Times New Roman" w:eastAsia="Times New Roman" w:hAnsi="Times New Roman"/>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240" w:top="401" w:right="4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Disclosure Controls</w:t>
      </w:r>
    </w:p>
    <w:p>
      <w:pPr>
        <w:spacing w:after="0" w:line="121"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84" w:lineRule="exact"/>
        <w:rPr>
          <w:sz w:val="20"/>
          <w:szCs w:val="20"/>
          <w:color w:val="auto"/>
        </w:rPr>
      </w:pPr>
    </w:p>
    <w:p>
      <w:pPr>
        <w:ind w:left="200" w:right="60"/>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21"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1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240" w:top="401" w:right="5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200" w:right="100"/>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pending legal proceedings. From time to time, we may be involved in legal proceedings arising in the ordinary course of business.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included in our Annual Report on Form 10-K for the annual period ended December 31, 2018.</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200" w:right="280"/>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5"/>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80" w:type="dxa"/>
            <w:vAlign w:val="bottom"/>
            <w:gridSpan w:val="8"/>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32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9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36"/>
        </w:trPr>
        <w:tc>
          <w:tcPr>
            <w:tcW w:w="1060" w:type="dxa"/>
            <w:vAlign w:val="bottom"/>
            <w:gridSpan w:val="3"/>
            <w:vMerge w:val="continue"/>
          </w:tcPr>
          <w:p>
            <w:pPr>
              <w:spacing w:after="0"/>
              <w:rPr>
                <w:sz w:val="11"/>
                <w:szCs w:val="11"/>
                <w:color w:val="auto"/>
              </w:rPr>
            </w:pPr>
          </w:p>
        </w:tc>
        <w:tc>
          <w:tcPr>
            <w:tcW w:w="5380" w:type="dxa"/>
            <w:vAlign w:val="bottom"/>
            <w:gridSpan w:val="8"/>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3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88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File No.</w:t>
            </w:r>
          </w:p>
        </w:tc>
        <w:tc>
          <w:tcPr>
            <w:tcW w:w="1220" w:type="dxa"/>
            <w:vAlign w:val="bottom"/>
            <w:gridSpan w:val="3"/>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w w:val="99"/>
              </w:rPr>
              <w:t>Filing Date</w:t>
            </w: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540" w:type="dxa"/>
            <w:vAlign w:val="bottom"/>
          </w:tcPr>
          <w:p>
            <w:pPr>
              <w:spacing w:after="0"/>
              <w:rPr>
                <w:sz w:val="23"/>
                <w:szCs w:val="23"/>
                <w:color w:val="auto"/>
              </w:rPr>
            </w:pPr>
          </w:p>
        </w:tc>
        <w:tc>
          <w:tcPr>
            <w:tcW w:w="5300" w:type="dxa"/>
            <w:vAlign w:val="bottom"/>
            <w:tcBorders>
              <w:top w:val="single" w:sz="8" w:color="auto"/>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Certification of Principal Executive Officer pursuant to Rule 13a-14(a) or</w:t>
              </w:r>
            </w:hyperlink>
          </w:p>
        </w:tc>
        <w:tc>
          <w:tcPr>
            <w:tcW w:w="8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380" w:type="dxa"/>
            <w:vAlign w:val="bottom"/>
            <w:gridSpan w:val="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Rule 15d-14(a) of the Securities Exchange Act of 1934, as adopted</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pursuant to Section 302 of the Sarbanes-Oxley Act of 2002.</w:t>
              </w:r>
            </w:hyperlink>
          </w:p>
        </w:tc>
        <w:tc>
          <w:tcPr>
            <w:tcW w:w="56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540" w:type="dxa"/>
            <w:vAlign w:val="bottom"/>
          </w:tcPr>
          <w:p>
            <w:pPr>
              <w:spacing w:after="0"/>
              <w:rPr>
                <w:sz w:val="24"/>
                <w:szCs w:val="24"/>
                <w:color w:val="auto"/>
              </w:rPr>
            </w:pPr>
          </w:p>
        </w:tc>
        <w:tc>
          <w:tcPr>
            <w:tcW w:w="5380" w:type="dxa"/>
            <w:vAlign w:val="bottom"/>
            <w:gridSpan w:val="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Certification of Principal Financial Officer pursuant to Rule 13a-14(a) or</w:t>
              </w:r>
            </w:hyperlink>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Rule 15d-14(a) of the Securities Exchange Act of 1934, as adopted</w:t>
              </w:r>
            </w:hyperlink>
          </w:p>
        </w:tc>
        <w:tc>
          <w:tcPr>
            <w:tcW w:w="14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pursuant to Section 302 of the Sarbanes-Oxley Act of 2002.</w:t>
              </w:r>
            </w:hyperlink>
          </w:p>
        </w:tc>
        <w:tc>
          <w:tcPr>
            <w:tcW w:w="56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gridSpan w:val="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Certifications of Principal Executive Officer and Principal Financial</w:t>
              </w:r>
            </w:hyperlink>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Officer, pursuant to 18 U.S.C. Section 1350, as adopted pursuant to</w:t>
              </w:r>
            </w:hyperlink>
          </w:p>
        </w:tc>
        <w:tc>
          <w:tcPr>
            <w:tcW w:w="40" w:type="dxa"/>
            <w:vAlign w:val="bottom"/>
            <w:tcBorders>
              <w:top w:val="single" w:sz="8" w:color="0000EE"/>
            </w:tcBorders>
          </w:tcPr>
          <w:p>
            <w:pPr>
              <w:spacing w:after="0"/>
              <w:rPr>
                <w:sz w:val="17"/>
                <w:szCs w:val="17"/>
                <w:color w:val="auto"/>
              </w:rPr>
            </w:pPr>
          </w:p>
        </w:tc>
        <w:tc>
          <w:tcPr>
            <w:tcW w:w="48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Section 906 of the Sarbanes-Oxley Act of 2002.</w:t>
              </w:r>
            </w:hyperlink>
          </w:p>
        </w:tc>
        <w:tc>
          <w:tcPr>
            <w:tcW w:w="192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01" w:right="51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702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345"/>
        </w:trPr>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101.SCH</w:t>
            </w: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76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76"/>
              </w:rPr>
              <w:t>X</w:t>
            </w:r>
          </w:p>
        </w:tc>
      </w:tr>
      <w:tr>
        <w:trPr>
          <w:trHeight w:val="324"/>
        </w:trPr>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101.CAL</w:t>
            </w: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76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76"/>
              </w:rPr>
              <w:t>X</w:t>
            </w:r>
          </w:p>
        </w:tc>
      </w:tr>
      <w:tr>
        <w:trPr>
          <w:trHeight w:val="324"/>
        </w:trPr>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101.LAB</w:t>
            </w: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76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76"/>
              </w:rPr>
              <w:t>X</w:t>
            </w:r>
          </w:p>
        </w:tc>
      </w:tr>
      <w:tr>
        <w:trPr>
          <w:trHeight w:val="324"/>
        </w:trPr>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101.PRE</w:t>
            </w: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76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76"/>
              </w:rPr>
              <w:t>X</w:t>
            </w:r>
          </w:p>
        </w:tc>
      </w:tr>
      <w:tr>
        <w:trPr>
          <w:trHeight w:val="324"/>
        </w:trPr>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101.DEF</w:t>
            </w:r>
          </w:p>
        </w:tc>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76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90" w:lineRule="exact"/>
        <w:rPr>
          <w:sz w:val="20"/>
          <w:szCs w:val="20"/>
          <w:color w:val="auto"/>
        </w:rPr>
      </w:pPr>
    </w:p>
    <w:p>
      <w:pPr>
        <w:ind w:left="1200" w:right="3740" w:hanging="942"/>
        <w:spacing w:after="0" w:line="282" w:lineRule="auto"/>
        <w:tabs>
          <w:tab w:leader="none" w:pos="12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61"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in accordance with Item 601(b)(10) of Regulation S-K.</w:t>
      </w:r>
    </w:p>
    <w:p>
      <w:pPr>
        <w:spacing w:after="0" w:line="27" w:lineRule="exact"/>
        <w:rPr>
          <w:rFonts w:ascii="Times New Roman" w:cs="Times New Roman" w:eastAsia="Times New Roman" w:hAnsi="Times New Roman"/>
          <w:sz w:val="18"/>
          <w:szCs w:val="18"/>
          <w:color w:val="auto"/>
        </w:rPr>
      </w:pPr>
    </w:p>
    <w:p>
      <w:pPr>
        <w:ind w:left="740" w:hanging="536"/>
        <w:spacing w:after="0" w:line="254"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240" w:top="392"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left="200"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MADRIGAL PHARMACEUTICALS, INC.</w:t>
            </w:r>
          </w:p>
        </w:tc>
      </w:tr>
      <w:tr>
        <w:trPr>
          <w:trHeight w:val="43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2019</w:t>
            </w:r>
          </w:p>
        </w:tc>
        <w:tc>
          <w:tcPr>
            <w:tcW w:w="7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Paul A. Friedman, M.D.</w:t>
            </w:r>
          </w:p>
        </w:tc>
      </w:tr>
      <w:tr>
        <w:trPr>
          <w:trHeight w:val="198"/>
        </w:trPr>
        <w:tc>
          <w:tcPr>
            <w:tcW w:w="3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80" w:type="dxa"/>
            <w:vAlign w:val="bottom"/>
            <w:tcBorders>
              <w:top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Paul A. Friedman, M.D.</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2019</w:t>
            </w:r>
          </w:p>
        </w:tc>
        <w:tc>
          <w:tcPr>
            <w:tcW w:w="7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Marc R. Schneebaum</w:t>
            </w:r>
          </w:p>
        </w:tc>
      </w:tr>
      <w:tr>
        <w:trPr>
          <w:trHeight w:val="198"/>
        </w:trPr>
        <w:tc>
          <w:tcPr>
            <w:tcW w:w="3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80" w:type="dxa"/>
            <w:vAlign w:val="bottom"/>
            <w:tcBorders>
              <w:top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Marc R. Schneebaum</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600" w:type="dxa"/>
            <w:vAlign w:val="bottom"/>
          </w:tcPr>
          <w:p>
            <w:pPr>
              <w:spacing w:after="0"/>
              <w:rPr>
                <w:sz w:val="24"/>
                <w:szCs w:val="24"/>
                <w:color w:val="auto"/>
              </w:rPr>
            </w:pPr>
          </w:p>
        </w:tc>
        <w:tc>
          <w:tcPr>
            <w:tcW w:w="2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5080" w:type="dxa"/>
            <w:vAlign w:val="bottom"/>
          </w:tcPr>
          <w:p>
            <w:pPr>
              <w:spacing w:after="0"/>
              <w:rPr>
                <w:sz w:val="24"/>
                <w:szCs w:val="24"/>
                <w:color w:val="auto"/>
              </w:rPr>
            </w:pPr>
          </w:p>
        </w:tc>
      </w:tr>
    </w:tbl>
    <w:p>
      <w:pPr>
        <w:sectPr>
          <w:pgSz w:w="11900" w:h="16838" w:orient="portrait"/>
          <w:cols w:equalWidth="0" w:num="1">
            <w:col w:w="11240"/>
          </w:cols>
          <w:pgMar w:left="240" w:top="401" w:right="41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left="460" w:right="19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Friedman, M.D., certify that:</w:t>
      </w:r>
    </w:p>
    <w:p>
      <w:pPr>
        <w:spacing w:after="0" w:line="131" w:lineRule="exact"/>
        <w:rPr>
          <w:sz w:val="20"/>
          <w:szCs w:val="20"/>
          <w:color w:val="auto"/>
        </w:rPr>
      </w:pPr>
    </w:p>
    <w:p>
      <w:pPr>
        <w:ind w:left="440" w:hanging="43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30" w:lineRule="exact"/>
        <w:rPr>
          <w:rFonts w:ascii="Times New Roman" w:cs="Times New Roman" w:eastAsia="Times New Roman" w:hAnsi="Times New Roman"/>
          <w:sz w:val="18"/>
          <w:szCs w:val="18"/>
          <w:color w:val="auto"/>
        </w:rPr>
      </w:pPr>
    </w:p>
    <w:p>
      <w:pPr>
        <w:jc w:val="both"/>
        <w:ind w:left="440" w:right="120" w:hanging="436"/>
        <w:spacing w:after="0" w:line="266"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6"/>
        <w:spacing w:after="0" w:line="282"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120" w:hanging="436"/>
        <w:spacing w:after="0" w:line="261"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sz w:val="20"/>
          <w:szCs w:val="20"/>
          <w:color w:val="auto"/>
        </w:rPr>
      </w:pPr>
    </w:p>
    <w:p>
      <w:pPr>
        <w:ind w:left="440" w:right="380" w:hanging="436"/>
        <w:spacing w:after="0" w:line="266"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440" w:right="60" w:hanging="436"/>
        <w:spacing w:after="0" w:line="266"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440" w:right="860" w:hanging="436"/>
        <w:spacing w:after="0" w:line="313" w:lineRule="auto"/>
        <w:tabs>
          <w:tab w:leader="none" w:pos="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440" w:right="80" w:hanging="436"/>
        <w:spacing w:after="0" w:line="266"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440" w:right="80" w:hanging="436"/>
        <w:spacing w:after="0" w:line="282"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left="440" w:right="280" w:hanging="436"/>
        <w:spacing w:after="0" w:line="282"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40" w:right="240" w:hanging="436"/>
        <w:spacing w:after="0" w:line="282"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A. Friedman,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ectPr>
          <w:pgSz w:w="11900" w:h="16838" w:orient="portrait"/>
          <w:cols w:equalWidth="0" w:num="1">
            <w:col w:w="11020"/>
          </w:cols>
          <w:pgMar w:left="440" w:top="117"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left="460" w:right="19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R. Schneebaum, certify that:</w:t>
      </w:r>
    </w:p>
    <w:p>
      <w:pPr>
        <w:spacing w:after="0" w:line="131" w:lineRule="exact"/>
        <w:rPr>
          <w:sz w:val="20"/>
          <w:szCs w:val="20"/>
          <w:color w:val="auto"/>
        </w:rPr>
      </w:pPr>
    </w:p>
    <w:p>
      <w:pPr>
        <w:ind w:left="440" w:hanging="43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30" w:lineRule="exact"/>
        <w:rPr>
          <w:rFonts w:ascii="Times New Roman" w:cs="Times New Roman" w:eastAsia="Times New Roman" w:hAnsi="Times New Roman"/>
          <w:sz w:val="18"/>
          <w:szCs w:val="18"/>
          <w:color w:val="auto"/>
        </w:rPr>
      </w:pPr>
    </w:p>
    <w:p>
      <w:pPr>
        <w:jc w:val="both"/>
        <w:ind w:left="440" w:right="120" w:hanging="436"/>
        <w:spacing w:after="0" w:line="266"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6"/>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120" w:hanging="436"/>
        <w:spacing w:after="0" w:line="261"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sz w:val="20"/>
          <w:szCs w:val="20"/>
          <w:color w:val="auto"/>
        </w:rPr>
      </w:pPr>
    </w:p>
    <w:p>
      <w:pPr>
        <w:ind w:left="440" w:right="38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440" w:right="6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440" w:right="860" w:hanging="436"/>
        <w:spacing w:after="0" w:line="313" w:lineRule="auto"/>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440" w:right="80" w:hanging="436"/>
        <w:spacing w:after="0" w:line="266"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440" w:right="80" w:hanging="436"/>
        <w:spacing w:after="0" w:line="282"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left="440" w:right="280" w:hanging="436"/>
        <w:spacing w:after="0" w:line="282"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40" w:right="240" w:hanging="436"/>
        <w:spacing w:after="0" w:line="282"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R. Schneebaum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ectPr>
          <w:pgSz w:w="11900" w:h="16838" w:orient="portrait"/>
          <w:cols w:equalWidth="0" w:num="1">
            <w:col w:w="11020"/>
          </w:cols>
          <w:pgMar w:left="440" w:top="117" w:right="439" w:bottom="1440" w:gutter="0" w:footer="0" w:header="0"/>
        </w:sectPr>
      </w:pPr>
    </w:p>
    <w:bookmarkStart w:id="28" w:name="page29"/>
    <w:bookmarkEnd w:id="28"/>
    <w:p>
      <w:pPr>
        <w:ind w:left="1010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quarterly period ended September 30, 2019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2019</w:t>
            </w: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Paul A. Friedman, M.D.</w:t>
            </w:r>
          </w:p>
        </w:tc>
      </w:tr>
      <w:tr>
        <w:trPr>
          <w:trHeight w:val="191"/>
        </w:trPr>
        <w:tc>
          <w:tcPr>
            <w:tcW w:w="586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Paul A. Friedman, M.D.</w:t>
            </w:r>
          </w:p>
        </w:tc>
      </w:tr>
      <w:tr>
        <w:trPr>
          <w:trHeight w:val="216"/>
        </w:trPr>
        <w:tc>
          <w:tcPr>
            <w:tcW w:w="586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34"/>
        </w:trPr>
        <w:tc>
          <w:tcPr>
            <w:tcW w:w="58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2019</w:t>
            </w: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Marc R. Schneebaum</w:t>
            </w:r>
          </w:p>
        </w:tc>
      </w:tr>
      <w:tr>
        <w:trPr>
          <w:trHeight w:val="191"/>
        </w:trPr>
        <w:tc>
          <w:tcPr>
            <w:tcW w:w="586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Marc R. Schneebaum</w:t>
            </w:r>
          </w:p>
        </w:tc>
      </w:tr>
      <w:tr>
        <w:trPr>
          <w:trHeight w:val="216"/>
        </w:trPr>
        <w:tc>
          <w:tcPr>
            <w:tcW w:w="586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8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40"/>
      </w:cols>
      <w:pgMar w:left="440" w:top="1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6"/>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2"/>
      <w:numFmt w:val="decimal"/>
      <w:start w:val="104"/>
    </w:lvl>
  </w:abstractNum>
  <w:abstractNum w:abstractNumId="8">
    <w:nsid w:val="3352255A"/>
    <w:multiLevelType w:val="hybridMultilevel"/>
    <w:lvl w:ilvl="0">
      <w:lvlJc w:val="left"/>
      <w:lvlText w:val="**"/>
      <w:numFmt w:val="bullet"/>
      <w:start w:val="1"/>
    </w:lvl>
    <w:lvl w:ilvl="1">
      <w:lvlJc w:val="left"/>
      <w:lvlText w:val="%2"/>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2019-12-28T02:21:00Z</dcterms:created>
  <dcterms:modified xsi:type="dcterms:W3CDTF">2019-12-28T02:21:00Z</dcterms:modified>
</cp:coreProperties>
</file>