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386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3869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Levy Richard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MADRIGAL PHARMACEUTICALS, INC. 200 BARR HARBOR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MADRIGAL PHARMACEUTICALS,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MDGL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2" w:lineRule="exact"/>
        <w:rPr>
          <w:sz w:val="20"/>
          <w:szCs w:val="20"/>
          <w:color w:val="auto"/>
        </w:rPr>
      </w:pPr>
    </w:p>
    <w:p>
      <w:pPr>
        <w:sectPr>
          <w:pgSz w:w="11900" w:h="16838" w:orient="portrait"/>
          <w:cols w:equalWidth="0" w:num="3">
            <w:col w:w="3560" w:space="360"/>
            <w:col w:w="3340" w:space="4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80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92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920" w:type="dxa"/>
            <w:vAlign w:val="bottom"/>
            <w:gridSpan w:val="8"/>
            <w:vMerge w:val="continue"/>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line="175" w:lineRule="exact"/>
              <w:rPr>
                <w:sz w:val="20"/>
                <w:szCs w:val="20"/>
                <w:color w:val="auto"/>
              </w:rPr>
            </w:pPr>
            <w:r>
              <w:rPr>
                <w:rFonts w:ascii="Times New Roman" w:cs="Times New Roman" w:eastAsia="Times New Roman" w:hAnsi="Times New Roman"/>
                <w:sz w:val="17"/>
                <w:szCs w:val="17"/>
                <w:color w:val="0000FF"/>
              </w:rPr>
              <w:t>WEST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line="240" w:lineRule="exact"/>
              <w:rPr>
                <w:sz w:val="20"/>
                <w:szCs w:val="20"/>
                <w:color w:val="auto"/>
              </w:rPr>
            </w:pPr>
            <w:r>
              <w:rPr>
                <w:rFonts w:ascii="Times New Roman" w:cs="Times New Roman" w:eastAsia="Times New Roman" w:hAnsi="Times New Roman"/>
                <w:sz w:val="15"/>
                <w:szCs w:val="15"/>
                <w:color w:val="0000FF"/>
              </w:rPr>
              <w:t xml:space="preserve">CONSHOHOCKEN </w:t>
            </w:r>
            <w:r>
              <w:rPr>
                <w:rFonts w:ascii="Times New Roman" w:cs="Times New Roman" w:eastAsia="Times New Roman" w:hAnsi="Times New Roman"/>
                <w:sz w:val="27"/>
                <w:szCs w:val="27"/>
                <w:color w:val="0000FF"/>
                <w:vertAlign w:val="superscript"/>
              </w:rPr>
              <w:t>PA</w:t>
            </w:r>
          </w:p>
        </w:tc>
        <w:tc>
          <w:tcPr>
            <w:tcW w:w="13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19428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jc w:val="right"/>
              <w:ind w:right="98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5"/>
          </w:tcPr>
          <w:p>
            <w:pPr>
              <w:jc w:val="center"/>
              <w:ind w:right="2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14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0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506.675</w:t>
            </w:r>
            <w:r>
              <w:rPr>
                <w:rFonts w:ascii="Times New Roman" w:cs="Times New Roman" w:eastAsia="Times New Roman" w:hAnsi="Times New Roman"/>
                <w:sz w:val="22"/>
                <w:szCs w:val="22"/>
                <w:color w:val="008000"/>
                <w:w w:val="97"/>
                <w:vertAlign w:val="superscript"/>
              </w:rPr>
              <w:t>(2)</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27,657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320</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508.242</w:t>
            </w:r>
            <w:r>
              <w:rPr>
                <w:rFonts w:ascii="Times New Roman" w:cs="Times New Roman" w:eastAsia="Times New Roman" w:hAnsi="Times New Roman"/>
                <w:sz w:val="22"/>
                <w:szCs w:val="22"/>
                <w:color w:val="008000"/>
                <w:w w:val="97"/>
                <w:vertAlign w:val="superscript"/>
              </w:rPr>
              <w:t>(3)</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27,337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151</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510.3579</w:t>
            </w:r>
            <w:r>
              <w:rPr>
                <w:rFonts w:ascii="Times New Roman" w:cs="Times New Roman" w:eastAsia="Times New Roman" w:hAnsi="Times New Roman"/>
                <w:sz w:val="22"/>
                <w:szCs w:val="22"/>
                <w:color w:val="008000"/>
                <w:w w:val="97"/>
                <w:vertAlign w:val="superscript"/>
              </w:rPr>
              <w:t>(4)</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27,186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610</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511.3967</w:t>
            </w:r>
            <w:r>
              <w:rPr>
                <w:rFonts w:ascii="Times New Roman" w:cs="Times New Roman" w:eastAsia="Times New Roman" w:hAnsi="Times New Roman"/>
                <w:sz w:val="22"/>
                <w:szCs w:val="22"/>
                <w:color w:val="008000"/>
                <w:w w:val="97"/>
                <w:vertAlign w:val="superscript"/>
              </w:rPr>
              <w:t>(5)</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26,576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439</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512.5022</w:t>
            </w:r>
            <w:r>
              <w:rPr>
                <w:rFonts w:ascii="Times New Roman" w:cs="Times New Roman" w:eastAsia="Times New Roman" w:hAnsi="Times New Roman"/>
                <w:sz w:val="22"/>
                <w:szCs w:val="22"/>
                <w:color w:val="008000"/>
                <w:w w:val="97"/>
                <w:vertAlign w:val="superscript"/>
              </w:rPr>
              <w:t>(6)</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26,137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512.97</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26,097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343</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514.6691</w:t>
            </w:r>
            <w:r>
              <w:rPr>
                <w:rFonts w:ascii="Times New Roman" w:cs="Times New Roman" w:eastAsia="Times New Roman" w:hAnsi="Times New Roman"/>
                <w:sz w:val="22"/>
                <w:szCs w:val="22"/>
                <w:color w:val="008000"/>
                <w:w w:val="97"/>
                <w:vertAlign w:val="superscript"/>
              </w:rPr>
              <w:t>(7)</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25,754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657</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515.9219</w:t>
            </w:r>
            <w:r>
              <w:rPr>
                <w:rFonts w:ascii="Times New Roman" w:cs="Times New Roman" w:eastAsia="Times New Roman" w:hAnsi="Times New Roman"/>
                <w:sz w:val="22"/>
                <w:szCs w:val="22"/>
                <w:color w:val="008000"/>
                <w:w w:val="97"/>
                <w:vertAlign w:val="superscript"/>
              </w:rPr>
              <w:t>(8)</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25,097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723</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516.8658</w:t>
            </w:r>
            <w:r>
              <w:rPr>
                <w:rFonts w:ascii="Times New Roman" w:cs="Times New Roman" w:eastAsia="Times New Roman" w:hAnsi="Times New Roman"/>
                <w:sz w:val="22"/>
                <w:szCs w:val="22"/>
                <w:color w:val="008000"/>
                <w:w w:val="97"/>
                <w:vertAlign w:val="superscript"/>
              </w:rPr>
              <w:t>(9)</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24,374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1,497</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517.5921</w:t>
            </w:r>
            <w:r>
              <w:rPr>
                <w:rFonts w:ascii="Times New Roman" w:cs="Times New Roman" w:eastAsia="Times New Roman" w:hAnsi="Times New Roman"/>
                <w:sz w:val="22"/>
                <w:szCs w:val="22"/>
                <w:color w:val="008000"/>
                <w:w w:val="94"/>
                <w:vertAlign w:val="superscript"/>
              </w:rPr>
              <w:t>(10)</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22,877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782</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518.758</w:t>
            </w:r>
            <w:r>
              <w:rPr>
                <w:rFonts w:ascii="Times New Roman" w:cs="Times New Roman" w:eastAsia="Times New Roman" w:hAnsi="Times New Roman"/>
                <w:sz w:val="22"/>
                <w:szCs w:val="22"/>
                <w:color w:val="008000"/>
                <w:w w:val="94"/>
                <w:vertAlign w:val="superscript"/>
              </w:rPr>
              <w:t>(11)</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22,095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0000FF"/>
              </w:rPr>
              <w:t>05/22/2026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w:t>
            </w:r>
          </w:p>
        </w:tc>
        <w:tc>
          <w:tcPr>
            <w:tcW w:w="340" w:type="dxa"/>
            <w:vAlign w:val="bottom"/>
            <w:tcBorders>
              <w:bottom w:val="single" w:sz="8" w:color="2C2C2C"/>
            </w:tcBorders>
          </w:tcPr>
          <w:p>
            <w:pPr>
              <w:jc w:val="center"/>
              <w:ind w:left="13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519.98</w:t>
            </w:r>
            <w:r>
              <w:rPr>
                <w:rFonts w:ascii="Times New Roman" w:cs="Times New Roman" w:eastAsia="Times New Roman" w:hAnsi="Times New Roman"/>
                <w:sz w:val="22"/>
                <w:szCs w:val="22"/>
                <w:color w:val="008000"/>
                <w:w w:val="94"/>
                <w:vertAlign w:val="superscript"/>
              </w:rPr>
              <w:t>(12)</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22,015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6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Rule 10b5-1 trading plan adopted by the Reporting Person on February 20, 2026.</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$506.42 to $507.06,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the footnotes below.</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$508.11 to $508.89,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$509.89 to $510.85,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$510.89 to $511.87,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$511.91 to $512.88,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$514.17 to $515.16, inclusive.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$515.26 to $516.22,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$516.28 to $517.27,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$517.28 to $518.27,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$518.30 to $519.29,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$519.68 to $520.28,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27" w:lineRule="auto"/>
        <w:rPr>
          <w:sz w:val="20"/>
          <w:szCs w:val="20"/>
          <w:color w:val="auto"/>
        </w:rPr>
      </w:pPr>
      <w:r>
        <w:rPr>
          <w:rFonts w:ascii="Times New Roman" w:cs="Times New Roman" w:eastAsia="Times New Roman" w:hAnsi="Times New Roman"/>
          <w:sz w:val="17"/>
          <w:szCs w:val="17"/>
          <w:color w:val="0000FF"/>
        </w:rPr>
        <w:t xml:space="preserve">/s/ Mardi Dier, as Attorney-in- </w:t>
      </w:r>
      <w:r>
        <w:rPr>
          <w:rFonts w:ascii="Times New Roman" w:cs="Times New Roman" w:eastAsia="Times New Roman" w:hAnsi="Times New Roman"/>
          <w:sz w:val="34"/>
          <w:szCs w:val="34"/>
          <w:color w:val="0000FF"/>
          <w:vertAlign w:val="subscript"/>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43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4983" TargetMode="External"/><Relationship Id="rId14" Type="http://schemas.openxmlformats.org/officeDocument/2006/relationships/hyperlink" Target="http://www.sec.gov/cgi-bin/browse-edgar?action=getcompany&amp;CIK=0001157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2026-05-22T17:02:53Z</dcterms:created>
  <dcterms:modified xsi:type="dcterms:W3CDTF">2026-05-22T17:02:53Z</dcterms:modified>
</cp:coreProperties>
</file>