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6" w:lineRule="exact"/>
        <w:rPr>
          <w:sz w:val="24"/>
          <w:szCs w:val="24"/>
          <w:color w:val="auto"/>
        </w:rPr>
      </w:pPr>
    </w:p>
    <w:p>
      <w:pPr>
        <w:jc w:val="center"/>
        <w:ind w:right="-3"/>
        <w:spacing w:after="0"/>
        <w:rPr>
          <w:sz w:val="20"/>
          <w:szCs w:val="20"/>
          <w:color w:val="auto"/>
        </w:rPr>
      </w:pPr>
      <w:r>
        <w:rPr>
          <w:rFonts w:ascii="Arial" w:cs="Arial" w:eastAsia="Arial" w:hAnsi="Arial"/>
          <w:sz w:val="29"/>
          <w:szCs w:val="29"/>
          <w:b w:val="1"/>
          <w:bCs w:val="1"/>
          <w:color w:val="auto"/>
        </w:rPr>
        <w:t>SECURITIES AND EXCHANGE COMMISSION</w:t>
      </w:r>
    </w:p>
    <w:p>
      <w:pPr>
        <w:spacing w:after="0" w:line="1"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107315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194" w:lineRule="exact"/>
        <w:rPr>
          <w:sz w:val="24"/>
          <w:szCs w:val="24"/>
          <w:color w:val="auto"/>
        </w:rPr>
      </w:pPr>
    </w:p>
    <w:p>
      <w:pPr>
        <w:jc w:val="center"/>
        <w:ind w:right="-3"/>
        <w:spacing w:after="0"/>
        <w:rPr>
          <w:sz w:val="20"/>
          <w:szCs w:val="20"/>
          <w:color w:val="auto"/>
        </w:rPr>
      </w:pPr>
      <w:r>
        <w:rPr>
          <w:rFonts w:ascii="Arial" w:cs="Arial" w:eastAsia="Arial" w:hAnsi="Arial"/>
          <w:sz w:val="25"/>
          <w:szCs w:val="25"/>
          <w:b w:val="1"/>
          <w:bCs w:val="1"/>
          <w:color w:val="auto"/>
        </w:rPr>
        <w:t>FORM 10-K/A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140335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46" w:lineRule="exact"/>
        <w:rPr>
          <w:sz w:val="24"/>
          <w:szCs w:val="24"/>
          <w:color w:val="auto"/>
        </w:rPr>
      </w:pPr>
    </w:p>
    <w:p>
      <w:pPr>
        <w:ind w:left="4"/>
        <w:spacing w:after="0"/>
        <w:rPr>
          <w:sz w:val="20"/>
          <w:szCs w:val="20"/>
          <w:color w:val="auto"/>
        </w:rPr>
      </w:pPr>
      <w:r>
        <w:rPr>
          <w:rFonts w:ascii="Arial" w:cs="Arial" w:eastAsia="Arial" w:hAnsi="Arial"/>
          <w:sz w:val="14"/>
          <w:szCs w:val="14"/>
          <w:b w:val="1"/>
          <w:bCs w:val="1"/>
          <w:color w:val="auto"/>
        </w:rPr>
        <w:t>(Mark One)</w:t>
      </w:r>
    </w:p>
    <w:p>
      <w:pPr>
        <w:spacing w:after="0" w:line="8" w:lineRule="exact"/>
        <w:rPr>
          <w:sz w:val="24"/>
          <w:szCs w:val="24"/>
          <w:color w:val="auto"/>
        </w:rPr>
      </w:pPr>
    </w:p>
    <w:p>
      <w:pPr>
        <w:ind w:left="4064" w:right="2680" w:hanging="4064"/>
        <w:spacing w:after="0" w:line="298" w:lineRule="auto"/>
        <w:tabs>
          <w:tab w:leader="none" w:pos="432" w:val="left"/>
        </w:tabs>
        <w:numPr>
          <w:ilvl w:val="0"/>
          <w:numId w:val="1"/>
        </w:numPr>
        <w:rPr>
          <w:rFonts w:ascii="MS PGothic" w:cs="MS PGothic" w:eastAsia="MS PGothic" w:hAnsi="MS PGothic"/>
          <w:sz w:val="16"/>
          <w:szCs w:val="16"/>
          <w:color w:val="auto"/>
        </w:rPr>
      </w:pPr>
      <w:r>
        <w:rPr>
          <w:rFonts w:ascii="Arial" w:cs="Arial" w:eastAsia="Arial" w:hAnsi="Arial"/>
          <w:sz w:val="16"/>
          <w:szCs w:val="16"/>
          <w:b w:val="1"/>
          <w:bCs w:val="1"/>
          <w:color w:val="auto"/>
        </w:rPr>
        <w:t xml:space="preserve">ANNUAL REPORT PURSUANT TO SECTION 13 OR 15(d) OF THE SECURITIES EXCHANGE ACT OF 1934 </w:t>
      </w:r>
      <w:r>
        <w:rPr>
          <w:rFonts w:ascii="Arial" w:cs="Arial" w:eastAsia="Arial" w:hAnsi="Arial"/>
          <w:sz w:val="15"/>
          <w:szCs w:val="15"/>
          <w:b w:val="1"/>
          <w:bCs w:val="1"/>
          <w:color w:val="auto"/>
        </w:rPr>
        <w:t>For the fiscal year ended December 31, 2022</w:t>
      </w:r>
    </w:p>
    <w:p>
      <w:pPr>
        <w:ind w:left="5384"/>
        <w:spacing w:after="0"/>
        <w:rPr>
          <w:rFonts w:ascii="MS PGothic" w:cs="MS PGothic" w:eastAsia="MS PGothic" w:hAnsi="MS PGothic"/>
          <w:sz w:val="16"/>
          <w:szCs w:val="16"/>
          <w:color w:val="auto"/>
        </w:rPr>
      </w:pPr>
      <w:r>
        <w:rPr>
          <w:rFonts w:ascii="Arial" w:cs="Arial" w:eastAsia="Arial" w:hAnsi="Arial"/>
          <w:sz w:val="15"/>
          <w:szCs w:val="15"/>
          <w:b w:val="1"/>
          <w:bCs w:val="1"/>
          <w:color w:val="auto"/>
        </w:rPr>
        <w:t>OR</w:t>
      </w:r>
    </w:p>
    <w:p>
      <w:pPr>
        <w:spacing w:after="0" w:line="60" w:lineRule="exact"/>
        <w:rPr>
          <w:sz w:val="24"/>
          <w:szCs w:val="24"/>
          <w:color w:val="auto"/>
        </w:rPr>
      </w:pPr>
    </w:p>
    <w:p>
      <w:pPr>
        <w:ind w:left="424" w:hanging="424"/>
        <w:spacing w:after="0"/>
        <w:tabs>
          <w:tab w:leader="none" w:pos="424" w:val="left"/>
        </w:tabs>
        <w:numPr>
          <w:ilvl w:val="0"/>
          <w:numId w:val="2"/>
        </w:numPr>
        <w:rPr>
          <w:rFonts w:ascii="MS PGothic" w:cs="MS PGothic" w:eastAsia="MS PGothic" w:hAnsi="MS PGothic"/>
          <w:sz w:val="16"/>
          <w:szCs w:val="16"/>
          <w:color w:val="auto"/>
        </w:rPr>
      </w:pPr>
      <w:r>
        <w:rPr>
          <w:rFonts w:ascii="Arial" w:cs="Arial" w:eastAsia="Arial" w:hAnsi="Arial"/>
          <w:sz w:val="16"/>
          <w:szCs w:val="16"/>
          <w:b w:val="1"/>
          <w:bCs w:val="1"/>
          <w:color w:val="auto"/>
        </w:rPr>
        <w:t>TRANSITION REPORT PURSUANT TO SECTION 13 OR 15(d) OF THE SECURITIES EXCHANGE ACT OF 1934</w:t>
      </w:r>
    </w:p>
    <w:p>
      <w:pPr>
        <w:spacing w:after="0" w:line="69" w:lineRule="exact"/>
        <w:rPr>
          <w:sz w:val="24"/>
          <w:szCs w:val="24"/>
          <w:color w:val="auto"/>
        </w:rPr>
      </w:pPr>
    </w:p>
    <w:p>
      <w:pPr>
        <w:ind w:left="3644"/>
        <w:spacing w:after="0"/>
        <w:tabs>
          <w:tab w:leader="none" w:pos="6424" w:val="left"/>
        </w:tabs>
        <w:rPr>
          <w:sz w:val="20"/>
          <w:szCs w:val="20"/>
          <w:color w:val="auto"/>
        </w:rPr>
      </w:pPr>
      <w:r>
        <w:rPr>
          <w:rFonts w:ascii="Arial" w:cs="Arial" w:eastAsia="Arial" w:hAnsi="Arial"/>
          <w:sz w:val="15"/>
          <w:szCs w:val="15"/>
          <w:b w:val="1"/>
          <w:bCs w:val="1"/>
          <w:color w:val="auto"/>
        </w:rPr>
        <w:t>For the transition period from</w:t>
      </w:r>
      <w:r>
        <w:rPr>
          <w:sz w:val="20"/>
          <w:szCs w:val="20"/>
          <w:color w:val="auto"/>
        </w:rPr>
        <w:tab/>
      </w:r>
      <w:r>
        <w:rPr>
          <w:rFonts w:ascii="Arial" w:cs="Arial" w:eastAsia="Arial" w:hAnsi="Arial"/>
          <w:sz w:val="14"/>
          <w:szCs w:val="14"/>
          <w:b w:val="1"/>
          <w:bCs w:val="1"/>
          <w:color w:val="auto"/>
        </w:rPr>
        <w:t>to</w:t>
      </w:r>
    </w:p>
    <w:p>
      <w:pPr>
        <w:spacing w:after="0" w:line="44" w:lineRule="exact"/>
        <w:rPr>
          <w:sz w:val="24"/>
          <w:szCs w:val="24"/>
          <w:color w:val="auto"/>
        </w:rPr>
      </w:pPr>
    </w:p>
    <w:p>
      <w:pPr>
        <w:jc w:val="center"/>
        <w:ind w:right="-3"/>
        <w:spacing w:after="0"/>
        <w:rPr>
          <w:sz w:val="20"/>
          <w:szCs w:val="20"/>
          <w:color w:val="auto"/>
        </w:rPr>
      </w:pPr>
      <w:r>
        <w:rPr>
          <w:rFonts w:ascii="Arial" w:cs="Arial" w:eastAsia="Arial" w:hAnsi="Arial"/>
          <w:sz w:val="15"/>
          <w:szCs w:val="15"/>
          <w:b w:val="1"/>
          <w:bCs w:val="1"/>
          <w:color w:val="auto"/>
        </w:rPr>
        <w:t>Commission file number: 001-33277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115570</wp:posOffset>
            </wp:positionV>
            <wp:extent cx="14744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189"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MADRIGAL PHARMACEUTICALS, INC.</w:t>
      </w:r>
    </w:p>
    <w:p>
      <w:pPr>
        <w:spacing w:after="0" w:line="36" w:lineRule="exact"/>
        <w:rPr>
          <w:sz w:val="24"/>
          <w:szCs w:val="24"/>
          <w:color w:val="auto"/>
        </w:rPr>
      </w:pPr>
    </w:p>
    <w:p>
      <w:pPr>
        <w:jc w:val="center"/>
        <w:ind w:right="-3"/>
        <w:spacing w:after="0"/>
        <w:rPr>
          <w:sz w:val="20"/>
          <w:szCs w:val="20"/>
          <w:color w:val="auto"/>
        </w:rPr>
      </w:pPr>
      <w:r>
        <w:rPr>
          <w:rFonts w:ascii="Arial" w:cs="Arial" w:eastAsia="Arial" w:hAnsi="Arial"/>
          <w:sz w:val="15"/>
          <w:szCs w:val="15"/>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105410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35" w:lineRule="exact"/>
        <w:rPr>
          <w:sz w:val="24"/>
          <w:szCs w:val="24"/>
          <w:color w:val="auto"/>
        </w:rPr>
      </w:pPr>
    </w:p>
    <w:tbl>
      <w:tblPr>
        <w:tblLayout w:type="fixed"/>
        <w:tblInd w:w="4" w:type="dxa"/>
        <w:tblCellMar>
          <w:top w:w="0" w:type="dxa"/>
          <w:left w:w="0" w:type="dxa"/>
          <w:bottom w:w="0" w:type="dxa"/>
          <w:right w:w="0" w:type="dxa"/>
        </w:tblCellMar>
      </w:tblPr>
      <w:tr>
        <w:trPr>
          <w:trHeight w:val="172"/>
        </w:trPr>
        <w:tc>
          <w:tcPr>
            <w:tcW w:w="4660" w:type="dxa"/>
            <w:vAlign w:val="bottom"/>
            <w:gridSpan w:val="3"/>
          </w:tcPr>
          <w:p>
            <w:pPr>
              <w:jc w:val="center"/>
              <w:ind w:left="805"/>
              <w:spacing w:after="0"/>
              <w:rPr>
                <w:sz w:val="20"/>
                <w:szCs w:val="20"/>
                <w:color w:val="auto"/>
              </w:rPr>
            </w:pPr>
            <w:r>
              <w:rPr>
                <w:rFonts w:ascii="Arial" w:cs="Arial" w:eastAsia="Arial" w:hAnsi="Arial"/>
                <w:sz w:val="15"/>
                <w:szCs w:val="15"/>
                <w:b w:val="1"/>
                <w:bCs w:val="1"/>
                <w:color w:val="auto"/>
                <w:w w:val="94"/>
              </w:rPr>
              <w:t>Delaware</w:t>
            </w:r>
          </w:p>
        </w:tc>
        <w:tc>
          <w:tcPr>
            <w:tcW w:w="2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280" w:type="dxa"/>
            <w:vAlign w:val="bottom"/>
          </w:tcPr>
          <w:p>
            <w:pPr>
              <w:jc w:val="right"/>
              <w:ind w:right="2246"/>
              <w:spacing w:after="0"/>
              <w:rPr>
                <w:sz w:val="20"/>
                <w:szCs w:val="20"/>
                <w:color w:val="auto"/>
              </w:rPr>
            </w:pPr>
            <w:r>
              <w:rPr>
                <w:rFonts w:ascii="Arial" w:cs="Arial" w:eastAsia="Arial" w:hAnsi="Arial"/>
                <w:sz w:val="15"/>
                <w:szCs w:val="15"/>
                <w:b w:val="1"/>
                <w:bCs w:val="1"/>
                <w:color w:val="auto"/>
              </w:rPr>
              <w:t>04-3508648</w:t>
            </w:r>
          </w:p>
        </w:tc>
        <w:tc>
          <w:tcPr>
            <w:tcW w:w="0" w:type="dxa"/>
            <w:vAlign w:val="bottom"/>
          </w:tcPr>
          <w:p>
            <w:pPr>
              <w:spacing w:after="0"/>
              <w:rPr>
                <w:sz w:val="1"/>
                <w:szCs w:val="1"/>
                <w:color w:val="auto"/>
              </w:rPr>
            </w:pPr>
          </w:p>
        </w:tc>
      </w:tr>
      <w:tr>
        <w:trPr>
          <w:trHeight w:val="148"/>
        </w:trPr>
        <w:tc>
          <w:tcPr>
            <w:tcW w:w="4660" w:type="dxa"/>
            <w:vAlign w:val="bottom"/>
            <w:gridSpan w:val="3"/>
          </w:tcPr>
          <w:p>
            <w:pPr>
              <w:jc w:val="center"/>
              <w:ind w:left="825"/>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2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280" w:type="dxa"/>
            <w:vAlign w:val="bottom"/>
          </w:tcPr>
          <w:p>
            <w:pPr>
              <w:jc w:val="center"/>
              <w:ind w:right="2006"/>
              <w:spacing w:after="0" w:line="149" w:lineRule="exact"/>
              <w:rPr>
                <w:sz w:val="20"/>
                <w:szCs w:val="20"/>
                <w:color w:val="auto"/>
              </w:rPr>
            </w:pPr>
            <w:r>
              <w:rPr>
                <w:rFonts w:ascii="Arial" w:cs="Arial" w:eastAsia="Arial" w:hAnsi="Arial"/>
                <w:sz w:val="14"/>
                <w:szCs w:val="14"/>
                <w:b w:val="1"/>
                <w:bCs w:val="1"/>
                <w:color w:val="auto"/>
                <w:w w:val="96"/>
              </w:rPr>
              <w:t>(I.R.S. Employer</w:t>
            </w:r>
          </w:p>
        </w:tc>
        <w:tc>
          <w:tcPr>
            <w:tcW w:w="0" w:type="dxa"/>
            <w:vAlign w:val="bottom"/>
          </w:tcPr>
          <w:p>
            <w:pPr>
              <w:spacing w:after="0"/>
              <w:rPr>
                <w:sz w:val="1"/>
                <w:szCs w:val="1"/>
                <w:color w:val="auto"/>
              </w:rPr>
            </w:pPr>
          </w:p>
        </w:tc>
      </w:tr>
      <w:tr>
        <w:trPr>
          <w:trHeight w:val="186"/>
        </w:trPr>
        <w:tc>
          <w:tcPr>
            <w:tcW w:w="4660" w:type="dxa"/>
            <w:vAlign w:val="bottom"/>
            <w:gridSpan w:val="3"/>
          </w:tcPr>
          <w:p>
            <w:pPr>
              <w:jc w:val="center"/>
              <w:ind w:left="825"/>
              <w:spacing w:after="0"/>
              <w:rPr>
                <w:sz w:val="20"/>
                <w:szCs w:val="20"/>
                <w:color w:val="auto"/>
              </w:rPr>
            </w:pPr>
            <w:r>
              <w:rPr>
                <w:rFonts w:ascii="Arial" w:cs="Arial" w:eastAsia="Arial" w:hAnsi="Arial"/>
                <w:sz w:val="14"/>
                <w:szCs w:val="14"/>
                <w:b w:val="1"/>
                <w:bCs w:val="1"/>
                <w:color w:val="auto"/>
                <w:w w:val="94"/>
              </w:rPr>
              <w:t>incorporation or organization)</w:t>
            </w:r>
          </w:p>
        </w:tc>
        <w:tc>
          <w:tcPr>
            <w:tcW w:w="2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280" w:type="dxa"/>
            <w:vAlign w:val="bottom"/>
          </w:tcPr>
          <w:p>
            <w:pPr>
              <w:jc w:val="center"/>
              <w:ind w:right="2006"/>
              <w:spacing w:after="0"/>
              <w:rPr>
                <w:sz w:val="20"/>
                <w:szCs w:val="20"/>
                <w:color w:val="auto"/>
              </w:rPr>
            </w:pPr>
            <w:r>
              <w:rPr>
                <w:rFonts w:ascii="Arial" w:cs="Arial" w:eastAsia="Arial" w:hAnsi="Arial"/>
                <w:sz w:val="14"/>
                <w:szCs w:val="14"/>
                <w:b w:val="1"/>
                <w:bCs w:val="1"/>
                <w:color w:val="auto"/>
                <w:w w:val="94"/>
              </w:rPr>
              <w:t>Identification No.)</w:t>
            </w:r>
          </w:p>
        </w:tc>
        <w:tc>
          <w:tcPr>
            <w:tcW w:w="0" w:type="dxa"/>
            <w:vAlign w:val="bottom"/>
          </w:tcPr>
          <w:p>
            <w:pPr>
              <w:spacing w:after="0"/>
              <w:rPr>
                <w:sz w:val="1"/>
                <w:szCs w:val="1"/>
                <w:color w:val="auto"/>
              </w:rPr>
            </w:pPr>
          </w:p>
        </w:tc>
      </w:tr>
      <w:tr>
        <w:trPr>
          <w:trHeight w:val="211"/>
        </w:trPr>
        <w:tc>
          <w:tcPr>
            <w:tcW w:w="4660" w:type="dxa"/>
            <w:vAlign w:val="bottom"/>
            <w:gridSpan w:val="3"/>
          </w:tcPr>
          <w:p>
            <w:pPr>
              <w:jc w:val="center"/>
              <w:ind w:left="825"/>
              <w:spacing w:after="0"/>
              <w:rPr>
                <w:sz w:val="20"/>
                <w:szCs w:val="20"/>
                <w:color w:val="auto"/>
              </w:rPr>
            </w:pPr>
            <w:r>
              <w:rPr>
                <w:rFonts w:ascii="Arial" w:cs="Arial" w:eastAsia="Arial" w:hAnsi="Arial"/>
                <w:sz w:val="15"/>
                <w:szCs w:val="15"/>
                <w:b w:val="1"/>
                <w:bCs w:val="1"/>
                <w:color w:val="auto"/>
                <w:w w:val="92"/>
              </w:rPr>
              <w:t>Four Tower Bridge</w:t>
            </w:r>
          </w:p>
        </w:tc>
        <w:tc>
          <w:tcPr>
            <w:tcW w:w="2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4660" w:type="dxa"/>
            <w:vAlign w:val="bottom"/>
            <w:gridSpan w:val="3"/>
          </w:tcPr>
          <w:p>
            <w:pPr>
              <w:jc w:val="center"/>
              <w:ind w:left="825"/>
              <w:spacing w:after="0" w:line="162" w:lineRule="exact"/>
              <w:rPr>
                <w:sz w:val="20"/>
                <w:szCs w:val="20"/>
                <w:color w:val="auto"/>
              </w:rPr>
            </w:pPr>
            <w:r>
              <w:rPr>
                <w:rFonts w:ascii="Arial" w:cs="Arial" w:eastAsia="Arial" w:hAnsi="Arial"/>
                <w:sz w:val="15"/>
                <w:szCs w:val="15"/>
                <w:b w:val="1"/>
                <w:bCs w:val="1"/>
                <w:color w:val="auto"/>
                <w:w w:val="95"/>
              </w:rPr>
              <w:t>200 Barr Harbor Drive, Suite 200</w:t>
            </w:r>
          </w:p>
        </w:tc>
        <w:tc>
          <w:tcPr>
            <w:tcW w:w="2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4660" w:type="dxa"/>
            <w:vAlign w:val="bottom"/>
            <w:gridSpan w:val="3"/>
          </w:tcPr>
          <w:p>
            <w:pPr>
              <w:jc w:val="center"/>
              <w:ind w:left="805"/>
              <w:spacing w:after="0" w:line="170" w:lineRule="exact"/>
              <w:rPr>
                <w:sz w:val="20"/>
                <w:szCs w:val="20"/>
                <w:color w:val="auto"/>
              </w:rPr>
            </w:pPr>
            <w:r>
              <w:rPr>
                <w:rFonts w:ascii="Arial" w:cs="Arial" w:eastAsia="Arial" w:hAnsi="Arial"/>
                <w:sz w:val="15"/>
                <w:szCs w:val="15"/>
                <w:b w:val="1"/>
                <w:bCs w:val="1"/>
                <w:color w:val="auto"/>
                <w:w w:val="89"/>
              </w:rPr>
              <w:t>West Conshohocken, Pennsylvania</w:t>
            </w:r>
          </w:p>
        </w:tc>
        <w:tc>
          <w:tcPr>
            <w:tcW w:w="2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280" w:type="dxa"/>
            <w:vAlign w:val="bottom"/>
          </w:tcPr>
          <w:p>
            <w:pPr>
              <w:jc w:val="right"/>
              <w:ind w:right="2406"/>
              <w:spacing w:after="0" w:line="170" w:lineRule="exact"/>
              <w:rPr>
                <w:sz w:val="20"/>
                <w:szCs w:val="20"/>
                <w:color w:val="auto"/>
              </w:rPr>
            </w:pPr>
            <w:r>
              <w:rPr>
                <w:rFonts w:ascii="Arial" w:cs="Arial" w:eastAsia="Arial" w:hAnsi="Arial"/>
                <w:sz w:val="15"/>
                <w:szCs w:val="15"/>
                <w:b w:val="1"/>
                <w:bCs w:val="1"/>
                <w:color w:val="auto"/>
              </w:rPr>
              <w:t>19428</w:t>
            </w:r>
          </w:p>
        </w:tc>
        <w:tc>
          <w:tcPr>
            <w:tcW w:w="0" w:type="dxa"/>
            <w:vAlign w:val="bottom"/>
          </w:tcPr>
          <w:p>
            <w:pPr>
              <w:spacing w:after="0"/>
              <w:rPr>
                <w:sz w:val="1"/>
                <w:szCs w:val="1"/>
                <w:color w:val="auto"/>
              </w:rPr>
            </w:pPr>
          </w:p>
        </w:tc>
      </w:tr>
      <w:tr>
        <w:trPr>
          <w:trHeight w:val="186"/>
        </w:trPr>
        <w:tc>
          <w:tcPr>
            <w:tcW w:w="4660" w:type="dxa"/>
            <w:vAlign w:val="bottom"/>
            <w:gridSpan w:val="3"/>
          </w:tcPr>
          <w:p>
            <w:pPr>
              <w:jc w:val="center"/>
              <w:ind w:left="805"/>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2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280" w:type="dxa"/>
            <w:vAlign w:val="bottom"/>
          </w:tcPr>
          <w:p>
            <w:pPr>
              <w:jc w:val="center"/>
              <w:ind w:right="2006"/>
              <w:spacing w:after="0"/>
              <w:rPr>
                <w:sz w:val="20"/>
                <w:szCs w:val="20"/>
                <w:color w:val="auto"/>
              </w:rPr>
            </w:pPr>
            <w:r>
              <w:rPr>
                <w:rFonts w:ascii="Arial" w:cs="Arial" w:eastAsia="Arial" w:hAnsi="Arial"/>
                <w:sz w:val="14"/>
                <w:szCs w:val="14"/>
                <w:b w:val="1"/>
                <w:bCs w:val="1"/>
                <w:color w:val="auto"/>
                <w:w w:val="98"/>
              </w:rPr>
              <w:t>(Zip Code)</w:t>
            </w:r>
          </w:p>
        </w:tc>
        <w:tc>
          <w:tcPr>
            <w:tcW w:w="0" w:type="dxa"/>
            <w:vAlign w:val="bottom"/>
          </w:tcPr>
          <w:p>
            <w:pPr>
              <w:spacing w:after="0"/>
              <w:rPr>
                <w:sz w:val="1"/>
                <w:szCs w:val="1"/>
                <w:color w:val="auto"/>
              </w:rPr>
            </w:pPr>
          </w:p>
        </w:tc>
      </w:tr>
      <w:tr>
        <w:trPr>
          <w:trHeight w:val="184"/>
        </w:trPr>
        <w:tc>
          <w:tcPr>
            <w:tcW w:w="7740" w:type="dxa"/>
            <w:vAlign w:val="bottom"/>
            <w:gridSpan w:val="6"/>
          </w:tcPr>
          <w:p>
            <w:pPr>
              <w:jc w:val="center"/>
              <w:ind w:left="3185"/>
              <w:spacing w:after="0"/>
              <w:rPr>
                <w:sz w:val="20"/>
                <w:szCs w:val="20"/>
                <w:color w:val="auto"/>
              </w:rPr>
            </w:pPr>
            <w:r>
              <w:rPr>
                <w:rFonts w:ascii="Arial" w:cs="Arial" w:eastAsia="Arial" w:hAnsi="Arial"/>
                <w:sz w:val="15"/>
                <w:szCs w:val="15"/>
                <w:b w:val="1"/>
                <w:bCs w:val="1"/>
                <w:color w:val="auto"/>
                <w:w w:val="91"/>
              </w:rPr>
              <w:t>Registrant’s telephone number, including area code: (267) 824-2827</w:t>
            </w:r>
          </w:p>
        </w:tc>
        <w:tc>
          <w:tcPr>
            <w:tcW w:w="3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11020" w:type="dxa"/>
            <w:vAlign w:val="bottom"/>
            <w:gridSpan w:val="7"/>
          </w:tcPr>
          <w:p>
            <w:pPr>
              <w:jc w:val="center"/>
              <w:spacing w:after="0" w:line="162" w:lineRule="exact"/>
              <w:rPr>
                <w:sz w:val="20"/>
                <w:szCs w:val="20"/>
                <w:color w:val="auto"/>
              </w:rPr>
            </w:pPr>
            <w:r>
              <w:rPr>
                <w:rFonts w:ascii="Arial" w:cs="Arial" w:eastAsia="Arial" w:hAnsi="Arial"/>
                <w:sz w:val="15"/>
                <w:szCs w:val="15"/>
                <w:b w:val="1"/>
                <w:bCs w:val="1"/>
                <w:color w:val="auto"/>
                <w:w w:val="91"/>
              </w:rPr>
              <w:t>Former name, former address and former fiscal year, if changed since last report:</w:t>
            </w:r>
          </w:p>
        </w:tc>
        <w:tc>
          <w:tcPr>
            <w:tcW w:w="0" w:type="dxa"/>
            <w:vAlign w:val="bottom"/>
          </w:tcPr>
          <w:p>
            <w:pPr>
              <w:spacing w:after="0"/>
              <w:rPr>
                <w:sz w:val="1"/>
                <w:szCs w:val="1"/>
                <w:color w:val="auto"/>
              </w:rPr>
            </w:pPr>
          </w:p>
        </w:tc>
      </w:tr>
      <w:tr>
        <w:trPr>
          <w:trHeight w:val="198"/>
        </w:trPr>
        <w:tc>
          <w:tcPr>
            <w:tcW w:w="7740" w:type="dxa"/>
            <w:vAlign w:val="bottom"/>
            <w:gridSpan w:val="6"/>
          </w:tcPr>
          <w:p>
            <w:pPr>
              <w:jc w:val="center"/>
              <w:ind w:left="3205"/>
              <w:spacing w:after="0"/>
              <w:rPr>
                <w:sz w:val="20"/>
                <w:szCs w:val="20"/>
                <w:color w:val="auto"/>
              </w:rPr>
            </w:pPr>
            <w:r>
              <w:rPr>
                <w:rFonts w:ascii="Arial" w:cs="Arial" w:eastAsia="Arial" w:hAnsi="Arial"/>
                <w:sz w:val="15"/>
                <w:szCs w:val="15"/>
                <w:b w:val="1"/>
                <w:bCs w:val="1"/>
                <w:color w:val="auto"/>
                <w:w w:val="90"/>
              </w:rPr>
              <w:t>Securities registered pursuant to Section 12(b) of the Exchange Act:</w:t>
            </w:r>
          </w:p>
        </w:tc>
        <w:tc>
          <w:tcPr>
            <w:tcW w:w="3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4"/>
        </w:trPr>
        <w:tc>
          <w:tcPr>
            <w:tcW w:w="4660" w:type="dxa"/>
            <w:vAlign w:val="bottom"/>
            <w:gridSpan w:val="3"/>
            <w:vMerge w:val="restart"/>
          </w:tcPr>
          <w:p>
            <w:pPr>
              <w:jc w:val="center"/>
              <w:ind w:right="940"/>
              <w:spacing w:after="0"/>
              <w:rPr>
                <w:sz w:val="20"/>
                <w:szCs w:val="20"/>
                <w:color w:val="auto"/>
              </w:rPr>
            </w:pPr>
            <w:r>
              <w:rPr>
                <w:rFonts w:ascii="Arial" w:cs="Arial" w:eastAsia="Arial" w:hAnsi="Arial"/>
                <w:sz w:val="14"/>
                <w:szCs w:val="14"/>
                <w:b w:val="1"/>
                <w:bCs w:val="1"/>
                <w:color w:val="auto"/>
                <w:w w:val="89"/>
              </w:rPr>
              <w:t>Title of each class</w:t>
            </w:r>
          </w:p>
        </w:tc>
        <w:tc>
          <w:tcPr>
            <w:tcW w:w="3080" w:type="dxa"/>
            <w:vAlign w:val="bottom"/>
            <w:gridSpan w:val="3"/>
          </w:tcPr>
          <w:p>
            <w:pPr>
              <w:jc w:val="center"/>
              <w:ind w:right="1160"/>
              <w:spacing w:after="0"/>
              <w:rPr>
                <w:sz w:val="20"/>
                <w:szCs w:val="20"/>
                <w:color w:val="auto"/>
              </w:rPr>
            </w:pPr>
            <w:r>
              <w:rPr>
                <w:rFonts w:ascii="Arial" w:cs="Arial" w:eastAsia="Arial" w:hAnsi="Arial"/>
                <w:sz w:val="14"/>
                <w:szCs w:val="14"/>
                <w:b w:val="1"/>
                <w:bCs w:val="1"/>
                <w:color w:val="auto"/>
                <w:w w:val="93"/>
              </w:rPr>
              <w:t>Trading</w:t>
            </w:r>
          </w:p>
        </w:tc>
        <w:tc>
          <w:tcPr>
            <w:tcW w:w="3280" w:type="dxa"/>
            <w:vAlign w:val="bottom"/>
          </w:tcPr>
          <w:p>
            <w:pPr>
              <w:jc w:val="center"/>
              <w:ind w:right="186"/>
              <w:spacing w:after="0"/>
              <w:rPr>
                <w:sz w:val="20"/>
                <w:szCs w:val="20"/>
                <w:color w:val="auto"/>
              </w:rPr>
            </w:pPr>
            <w:r>
              <w:rPr>
                <w:rFonts w:ascii="Arial" w:cs="Arial" w:eastAsia="Arial" w:hAnsi="Arial"/>
                <w:sz w:val="14"/>
                <w:szCs w:val="14"/>
                <w:b w:val="1"/>
                <w:bCs w:val="1"/>
                <w:color w:val="auto"/>
                <w:w w:val="89"/>
              </w:rPr>
              <w:t>Name of each exchange on</w:t>
            </w:r>
          </w:p>
        </w:tc>
        <w:tc>
          <w:tcPr>
            <w:tcW w:w="0" w:type="dxa"/>
            <w:vAlign w:val="bottom"/>
          </w:tcPr>
          <w:p>
            <w:pPr>
              <w:spacing w:after="0"/>
              <w:rPr>
                <w:sz w:val="1"/>
                <w:szCs w:val="1"/>
                <w:color w:val="auto"/>
              </w:rPr>
            </w:pPr>
          </w:p>
        </w:tc>
      </w:tr>
      <w:tr>
        <w:trPr>
          <w:trHeight w:val="185"/>
        </w:trPr>
        <w:tc>
          <w:tcPr>
            <w:tcW w:w="4660" w:type="dxa"/>
            <w:vAlign w:val="bottom"/>
            <w:gridSpan w:val="3"/>
            <w:vMerge w:val="continue"/>
          </w:tcPr>
          <w:p>
            <w:pPr>
              <w:spacing w:after="0"/>
              <w:rPr>
                <w:sz w:val="16"/>
                <w:szCs w:val="16"/>
                <w:color w:val="auto"/>
              </w:rPr>
            </w:pPr>
          </w:p>
        </w:tc>
        <w:tc>
          <w:tcPr>
            <w:tcW w:w="3080" w:type="dxa"/>
            <w:vAlign w:val="bottom"/>
            <w:gridSpan w:val="3"/>
          </w:tcPr>
          <w:p>
            <w:pPr>
              <w:jc w:val="center"/>
              <w:ind w:right="1160"/>
              <w:spacing w:after="0"/>
              <w:rPr>
                <w:sz w:val="20"/>
                <w:szCs w:val="20"/>
                <w:color w:val="auto"/>
              </w:rPr>
            </w:pPr>
            <w:r>
              <w:rPr>
                <w:rFonts w:ascii="Arial" w:cs="Arial" w:eastAsia="Arial" w:hAnsi="Arial"/>
                <w:sz w:val="14"/>
                <w:szCs w:val="14"/>
                <w:b w:val="1"/>
                <w:bCs w:val="1"/>
                <w:color w:val="auto"/>
                <w:w w:val="88"/>
              </w:rPr>
              <w:t>Symbol(s)</w:t>
            </w:r>
          </w:p>
        </w:tc>
        <w:tc>
          <w:tcPr>
            <w:tcW w:w="3280" w:type="dxa"/>
            <w:vAlign w:val="bottom"/>
          </w:tcPr>
          <w:p>
            <w:pPr>
              <w:jc w:val="center"/>
              <w:ind w:right="186"/>
              <w:spacing w:after="0"/>
              <w:rPr>
                <w:sz w:val="20"/>
                <w:szCs w:val="20"/>
                <w:color w:val="auto"/>
              </w:rPr>
            </w:pPr>
            <w:r>
              <w:rPr>
                <w:rFonts w:ascii="Arial" w:cs="Arial" w:eastAsia="Arial" w:hAnsi="Arial"/>
                <w:sz w:val="14"/>
                <w:szCs w:val="14"/>
                <w:b w:val="1"/>
                <w:bCs w:val="1"/>
                <w:color w:val="auto"/>
                <w:w w:val="91"/>
              </w:rPr>
              <w:t>which registered</w:t>
            </w:r>
          </w:p>
        </w:tc>
        <w:tc>
          <w:tcPr>
            <w:tcW w:w="0" w:type="dxa"/>
            <w:vAlign w:val="bottom"/>
          </w:tcPr>
          <w:p>
            <w:pPr>
              <w:spacing w:after="0"/>
              <w:rPr>
                <w:sz w:val="1"/>
                <w:szCs w:val="1"/>
                <w:color w:val="auto"/>
              </w:rPr>
            </w:pPr>
          </w:p>
        </w:tc>
      </w:tr>
      <w:tr>
        <w:trPr>
          <w:trHeight w:val="192"/>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5"/>
                <w:szCs w:val="15"/>
                <w:b w:val="1"/>
                <w:bCs w:val="1"/>
                <w:color w:val="auto"/>
                <w:w w:val="92"/>
              </w:rPr>
              <w:t>Common Stock, $0.0001 Par Value Per Share</w:t>
            </w:r>
          </w:p>
        </w:tc>
        <w:tc>
          <w:tcPr>
            <w:tcW w:w="120" w:type="dxa"/>
            <w:vAlign w:val="bottom"/>
          </w:tcPr>
          <w:p>
            <w:pPr>
              <w:spacing w:after="0"/>
              <w:rPr>
                <w:sz w:val="16"/>
                <w:szCs w:val="16"/>
                <w:color w:val="auto"/>
              </w:rPr>
            </w:pPr>
          </w:p>
        </w:tc>
        <w:tc>
          <w:tcPr>
            <w:tcW w:w="800" w:type="dxa"/>
            <w:vAlign w:val="bottom"/>
            <w:tcBorders>
              <w:top w:val="single" w:sz="8" w:color="auto"/>
            </w:tcBorders>
          </w:tcPr>
          <w:p>
            <w:pPr>
              <w:spacing w:after="0"/>
              <w:rPr>
                <w:sz w:val="16"/>
                <w:szCs w:val="16"/>
                <w:color w:val="auto"/>
              </w:rPr>
            </w:pPr>
          </w:p>
        </w:tc>
        <w:tc>
          <w:tcPr>
            <w:tcW w:w="2720" w:type="dxa"/>
            <w:vAlign w:val="bottom"/>
            <w:tcBorders>
              <w:top w:val="single" w:sz="8" w:color="auto"/>
            </w:tcBorders>
          </w:tcPr>
          <w:p>
            <w:pPr>
              <w:jc w:val="center"/>
              <w:ind w:right="727"/>
              <w:spacing w:after="0"/>
              <w:rPr>
                <w:sz w:val="20"/>
                <w:szCs w:val="20"/>
                <w:color w:val="auto"/>
              </w:rPr>
            </w:pPr>
            <w:r>
              <w:rPr>
                <w:rFonts w:ascii="Arial" w:cs="Arial" w:eastAsia="Arial" w:hAnsi="Arial"/>
                <w:sz w:val="15"/>
                <w:szCs w:val="15"/>
                <w:b w:val="1"/>
                <w:bCs w:val="1"/>
                <w:color w:val="auto"/>
              </w:rPr>
              <w:t>MDGL</w:t>
            </w:r>
          </w:p>
        </w:tc>
        <w:tc>
          <w:tcPr>
            <w:tcW w:w="100" w:type="dxa"/>
            <w:vAlign w:val="bottom"/>
          </w:tcPr>
          <w:p>
            <w:pPr>
              <w:spacing w:after="0"/>
              <w:rPr>
                <w:sz w:val="16"/>
                <w:szCs w:val="16"/>
                <w:color w:val="auto"/>
              </w:rPr>
            </w:pPr>
          </w:p>
        </w:tc>
        <w:tc>
          <w:tcPr>
            <w:tcW w:w="260" w:type="dxa"/>
            <w:vAlign w:val="bottom"/>
            <w:tcBorders>
              <w:top w:val="single" w:sz="8" w:color="auto"/>
            </w:tcBorders>
          </w:tcPr>
          <w:p>
            <w:pPr>
              <w:spacing w:after="0"/>
              <w:rPr>
                <w:sz w:val="16"/>
                <w:szCs w:val="16"/>
                <w:color w:val="auto"/>
              </w:rPr>
            </w:pPr>
          </w:p>
        </w:tc>
        <w:tc>
          <w:tcPr>
            <w:tcW w:w="3280" w:type="dxa"/>
            <w:vAlign w:val="bottom"/>
            <w:tcBorders>
              <w:top w:val="single" w:sz="8" w:color="auto"/>
            </w:tcBorders>
          </w:tcPr>
          <w:p>
            <w:pPr>
              <w:jc w:val="center"/>
              <w:ind w:right="186"/>
              <w:spacing w:after="0"/>
              <w:rPr>
                <w:sz w:val="20"/>
                <w:szCs w:val="20"/>
                <w:color w:val="auto"/>
              </w:rPr>
            </w:pPr>
            <w:r>
              <w:rPr>
                <w:rFonts w:ascii="Arial" w:cs="Arial" w:eastAsia="Arial" w:hAnsi="Arial"/>
                <w:sz w:val="15"/>
                <w:szCs w:val="15"/>
                <w:b w:val="1"/>
                <w:bCs w:val="1"/>
                <w:color w:val="auto"/>
                <w:w w:val="97"/>
              </w:rPr>
              <w:t>The NASDAQ Stock Market LLC</w:t>
            </w:r>
          </w:p>
        </w:tc>
        <w:tc>
          <w:tcPr>
            <w:tcW w:w="0" w:type="dxa"/>
            <w:vAlign w:val="bottom"/>
          </w:tcPr>
          <w:p>
            <w:pPr>
              <w:spacing w:after="0"/>
              <w:rPr>
                <w:sz w:val="1"/>
                <w:szCs w:val="1"/>
                <w:color w:val="auto"/>
              </w:rPr>
            </w:pPr>
          </w:p>
        </w:tc>
      </w:tr>
    </w:tbl>
    <w:p>
      <w:pPr>
        <w:jc w:val="center"/>
        <w:ind w:right="-3"/>
        <w:spacing w:after="0"/>
        <w:rPr>
          <w:sz w:val="20"/>
          <w:szCs w:val="20"/>
          <w:color w:val="auto"/>
        </w:rPr>
      </w:pPr>
      <w:r>
        <w:rPr>
          <w:rFonts w:ascii="Arial" w:cs="Arial" w:eastAsia="Arial" w:hAnsi="Arial"/>
          <w:sz w:val="15"/>
          <w:szCs w:val="15"/>
          <w:b w:val="1"/>
          <w:bCs w:val="1"/>
          <w:color w:val="auto"/>
        </w:rPr>
        <w:t>Securities registered pursuant to Section 12(g) of the Exchange Act: None.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115570</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50" w:right="439" w:bottom="1440" w:gutter="0" w:footer="0" w:header="0"/>
        </w:sectPr>
      </w:pPr>
    </w:p>
    <w:p>
      <w:pPr>
        <w:spacing w:after="0" w:line="250" w:lineRule="exact"/>
        <w:rPr>
          <w:sz w:val="24"/>
          <w:szCs w:val="24"/>
          <w:color w:val="auto"/>
        </w:rPr>
      </w:pPr>
    </w:p>
    <w:p>
      <w:pPr>
        <w:ind w:left="4"/>
        <w:spacing w:after="0"/>
        <w:rPr>
          <w:sz w:val="20"/>
          <w:szCs w:val="20"/>
          <w:color w:val="auto"/>
        </w:rPr>
      </w:pPr>
      <w:r>
        <w:rPr>
          <w:rFonts w:ascii="Arial" w:cs="Arial" w:eastAsia="Arial" w:hAnsi="Arial"/>
          <w:sz w:val="13"/>
          <w:szCs w:val="13"/>
          <w:color w:val="auto"/>
        </w:rPr>
        <w:t>Indicate by check mark if the registrant is a well-known seasoned issuer, as defined in Rule 405 of the Securities Act.</w:t>
      </w:r>
    </w:p>
    <w:p>
      <w:pPr>
        <w:spacing w:after="0" w:line="20" w:lineRule="exact"/>
        <w:rPr>
          <w:sz w:val="24"/>
          <w:szCs w:val="24"/>
          <w:color w:val="auto"/>
        </w:rPr>
      </w:pPr>
      <w:r>
        <w:rPr>
          <w:sz w:val="24"/>
          <w:szCs w:val="24"/>
          <w:color w:val="auto"/>
        </w:rPr>
        <w:br w:type="column"/>
      </w:r>
    </w:p>
    <w:p>
      <w:pPr>
        <w:spacing w:after="0" w:line="230" w:lineRule="exact"/>
        <w:rPr>
          <w:sz w:val="24"/>
          <w:szCs w:val="24"/>
          <w:color w:val="auto"/>
        </w:rPr>
      </w:pPr>
    </w:p>
    <w:p>
      <w:pPr>
        <w:spacing w:after="0"/>
        <w:rPr>
          <w:sz w:val="20"/>
          <w:szCs w:val="20"/>
          <w:color w:val="auto"/>
        </w:rPr>
      </w:pPr>
      <w:r>
        <w:rPr>
          <w:rFonts w:ascii="Arial" w:cs="Arial" w:eastAsia="Arial" w:hAnsi="Arial"/>
          <w:sz w:val="12"/>
          <w:szCs w:val="12"/>
          <w:color w:val="auto"/>
        </w:rPr>
        <w:t>Yes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br w:type="column"/>
      </w:r>
    </w:p>
    <w:p>
      <w:pPr>
        <w:spacing w:after="0" w:line="230" w:lineRule="exact"/>
        <w:rPr>
          <w:sz w:val="24"/>
          <w:szCs w:val="24"/>
          <w:color w:val="auto"/>
        </w:rPr>
      </w:pPr>
    </w:p>
    <w:p>
      <w:pPr>
        <w:spacing w:after="0"/>
        <w:rPr>
          <w:sz w:val="20"/>
          <w:szCs w:val="20"/>
          <w:color w:val="auto"/>
        </w:rPr>
      </w:pPr>
      <w:r>
        <w:rPr>
          <w:rFonts w:ascii="Arial" w:cs="Arial" w:eastAsia="Arial" w:hAnsi="Arial"/>
          <w:sz w:val="15"/>
          <w:szCs w:val="15"/>
          <w:color w:val="auto"/>
        </w:rPr>
        <w:t>No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103" w:lineRule="exact"/>
        <w:rPr>
          <w:sz w:val="24"/>
          <w:szCs w:val="24"/>
          <w:color w:val="auto"/>
        </w:rPr>
      </w:pPr>
    </w:p>
    <w:p>
      <w:pPr>
        <w:sectPr>
          <w:pgSz w:w="11900" w:h="16838" w:orient="portrait"/>
          <w:cols w:equalWidth="0" w:num="5">
            <w:col w:w="7184" w:space="140"/>
            <w:col w:w="220" w:space="80"/>
            <w:col w:w="140" w:space="140"/>
            <w:col w:w="200" w:space="80"/>
            <w:col w:w="2840"/>
          </w:cols>
          <w:pgMar w:left="436" w:top="350" w:right="439" w:bottom="1440" w:gutter="0" w:footer="0" w:header="0"/>
          <w:type w:val="continuous"/>
        </w:sectPr>
      </w:pPr>
    </w:p>
    <w:p>
      <w:pPr>
        <w:spacing w:after="0" w:line="30" w:lineRule="exact"/>
        <w:rPr>
          <w:sz w:val="24"/>
          <w:szCs w:val="24"/>
          <w:color w:val="auto"/>
        </w:rPr>
      </w:pPr>
    </w:p>
    <w:p>
      <w:pPr>
        <w:ind w:left="4"/>
        <w:spacing w:after="0"/>
        <w:rPr>
          <w:sz w:val="20"/>
          <w:szCs w:val="20"/>
          <w:color w:val="auto"/>
        </w:rPr>
      </w:pPr>
      <w:r>
        <w:rPr>
          <w:rFonts w:ascii="Arial" w:cs="Arial" w:eastAsia="Arial" w:hAnsi="Arial"/>
          <w:sz w:val="13"/>
          <w:szCs w:val="13"/>
          <w:color w:val="auto"/>
        </w:rPr>
        <w:t>Indicate by check mark if the registrant is not required to file reports pursuant to Section 13 or Section 15(d) of the Exchange Act.</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spacing w:after="0"/>
        <w:rPr>
          <w:sz w:val="20"/>
          <w:szCs w:val="20"/>
          <w:color w:val="auto"/>
        </w:rPr>
      </w:pPr>
      <w:r>
        <w:rPr>
          <w:rFonts w:ascii="Arial" w:cs="Arial" w:eastAsia="Arial" w:hAnsi="Arial"/>
          <w:sz w:val="12"/>
          <w:szCs w:val="12"/>
          <w:color w:val="auto"/>
        </w:rPr>
        <w:t>Yes</w:t>
      </w:r>
    </w:p>
    <w:p>
      <w:pPr>
        <w:spacing w:after="0" w:line="20" w:lineRule="exact"/>
        <w:rPr>
          <w:sz w:val="24"/>
          <w:szCs w:val="24"/>
          <w:color w:val="auto"/>
        </w:rPr>
      </w:pPr>
      <w:r>
        <w:rPr>
          <w:sz w:val="24"/>
          <w:szCs w:val="24"/>
          <w:color w:val="auto"/>
        </w:rPr>
        <w:br w:type="column"/>
      </w:r>
    </w:p>
    <w:p>
      <w:pPr>
        <w:spacing w:after="0" w:line="121" w:lineRule="exact"/>
        <w:rPr>
          <w:sz w:val="20"/>
          <w:szCs w:val="20"/>
          <w:color w:val="auto"/>
        </w:rPr>
      </w:pP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spacing w:after="0"/>
        <w:rPr>
          <w:sz w:val="20"/>
          <w:szCs w:val="20"/>
          <w:color w:val="auto"/>
        </w:rPr>
      </w:pPr>
      <w:r>
        <w:rPr>
          <w:rFonts w:ascii="Arial" w:cs="Arial" w:eastAsia="Arial" w:hAnsi="Arial"/>
          <w:sz w:val="15"/>
          <w:szCs w:val="15"/>
          <w:color w:val="auto"/>
        </w:rPr>
        <w:t>No</w:t>
      </w:r>
    </w:p>
    <w:p>
      <w:pPr>
        <w:spacing w:after="0" w:line="20" w:lineRule="exact"/>
        <w:rPr>
          <w:sz w:val="24"/>
          <w:szCs w:val="24"/>
          <w:color w:val="auto"/>
        </w:rPr>
      </w:pPr>
      <w:r>
        <w:rPr>
          <w:sz w:val="24"/>
          <w:szCs w:val="24"/>
          <w:color w:val="auto"/>
        </w:rPr>
        <w:br w:type="column"/>
      </w:r>
    </w:p>
    <w:p>
      <w:pPr>
        <w:spacing w:after="0" w:line="101" w:lineRule="exact"/>
        <w:rPr>
          <w:sz w:val="20"/>
          <w:szCs w:val="20"/>
          <w:color w:val="auto"/>
        </w:rPr>
      </w:pPr>
      <w:r>
        <w:rPr>
          <w:rFonts w:ascii="MS PGothic" w:cs="MS PGothic" w:eastAsia="MS PGothic" w:hAnsi="MS PGothic"/>
          <w:sz w:val="12"/>
          <w:szCs w:val="12"/>
          <w:color w:val="auto"/>
        </w:rPr>
        <w:t>☒</w:t>
      </w:r>
    </w:p>
    <w:p>
      <w:pPr>
        <w:spacing w:after="0" w:line="139" w:lineRule="exact"/>
        <w:rPr>
          <w:sz w:val="24"/>
          <w:szCs w:val="24"/>
          <w:color w:val="auto"/>
        </w:rPr>
      </w:pPr>
    </w:p>
    <w:p>
      <w:pPr>
        <w:sectPr>
          <w:pgSz w:w="11900" w:h="16838" w:orient="portrait"/>
          <w:cols w:equalWidth="0" w:num="5">
            <w:col w:w="7964" w:space="140"/>
            <w:col w:w="220" w:space="80"/>
            <w:col w:w="140" w:space="140"/>
            <w:col w:w="200" w:space="80"/>
            <w:col w:w="2060"/>
          </w:cols>
          <w:pgMar w:left="436" w:top="350" w:right="439" w:bottom="1440" w:gutter="0" w:footer="0" w:header="0"/>
          <w:type w:val="continuous"/>
        </w:sectPr>
      </w:pPr>
    </w:p>
    <w:p>
      <w:pPr>
        <w:ind w:left="4" w:right="420"/>
        <w:spacing w:after="0" w:line="256" w:lineRule="auto"/>
        <w:rPr>
          <w:sz w:val="20"/>
          <w:szCs w:val="20"/>
          <w:color w:val="auto"/>
        </w:rPr>
      </w:pPr>
      <w:r>
        <w:rPr>
          <w:rFonts w:ascii="Arial" w:cs="Arial" w:eastAsia="Arial" w:hAnsi="Arial"/>
          <w:sz w:val="14"/>
          <w:szCs w:val="14"/>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w:t>
      </w:r>
    </w:p>
    <w:p>
      <w:pPr>
        <w:ind w:left="4"/>
        <w:spacing w:after="0" w:line="173" w:lineRule="exact"/>
        <w:tabs>
          <w:tab w:leader="none" w:pos="644" w:val="left"/>
          <w:tab w:leader="none" w:pos="1224" w:val="left"/>
        </w:tabs>
        <w:rPr>
          <w:sz w:val="20"/>
          <w:szCs w:val="20"/>
          <w:color w:val="auto"/>
        </w:rPr>
      </w:pPr>
      <w:r>
        <w:rPr>
          <w:rFonts w:ascii="Arial" w:cs="Arial" w:eastAsia="Arial" w:hAnsi="Arial"/>
          <w:sz w:val="15"/>
          <w:szCs w:val="15"/>
          <w:color w:val="auto"/>
        </w:rPr>
        <w:t>90 days.</w:t>
        <w:tab/>
        <w:t xml:space="preserve">Yes </w:t>
      </w:r>
      <w:r>
        <w:rPr>
          <w:rFonts w:ascii="MS PGothic" w:cs="MS PGothic" w:eastAsia="MS PGothic" w:hAnsi="MS PGothic"/>
          <w:sz w:val="15"/>
          <w:szCs w:val="15"/>
          <w:color w:val="auto"/>
        </w:rPr>
        <w:t>☒</w:t>
      </w:r>
      <w:r>
        <w:rPr>
          <w:rFonts w:ascii="Arial" w:cs="Arial" w:eastAsia="Arial" w:hAnsi="Arial"/>
          <w:sz w:val="15"/>
          <w:szCs w:val="15"/>
          <w:color w:val="auto"/>
        </w:rPr>
        <w:tab/>
        <w:t xml:space="preserve">No </w:t>
      </w:r>
      <w:r>
        <w:rPr>
          <w:rFonts w:ascii="MS PGothic" w:cs="MS PGothic" w:eastAsia="MS PGothic" w:hAnsi="MS PGothic"/>
          <w:sz w:val="15"/>
          <w:szCs w:val="15"/>
          <w:color w:val="auto"/>
        </w:rPr>
        <w:t>☐</w:t>
      </w:r>
    </w:p>
    <w:p>
      <w:pPr>
        <w:spacing w:after="0" w:line="51" w:lineRule="exact"/>
        <w:rPr>
          <w:sz w:val="24"/>
          <w:szCs w:val="24"/>
          <w:color w:val="auto"/>
        </w:rPr>
      </w:pPr>
    </w:p>
    <w:p>
      <w:pPr>
        <w:ind w:left="4" w:right="140"/>
        <w:spacing w:after="0" w:line="193" w:lineRule="exact"/>
        <w:rPr>
          <w:sz w:val="20"/>
          <w:szCs w:val="20"/>
          <w:color w:val="auto"/>
        </w:rPr>
      </w:pPr>
      <w:r>
        <w:rPr>
          <w:rFonts w:ascii="Arial" w:cs="Arial" w:eastAsia="Arial" w:hAnsi="Arial"/>
          <w:sz w:val="15"/>
          <w:szCs w:val="15"/>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5"/>
          <w:szCs w:val="15"/>
          <w:color w:val="auto"/>
        </w:rPr>
        <w:t>☒</w:t>
      </w:r>
      <w:r>
        <w:rPr>
          <w:rFonts w:ascii="Arial" w:cs="Arial" w:eastAsia="Arial" w:hAnsi="Arial"/>
          <w:sz w:val="15"/>
          <w:szCs w:val="15"/>
          <w:color w:val="auto"/>
        </w:rPr>
        <w:t xml:space="preserve"> No </w:t>
      </w:r>
      <w:r>
        <w:rPr>
          <w:rFonts w:ascii="MS PGothic" w:cs="MS PGothic" w:eastAsia="MS PGothic" w:hAnsi="MS PGothic"/>
          <w:sz w:val="15"/>
          <w:szCs w:val="15"/>
          <w:color w:val="auto"/>
        </w:rPr>
        <w:t>☐</w:t>
      </w:r>
    </w:p>
    <w:p>
      <w:pPr>
        <w:spacing w:after="0" w:line="20" w:lineRule="exact"/>
        <w:rPr>
          <w:sz w:val="24"/>
          <w:szCs w:val="24"/>
          <w:color w:val="auto"/>
        </w:rPr>
      </w:pPr>
    </w:p>
    <w:p>
      <w:pPr>
        <w:ind w:left="4"/>
        <w:spacing w:after="0"/>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a smaller reporting company, or an emerging growth company.</w:t>
      </w:r>
    </w:p>
    <w:p>
      <w:pPr>
        <w:spacing w:after="0" w:line="25" w:lineRule="exact"/>
        <w:rPr>
          <w:sz w:val="24"/>
          <w:szCs w:val="24"/>
          <w:color w:val="auto"/>
        </w:rPr>
      </w:pPr>
    </w:p>
    <w:p>
      <w:pPr>
        <w:ind w:left="4"/>
        <w:spacing w:after="0"/>
        <w:rPr>
          <w:sz w:val="20"/>
          <w:szCs w:val="20"/>
          <w:color w:val="auto"/>
        </w:rPr>
      </w:pPr>
      <w:r>
        <w:rPr>
          <w:rFonts w:ascii="Arial" w:cs="Arial" w:eastAsia="Arial" w:hAnsi="Arial"/>
          <w:sz w:val="15"/>
          <w:szCs w:val="15"/>
          <w:color w:val="auto"/>
        </w:rPr>
        <w:t>See the definitions of “large accelerated filer,” “accelerated filer,” “smaller reporting company,” and “emerging growth company” in Rule 12b-2 of the Exchange Act.</w:t>
      </w:r>
    </w:p>
    <w:p>
      <w:pPr>
        <w:spacing w:after="0" w:line="29" w:lineRule="exact"/>
        <w:rPr>
          <w:sz w:val="24"/>
          <w:szCs w:val="24"/>
          <w:color w:val="auto"/>
        </w:rPr>
      </w:pPr>
    </w:p>
    <w:tbl>
      <w:tblPr>
        <w:tblLayout w:type="fixed"/>
        <w:tblInd w:w="4" w:type="dxa"/>
        <w:tblCellMar>
          <w:top w:w="0" w:type="dxa"/>
          <w:left w:w="0" w:type="dxa"/>
          <w:bottom w:w="0" w:type="dxa"/>
          <w:right w:w="0" w:type="dxa"/>
        </w:tblCellMar>
      </w:tblPr>
      <w:tr>
        <w:trPr>
          <w:trHeight w:val="240"/>
        </w:trPr>
        <w:tc>
          <w:tcPr>
            <w:tcW w:w="1620" w:type="dxa"/>
            <w:vAlign w:val="bottom"/>
          </w:tcPr>
          <w:p>
            <w:pPr>
              <w:spacing w:after="0"/>
              <w:rPr>
                <w:sz w:val="20"/>
                <w:szCs w:val="20"/>
                <w:color w:val="auto"/>
              </w:rPr>
            </w:pPr>
            <w:r>
              <w:rPr>
                <w:rFonts w:ascii="Arial" w:cs="Arial" w:eastAsia="Arial" w:hAnsi="Arial"/>
                <w:sz w:val="15"/>
                <w:szCs w:val="15"/>
                <w:color w:val="auto"/>
              </w:rPr>
              <w:t>Large accelerated filer</w:t>
            </w:r>
          </w:p>
        </w:tc>
        <w:tc>
          <w:tcPr>
            <w:tcW w:w="3680" w:type="dxa"/>
            <w:vAlign w:val="bottom"/>
          </w:tcPr>
          <w:p>
            <w:pPr>
              <w:ind w:left="260"/>
              <w:spacing w:after="0" w:line="151" w:lineRule="exact"/>
              <w:rPr>
                <w:sz w:val="20"/>
                <w:szCs w:val="20"/>
                <w:color w:val="auto"/>
              </w:rPr>
            </w:pPr>
            <w:r>
              <w:rPr>
                <w:rFonts w:ascii="MS PGothic" w:cs="MS PGothic" w:eastAsia="MS PGothic" w:hAnsi="MS PGothic"/>
                <w:sz w:val="15"/>
                <w:szCs w:val="15"/>
                <w:color w:val="auto"/>
              </w:rPr>
              <w:t>☒</w:t>
            </w:r>
          </w:p>
        </w:tc>
        <w:tc>
          <w:tcPr>
            <w:tcW w:w="5240" w:type="dxa"/>
            <w:vAlign w:val="bottom"/>
          </w:tcPr>
          <w:p>
            <w:pPr>
              <w:ind w:left="3300"/>
              <w:spacing w:after="0"/>
              <w:rPr>
                <w:sz w:val="20"/>
                <w:szCs w:val="20"/>
                <w:color w:val="auto"/>
              </w:rPr>
            </w:pPr>
            <w:r>
              <w:rPr>
                <w:rFonts w:ascii="Arial" w:cs="Arial" w:eastAsia="Arial" w:hAnsi="Arial"/>
                <w:sz w:val="15"/>
                <w:szCs w:val="15"/>
                <w:color w:val="auto"/>
              </w:rPr>
              <w:t>Accelerated filer</w:t>
            </w:r>
          </w:p>
        </w:tc>
        <w:tc>
          <w:tcPr>
            <w:tcW w:w="400" w:type="dxa"/>
            <w:vAlign w:val="bottom"/>
          </w:tcPr>
          <w:p>
            <w:pPr>
              <w:ind w:left="260"/>
              <w:spacing w:after="0" w:line="151" w:lineRule="exact"/>
              <w:rPr>
                <w:sz w:val="20"/>
                <w:szCs w:val="20"/>
                <w:color w:val="auto"/>
              </w:rPr>
            </w:pPr>
            <w:r>
              <w:rPr>
                <w:rFonts w:ascii="MS PGothic" w:cs="MS PGothic" w:eastAsia="MS PGothic" w:hAnsi="MS PGothic"/>
                <w:sz w:val="15"/>
                <w:szCs w:val="15"/>
                <w:color w:val="auto"/>
                <w:w w:val="79"/>
              </w:rPr>
              <w:t>☐</w:t>
            </w:r>
          </w:p>
        </w:tc>
      </w:tr>
      <w:tr>
        <w:trPr>
          <w:trHeight w:val="243"/>
        </w:trPr>
        <w:tc>
          <w:tcPr>
            <w:tcW w:w="1620" w:type="dxa"/>
            <w:vAlign w:val="bottom"/>
          </w:tcPr>
          <w:p>
            <w:pPr>
              <w:spacing w:after="0"/>
              <w:rPr>
                <w:sz w:val="20"/>
                <w:szCs w:val="20"/>
                <w:color w:val="auto"/>
              </w:rPr>
            </w:pPr>
            <w:r>
              <w:rPr>
                <w:rFonts w:ascii="Arial" w:cs="Arial" w:eastAsia="Arial" w:hAnsi="Arial"/>
                <w:sz w:val="15"/>
                <w:szCs w:val="15"/>
                <w:color w:val="auto"/>
              </w:rPr>
              <w:t>Non-accelerated filer</w:t>
            </w:r>
          </w:p>
        </w:tc>
        <w:tc>
          <w:tcPr>
            <w:tcW w:w="3680" w:type="dxa"/>
            <w:vAlign w:val="bottom"/>
          </w:tcPr>
          <w:p>
            <w:pPr>
              <w:ind w:left="260"/>
              <w:spacing w:after="0" w:line="151" w:lineRule="exact"/>
              <w:rPr>
                <w:sz w:val="20"/>
                <w:szCs w:val="20"/>
                <w:color w:val="auto"/>
              </w:rPr>
            </w:pPr>
            <w:r>
              <w:rPr>
                <w:rFonts w:ascii="MS PGothic" w:cs="MS PGothic" w:eastAsia="MS PGothic" w:hAnsi="MS PGothic"/>
                <w:sz w:val="15"/>
                <w:szCs w:val="15"/>
                <w:color w:val="auto"/>
              </w:rPr>
              <w:t>☐</w:t>
            </w:r>
          </w:p>
        </w:tc>
        <w:tc>
          <w:tcPr>
            <w:tcW w:w="5240" w:type="dxa"/>
            <w:vAlign w:val="bottom"/>
          </w:tcPr>
          <w:p>
            <w:pPr>
              <w:ind w:left="3300"/>
              <w:spacing w:after="0"/>
              <w:rPr>
                <w:sz w:val="20"/>
                <w:szCs w:val="20"/>
                <w:color w:val="auto"/>
              </w:rPr>
            </w:pPr>
            <w:r>
              <w:rPr>
                <w:rFonts w:ascii="Arial" w:cs="Arial" w:eastAsia="Arial" w:hAnsi="Arial"/>
                <w:sz w:val="15"/>
                <w:szCs w:val="15"/>
                <w:color w:val="auto"/>
              </w:rPr>
              <w:t>Smaller reporting company</w:t>
            </w:r>
          </w:p>
        </w:tc>
        <w:tc>
          <w:tcPr>
            <w:tcW w:w="400" w:type="dxa"/>
            <w:vAlign w:val="bottom"/>
          </w:tcPr>
          <w:p>
            <w:pPr>
              <w:ind w:left="260"/>
              <w:spacing w:after="0" w:line="151" w:lineRule="exact"/>
              <w:rPr>
                <w:sz w:val="20"/>
                <w:szCs w:val="20"/>
                <w:color w:val="auto"/>
              </w:rPr>
            </w:pPr>
            <w:r>
              <w:rPr>
                <w:rFonts w:ascii="MS PGothic" w:cs="MS PGothic" w:eastAsia="MS PGothic" w:hAnsi="MS PGothic"/>
                <w:sz w:val="15"/>
                <w:szCs w:val="15"/>
                <w:color w:val="auto"/>
                <w:w w:val="79"/>
              </w:rPr>
              <w:t>☐</w:t>
            </w:r>
          </w:p>
        </w:tc>
      </w:tr>
      <w:tr>
        <w:trPr>
          <w:trHeight w:val="243"/>
        </w:trPr>
        <w:tc>
          <w:tcPr>
            <w:tcW w:w="1620" w:type="dxa"/>
            <w:vAlign w:val="bottom"/>
          </w:tcPr>
          <w:p>
            <w:pPr>
              <w:spacing w:after="0"/>
              <w:rPr>
                <w:sz w:val="21"/>
                <w:szCs w:val="21"/>
                <w:color w:val="auto"/>
              </w:rPr>
            </w:pPr>
          </w:p>
        </w:tc>
        <w:tc>
          <w:tcPr>
            <w:tcW w:w="3680" w:type="dxa"/>
            <w:vAlign w:val="bottom"/>
          </w:tcPr>
          <w:p>
            <w:pPr>
              <w:spacing w:after="0"/>
              <w:rPr>
                <w:sz w:val="21"/>
                <w:szCs w:val="21"/>
                <w:color w:val="auto"/>
              </w:rPr>
            </w:pPr>
          </w:p>
        </w:tc>
        <w:tc>
          <w:tcPr>
            <w:tcW w:w="5240" w:type="dxa"/>
            <w:vAlign w:val="bottom"/>
          </w:tcPr>
          <w:p>
            <w:pPr>
              <w:ind w:left="3300"/>
              <w:spacing w:after="0"/>
              <w:rPr>
                <w:sz w:val="20"/>
                <w:szCs w:val="20"/>
                <w:color w:val="auto"/>
              </w:rPr>
            </w:pPr>
            <w:r>
              <w:rPr>
                <w:rFonts w:ascii="Arial" w:cs="Arial" w:eastAsia="Arial" w:hAnsi="Arial"/>
                <w:sz w:val="15"/>
                <w:szCs w:val="15"/>
                <w:color w:val="auto"/>
              </w:rPr>
              <w:t>Emerging growth company</w:t>
            </w:r>
          </w:p>
        </w:tc>
        <w:tc>
          <w:tcPr>
            <w:tcW w:w="400" w:type="dxa"/>
            <w:vAlign w:val="bottom"/>
          </w:tcPr>
          <w:p>
            <w:pPr>
              <w:ind w:left="260"/>
              <w:spacing w:after="0" w:line="151" w:lineRule="exact"/>
              <w:rPr>
                <w:sz w:val="20"/>
                <w:szCs w:val="20"/>
                <w:color w:val="auto"/>
              </w:rPr>
            </w:pPr>
            <w:r>
              <w:rPr>
                <w:rFonts w:ascii="MS PGothic" w:cs="MS PGothic" w:eastAsia="MS PGothic" w:hAnsi="MS PGothic"/>
                <w:sz w:val="15"/>
                <w:szCs w:val="15"/>
                <w:color w:val="auto"/>
                <w:w w:val="79"/>
              </w:rPr>
              <w:t>☐</w:t>
            </w:r>
          </w:p>
        </w:tc>
      </w:tr>
    </w:tbl>
    <w:p>
      <w:pPr>
        <w:spacing w:after="0" w:line="19" w:lineRule="exact"/>
        <w:rPr>
          <w:sz w:val="24"/>
          <w:szCs w:val="24"/>
          <w:color w:val="auto"/>
        </w:rPr>
      </w:pPr>
    </w:p>
    <w:p>
      <w:pPr>
        <w:ind w:left="4" w:right="400"/>
        <w:spacing w:after="0" w:line="193" w:lineRule="exact"/>
        <w:rPr>
          <w:sz w:val="20"/>
          <w:szCs w:val="20"/>
          <w:color w:val="auto"/>
        </w:rPr>
      </w:pPr>
      <w:r>
        <w:rPr>
          <w:rFonts w:ascii="Arial" w:cs="Arial" w:eastAsia="Arial" w:hAnsi="Arial"/>
          <w:sz w:val="15"/>
          <w:szCs w:val="15"/>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5"/>
          <w:szCs w:val="15"/>
          <w:color w:val="auto"/>
        </w:rPr>
        <w:t>☐</w:t>
      </w:r>
    </w:p>
    <w:p>
      <w:pPr>
        <w:spacing w:after="0" w:line="20" w:lineRule="exact"/>
        <w:rPr>
          <w:sz w:val="24"/>
          <w:szCs w:val="24"/>
          <w:color w:val="auto"/>
        </w:rPr>
      </w:pPr>
    </w:p>
    <w:p>
      <w:pPr>
        <w:ind w:left="4" w:right="20"/>
        <w:spacing w:after="0" w:line="193" w:lineRule="exact"/>
        <w:rPr>
          <w:sz w:val="20"/>
          <w:szCs w:val="20"/>
          <w:color w:val="auto"/>
        </w:rPr>
      </w:pPr>
      <w:r>
        <w:rPr>
          <w:rFonts w:ascii="Arial" w:cs="Arial" w:eastAsia="Arial" w:hAnsi="Arial"/>
          <w:sz w:val="14"/>
          <w:szCs w:val="14"/>
          <w:color w:val="auto"/>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MS PGothic" w:cs="MS PGothic" w:eastAsia="MS PGothic" w:hAnsi="MS PGothic"/>
          <w:sz w:val="14"/>
          <w:szCs w:val="14"/>
          <w:color w:val="auto"/>
        </w:rPr>
        <w:t>☒</w:t>
      </w:r>
    </w:p>
    <w:p>
      <w:pPr>
        <w:spacing w:after="0" w:line="20" w:lineRule="exact"/>
        <w:rPr>
          <w:sz w:val="24"/>
          <w:szCs w:val="24"/>
          <w:color w:val="auto"/>
        </w:rPr>
      </w:pPr>
    </w:p>
    <w:p>
      <w:pPr>
        <w:ind w:left="4" w:right="60"/>
        <w:spacing w:after="0" w:line="193" w:lineRule="exact"/>
        <w:rPr>
          <w:sz w:val="20"/>
          <w:szCs w:val="20"/>
          <w:color w:val="auto"/>
        </w:rPr>
      </w:pPr>
      <w:r>
        <w:rPr>
          <w:rFonts w:ascii="Arial" w:cs="Arial" w:eastAsia="Arial" w:hAnsi="Arial"/>
          <w:sz w:val="15"/>
          <w:szCs w:val="15"/>
          <w:color w:val="auto"/>
        </w:rPr>
        <w:t xml:space="preserve">If securities are registered pursuant to Section 12(b) of the Act, indicate by check mark whether the financial statements of the registrant included in the filing reflect the correction of an error to previously issued financial statements. </w:t>
      </w:r>
      <w:r>
        <w:rPr>
          <w:rFonts w:ascii="MS PGothic" w:cs="MS PGothic" w:eastAsia="MS PGothic" w:hAnsi="MS PGothic"/>
          <w:sz w:val="15"/>
          <w:szCs w:val="15"/>
          <w:color w:val="auto"/>
        </w:rPr>
        <w:t>☐</w:t>
      </w:r>
    </w:p>
    <w:p>
      <w:pPr>
        <w:spacing w:after="0" w:line="20" w:lineRule="exact"/>
        <w:rPr>
          <w:sz w:val="24"/>
          <w:szCs w:val="24"/>
          <w:color w:val="auto"/>
        </w:rPr>
      </w:pPr>
    </w:p>
    <w:p>
      <w:pPr>
        <w:ind w:left="4" w:right="720"/>
        <w:spacing w:after="0" w:line="193" w:lineRule="exact"/>
        <w:rPr>
          <w:sz w:val="20"/>
          <w:szCs w:val="20"/>
          <w:color w:val="auto"/>
        </w:rPr>
      </w:pPr>
      <w:r>
        <w:rPr>
          <w:rFonts w:ascii="Arial" w:cs="Arial" w:eastAsia="Arial" w:hAnsi="Arial"/>
          <w:sz w:val="15"/>
          <w:szCs w:val="15"/>
          <w:color w:val="auto"/>
        </w:rPr>
        <w:t xml:space="preserve">Indicate by check mark whether any of those error corrections are restatements that required a recovery analysis of incentive-based compensation received by any of the registrant’s executive officers during the relevant recovery period pursuant to §240.10D-1(b). </w:t>
      </w:r>
      <w:r>
        <w:rPr>
          <w:rFonts w:ascii="MS PGothic" w:cs="MS PGothic" w:eastAsia="MS PGothic" w:hAnsi="MS PGothic"/>
          <w:sz w:val="15"/>
          <w:szCs w:val="15"/>
          <w:color w:val="auto"/>
        </w:rPr>
        <w:t>☐</w:t>
      </w:r>
    </w:p>
    <w:p>
      <w:pPr>
        <w:spacing w:after="0" w:line="4" w:lineRule="exact"/>
        <w:rPr>
          <w:sz w:val="24"/>
          <w:szCs w:val="24"/>
          <w:color w:val="auto"/>
        </w:rPr>
      </w:pPr>
    </w:p>
    <w:p>
      <w:pPr>
        <w:ind w:left="4"/>
        <w:spacing w:after="0" w:line="173" w:lineRule="exact"/>
        <w:tabs>
          <w:tab w:leader="none" w:pos="7084" w:val="left"/>
          <w:tab w:leader="none" w:pos="7664" w:val="left"/>
        </w:tabs>
        <w:rPr>
          <w:sz w:val="20"/>
          <w:szCs w:val="20"/>
          <w:color w:val="auto"/>
        </w:rPr>
      </w:pPr>
      <w:r>
        <w:rPr>
          <w:rFonts w:ascii="Arial" w:cs="Arial" w:eastAsia="Arial" w:hAnsi="Arial"/>
          <w:sz w:val="15"/>
          <w:szCs w:val="15"/>
          <w:color w:val="auto"/>
        </w:rPr>
        <w:t>Indicate by check mark whether the registrant is a shell company (as defined in Rule 12b-2 of the Exchange Act).</w:t>
        <w:tab/>
        <w:t xml:space="preserve">Yes </w:t>
      </w:r>
      <w:r>
        <w:rPr>
          <w:rFonts w:ascii="MS PGothic" w:cs="MS PGothic" w:eastAsia="MS PGothic" w:hAnsi="MS PGothic"/>
          <w:sz w:val="15"/>
          <w:szCs w:val="15"/>
          <w:color w:val="auto"/>
        </w:rPr>
        <w:t>☐</w:t>
      </w:r>
      <w:r>
        <w:rPr>
          <w:rFonts w:ascii="Arial" w:cs="Arial" w:eastAsia="Arial" w:hAnsi="Arial"/>
          <w:sz w:val="15"/>
          <w:szCs w:val="15"/>
          <w:color w:val="auto"/>
        </w:rPr>
        <w:tab/>
        <w:t xml:space="preserve">No </w:t>
      </w:r>
      <w:r>
        <w:rPr>
          <w:rFonts w:ascii="MS PGothic" w:cs="MS PGothic" w:eastAsia="MS PGothic" w:hAnsi="MS PGothic"/>
          <w:sz w:val="15"/>
          <w:szCs w:val="15"/>
          <w:color w:val="auto"/>
        </w:rPr>
        <w:t>☒</w:t>
      </w:r>
    </w:p>
    <w:p>
      <w:pPr>
        <w:spacing w:after="0" w:line="87" w:lineRule="exact"/>
        <w:rPr>
          <w:sz w:val="24"/>
          <w:szCs w:val="24"/>
          <w:color w:val="auto"/>
        </w:rPr>
      </w:pPr>
    </w:p>
    <w:p>
      <w:pPr>
        <w:ind w:left="4" w:right="80"/>
        <w:spacing w:after="0" w:line="288" w:lineRule="auto"/>
        <w:rPr>
          <w:sz w:val="20"/>
          <w:szCs w:val="20"/>
          <w:color w:val="auto"/>
        </w:rPr>
      </w:pPr>
      <w:r>
        <w:rPr>
          <w:rFonts w:ascii="Arial" w:cs="Arial" w:eastAsia="Arial" w:hAnsi="Arial"/>
          <w:sz w:val="13"/>
          <w:szCs w:val="13"/>
          <w:color w:val="auto"/>
        </w:rPr>
        <w:t>The aggregate market value of the voting stock held by non-affiliates of the registrant based upon the closing sale price of the registrant’s common stock on June 30, 2022 (the last business day of the registrant’s most recently completed second fiscal quarter), as reported on the Nasdaq Global Market, was $984,861,131. For purposes of this calculation, directors and executive officers of the registrant have been deemed affiliates. This determination of affiliate status is not necessarily a conclusive determination for other purposes.</w:t>
      </w:r>
    </w:p>
    <w:p>
      <w:pPr>
        <w:spacing w:after="0" w:line="2" w:lineRule="exact"/>
        <w:rPr>
          <w:sz w:val="24"/>
          <w:szCs w:val="24"/>
          <w:color w:val="auto"/>
        </w:rPr>
      </w:pPr>
    </w:p>
    <w:p>
      <w:pPr>
        <w:ind w:left="4"/>
        <w:spacing w:after="0"/>
        <w:rPr>
          <w:sz w:val="20"/>
          <w:szCs w:val="20"/>
          <w:color w:val="auto"/>
        </w:rPr>
      </w:pPr>
      <w:r>
        <w:rPr>
          <w:rFonts w:ascii="Arial" w:cs="Arial" w:eastAsia="Arial" w:hAnsi="Arial"/>
          <w:sz w:val="15"/>
          <w:szCs w:val="15"/>
          <w:color w:val="auto"/>
        </w:rPr>
        <w:t>As of February 20, 2023, the registrant had 18,138,012 shares of common stock outstanding.</w:t>
      </w:r>
    </w:p>
    <w:p>
      <w:pPr>
        <w:spacing w:after="0" w:line="40" w:lineRule="exact"/>
        <w:rPr>
          <w:sz w:val="24"/>
          <w:szCs w:val="24"/>
          <w:color w:val="auto"/>
        </w:rPr>
      </w:pPr>
    </w:p>
    <w:p>
      <w:pPr>
        <w:ind w:left="3744"/>
        <w:spacing w:after="0"/>
        <w:rPr>
          <w:sz w:val="20"/>
          <w:szCs w:val="20"/>
          <w:color w:val="auto"/>
        </w:rPr>
      </w:pPr>
      <w:r>
        <w:rPr>
          <w:rFonts w:ascii="Arial" w:cs="Arial" w:eastAsia="Arial" w:hAnsi="Arial"/>
          <w:sz w:val="15"/>
          <w:szCs w:val="15"/>
          <w:b w:val="1"/>
          <w:bCs w:val="1"/>
          <w:color w:val="auto"/>
        </w:rPr>
        <w:t>DOCUMENTS INCORPORATED BY REFERENCE</w:t>
      </w:r>
    </w:p>
    <w:p>
      <w:pPr>
        <w:spacing w:after="0" w:line="48" w:lineRule="exact"/>
        <w:rPr>
          <w:sz w:val="24"/>
          <w:szCs w:val="24"/>
          <w:color w:val="auto"/>
        </w:rPr>
      </w:pPr>
    </w:p>
    <w:p>
      <w:pPr>
        <w:ind w:left="4" w:right="120"/>
        <w:spacing w:after="0" w:line="250" w:lineRule="auto"/>
        <w:rPr>
          <w:sz w:val="20"/>
          <w:szCs w:val="20"/>
          <w:color w:val="auto"/>
        </w:rPr>
      </w:pPr>
      <w:r>
        <w:rPr>
          <w:rFonts w:ascii="Arial" w:cs="Arial" w:eastAsia="Arial" w:hAnsi="Arial"/>
          <w:sz w:val="14"/>
          <w:szCs w:val="14"/>
          <w:color w:val="auto"/>
        </w:rPr>
        <w:t>Certain information required by Part III, Items 10-14 of this Form 10-K is incorporated by reference to the registrant’s definitive Proxy Statement for the 2023 Annual Meeting of Stockholders to be filed with the Securities and Exchange Commission pursuant to Regulation 14A not later than 120 days after the end of the fiscal year covered by this</w:t>
      </w:r>
    </w:p>
    <w:p>
      <w:pPr>
        <w:spacing w:after="0" w:line="1" w:lineRule="exact"/>
        <w:rPr>
          <w:sz w:val="24"/>
          <w:szCs w:val="24"/>
          <w:color w:val="auto"/>
        </w:rPr>
      </w:pPr>
    </w:p>
    <w:p>
      <w:pPr>
        <w:ind w:left="4" w:right="300"/>
        <w:spacing w:after="0" w:line="239" w:lineRule="auto"/>
        <w:rPr>
          <w:sz w:val="20"/>
          <w:szCs w:val="20"/>
          <w:color w:val="auto"/>
        </w:rPr>
      </w:pPr>
      <w:r>
        <w:rPr>
          <w:rFonts w:ascii="Arial" w:cs="Arial" w:eastAsia="Arial" w:hAnsi="Arial"/>
          <w:sz w:val="15"/>
          <w:szCs w:val="15"/>
          <w:color w:val="auto"/>
        </w:rPr>
        <w:t>Form 10-K, provided that if such Proxy Statement is not filed within such period, such information will be included in an amendment to this Form 10-K to be filed within such 120-day period.</w:t>
      </w:r>
    </w:p>
    <w:p>
      <w:pPr>
        <w:spacing w:after="0" w:line="36" w:lineRule="exact"/>
        <w:rPr>
          <w:sz w:val="24"/>
          <w:szCs w:val="24"/>
          <w:color w:val="auto"/>
        </w:rPr>
      </w:pPr>
    </w:p>
    <w:p>
      <w:pPr>
        <w:ind w:left="4"/>
        <w:spacing w:after="0"/>
        <w:tabs>
          <w:tab w:leader="none" w:pos="2404" w:val="left"/>
          <w:tab w:leader="none" w:pos="6804" w:val="left"/>
        </w:tabs>
        <w:rPr>
          <w:sz w:val="20"/>
          <w:szCs w:val="20"/>
          <w:color w:val="auto"/>
        </w:rPr>
      </w:pPr>
      <w:r>
        <w:rPr>
          <w:rFonts w:ascii="Arial" w:cs="Arial" w:eastAsia="Arial" w:hAnsi="Arial"/>
          <w:sz w:val="15"/>
          <w:szCs w:val="15"/>
          <w:color w:val="auto"/>
        </w:rPr>
        <w:t>Auditor Firm Id: 238</w:t>
      </w:r>
      <w:r>
        <w:rPr>
          <w:sz w:val="20"/>
          <w:szCs w:val="20"/>
          <w:color w:val="auto"/>
        </w:rPr>
        <w:tab/>
      </w:r>
      <w:r>
        <w:rPr>
          <w:rFonts w:ascii="Arial" w:cs="Arial" w:eastAsia="Arial" w:hAnsi="Arial"/>
          <w:sz w:val="15"/>
          <w:szCs w:val="15"/>
          <w:color w:val="auto"/>
        </w:rPr>
        <w:t>Auditor Name: PricewaterhouseCoopers LLP</w:t>
      </w:r>
      <w:r>
        <w:rPr>
          <w:sz w:val="20"/>
          <w:szCs w:val="20"/>
          <w:color w:val="auto"/>
        </w:rPr>
        <w:tab/>
      </w:r>
      <w:r>
        <w:rPr>
          <w:rFonts w:ascii="Arial" w:cs="Arial" w:eastAsia="Arial" w:hAnsi="Arial"/>
          <w:sz w:val="14"/>
          <w:szCs w:val="14"/>
          <w:color w:val="auto"/>
        </w:rPr>
        <w:t>Auditor Location: Philadelphia, Pennsylvania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70485</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113030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50" w:right="439" w:bottom="1440" w:gutter="0" w:footer="0" w:header="0"/>
          <w:type w:val="continuous"/>
        </w:sectPr>
      </w:pPr>
    </w:p>
    <w:bookmarkStart w:id="1" w:name="page2"/>
    <w:bookmarkEnd w:id="1"/>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EXPLANATORY NOTE</w:t>
      </w:r>
    </w:p>
    <w:p>
      <w:pPr>
        <w:spacing w:after="0" w:line="229"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This Amendment No. 1 on Form 10-K/A (“Amendment No. 1”) to the Annual Report on Form 10-K of Madrigal Pharmaceuticals, Inc. for the fiscal year ended December 31, 2022, originally filed with the Securities and Exchange Commission on February 23, 2023 (the “Original Filing”), is being filed to correct a typographical error in the Original Filing to reflect the correct signing date of the Report of Independent Registered Public Accounting Firm of PricewaterhouseCoopers LLP and the correct date of the Report of Independent Registered Public Accounting Firm within the Consent of PricewaterhouseCoopers LLP, filed as an exhibit to the Original Filing.</w:t>
      </w:r>
    </w:p>
    <w:p>
      <w:pPr>
        <w:spacing w:after="0" w:line="188"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This Amendment No. 1 is being filed solely to correct the dates within the Report of Independent Registered Public Accounting Firm and the Consent of PricewaterhouseCoopers LLP. This Amendment No. 1 includes: Item 8 of Part II, “Financial Statements and Supplementary Data” in its entirety and without change from the Original Filing other than the correction of the signing date of the Report of Independent Registered Public Accounting Firm; and Item 15 of Part IV, including Exhibit 23.1, which includes the correct date of the Report of Independent Registered Public Accounting Firm within the Consent of PricewaterhouseCoopers LLP.</w:t>
      </w:r>
    </w:p>
    <w:p>
      <w:pPr>
        <w:spacing w:after="0" w:line="188" w:lineRule="exact"/>
        <w:rPr>
          <w:sz w:val="20"/>
          <w:szCs w:val="20"/>
          <w:color w:val="auto"/>
        </w:rPr>
      </w:pPr>
    </w:p>
    <w:p>
      <w:pPr>
        <w:ind w:right="700"/>
        <w:spacing w:after="0" w:line="277" w:lineRule="auto"/>
        <w:rPr>
          <w:sz w:val="20"/>
          <w:szCs w:val="20"/>
          <w:color w:val="auto"/>
        </w:rPr>
      </w:pPr>
      <w:r>
        <w:rPr>
          <w:rFonts w:ascii="Arial" w:cs="Arial" w:eastAsia="Arial" w:hAnsi="Arial"/>
          <w:sz w:val="18"/>
          <w:szCs w:val="18"/>
          <w:color w:val="auto"/>
        </w:rPr>
        <w:t>In addition, pursuant to the rules of the SEC, the exhibit list included herewith reflects currently-dated certifications from the Company’s Chief Executive Officer and Chief Financial Officer, which are filed as exhibits to this Amendment No. 1.</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Except for the foregoing amended information, this Amendment No. 1 does not amend or update any other information contained in the Original Filing, or reflect any events that have occurred after the filing of the Original Filing. Accordingly, this Amendment No. 1 should be read in conjunction with the Original Filing.</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Financial Statements and Supplementary Data.</w:t>
      </w:r>
    </w:p>
    <w:p>
      <w:pPr>
        <w:spacing w:after="0" w:line="121" w:lineRule="exact"/>
        <w:rPr>
          <w:sz w:val="20"/>
          <w:szCs w:val="20"/>
          <w:color w:val="auto"/>
        </w:rPr>
      </w:pPr>
    </w:p>
    <w:p>
      <w:pPr>
        <w:ind w:right="360" w:firstLine="440"/>
        <w:spacing w:after="0" w:line="277" w:lineRule="auto"/>
        <w:rPr>
          <w:sz w:val="20"/>
          <w:szCs w:val="20"/>
          <w:color w:val="auto"/>
        </w:rPr>
      </w:pPr>
      <w:r>
        <w:rPr>
          <w:rFonts w:ascii="Arial" w:cs="Arial" w:eastAsia="Arial" w:hAnsi="Arial"/>
          <w:sz w:val="18"/>
          <w:szCs w:val="18"/>
          <w:color w:val="auto"/>
        </w:rPr>
        <w:t>The information required by this Item 8 is referred to in Item 15, listed in the Index to Financial Statements as a part of this Annual Report on Form 10-K, and is incorporated herein by this reference.</w:t>
      </w:r>
    </w:p>
    <w:p>
      <w:pPr>
        <w:sectPr>
          <w:pgSz w:w="11900" w:h="16838" w:orient="portrait"/>
          <w:cols w:equalWidth="0" w:num="1">
            <w:col w:w="11000"/>
          </w:cols>
          <w:pgMar w:left="440" w:top="297" w:right="459" w:bottom="1440" w:gutter="0" w:footer="0" w:header="0"/>
        </w:sectPr>
      </w:pPr>
    </w:p>
    <w:bookmarkStart w:id="2" w:name="page3"/>
    <w:bookmarkEnd w:id="2"/>
    <w:p>
      <w:pPr>
        <w:jc w:val="center"/>
        <w:ind w:right="-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55245"/>
                    </a:xfrm>
                    <a:prstGeom prst="rect">
                      <a:avLst/>
                    </a:prstGeom>
                    <a:noFill/>
                  </pic:spPr>
                </pic:pic>
              </a:graphicData>
            </a:graphic>
          </wp:anchor>
        </w:drawing>
        <w:t>PART IV</w:t>
      </w:r>
    </w:p>
    <w:p>
      <w:pPr>
        <w:spacing w:after="0" w:line="252" w:lineRule="exact"/>
        <w:rPr>
          <w:sz w:val="20"/>
          <w:szCs w:val="20"/>
          <w:color w:val="auto"/>
        </w:rPr>
      </w:pPr>
    </w:p>
    <w:p>
      <w:pPr>
        <w:spacing w:after="0"/>
        <w:tabs>
          <w:tab w:leader="none" w:pos="240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8"/>
          <w:szCs w:val="18"/>
          <w:b w:val="1"/>
          <w:bCs w:val="1"/>
          <w:color w:val="auto"/>
        </w:rPr>
        <w:t>EXHIBITS AND FINANCIAL STATEMENT SCHEDULES</w:t>
      </w:r>
    </w:p>
    <w:p>
      <w:pPr>
        <w:spacing w:after="0" w:line="117" w:lineRule="exact"/>
        <w:rPr>
          <w:sz w:val="20"/>
          <w:szCs w:val="20"/>
          <w:color w:val="auto"/>
        </w:rPr>
      </w:pPr>
    </w:p>
    <w:p>
      <w:pPr>
        <w:spacing w:after="0"/>
        <w:tabs>
          <w:tab w:leader="none" w:pos="2400" w:val="left"/>
        </w:tabs>
        <w:rPr>
          <w:sz w:val="20"/>
          <w:szCs w:val="20"/>
          <w:color w:val="auto"/>
        </w:rPr>
      </w:pPr>
      <w:r>
        <w:rPr>
          <w:rFonts w:ascii="Arial" w:cs="Arial" w:eastAsia="Arial" w:hAnsi="Arial"/>
          <w:sz w:val="18"/>
          <w:szCs w:val="18"/>
          <w:b w:val="1"/>
          <w:bCs w:val="1"/>
          <w:color w:val="auto"/>
        </w:rPr>
        <w:t>Item 15(a)</w:t>
      </w:r>
      <w:r>
        <w:rPr>
          <w:sz w:val="20"/>
          <w:szCs w:val="20"/>
          <w:color w:val="auto"/>
        </w:rPr>
        <w:tab/>
      </w:r>
      <w:r>
        <w:rPr>
          <w:rFonts w:ascii="Arial" w:cs="Arial" w:eastAsia="Arial" w:hAnsi="Arial"/>
          <w:sz w:val="16"/>
          <w:szCs w:val="16"/>
          <w:color w:val="auto"/>
        </w:rPr>
        <w:t>The following documents are filed as part of, or incorporated by reference into, this Annual Report on Form 10-K:</w:t>
      </w:r>
    </w:p>
    <w:p>
      <w:pPr>
        <w:spacing w:after="0" w:line="117" w:lineRule="exact"/>
        <w:rPr>
          <w:sz w:val="20"/>
          <w:szCs w:val="20"/>
          <w:color w:val="auto"/>
        </w:rPr>
      </w:pPr>
    </w:p>
    <w:p>
      <w:pPr>
        <w:spacing w:after="0"/>
        <w:tabs>
          <w:tab w:leader="none" w:pos="2400" w:val="left"/>
        </w:tabs>
        <w:rPr>
          <w:sz w:val="20"/>
          <w:szCs w:val="20"/>
          <w:color w:val="auto"/>
        </w:rPr>
      </w:pPr>
      <w:r>
        <w:rPr>
          <w:rFonts w:ascii="Arial" w:cs="Arial" w:eastAsia="Arial" w:hAnsi="Arial"/>
          <w:sz w:val="18"/>
          <w:szCs w:val="18"/>
          <w:b w:val="1"/>
          <w:bCs w:val="1"/>
          <w:color w:val="auto"/>
        </w:rPr>
        <w:t>Item 15(a)(1) and (2)</w:t>
      </w:r>
      <w:r>
        <w:rPr>
          <w:sz w:val="20"/>
          <w:szCs w:val="20"/>
          <w:color w:val="auto"/>
        </w:rPr>
        <w:tab/>
      </w:r>
      <w:r>
        <w:rPr>
          <w:rFonts w:ascii="Arial" w:cs="Arial" w:eastAsia="Arial" w:hAnsi="Arial"/>
          <w:sz w:val="16"/>
          <w:szCs w:val="16"/>
          <w:color w:val="auto"/>
        </w:rPr>
        <w:t>The Consolidated Financial Statements beginning on page F-1 are filed as part of this Annual Report on Form 10-K.</w:t>
      </w:r>
    </w:p>
    <w:p>
      <w:pPr>
        <w:spacing w:after="0" w:line="27" w:lineRule="exact"/>
        <w:rPr>
          <w:sz w:val="20"/>
          <w:szCs w:val="20"/>
          <w:color w:val="auto"/>
        </w:rPr>
      </w:pPr>
    </w:p>
    <w:p>
      <w:pPr>
        <w:ind w:left="2420"/>
        <w:spacing w:after="0" w:line="260" w:lineRule="auto"/>
        <w:rPr>
          <w:sz w:val="20"/>
          <w:szCs w:val="20"/>
          <w:color w:val="auto"/>
        </w:rPr>
      </w:pPr>
      <w:r>
        <w:rPr>
          <w:rFonts w:ascii="Arial" w:cs="Arial" w:eastAsia="Arial" w:hAnsi="Arial"/>
          <w:sz w:val="18"/>
          <w:szCs w:val="18"/>
          <w:color w:val="auto"/>
        </w:rPr>
        <w:t>Other financial statement schedules have been omitted because the information required to be presented in them is not applicable or is shown in the financial statements or related notes.</w:t>
      </w:r>
    </w:p>
    <w:p>
      <w:pPr>
        <w:spacing w:after="0" w:line="73" w:lineRule="exact"/>
        <w:rPr>
          <w:sz w:val="20"/>
          <w:szCs w:val="20"/>
          <w:color w:val="auto"/>
        </w:rPr>
      </w:pPr>
    </w:p>
    <w:p>
      <w:pPr>
        <w:spacing w:after="0"/>
        <w:tabs>
          <w:tab w:leader="none" w:pos="2400" w:val="left"/>
        </w:tabs>
        <w:rPr>
          <w:sz w:val="20"/>
          <w:szCs w:val="20"/>
          <w:color w:val="auto"/>
        </w:rPr>
      </w:pPr>
      <w:r>
        <w:rPr>
          <w:rFonts w:ascii="Arial" w:cs="Arial" w:eastAsia="Arial" w:hAnsi="Arial"/>
          <w:sz w:val="18"/>
          <w:szCs w:val="18"/>
          <w:b w:val="1"/>
          <w:bCs w:val="1"/>
          <w:color w:val="auto"/>
        </w:rPr>
        <w:t>Item 15(a)(3)</w:t>
      </w:r>
      <w:r>
        <w:rPr>
          <w:sz w:val="20"/>
          <w:szCs w:val="20"/>
          <w:color w:val="auto"/>
        </w:rPr>
        <w:tab/>
      </w:r>
      <w:r>
        <w:rPr>
          <w:rFonts w:ascii="Arial" w:cs="Arial" w:eastAsia="Arial" w:hAnsi="Arial"/>
          <w:sz w:val="16"/>
          <w:szCs w:val="16"/>
          <w:color w:val="auto"/>
        </w:rPr>
        <w:t>We have filed, or incorporated into this Annual Report on Form 10-K by reference, the exhibits listed on the</w:t>
      </w:r>
    </w:p>
    <w:p>
      <w:pPr>
        <w:spacing w:after="0" w:line="27" w:lineRule="exact"/>
        <w:rPr>
          <w:sz w:val="20"/>
          <w:szCs w:val="20"/>
          <w:color w:val="auto"/>
        </w:rPr>
      </w:pPr>
    </w:p>
    <w:p>
      <w:pPr>
        <w:ind w:left="2420"/>
        <w:spacing w:after="0"/>
        <w:rPr>
          <w:sz w:val="20"/>
          <w:szCs w:val="20"/>
          <w:color w:val="auto"/>
        </w:rPr>
      </w:pPr>
      <w:r>
        <w:rPr>
          <w:rFonts w:ascii="Arial" w:cs="Arial" w:eastAsia="Arial" w:hAnsi="Arial"/>
          <w:sz w:val="18"/>
          <w:szCs w:val="18"/>
          <w:color w:val="auto"/>
        </w:rPr>
        <w:t>accompanying Exhibit Index.</w:t>
      </w:r>
    </w:p>
    <w:p>
      <w:pPr>
        <w:sectPr>
          <w:pgSz w:w="11900" w:h="16838" w:orient="portrait"/>
          <w:cols w:equalWidth="0" w:num="1">
            <w:col w:w="10940"/>
          </w:cols>
          <w:pgMar w:left="440" w:top="297" w:right="519" w:bottom="1440" w:gutter="0" w:footer="0" w:header="0"/>
        </w:sectPr>
      </w:pPr>
    </w:p>
    <w:p>
      <w:pPr>
        <w:spacing w:after="0" w:line="9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60" w:type="dxa"/>
            <w:vAlign w:val="bottom"/>
            <w:gridSpan w:val="2"/>
          </w:tcPr>
          <w:p>
            <w:pPr>
              <w:spacing w:after="0"/>
              <w:rPr>
                <w:sz w:val="20"/>
                <w:szCs w:val="20"/>
                <w:color w:val="auto"/>
              </w:rPr>
            </w:pPr>
            <w:r>
              <w:rPr>
                <w:rFonts w:ascii="Arial" w:cs="Arial" w:eastAsia="Arial" w:hAnsi="Arial"/>
                <w:sz w:val="18"/>
                <w:szCs w:val="18"/>
                <w:b w:val="1"/>
                <w:bCs w:val="1"/>
                <w:color w:val="auto"/>
              </w:rPr>
              <w:t>Item 15(b)</w:t>
            </w:r>
          </w:p>
        </w:tc>
        <w:tc>
          <w:tcPr>
            <w:tcW w:w="5060" w:type="dxa"/>
            <w:vAlign w:val="bottom"/>
          </w:tcPr>
          <w:p>
            <w:pPr>
              <w:ind w:left="1460"/>
              <w:spacing w:after="0"/>
              <w:rPr>
                <w:sz w:val="20"/>
                <w:szCs w:val="20"/>
                <w:color w:val="auto"/>
              </w:rPr>
            </w:pPr>
            <w:r>
              <w:rPr>
                <w:rFonts w:ascii="Arial" w:cs="Arial" w:eastAsia="Arial" w:hAnsi="Arial"/>
                <w:sz w:val="18"/>
                <w:szCs w:val="18"/>
                <w:color w:val="auto"/>
              </w:rPr>
              <w:t>See Item 15(a)(3) above.</w:t>
            </w:r>
          </w:p>
        </w:tc>
        <w:tc>
          <w:tcPr>
            <w:tcW w:w="0" w:type="dxa"/>
            <w:vAlign w:val="bottom"/>
          </w:tcPr>
          <w:p>
            <w:pPr>
              <w:spacing w:after="0"/>
              <w:rPr>
                <w:sz w:val="1"/>
                <w:szCs w:val="1"/>
                <w:color w:val="auto"/>
              </w:rPr>
            </w:pPr>
          </w:p>
        </w:tc>
      </w:tr>
      <w:tr>
        <w:trPr>
          <w:trHeight w:val="324"/>
        </w:trPr>
        <w:tc>
          <w:tcPr>
            <w:tcW w:w="960" w:type="dxa"/>
            <w:vAlign w:val="bottom"/>
            <w:gridSpan w:val="2"/>
          </w:tcPr>
          <w:p>
            <w:pPr>
              <w:spacing w:after="0"/>
              <w:rPr>
                <w:sz w:val="20"/>
                <w:szCs w:val="20"/>
                <w:color w:val="auto"/>
              </w:rPr>
            </w:pPr>
            <w:r>
              <w:rPr>
                <w:rFonts w:ascii="Arial" w:cs="Arial" w:eastAsia="Arial" w:hAnsi="Arial"/>
                <w:sz w:val="18"/>
                <w:szCs w:val="18"/>
                <w:b w:val="1"/>
                <w:bCs w:val="1"/>
                <w:color w:val="auto"/>
              </w:rPr>
              <w:t>Item 15(c)</w:t>
            </w:r>
          </w:p>
        </w:tc>
        <w:tc>
          <w:tcPr>
            <w:tcW w:w="5060" w:type="dxa"/>
            <w:vAlign w:val="bottom"/>
          </w:tcPr>
          <w:p>
            <w:pPr>
              <w:ind w:left="1460"/>
              <w:spacing w:after="0"/>
              <w:rPr>
                <w:sz w:val="20"/>
                <w:szCs w:val="20"/>
                <w:color w:val="auto"/>
              </w:rPr>
            </w:pPr>
            <w:r>
              <w:rPr>
                <w:rFonts w:ascii="Arial" w:cs="Arial" w:eastAsia="Arial" w:hAnsi="Arial"/>
                <w:sz w:val="18"/>
                <w:szCs w:val="18"/>
                <w:color w:val="auto"/>
              </w:rPr>
              <w:t>See Item 15(a)(2) above.</w:t>
            </w:r>
          </w:p>
        </w:tc>
        <w:tc>
          <w:tcPr>
            <w:tcW w:w="0" w:type="dxa"/>
            <w:vAlign w:val="bottom"/>
          </w:tcPr>
          <w:p>
            <w:pPr>
              <w:spacing w:after="0"/>
              <w:rPr>
                <w:sz w:val="1"/>
                <w:szCs w:val="1"/>
                <w:color w:val="auto"/>
              </w:rPr>
            </w:pPr>
          </w:p>
        </w:tc>
      </w:tr>
      <w:tr>
        <w:trPr>
          <w:trHeight w:val="679"/>
        </w:trPr>
        <w:tc>
          <w:tcPr>
            <w:tcW w:w="9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8"/>
              </w:rPr>
              <w:t>Exhibit</w:t>
            </w:r>
          </w:p>
        </w:tc>
        <w:tc>
          <w:tcPr>
            <w:tcW w:w="5060" w:type="dxa"/>
            <w:vAlign w:val="bottom"/>
            <w:vMerge w:val="restart"/>
          </w:tcPr>
          <w:p>
            <w:pPr>
              <w:ind w:left="1920"/>
              <w:spacing w:after="0"/>
              <w:rPr>
                <w:sz w:val="20"/>
                <w:szCs w:val="20"/>
                <w:color w:val="auto"/>
              </w:rPr>
            </w:pPr>
            <w:r>
              <w:rPr>
                <w:rFonts w:ascii="Arial" w:cs="Arial" w:eastAsia="Arial" w:hAnsi="Arial"/>
                <w:sz w:val="14"/>
                <w:szCs w:val="14"/>
                <w:b w:val="1"/>
                <w:bCs w:val="1"/>
                <w:color w:val="auto"/>
              </w:rPr>
              <w:t>Exhibit Description</w:t>
            </w:r>
          </w:p>
        </w:tc>
        <w:tc>
          <w:tcPr>
            <w:tcW w:w="0" w:type="dxa"/>
            <w:vAlign w:val="bottom"/>
          </w:tcPr>
          <w:p>
            <w:pPr>
              <w:spacing w:after="0"/>
              <w:rPr>
                <w:sz w:val="1"/>
                <w:szCs w:val="1"/>
                <w:color w:val="auto"/>
              </w:rPr>
            </w:pPr>
          </w:p>
        </w:tc>
      </w:tr>
      <w:tr>
        <w:trPr>
          <w:trHeight w:val="171"/>
        </w:trPr>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Number</w:t>
            </w:r>
          </w:p>
        </w:tc>
        <w:tc>
          <w:tcPr>
            <w:tcW w:w="320" w:type="dxa"/>
            <w:vAlign w:val="bottom"/>
          </w:tcPr>
          <w:p>
            <w:pPr>
              <w:spacing w:after="0"/>
              <w:rPr>
                <w:sz w:val="14"/>
                <w:szCs w:val="14"/>
                <w:color w:val="auto"/>
              </w:rPr>
            </w:pPr>
          </w:p>
        </w:tc>
        <w:tc>
          <w:tcPr>
            <w:tcW w:w="50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180"/>
        <w:spacing w:after="0"/>
        <w:tabs>
          <w:tab w:leader="none" w:pos="940" w:val="left"/>
        </w:tabs>
        <w:rPr>
          <w:rFonts w:ascii="Arial" w:cs="Arial" w:eastAsia="Arial" w:hAnsi="Arial"/>
          <w:sz w:val="16"/>
          <w:szCs w:val="16"/>
          <w:u w:val="single" w:color="auto"/>
          <w:color w:val="0000EE"/>
        </w:rPr>
      </w:pPr>
      <w:r>
        <w:rPr>
          <w:rFonts w:ascii="Arial" w:cs="Arial" w:eastAsia="Arial" w:hAnsi="Arial"/>
          <w:sz w:val="18"/>
          <w:szCs w:val="18"/>
          <w:color w:val="auto"/>
        </w:rPr>
        <w:t>3.1</w:t>
      </w:r>
      <w:r>
        <w:rPr>
          <w:sz w:val="20"/>
          <w:szCs w:val="20"/>
          <w:color w:val="auto"/>
        </w:rPr>
        <w:tab/>
      </w:r>
      <w:hyperlink r:id="rId19">
        <w:r>
          <w:rPr>
            <w:rFonts w:ascii="Arial" w:cs="Arial" w:eastAsia="Arial" w:hAnsi="Arial"/>
            <w:sz w:val="16"/>
            <w:szCs w:val="16"/>
            <w:u w:val="single" w:color="auto"/>
            <w:color w:val="0000EE"/>
          </w:rPr>
          <w:t>Restated Certificate of Incorporation of the Registrant.</w:t>
        </w:r>
      </w:hyperlink>
    </w:p>
    <w:p>
      <w:pPr>
        <w:spacing w:after="0" w:line="333" w:lineRule="exact"/>
        <w:rPr>
          <w:sz w:val="20"/>
          <w:szCs w:val="20"/>
          <w:color w:val="auto"/>
        </w:rPr>
      </w:pPr>
    </w:p>
    <w:p>
      <w:pPr>
        <w:ind w:left="960" w:right="180" w:hanging="777"/>
        <w:spacing w:after="0" w:line="277" w:lineRule="auto"/>
        <w:tabs>
          <w:tab w:leader="none" w:pos="940" w:val="left"/>
        </w:tabs>
        <w:rPr>
          <w:rFonts w:ascii="Arial" w:cs="Arial" w:eastAsia="Arial" w:hAnsi="Arial"/>
          <w:sz w:val="18"/>
          <w:szCs w:val="18"/>
          <w:u w:val="single" w:color="auto"/>
          <w:color w:val="0000EE"/>
        </w:rPr>
      </w:pPr>
      <w:r>
        <w:rPr>
          <w:rFonts w:ascii="Arial" w:cs="Arial" w:eastAsia="Arial" w:hAnsi="Arial"/>
          <w:sz w:val="18"/>
          <w:szCs w:val="18"/>
          <w:color w:val="auto"/>
        </w:rPr>
        <w:t>3.2</w:t>
      </w:r>
      <w:r>
        <w:rPr>
          <w:sz w:val="20"/>
          <w:szCs w:val="20"/>
          <w:color w:val="auto"/>
        </w:rPr>
        <w:tab/>
      </w:r>
      <w:hyperlink r:id="rId20">
        <w:r>
          <w:rPr>
            <w:rFonts w:ascii="Arial" w:cs="Arial" w:eastAsia="Arial" w:hAnsi="Arial"/>
            <w:sz w:val="18"/>
            <w:szCs w:val="18"/>
            <w:u w:val="single" w:color="auto"/>
            <w:color w:val="0000EE"/>
          </w:rPr>
          <w:t>Certificate of Designation of Preferences, Rights and Limitations of</w:t>
        </w:r>
      </w:hyperlink>
      <w:r>
        <w:rPr>
          <w:rFonts w:ascii="Arial" w:cs="Arial" w:eastAsia="Arial" w:hAnsi="Arial"/>
          <w:sz w:val="18"/>
          <w:szCs w:val="18"/>
          <w:u w:val="single" w:color="auto"/>
          <w:color w:val="0000EE"/>
        </w:rPr>
        <w:t xml:space="preserve"> </w:t>
      </w:r>
      <w:hyperlink r:id="rId20">
        <w:r>
          <w:rPr>
            <w:rFonts w:ascii="Arial" w:cs="Arial" w:eastAsia="Arial" w:hAnsi="Arial"/>
            <w:sz w:val="18"/>
            <w:szCs w:val="18"/>
            <w:u w:val="single" w:color="auto"/>
            <w:color w:val="0000EE"/>
          </w:rPr>
          <w:t>Series A Convertible Preferred Stock.</w:t>
        </w:r>
      </w:hyperlink>
    </w:p>
    <w:p>
      <w:pPr>
        <w:spacing w:after="0" w:line="62" w:lineRule="exact"/>
        <w:rPr>
          <w:sz w:val="20"/>
          <w:szCs w:val="20"/>
          <w:color w:val="auto"/>
        </w:rPr>
      </w:pPr>
    </w:p>
    <w:p>
      <w:pPr>
        <w:ind w:left="960" w:right="180" w:hanging="777"/>
        <w:spacing w:after="0" w:line="277" w:lineRule="auto"/>
        <w:tabs>
          <w:tab w:leader="none" w:pos="940" w:val="left"/>
        </w:tabs>
        <w:rPr>
          <w:rFonts w:ascii="Arial" w:cs="Arial" w:eastAsia="Arial" w:hAnsi="Arial"/>
          <w:sz w:val="18"/>
          <w:szCs w:val="18"/>
          <w:u w:val="single" w:color="auto"/>
          <w:color w:val="0000EE"/>
        </w:rPr>
      </w:pPr>
      <w:r>
        <w:rPr>
          <w:rFonts w:ascii="Arial" w:cs="Arial" w:eastAsia="Arial" w:hAnsi="Arial"/>
          <w:sz w:val="18"/>
          <w:szCs w:val="18"/>
          <w:color w:val="auto"/>
        </w:rPr>
        <w:t>3.3</w:t>
      </w:r>
      <w:r>
        <w:rPr>
          <w:sz w:val="20"/>
          <w:szCs w:val="20"/>
          <w:color w:val="auto"/>
        </w:rPr>
        <w:tab/>
      </w:r>
      <w:hyperlink r:id="rId21">
        <w:r>
          <w:rPr>
            <w:rFonts w:ascii="Arial" w:cs="Arial" w:eastAsia="Arial" w:hAnsi="Arial"/>
            <w:sz w:val="18"/>
            <w:szCs w:val="18"/>
            <w:u w:val="single" w:color="auto"/>
            <w:color w:val="0000EE"/>
          </w:rPr>
          <w:t>Certificate of Designation of Preferences, Rights and Limitations of</w:t>
        </w:r>
      </w:hyperlink>
      <w:r>
        <w:rPr>
          <w:rFonts w:ascii="Arial" w:cs="Arial" w:eastAsia="Arial" w:hAnsi="Arial"/>
          <w:sz w:val="18"/>
          <w:szCs w:val="18"/>
          <w:u w:val="single" w:color="auto"/>
          <w:color w:val="0000EE"/>
        </w:rPr>
        <w:t xml:space="preserve"> </w:t>
      </w:r>
      <w:hyperlink r:id="rId21">
        <w:r>
          <w:rPr>
            <w:rFonts w:ascii="Arial" w:cs="Arial" w:eastAsia="Arial" w:hAnsi="Arial"/>
            <w:sz w:val="18"/>
            <w:szCs w:val="18"/>
            <w:u w:val="single" w:color="auto"/>
            <w:color w:val="0000EE"/>
          </w:rPr>
          <w:t>Series B Convertible Preferred Stock</w:t>
        </w:r>
      </w:hyperlink>
    </w:p>
    <w:p>
      <w:pPr>
        <w:spacing w:after="0" w:line="62" w:lineRule="exact"/>
        <w:rPr>
          <w:sz w:val="20"/>
          <w:szCs w:val="20"/>
          <w:color w:val="auto"/>
        </w:rPr>
      </w:pPr>
    </w:p>
    <w:p>
      <w:pPr>
        <w:ind w:left="180"/>
        <w:spacing w:after="0"/>
        <w:tabs>
          <w:tab w:leader="none" w:pos="940" w:val="left"/>
        </w:tabs>
        <w:rPr>
          <w:rFonts w:ascii="Arial" w:cs="Arial" w:eastAsia="Arial" w:hAnsi="Arial"/>
          <w:sz w:val="16"/>
          <w:szCs w:val="16"/>
          <w:u w:val="single" w:color="auto"/>
          <w:color w:val="0000EE"/>
        </w:rPr>
      </w:pPr>
      <w:r>
        <w:rPr>
          <w:rFonts w:ascii="Arial" w:cs="Arial" w:eastAsia="Arial" w:hAnsi="Arial"/>
          <w:sz w:val="18"/>
          <w:szCs w:val="18"/>
          <w:color w:val="auto"/>
        </w:rPr>
        <w:t>3.4</w:t>
      </w:r>
      <w:r>
        <w:rPr>
          <w:sz w:val="20"/>
          <w:szCs w:val="20"/>
          <w:color w:val="auto"/>
        </w:rPr>
        <w:tab/>
      </w:r>
      <w:hyperlink r:id="rId22">
        <w:r>
          <w:rPr>
            <w:rFonts w:ascii="Arial" w:cs="Arial" w:eastAsia="Arial" w:hAnsi="Arial"/>
            <w:sz w:val="16"/>
            <w:szCs w:val="16"/>
            <w:u w:val="single" w:color="auto"/>
            <w:color w:val="0000EE"/>
          </w:rPr>
          <w:t>Bylaws of the Registrant, as amended April 13, 2016.</w:t>
        </w:r>
      </w:hyperlink>
    </w:p>
    <w:p>
      <w:pPr>
        <w:spacing w:after="0" w:line="200" w:lineRule="exact"/>
        <w:rPr>
          <w:sz w:val="20"/>
          <w:szCs w:val="20"/>
          <w:color w:val="auto"/>
        </w:rPr>
      </w:pPr>
    </w:p>
    <w:p>
      <w:pPr>
        <w:spacing w:after="0" w:line="349" w:lineRule="exact"/>
        <w:rPr>
          <w:sz w:val="20"/>
          <w:szCs w:val="20"/>
          <w:color w:val="auto"/>
        </w:rPr>
      </w:pPr>
    </w:p>
    <w:p>
      <w:pPr>
        <w:ind w:left="180"/>
        <w:spacing w:after="0"/>
        <w:tabs>
          <w:tab w:leader="none" w:pos="940" w:val="left"/>
        </w:tabs>
        <w:rPr>
          <w:rFonts w:ascii="Arial" w:cs="Arial" w:eastAsia="Arial" w:hAnsi="Arial"/>
          <w:sz w:val="16"/>
          <w:szCs w:val="16"/>
          <w:u w:val="single" w:color="auto"/>
          <w:color w:val="0000EE"/>
        </w:rPr>
      </w:pPr>
      <w:r>
        <w:rPr>
          <w:rFonts w:ascii="Arial" w:cs="Arial" w:eastAsia="Arial" w:hAnsi="Arial"/>
          <w:sz w:val="18"/>
          <w:szCs w:val="18"/>
          <w:color w:val="auto"/>
        </w:rPr>
        <w:t>4.1</w:t>
      </w:r>
      <w:r>
        <w:rPr>
          <w:sz w:val="20"/>
          <w:szCs w:val="20"/>
          <w:color w:val="auto"/>
        </w:rPr>
        <w:tab/>
      </w:r>
      <w:hyperlink r:id="rId23">
        <w:r>
          <w:rPr>
            <w:rFonts w:ascii="Arial" w:cs="Arial" w:eastAsia="Arial" w:hAnsi="Arial"/>
            <w:sz w:val="16"/>
            <w:szCs w:val="16"/>
            <w:u w:val="single" w:color="auto"/>
            <w:color w:val="0000EE"/>
          </w:rPr>
          <w:t>Form of Warrant Agreement, dated May 9, 2022, between the</w:t>
        </w:r>
      </w:hyperlink>
    </w:p>
    <w:p>
      <w:pPr>
        <w:spacing w:after="0" w:line="23" w:lineRule="exact"/>
        <w:rPr>
          <w:sz w:val="20"/>
          <w:szCs w:val="20"/>
          <w:color w:val="auto"/>
        </w:rPr>
      </w:pPr>
    </w:p>
    <w:p>
      <w:pPr>
        <w:ind w:left="960"/>
        <w:spacing w:after="0"/>
        <w:rPr>
          <w:rFonts w:ascii="Arial" w:cs="Arial" w:eastAsia="Arial" w:hAnsi="Arial"/>
          <w:sz w:val="18"/>
          <w:szCs w:val="18"/>
          <w:u w:val="single" w:color="auto"/>
          <w:color w:val="0000EE"/>
        </w:rPr>
      </w:pPr>
      <w:hyperlink r:id="rId23">
        <w:r>
          <w:rPr>
            <w:rFonts w:ascii="Arial" w:cs="Arial" w:eastAsia="Arial" w:hAnsi="Arial"/>
            <w:sz w:val="18"/>
            <w:szCs w:val="18"/>
            <w:u w:val="single" w:color="auto"/>
            <w:color w:val="0000EE"/>
          </w:rPr>
          <w:t>Registrant and Hercules Capital, Inc. and affiliates.</w:t>
        </w:r>
      </w:hyperlink>
    </w:p>
    <w:p>
      <w:pPr>
        <w:spacing w:after="0" w:line="103" w:lineRule="exact"/>
        <w:rPr>
          <w:sz w:val="20"/>
          <w:szCs w:val="20"/>
          <w:color w:val="auto"/>
        </w:rPr>
      </w:pPr>
    </w:p>
    <w:p>
      <w:pPr>
        <w:jc w:val="right"/>
        <w:ind w:left="180" w:right="220"/>
        <w:spacing w:after="0" w:line="308" w:lineRule="auto"/>
        <w:rPr>
          <w:rFonts w:ascii="Arial" w:cs="Arial" w:eastAsia="Arial" w:hAnsi="Arial"/>
          <w:sz w:val="17"/>
          <w:szCs w:val="17"/>
          <w:u w:val="single" w:color="auto"/>
          <w:color w:val="0000EE"/>
        </w:rPr>
      </w:pPr>
      <w:r>
        <w:rPr>
          <w:rFonts w:ascii="Arial" w:cs="Arial" w:eastAsia="Arial" w:hAnsi="Arial"/>
          <w:sz w:val="17"/>
          <w:szCs w:val="17"/>
          <w:color w:val="auto"/>
        </w:rPr>
        <w:t xml:space="preserve">4.2†     </w:t>
      </w:r>
      <w:hyperlink r:id="rId24">
        <w:r>
          <w:rPr>
            <w:rFonts w:ascii="Arial" w:cs="Arial" w:eastAsia="Arial" w:hAnsi="Arial"/>
            <w:sz w:val="17"/>
            <w:szCs w:val="17"/>
            <w:u w:val="single" w:color="auto"/>
            <w:color w:val="0000EE"/>
          </w:rPr>
          <w:t>Form of Tranche 2 Warrant Agreement, dated February 3, 2023, by</w:t>
        </w:r>
      </w:hyperlink>
      <w:r>
        <w:rPr>
          <w:rFonts w:ascii="Arial" w:cs="Arial" w:eastAsia="Arial" w:hAnsi="Arial"/>
          <w:sz w:val="17"/>
          <w:szCs w:val="17"/>
          <w:color w:val="auto"/>
        </w:rPr>
        <w:t xml:space="preserve"> </w:t>
      </w:r>
      <w:hyperlink r:id="rId24">
        <w:r>
          <w:rPr>
            <w:rFonts w:ascii="Arial" w:cs="Arial" w:eastAsia="Arial" w:hAnsi="Arial"/>
            <w:sz w:val="17"/>
            <w:szCs w:val="17"/>
            <w:u w:val="single" w:color="auto"/>
            <w:color w:val="0000EE"/>
          </w:rPr>
          <w:t>and among the Registrant and Hercules Capital, Inc. and affiliates.</w:t>
        </w:r>
      </w:hyperlink>
    </w:p>
    <w:p>
      <w:pPr>
        <w:spacing w:after="0" w:line="38" w:lineRule="exact"/>
        <w:rPr>
          <w:sz w:val="20"/>
          <w:szCs w:val="20"/>
          <w:color w:val="auto"/>
        </w:rPr>
      </w:pPr>
    </w:p>
    <w:p>
      <w:pPr>
        <w:ind w:left="180"/>
        <w:spacing w:after="0"/>
        <w:tabs>
          <w:tab w:leader="none" w:pos="940" w:val="left"/>
        </w:tabs>
        <w:rPr>
          <w:rFonts w:ascii="Arial" w:cs="Arial" w:eastAsia="Arial" w:hAnsi="Arial"/>
          <w:sz w:val="16"/>
          <w:szCs w:val="16"/>
          <w:u w:val="single" w:color="auto"/>
          <w:color w:val="0000EE"/>
        </w:rPr>
      </w:pPr>
      <w:r>
        <w:rPr>
          <w:rFonts w:ascii="Arial" w:cs="Arial" w:eastAsia="Arial" w:hAnsi="Arial"/>
          <w:sz w:val="18"/>
          <w:szCs w:val="18"/>
          <w:color w:val="auto"/>
        </w:rPr>
        <w:t>4.3</w:t>
      </w:r>
      <w:r>
        <w:rPr>
          <w:sz w:val="20"/>
          <w:szCs w:val="20"/>
          <w:color w:val="auto"/>
        </w:rPr>
        <w:tab/>
      </w:r>
      <w:hyperlink r:id="rId25">
        <w:r>
          <w:rPr>
            <w:rFonts w:ascii="Arial" w:cs="Arial" w:eastAsia="Arial" w:hAnsi="Arial"/>
            <w:sz w:val="16"/>
            <w:szCs w:val="16"/>
            <w:u w:val="single" w:color="auto"/>
            <w:color w:val="0000EE"/>
          </w:rPr>
          <w:t>Description of Securities of the Registrant</w:t>
        </w:r>
      </w:hyperlink>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Agreements</w:t>
      </w:r>
    </w:p>
    <w:p>
      <w:pPr>
        <w:spacing w:after="0" w:line="117" w:lineRule="exact"/>
        <w:rPr>
          <w:sz w:val="20"/>
          <w:szCs w:val="20"/>
          <w:color w:val="auto"/>
        </w:rPr>
      </w:pPr>
    </w:p>
    <w:p>
      <w:pPr>
        <w:ind w:left="960" w:right="180" w:hanging="867"/>
        <w:spacing w:after="0" w:line="286" w:lineRule="auto"/>
        <w:tabs>
          <w:tab w:leader="none" w:pos="940" w:val="left"/>
        </w:tabs>
        <w:rPr>
          <w:rFonts w:ascii="Arial" w:cs="Arial" w:eastAsia="Arial" w:hAnsi="Arial"/>
          <w:sz w:val="17"/>
          <w:szCs w:val="17"/>
          <w:u w:val="single" w:color="auto"/>
          <w:color w:val="0000EE"/>
        </w:rPr>
      </w:pPr>
      <w:r>
        <w:rPr>
          <w:rFonts w:ascii="Arial" w:cs="Arial" w:eastAsia="Arial" w:hAnsi="Arial"/>
          <w:sz w:val="18"/>
          <w:szCs w:val="18"/>
          <w:color w:val="auto"/>
        </w:rPr>
        <w:t>10.1</w:t>
      </w:r>
      <w:r>
        <w:rPr>
          <w:sz w:val="20"/>
          <w:szCs w:val="20"/>
          <w:color w:val="auto"/>
        </w:rPr>
        <w:tab/>
      </w:r>
      <w:hyperlink r:id="rId26">
        <w:r>
          <w:rPr>
            <w:rFonts w:ascii="Arial" w:cs="Arial" w:eastAsia="Arial" w:hAnsi="Arial"/>
            <w:sz w:val="17"/>
            <w:szCs w:val="17"/>
            <w:u w:val="single" w:color="auto"/>
            <w:color w:val="0000EE"/>
          </w:rPr>
          <w:t>Securities Purchase Agreement, dated June 20, 2017, by and among</w:t>
        </w:r>
      </w:hyperlink>
      <w:r>
        <w:rPr>
          <w:rFonts w:ascii="Arial" w:cs="Arial" w:eastAsia="Arial" w:hAnsi="Arial"/>
          <w:sz w:val="17"/>
          <w:szCs w:val="17"/>
          <w:u w:val="single" w:color="auto"/>
          <w:color w:val="0000EE"/>
        </w:rPr>
        <w:t xml:space="preserve"> </w:t>
      </w:r>
      <w:hyperlink r:id="rId26">
        <w:r>
          <w:rPr>
            <w:rFonts w:ascii="Arial" w:cs="Arial" w:eastAsia="Arial" w:hAnsi="Arial"/>
            <w:sz w:val="17"/>
            <w:szCs w:val="17"/>
            <w:u w:val="single" w:color="auto"/>
            <w:color w:val="0000EE"/>
          </w:rPr>
          <w:t>the Registrant and the investors party thereto, including the</w:t>
        </w:r>
      </w:hyperlink>
      <w:r>
        <w:rPr>
          <w:rFonts w:ascii="Arial" w:cs="Arial" w:eastAsia="Arial" w:hAnsi="Arial"/>
          <w:sz w:val="17"/>
          <w:szCs w:val="17"/>
          <w:u w:val="single" w:color="auto"/>
          <w:color w:val="0000EE"/>
        </w:rPr>
        <w:t xml:space="preserve"> </w:t>
      </w:r>
      <w:hyperlink r:id="rId26">
        <w:r>
          <w:rPr>
            <w:rFonts w:ascii="Arial" w:cs="Arial" w:eastAsia="Arial" w:hAnsi="Arial"/>
            <w:sz w:val="17"/>
            <w:szCs w:val="17"/>
            <w:u w:val="single" w:color="auto"/>
            <w:color w:val="0000EE"/>
          </w:rPr>
          <w:t>Registration Rights Agreement attached as Exhibit B thereto.</w:t>
        </w:r>
      </w:hyperlink>
    </w:p>
    <w:p>
      <w:pPr>
        <w:spacing w:after="0" w:line="98" w:lineRule="exact"/>
        <w:rPr>
          <w:rFonts w:ascii="Arial" w:cs="Arial" w:eastAsia="Arial" w:hAnsi="Arial"/>
          <w:sz w:val="17"/>
          <w:szCs w:val="17"/>
          <w:u w:val="single" w:color="auto"/>
          <w:color w:val="0000EE"/>
        </w:rPr>
      </w:pPr>
    </w:p>
    <w:p>
      <w:pPr>
        <w:ind w:left="5460"/>
        <w:spacing w:after="0"/>
        <w:rPr>
          <w:sz w:val="20"/>
          <w:szCs w:val="20"/>
          <w:color w:val="auto"/>
        </w:rPr>
      </w:pPr>
      <w:r>
        <w:rPr>
          <w:rFonts w:ascii="Arial" w:cs="Arial" w:eastAsia="Arial" w:hAnsi="Arial"/>
          <w:sz w:val="18"/>
          <w:szCs w:val="18"/>
          <w:color w:val="auto"/>
        </w:rPr>
        <w:t>2</w:t>
      </w:r>
    </w:p>
    <w:p>
      <w:pPr>
        <w:spacing w:after="0" w:line="20" w:lineRule="exact"/>
        <w:rPr>
          <w:rFonts w:ascii="Arial" w:cs="Arial" w:eastAsia="Arial" w:hAnsi="Arial"/>
          <w:sz w:val="17"/>
          <w:szCs w:val="17"/>
          <w:u w:val="single" w:color="auto"/>
          <w:color w:val="0000EE"/>
        </w:rPr>
      </w:pPr>
      <w:r>
        <w:rPr>
          <w:rFonts w:ascii="Arial" w:cs="Arial" w:eastAsia="Arial" w:hAnsi="Arial"/>
          <w:sz w:val="17"/>
          <w:szCs w:val="17"/>
          <w:u w:val="single" w:color="auto"/>
          <w:color w:val="0000EE"/>
        </w:rPr>
        <w:br w:type="column"/>
      </w:r>
    </w:p>
    <w:p>
      <w:pPr>
        <w:spacing w:after="0" w:line="200" w:lineRule="exact"/>
        <w:rPr>
          <w:rFonts w:ascii="Arial" w:cs="Arial" w:eastAsia="Arial" w:hAnsi="Arial"/>
          <w:sz w:val="17"/>
          <w:szCs w:val="17"/>
          <w:u w:val="single" w:color="auto"/>
          <w:color w:val="0000EE"/>
        </w:rPr>
      </w:pPr>
    </w:p>
    <w:p>
      <w:pPr>
        <w:spacing w:after="0" w:line="200" w:lineRule="exact"/>
        <w:rPr>
          <w:rFonts w:ascii="Arial" w:cs="Arial" w:eastAsia="Arial" w:hAnsi="Arial"/>
          <w:sz w:val="17"/>
          <w:szCs w:val="17"/>
          <w:u w:val="single" w:color="auto"/>
          <w:color w:val="0000EE"/>
        </w:rPr>
      </w:pPr>
    </w:p>
    <w:p>
      <w:pPr>
        <w:spacing w:after="0" w:line="200" w:lineRule="exact"/>
        <w:rPr>
          <w:rFonts w:ascii="Arial" w:cs="Arial" w:eastAsia="Arial" w:hAnsi="Arial"/>
          <w:sz w:val="17"/>
          <w:szCs w:val="17"/>
          <w:u w:val="single" w:color="auto"/>
          <w:color w:val="0000EE"/>
        </w:rPr>
      </w:pPr>
    </w:p>
    <w:p>
      <w:pPr>
        <w:spacing w:after="0" w:line="245" w:lineRule="exact"/>
        <w:rPr>
          <w:rFonts w:ascii="Arial" w:cs="Arial" w:eastAsia="Arial" w:hAnsi="Arial"/>
          <w:sz w:val="17"/>
          <w:szCs w:val="17"/>
          <w:u w:val="single" w:color="auto"/>
          <w:color w:val="0000EE"/>
        </w:rPr>
      </w:pPr>
    </w:p>
    <w:p>
      <w:pPr>
        <w:spacing w:after="0" w:line="1" w:lineRule="exact"/>
        <w:rPr>
          <w:rFonts w:ascii="Arial" w:cs="Arial" w:eastAsia="Arial" w:hAnsi="Arial"/>
          <w:sz w:val="1"/>
          <w:szCs w:val="1"/>
          <w:u w:val="single" w:color="auto"/>
          <w:color w:val="0000EE"/>
        </w:rPr>
      </w:pPr>
    </w:p>
    <w:tbl>
      <w:tblPr>
        <w:tblLayout w:type="fixed"/>
        <w:tblInd w:w="0" w:type="dxa"/>
        <w:tblCellMar>
          <w:top w:w="0" w:type="dxa"/>
          <w:left w:w="0" w:type="dxa"/>
          <w:bottom w:w="0" w:type="dxa"/>
          <w:right w:w="0" w:type="dxa"/>
        </w:tblCellMar>
      </w:tblPr>
      <w:tr>
        <w:trPr>
          <w:trHeight w:val="161"/>
        </w:trPr>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4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4"/>
              </w:rPr>
              <w:t>Incorporated by</w:t>
            </w:r>
          </w:p>
        </w:tc>
        <w:tc>
          <w:tcPr>
            <w:tcW w:w="10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Filed</w:t>
            </w:r>
          </w:p>
        </w:tc>
        <w:tc>
          <w:tcPr>
            <w:tcW w:w="100" w:type="dxa"/>
            <w:vAlign w:val="bottom"/>
          </w:tcPr>
          <w:p>
            <w:pPr>
              <w:spacing w:after="0"/>
              <w:rPr>
                <w:sz w:val="13"/>
                <w:szCs w:val="13"/>
                <w:color w:val="auto"/>
              </w:rPr>
            </w:pPr>
          </w:p>
        </w:tc>
        <w:tc>
          <w:tcPr>
            <w:tcW w:w="1640" w:type="dxa"/>
            <w:vAlign w:val="bottom"/>
            <w:gridSpan w:val="2"/>
          </w:tcPr>
          <w:p>
            <w:pPr>
              <w:jc w:val="center"/>
              <w:ind w:right="80"/>
              <w:spacing w:after="0" w:line="158" w:lineRule="exact"/>
              <w:rPr>
                <w:sz w:val="20"/>
                <w:szCs w:val="20"/>
                <w:color w:val="auto"/>
              </w:rPr>
            </w:pPr>
            <w:r>
              <w:rPr>
                <w:rFonts w:ascii="Arial" w:cs="Arial" w:eastAsia="Arial" w:hAnsi="Arial"/>
                <w:sz w:val="14"/>
                <w:szCs w:val="14"/>
                <w:b w:val="1"/>
                <w:bCs w:val="1"/>
                <w:color w:val="auto"/>
                <w:w w:val="91"/>
              </w:rPr>
              <w:t>Reference herein</w:t>
            </w:r>
          </w:p>
        </w:tc>
        <w:tc>
          <w:tcPr>
            <w:tcW w:w="10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ind w:left="200"/>
              <w:spacing w:after="0" w:line="158" w:lineRule="exact"/>
              <w:rPr>
                <w:sz w:val="20"/>
                <w:szCs w:val="20"/>
                <w:color w:val="auto"/>
              </w:rPr>
            </w:pPr>
            <w:r>
              <w:rPr>
                <w:rFonts w:ascii="Arial" w:cs="Arial" w:eastAsia="Arial" w:hAnsi="Arial"/>
                <w:sz w:val="14"/>
                <w:szCs w:val="14"/>
                <w:b w:val="1"/>
                <w:bCs w:val="1"/>
                <w:color w:val="auto"/>
              </w:rPr>
              <w:t>SEC File /</w:t>
            </w:r>
          </w:p>
        </w:tc>
        <w:tc>
          <w:tcPr>
            <w:tcW w:w="0" w:type="dxa"/>
            <w:vAlign w:val="bottom"/>
          </w:tcPr>
          <w:p>
            <w:pPr>
              <w:spacing w:after="0"/>
              <w:rPr>
                <w:sz w:val="1"/>
                <w:szCs w:val="1"/>
                <w:color w:val="auto"/>
              </w:rPr>
            </w:pPr>
          </w:p>
        </w:tc>
      </w:tr>
      <w:tr>
        <w:trPr>
          <w:trHeight w:val="148"/>
        </w:trPr>
        <w:tc>
          <w:tcPr>
            <w:tcW w:w="7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6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from Form or</w:t>
            </w:r>
          </w:p>
        </w:tc>
        <w:tc>
          <w:tcPr>
            <w:tcW w:w="1080" w:type="dxa"/>
            <w:vAlign w:val="bottom"/>
            <w:vMerge w:val="restart"/>
          </w:tcPr>
          <w:p>
            <w:pPr>
              <w:jc w:val="right"/>
              <w:ind w:right="112"/>
              <w:spacing w:after="0"/>
              <w:rPr>
                <w:sz w:val="20"/>
                <w:szCs w:val="20"/>
                <w:color w:val="auto"/>
              </w:rPr>
            </w:pPr>
            <w:r>
              <w:rPr>
                <w:rFonts w:ascii="Arial" w:cs="Arial" w:eastAsia="Arial" w:hAnsi="Arial"/>
                <w:sz w:val="14"/>
                <w:szCs w:val="14"/>
                <w:b w:val="1"/>
                <w:bCs w:val="1"/>
                <w:color w:val="auto"/>
              </w:rPr>
              <w:t>Filing Date</w:t>
            </w:r>
          </w:p>
        </w:tc>
        <w:tc>
          <w:tcPr>
            <w:tcW w:w="180" w:type="dxa"/>
            <w:vAlign w:val="bottom"/>
            <w:vMerge w:val="restart"/>
          </w:tcPr>
          <w:p>
            <w:pPr>
              <w:spacing w:after="0"/>
              <w:rPr>
                <w:sz w:val="12"/>
                <w:szCs w:val="12"/>
                <w:color w:val="auto"/>
              </w:rPr>
            </w:pPr>
          </w:p>
        </w:tc>
        <w:tc>
          <w:tcPr>
            <w:tcW w:w="1040" w:type="dxa"/>
            <w:vAlign w:val="bottom"/>
          </w:tcPr>
          <w:p>
            <w:pPr>
              <w:ind w:left="140"/>
              <w:spacing w:after="0" w:line="149" w:lineRule="exact"/>
              <w:rPr>
                <w:sz w:val="20"/>
                <w:szCs w:val="20"/>
                <w:color w:val="auto"/>
              </w:rPr>
            </w:pPr>
            <w:r>
              <w:rPr>
                <w:rFonts w:ascii="Arial" w:cs="Arial" w:eastAsia="Arial" w:hAnsi="Arial"/>
                <w:sz w:val="14"/>
                <w:szCs w:val="14"/>
                <w:b w:val="1"/>
                <w:bCs w:val="1"/>
                <w:color w:val="auto"/>
              </w:rPr>
              <w:t>Registration</w:t>
            </w:r>
          </w:p>
        </w:tc>
        <w:tc>
          <w:tcPr>
            <w:tcW w:w="0" w:type="dxa"/>
            <w:vAlign w:val="bottom"/>
          </w:tcPr>
          <w:p>
            <w:pPr>
              <w:spacing w:after="0"/>
              <w:rPr>
                <w:sz w:val="1"/>
                <w:szCs w:val="1"/>
                <w:color w:val="auto"/>
              </w:rPr>
            </w:pPr>
          </w:p>
        </w:tc>
      </w:tr>
      <w:tr>
        <w:trPr>
          <w:trHeight w:val="176"/>
        </w:trPr>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Herewith</w:t>
            </w:r>
          </w:p>
        </w:tc>
        <w:tc>
          <w:tcPr>
            <w:tcW w:w="100" w:type="dxa"/>
            <w:vAlign w:val="bottom"/>
          </w:tcPr>
          <w:p>
            <w:pPr>
              <w:spacing w:after="0"/>
              <w:rPr>
                <w:sz w:val="15"/>
                <w:szCs w:val="15"/>
                <w:color w:val="auto"/>
              </w:rPr>
            </w:pPr>
          </w:p>
        </w:tc>
        <w:tc>
          <w:tcPr>
            <w:tcW w:w="15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Schedule</w:t>
            </w:r>
          </w:p>
        </w:tc>
        <w:tc>
          <w:tcPr>
            <w:tcW w:w="100" w:type="dxa"/>
            <w:vAlign w:val="bottom"/>
          </w:tcPr>
          <w:p>
            <w:pPr>
              <w:spacing w:after="0"/>
              <w:rPr>
                <w:sz w:val="15"/>
                <w:szCs w:val="15"/>
                <w:color w:val="auto"/>
              </w:rPr>
            </w:pPr>
          </w:p>
        </w:tc>
        <w:tc>
          <w:tcPr>
            <w:tcW w:w="1080" w:type="dxa"/>
            <w:vAlign w:val="bottom"/>
            <w:tcBorders>
              <w:bottom w:val="single" w:sz="8" w:color="auto"/>
            </w:tcBorders>
            <w:vMerge w:val="continue"/>
          </w:tcPr>
          <w:p>
            <w:pPr>
              <w:spacing w:after="0"/>
              <w:rPr>
                <w:sz w:val="15"/>
                <w:szCs w:val="15"/>
                <w:color w:val="auto"/>
              </w:rPr>
            </w:pPr>
          </w:p>
        </w:tc>
        <w:tc>
          <w:tcPr>
            <w:tcW w:w="180" w:type="dxa"/>
            <w:vAlign w:val="bottom"/>
            <w:vMerge w:val="continue"/>
          </w:tcPr>
          <w:p>
            <w:pPr>
              <w:spacing w:after="0"/>
              <w:rPr>
                <w:sz w:val="15"/>
                <w:szCs w:val="15"/>
                <w:color w:val="auto"/>
              </w:rPr>
            </w:pPr>
          </w:p>
        </w:tc>
        <w:tc>
          <w:tcPr>
            <w:tcW w:w="1040" w:type="dxa"/>
            <w:vAlign w:val="bottom"/>
            <w:tcBorders>
              <w:bottom w:val="single" w:sz="8" w:color="auto"/>
            </w:tcBorders>
          </w:tcPr>
          <w:p>
            <w:pPr>
              <w:ind w:left="260"/>
              <w:spacing w:after="0"/>
              <w:rPr>
                <w:sz w:val="20"/>
                <w:szCs w:val="20"/>
                <w:color w:val="auto"/>
              </w:rPr>
            </w:pPr>
            <w:r>
              <w:rPr>
                <w:rFonts w:ascii="Arial" w:cs="Arial" w:eastAsia="Arial" w:hAnsi="Arial"/>
                <w:sz w:val="14"/>
                <w:szCs w:val="14"/>
                <w:b w:val="1"/>
                <w:bCs w:val="1"/>
                <w:color w:val="auto"/>
              </w:rPr>
              <w:t>Number</w:t>
            </w:r>
          </w:p>
        </w:tc>
        <w:tc>
          <w:tcPr>
            <w:tcW w:w="0" w:type="dxa"/>
            <w:vAlign w:val="bottom"/>
          </w:tcPr>
          <w:p>
            <w:pPr>
              <w:spacing w:after="0"/>
              <w:rPr>
                <w:sz w:val="1"/>
                <w:szCs w:val="1"/>
                <w:color w:val="auto"/>
              </w:rPr>
            </w:pPr>
          </w:p>
        </w:tc>
      </w:tr>
      <w:tr>
        <w:trPr>
          <w:trHeight w:val="290"/>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Form 10-K</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(Exhibit 3.1)</w:t>
            </w: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3/31/2017</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310"/>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Form 8-K</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(Exhibit 3.1)</w:t>
            </w: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6/21/2017</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310"/>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Form 8-K (Exhibit</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640" w:type="dxa"/>
            <w:vAlign w:val="bottom"/>
            <w:gridSpan w:val="2"/>
          </w:tcPr>
          <w:p>
            <w:pPr>
              <w:ind w:left="100"/>
              <w:spacing w:after="0"/>
              <w:rPr>
                <w:sz w:val="20"/>
                <w:szCs w:val="20"/>
                <w:color w:val="auto"/>
              </w:rPr>
            </w:pPr>
            <w:r>
              <w:rPr>
                <w:rFonts w:ascii="Arial" w:cs="Arial" w:eastAsia="Arial" w:hAnsi="Arial"/>
                <w:sz w:val="18"/>
                <w:szCs w:val="18"/>
                <w:color w:val="auto"/>
              </w:rPr>
              <w:t>3.1)</w:t>
            </w:r>
          </w:p>
        </w:tc>
        <w:tc>
          <w:tcPr>
            <w:tcW w:w="100" w:type="dxa"/>
            <w:vAlign w:val="bottom"/>
          </w:tcPr>
          <w:p>
            <w:pPr>
              <w:spacing w:after="0"/>
              <w:rPr>
                <w:sz w:val="20"/>
                <w:szCs w:val="20"/>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12/23/2022</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310"/>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DEFA14A;</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780" w:type="dxa"/>
            <w:vAlign w:val="bottom"/>
          </w:tcPr>
          <w:p>
            <w:pPr>
              <w:spacing w:after="0"/>
              <w:rPr>
                <w:sz w:val="18"/>
                <w:szCs w:val="18"/>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Form 8-K</w:t>
            </w:r>
          </w:p>
        </w:tc>
        <w:tc>
          <w:tcPr>
            <w:tcW w:w="10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(Exhibit 3.1)</w:t>
            </w: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4/14/2016</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310"/>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Form 10-Q (Exhibit</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640" w:type="dxa"/>
            <w:vAlign w:val="bottom"/>
            <w:gridSpan w:val="2"/>
          </w:tcPr>
          <w:p>
            <w:pPr>
              <w:ind w:left="100"/>
              <w:spacing w:after="0"/>
              <w:rPr>
                <w:sz w:val="20"/>
                <w:szCs w:val="20"/>
                <w:color w:val="auto"/>
              </w:rPr>
            </w:pPr>
            <w:r>
              <w:rPr>
                <w:rFonts w:ascii="Arial" w:cs="Arial" w:eastAsia="Arial" w:hAnsi="Arial"/>
                <w:sz w:val="18"/>
                <w:szCs w:val="18"/>
                <w:color w:val="auto"/>
              </w:rPr>
              <w:t>4.1)</w:t>
            </w:r>
          </w:p>
        </w:tc>
        <w:tc>
          <w:tcPr>
            <w:tcW w:w="100" w:type="dxa"/>
            <w:vAlign w:val="bottom"/>
          </w:tcPr>
          <w:p>
            <w:pPr>
              <w:spacing w:after="0"/>
              <w:rPr>
                <w:sz w:val="20"/>
                <w:szCs w:val="20"/>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08/04/2022</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310"/>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Form 8-K (Exhibit</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640" w:type="dxa"/>
            <w:vAlign w:val="bottom"/>
            <w:gridSpan w:val="2"/>
          </w:tcPr>
          <w:p>
            <w:pPr>
              <w:ind w:left="100"/>
              <w:spacing w:after="0"/>
              <w:rPr>
                <w:sz w:val="20"/>
                <w:szCs w:val="20"/>
                <w:color w:val="auto"/>
              </w:rPr>
            </w:pPr>
            <w:r>
              <w:rPr>
                <w:rFonts w:ascii="Arial" w:cs="Arial" w:eastAsia="Arial" w:hAnsi="Arial"/>
                <w:sz w:val="18"/>
                <w:szCs w:val="18"/>
                <w:color w:val="auto"/>
              </w:rPr>
              <w:t>4.1)</w:t>
            </w:r>
          </w:p>
        </w:tc>
        <w:tc>
          <w:tcPr>
            <w:tcW w:w="100" w:type="dxa"/>
            <w:vAlign w:val="bottom"/>
          </w:tcPr>
          <w:p>
            <w:pPr>
              <w:spacing w:after="0"/>
              <w:rPr>
                <w:sz w:val="20"/>
                <w:szCs w:val="20"/>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2/9/2023</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310"/>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Form 10-K (Exhibit</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640" w:type="dxa"/>
            <w:vAlign w:val="bottom"/>
            <w:gridSpan w:val="2"/>
          </w:tcPr>
          <w:p>
            <w:pPr>
              <w:ind w:left="100"/>
              <w:spacing w:after="0"/>
              <w:rPr>
                <w:sz w:val="20"/>
                <w:szCs w:val="20"/>
                <w:color w:val="auto"/>
              </w:rPr>
            </w:pPr>
            <w:r>
              <w:rPr>
                <w:rFonts w:ascii="Arial" w:cs="Arial" w:eastAsia="Arial" w:hAnsi="Arial"/>
                <w:sz w:val="18"/>
                <w:szCs w:val="18"/>
                <w:color w:val="auto"/>
              </w:rPr>
              <w:t>4.3)</w:t>
            </w:r>
          </w:p>
        </w:tc>
        <w:tc>
          <w:tcPr>
            <w:tcW w:w="100" w:type="dxa"/>
            <w:vAlign w:val="bottom"/>
          </w:tcPr>
          <w:p>
            <w:pPr>
              <w:spacing w:after="0"/>
              <w:rPr>
                <w:sz w:val="20"/>
                <w:szCs w:val="20"/>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2/23/2023</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850"/>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Form 8-K</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(Exhibit 10.1)</w:t>
            </w: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6/21/2017</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bl>
    <w:p>
      <w:pPr>
        <w:sectPr>
          <w:pgSz w:w="11900" w:h="16838" w:orient="portrait"/>
          <w:cols w:equalWidth="0" w:num="2">
            <w:col w:w="6020" w:space="100"/>
            <w:col w:w="4820"/>
          </w:cols>
          <w:pgMar w:left="440" w:top="297" w:right="519" w:bottom="1440" w:gutter="0" w:footer="0" w:header="0"/>
          <w:type w:val="continuous"/>
        </w:sectPr>
      </w:pPr>
    </w:p>
    <w:bookmarkStart w:id="3" w:name="page4"/>
    <w:bookmarkEnd w:id="3"/>
    <w:p>
      <w:pPr>
        <w:spacing w:after="0" w:line="31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61"/>
        </w:trPr>
        <w:tc>
          <w:tcPr>
            <w:tcW w:w="640" w:type="dxa"/>
            <w:vAlign w:val="bottom"/>
          </w:tcPr>
          <w:p>
            <w:pPr>
              <w:ind w:left="80"/>
              <w:spacing w:after="0"/>
              <w:rPr>
                <w:sz w:val="20"/>
                <w:szCs w:val="20"/>
                <w:color w:val="auto"/>
              </w:rPr>
            </w:pPr>
            <w:r>
              <w:rPr>
                <w:rFonts w:ascii="Arial" w:cs="Arial" w:eastAsia="Arial" w:hAnsi="Arial"/>
                <w:sz w:val="14"/>
                <w:szCs w:val="14"/>
                <w:b w:val="1"/>
                <w:bCs w:val="1"/>
                <w:color w:val="auto"/>
              </w:rPr>
              <w:t>Exhibit</w:t>
            </w:r>
          </w:p>
        </w:tc>
        <w:tc>
          <w:tcPr>
            <w:tcW w:w="20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3460" w:type="dxa"/>
            <w:vAlign w:val="bottom"/>
            <w:gridSpan w:val="9"/>
            <w:vMerge w:val="restart"/>
          </w:tcPr>
          <w:p>
            <w:pPr>
              <w:ind w:left="280"/>
              <w:spacing w:after="0"/>
              <w:rPr>
                <w:sz w:val="20"/>
                <w:szCs w:val="20"/>
                <w:color w:val="auto"/>
              </w:rPr>
            </w:pPr>
            <w:r>
              <w:rPr>
                <w:rFonts w:ascii="Arial" w:cs="Arial" w:eastAsia="Arial" w:hAnsi="Arial"/>
                <w:sz w:val="14"/>
                <w:szCs w:val="14"/>
                <w:b w:val="1"/>
                <w:bCs w:val="1"/>
                <w:color w:val="auto"/>
              </w:rPr>
              <w:t>Exhibit Description</w:t>
            </w:r>
          </w:p>
        </w:tc>
        <w:tc>
          <w:tcPr>
            <w:tcW w:w="0" w:type="dxa"/>
            <w:vAlign w:val="bottom"/>
          </w:tcPr>
          <w:p>
            <w:pPr>
              <w:spacing w:after="0"/>
              <w:rPr>
                <w:sz w:val="1"/>
                <w:szCs w:val="1"/>
                <w:color w:val="auto"/>
              </w:rPr>
            </w:pPr>
          </w:p>
        </w:tc>
      </w:tr>
      <w:tr>
        <w:trPr>
          <w:trHeight w:val="171"/>
        </w:trPr>
        <w:tc>
          <w:tcPr>
            <w:tcW w:w="64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Number</w:t>
            </w:r>
          </w:p>
        </w:tc>
        <w:tc>
          <w:tcPr>
            <w:tcW w:w="200" w:type="dxa"/>
            <w:vAlign w:val="bottom"/>
          </w:tcPr>
          <w:p>
            <w:pPr>
              <w:spacing w:after="0"/>
              <w:rPr>
                <w:sz w:val="14"/>
                <w:szCs w:val="14"/>
                <w:color w:val="auto"/>
              </w:rPr>
            </w:pPr>
          </w:p>
        </w:tc>
        <w:tc>
          <w:tcPr>
            <w:tcW w:w="1720" w:type="dxa"/>
            <w:vAlign w:val="bottom"/>
            <w:tcBorders>
              <w:bottom w:val="single" w:sz="8" w:color="auto"/>
            </w:tcBorders>
          </w:tcPr>
          <w:p>
            <w:pPr>
              <w:spacing w:after="0"/>
              <w:rPr>
                <w:sz w:val="14"/>
                <w:szCs w:val="14"/>
                <w:color w:val="auto"/>
              </w:rPr>
            </w:pPr>
          </w:p>
        </w:tc>
        <w:tc>
          <w:tcPr>
            <w:tcW w:w="3460" w:type="dxa"/>
            <w:vAlign w:val="bottom"/>
            <w:tcBorders>
              <w:bottom w:val="single" w:sz="8" w:color="auto"/>
            </w:tcBorders>
            <w:gridSpan w:val="9"/>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63"/>
        </w:trPr>
        <w:tc>
          <w:tcPr>
            <w:tcW w:w="640" w:type="dxa"/>
            <w:vAlign w:val="bottom"/>
          </w:tcPr>
          <w:p>
            <w:pPr>
              <w:ind w:left="80"/>
              <w:spacing w:after="0"/>
              <w:rPr>
                <w:sz w:val="20"/>
                <w:szCs w:val="20"/>
                <w:color w:val="auto"/>
              </w:rPr>
            </w:pPr>
            <w:r>
              <w:rPr>
                <w:rFonts w:ascii="Arial" w:cs="Arial" w:eastAsia="Arial" w:hAnsi="Arial"/>
                <w:sz w:val="18"/>
                <w:szCs w:val="18"/>
                <w:color w:val="auto"/>
              </w:rPr>
              <w:t>10.2</w:t>
            </w:r>
          </w:p>
        </w:tc>
        <w:tc>
          <w:tcPr>
            <w:tcW w:w="200" w:type="dxa"/>
            <w:vAlign w:val="bottom"/>
          </w:tcPr>
          <w:p>
            <w:pPr>
              <w:spacing w:after="0"/>
              <w:rPr>
                <w:sz w:val="22"/>
                <w:szCs w:val="22"/>
                <w:color w:val="auto"/>
              </w:rPr>
            </w:pPr>
          </w:p>
        </w:tc>
        <w:tc>
          <w:tcPr>
            <w:tcW w:w="4960" w:type="dxa"/>
            <w:vAlign w:val="bottom"/>
            <w:tcBorders>
              <w:bottom w:val="single" w:sz="8" w:color="0000EE"/>
            </w:tcBorders>
            <w:gridSpan w:val="8"/>
          </w:tcPr>
          <w:p>
            <w:pPr>
              <w:spacing w:after="0"/>
              <w:rPr>
                <w:rFonts w:ascii="Arial" w:cs="Arial" w:eastAsia="Arial" w:hAnsi="Arial"/>
                <w:sz w:val="18"/>
                <w:szCs w:val="18"/>
                <w:color w:val="0000EE"/>
                <w:w w:val="89"/>
              </w:rPr>
            </w:pPr>
            <w:hyperlink r:id="rId28">
              <w:r>
                <w:rPr>
                  <w:rFonts w:ascii="Arial" w:cs="Arial" w:eastAsia="Arial" w:hAnsi="Arial"/>
                  <w:sz w:val="18"/>
                  <w:szCs w:val="18"/>
                  <w:color w:val="0000EE"/>
                  <w:w w:val="89"/>
                </w:rPr>
                <w:t>Amendment No. 2, dated December 22, 2022, to Securities Purchase</w:t>
              </w:r>
            </w:hyperlink>
          </w:p>
        </w:tc>
        <w:tc>
          <w:tcPr>
            <w:tcW w:w="220" w:type="dxa"/>
            <w:vAlign w:val="bottom"/>
            <w:gridSpan w:val="2"/>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6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180" w:type="dxa"/>
            <w:vAlign w:val="bottom"/>
            <w:gridSpan w:val="10"/>
          </w:tcPr>
          <w:p>
            <w:pPr>
              <w:spacing w:after="0" w:line="196" w:lineRule="exact"/>
              <w:rPr>
                <w:rFonts w:ascii="Arial" w:cs="Arial" w:eastAsia="Arial" w:hAnsi="Arial"/>
                <w:sz w:val="18"/>
                <w:szCs w:val="18"/>
                <w:color w:val="0000EE"/>
                <w:w w:val="90"/>
              </w:rPr>
            </w:pPr>
            <w:hyperlink r:id="rId28">
              <w:r>
                <w:rPr>
                  <w:rFonts w:ascii="Arial" w:cs="Arial" w:eastAsia="Arial" w:hAnsi="Arial"/>
                  <w:sz w:val="18"/>
                  <w:szCs w:val="18"/>
                  <w:color w:val="0000EE"/>
                  <w:w w:val="90"/>
                </w:rPr>
                <w:t>Agreement, dated June 20, 2017, by and among the Registrant and the</w:t>
              </w:r>
            </w:hyperlink>
          </w:p>
        </w:tc>
        <w:tc>
          <w:tcPr>
            <w:tcW w:w="0" w:type="dxa"/>
            <w:vAlign w:val="bottom"/>
          </w:tcPr>
          <w:p>
            <w:pPr>
              <w:spacing w:after="0"/>
              <w:rPr>
                <w:sz w:val="1"/>
                <w:szCs w:val="1"/>
                <w:color w:val="auto"/>
              </w:rPr>
            </w:pPr>
          </w:p>
        </w:tc>
      </w:tr>
      <w:tr>
        <w:trPr>
          <w:trHeight w:val="196"/>
        </w:trPr>
        <w:tc>
          <w:tcPr>
            <w:tcW w:w="6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60" w:type="dxa"/>
            <w:vAlign w:val="bottom"/>
            <w:tcBorders>
              <w:top w:val="single" w:sz="8" w:color="0000EE"/>
            </w:tcBorders>
            <w:gridSpan w:val="9"/>
          </w:tcPr>
          <w:p>
            <w:pPr>
              <w:spacing w:after="0" w:line="196" w:lineRule="exact"/>
              <w:rPr>
                <w:rFonts w:ascii="Arial" w:cs="Arial" w:eastAsia="Arial" w:hAnsi="Arial"/>
                <w:sz w:val="18"/>
                <w:szCs w:val="18"/>
                <w:color w:val="0000EE"/>
              </w:rPr>
            </w:pPr>
            <w:hyperlink r:id="rId28">
              <w:r>
                <w:rPr>
                  <w:rFonts w:ascii="Arial" w:cs="Arial" w:eastAsia="Arial" w:hAnsi="Arial"/>
                  <w:sz w:val="18"/>
                  <w:szCs w:val="18"/>
                  <w:color w:val="0000EE"/>
                </w:rPr>
                <w:t>investors listed on the signature pages thereto.</w:t>
              </w:r>
            </w:hyperlink>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20" w:type="dxa"/>
            <w:vAlign w:val="bottom"/>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640" w:type="dxa"/>
            <w:vAlign w:val="bottom"/>
          </w:tcPr>
          <w:p>
            <w:pPr>
              <w:ind w:left="80"/>
              <w:spacing w:after="0"/>
              <w:rPr>
                <w:sz w:val="20"/>
                <w:szCs w:val="20"/>
                <w:color w:val="auto"/>
              </w:rPr>
            </w:pPr>
            <w:r>
              <w:rPr>
                <w:rFonts w:ascii="Arial" w:cs="Arial" w:eastAsia="Arial" w:hAnsi="Arial"/>
                <w:sz w:val="18"/>
                <w:szCs w:val="18"/>
                <w:color w:val="auto"/>
              </w:rPr>
              <w:t>10.3</w:t>
            </w:r>
          </w:p>
        </w:tc>
        <w:tc>
          <w:tcPr>
            <w:tcW w:w="200" w:type="dxa"/>
            <w:vAlign w:val="bottom"/>
          </w:tcPr>
          <w:p>
            <w:pPr>
              <w:spacing w:after="0"/>
              <w:rPr>
                <w:sz w:val="24"/>
                <w:szCs w:val="24"/>
                <w:color w:val="auto"/>
              </w:rPr>
            </w:pPr>
          </w:p>
        </w:tc>
        <w:tc>
          <w:tcPr>
            <w:tcW w:w="4600" w:type="dxa"/>
            <w:vAlign w:val="bottom"/>
            <w:tcBorders>
              <w:bottom w:val="single" w:sz="8" w:color="0000EE"/>
            </w:tcBorders>
            <w:gridSpan w:val="4"/>
          </w:tcPr>
          <w:p>
            <w:pPr>
              <w:spacing w:after="0"/>
              <w:rPr>
                <w:rFonts w:ascii="Arial" w:cs="Arial" w:eastAsia="Arial" w:hAnsi="Arial"/>
                <w:sz w:val="18"/>
                <w:szCs w:val="18"/>
                <w:color w:val="0000EE"/>
                <w:w w:val="89"/>
              </w:rPr>
            </w:pPr>
            <w:hyperlink r:id="rId29">
              <w:r>
                <w:rPr>
                  <w:rFonts w:ascii="Arial" w:cs="Arial" w:eastAsia="Arial" w:hAnsi="Arial"/>
                  <w:sz w:val="18"/>
                  <w:szCs w:val="18"/>
                  <w:color w:val="0000EE"/>
                  <w:w w:val="89"/>
                </w:rPr>
                <w:t>Sales Agreement, dated June 1, 2021, by and between Madrigal</w:t>
              </w:r>
            </w:hyperlink>
          </w:p>
        </w:tc>
        <w:tc>
          <w:tcPr>
            <w:tcW w:w="580" w:type="dxa"/>
            <w:vAlign w:val="bottom"/>
            <w:gridSpan w:val="6"/>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6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180" w:type="dxa"/>
            <w:vAlign w:val="bottom"/>
            <w:gridSpan w:val="10"/>
          </w:tcPr>
          <w:p>
            <w:pPr>
              <w:spacing w:after="0" w:line="196" w:lineRule="exact"/>
              <w:rPr>
                <w:rFonts w:ascii="Arial" w:cs="Arial" w:eastAsia="Arial" w:hAnsi="Arial"/>
                <w:sz w:val="18"/>
                <w:szCs w:val="18"/>
                <w:color w:val="0000EE"/>
                <w:w w:val="97"/>
              </w:rPr>
            </w:pPr>
            <w:hyperlink r:id="rId29">
              <w:r>
                <w:rPr>
                  <w:rFonts w:ascii="Arial" w:cs="Arial" w:eastAsia="Arial" w:hAnsi="Arial"/>
                  <w:sz w:val="18"/>
                  <w:szCs w:val="18"/>
                  <w:color w:val="0000EE"/>
                  <w:w w:val="97"/>
                </w:rPr>
                <w:t>Pharmaceuticals, Inc. and Cowen and Company, LLC (concerning</w:t>
              </w:r>
            </w:hyperlink>
          </w:p>
        </w:tc>
        <w:tc>
          <w:tcPr>
            <w:tcW w:w="0" w:type="dxa"/>
            <w:vAlign w:val="bottom"/>
          </w:tcPr>
          <w:p>
            <w:pPr>
              <w:spacing w:after="0"/>
              <w:rPr>
                <w:sz w:val="1"/>
                <w:szCs w:val="1"/>
                <w:color w:val="auto"/>
              </w:rPr>
            </w:pPr>
          </w:p>
        </w:tc>
      </w:tr>
      <w:tr>
        <w:trPr>
          <w:trHeight w:val="196"/>
        </w:trPr>
        <w:tc>
          <w:tcPr>
            <w:tcW w:w="6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78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2"/>
              </w:rPr>
            </w:pPr>
            <w:hyperlink r:id="rId29">
              <w:r>
                <w:rPr>
                  <w:rFonts w:ascii="Arial" w:cs="Arial" w:eastAsia="Arial" w:hAnsi="Arial"/>
                  <w:sz w:val="18"/>
                  <w:szCs w:val="18"/>
                  <w:color w:val="0000EE"/>
                  <w:w w:val="92"/>
                </w:rPr>
                <w:t>at-the-market offerings of Madrigal common stock).</w:t>
              </w:r>
            </w:hyperlink>
          </w:p>
        </w:tc>
        <w:tc>
          <w:tcPr>
            <w:tcW w:w="1000" w:type="dxa"/>
            <w:vAlign w:val="bottom"/>
            <w:tcBorders>
              <w:top w:val="single" w:sz="8" w:color="0000EE"/>
            </w:tcBorders>
            <w:gridSpan w:val="4"/>
          </w:tcPr>
          <w:p>
            <w:pPr>
              <w:spacing w:after="0"/>
              <w:rPr>
                <w:sz w:val="17"/>
                <w:szCs w:val="17"/>
                <w:color w:val="auto"/>
              </w:rPr>
            </w:pPr>
          </w:p>
        </w:tc>
        <w:tc>
          <w:tcPr>
            <w:tcW w:w="40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640" w:type="dxa"/>
            <w:vAlign w:val="bottom"/>
          </w:tcPr>
          <w:p>
            <w:pPr>
              <w:ind w:left="80"/>
              <w:spacing w:after="0"/>
              <w:rPr>
                <w:sz w:val="20"/>
                <w:szCs w:val="20"/>
                <w:color w:val="auto"/>
              </w:rPr>
            </w:pPr>
            <w:r>
              <w:rPr>
                <w:rFonts w:ascii="Arial" w:cs="Arial" w:eastAsia="Arial" w:hAnsi="Arial"/>
                <w:sz w:val="18"/>
                <w:szCs w:val="18"/>
                <w:color w:val="auto"/>
              </w:rPr>
              <w:t>10.4</w:t>
            </w:r>
          </w:p>
        </w:tc>
        <w:tc>
          <w:tcPr>
            <w:tcW w:w="200" w:type="dxa"/>
            <w:vAlign w:val="bottom"/>
          </w:tcPr>
          <w:p>
            <w:pPr>
              <w:spacing w:after="0"/>
              <w:rPr>
                <w:sz w:val="24"/>
                <w:szCs w:val="24"/>
                <w:color w:val="auto"/>
              </w:rPr>
            </w:pPr>
          </w:p>
        </w:tc>
        <w:tc>
          <w:tcPr>
            <w:tcW w:w="5180" w:type="dxa"/>
            <w:vAlign w:val="bottom"/>
            <w:gridSpan w:val="10"/>
          </w:tcPr>
          <w:p>
            <w:pPr>
              <w:spacing w:after="0"/>
              <w:rPr>
                <w:rFonts w:ascii="Arial" w:cs="Arial" w:eastAsia="Arial" w:hAnsi="Arial"/>
                <w:sz w:val="18"/>
                <w:szCs w:val="18"/>
                <w:color w:val="0000EE"/>
                <w:w w:val="96"/>
              </w:rPr>
            </w:pPr>
            <w:hyperlink r:id="rId30">
              <w:r>
                <w:rPr>
                  <w:rFonts w:ascii="Arial" w:cs="Arial" w:eastAsia="Arial" w:hAnsi="Arial"/>
                  <w:sz w:val="18"/>
                  <w:szCs w:val="18"/>
                  <w:color w:val="0000EE"/>
                  <w:w w:val="96"/>
                </w:rPr>
                <w:t>Securities Purchase Agreement, dated December 21, 2022, by and</w:t>
              </w:r>
            </w:hyperlink>
          </w:p>
        </w:tc>
        <w:tc>
          <w:tcPr>
            <w:tcW w:w="0" w:type="dxa"/>
            <w:vAlign w:val="bottom"/>
          </w:tcPr>
          <w:p>
            <w:pPr>
              <w:spacing w:after="0"/>
              <w:rPr>
                <w:sz w:val="1"/>
                <w:szCs w:val="1"/>
                <w:color w:val="auto"/>
              </w:rPr>
            </w:pPr>
          </w:p>
        </w:tc>
      </w:tr>
      <w:tr>
        <w:trPr>
          <w:trHeight w:val="196"/>
        </w:trPr>
        <w:tc>
          <w:tcPr>
            <w:tcW w:w="6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4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90"/>
              </w:rPr>
            </w:pPr>
            <w:hyperlink r:id="rId30">
              <w:r>
                <w:rPr>
                  <w:rFonts w:ascii="Arial" w:cs="Arial" w:eastAsia="Arial" w:hAnsi="Arial"/>
                  <w:sz w:val="18"/>
                  <w:szCs w:val="18"/>
                  <w:color w:val="0000EE"/>
                  <w:w w:val="90"/>
                </w:rPr>
                <w:t>among the Registrant and the institutional investors listed on the</w:t>
              </w:r>
            </w:hyperlink>
          </w:p>
        </w:tc>
        <w:tc>
          <w:tcPr>
            <w:tcW w:w="120" w:type="dxa"/>
            <w:vAlign w:val="bottom"/>
            <w:tcBorders>
              <w:top w:val="single" w:sz="8" w:color="0000EE"/>
            </w:tcBorders>
          </w:tcPr>
          <w:p>
            <w:pPr>
              <w:spacing w:after="0"/>
              <w:rPr>
                <w:sz w:val="17"/>
                <w:szCs w:val="17"/>
                <w:color w:val="auto"/>
              </w:rPr>
            </w:pPr>
          </w:p>
        </w:tc>
        <w:tc>
          <w:tcPr>
            <w:tcW w:w="420" w:type="dxa"/>
            <w:vAlign w:val="bottom"/>
            <w:gridSpan w:val="4"/>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6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720" w:type="dxa"/>
            <w:vAlign w:val="bottom"/>
            <w:tcBorders>
              <w:bottom w:val="single" w:sz="8" w:color="0000EE"/>
            </w:tcBorders>
          </w:tcPr>
          <w:p>
            <w:pPr>
              <w:spacing w:after="0" w:line="196" w:lineRule="exact"/>
              <w:rPr>
                <w:rFonts w:ascii="Arial" w:cs="Arial" w:eastAsia="Arial" w:hAnsi="Arial"/>
                <w:sz w:val="18"/>
                <w:szCs w:val="18"/>
                <w:color w:val="0000EE"/>
                <w:w w:val="87"/>
              </w:rPr>
            </w:pPr>
            <w:hyperlink r:id="rId30">
              <w:r>
                <w:rPr>
                  <w:rFonts w:ascii="Arial" w:cs="Arial" w:eastAsia="Arial" w:hAnsi="Arial"/>
                  <w:sz w:val="18"/>
                  <w:szCs w:val="18"/>
                  <w:color w:val="0000EE"/>
                  <w:w w:val="87"/>
                </w:rPr>
                <w:t>signature pages thereto.</w:t>
              </w:r>
            </w:hyperlink>
          </w:p>
        </w:tc>
        <w:tc>
          <w:tcPr>
            <w:tcW w:w="3460" w:type="dxa"/>
            <w:vAlign w:val="bottom"/>
            <w:gridSpan w:val="9"/>
          </w:tcPr>
          <w:p>
            <w:pPr>
              <w:spacing w:after="0"/>
              <w:rPr>
                <w:sz w:val="17"/>
                <w:szCs w:val="17"/>
                <w:color w:val="auto"/>
              </w:rPr>
            </w:pPr>
          </w:p>
        </w:tc>
        <w:tc>
          <w:tcPr>
            <w:tcW w:w="0" w:type="dxa"/>
            <w:vAlign w:val="bottom"/>
          </w:tcPr>
          <w:p>
            <w:pPr>
              <w:spacing w:after="0"/>
              <w:rPr>
                <w:sz w:val="1"/>
                <w:szCs w:val="1"/>
                <w:color w:val="auto"/>
              </w:rPr>
            </w:pPr>
          </w:p>
        </w:tc>
      </w:tr>
    </w:tbl>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Agreements</w:t>
      </w:r>
    </w:p>
    <w:p>
      <w:pPr>
        <w:spacing w:after="0" w:line="117" w:lineRule="exact"/>
        <w:rPr>
          <w:sz w:val="20"/>
          <w:szCs w:val="20"/>
          <w:color w:val="auto"/>
        </w:rPr>
      </w:pPr>
    </w:p>
    <w:p>
      <w:pPr>
        <w:ind w:left="840" w:right="120" w:hanging="759"/>
        <w:spacing w:after="0" w:line="259" w:lineRule="auto"/>
        <w:tabs>
          <w:tab w:leader="none" w:pos="820" w:val="left"/>
        </w:tabs>
        <w:rPr>
          <w:rFonts w:ascii="Arial" w:cs="Arial" w:eastAsia="Arial" w:hAnsi="Arial"/>
          <w:sz w:val="18"/>
          <w:szCs w:val="18"/>
          <w:u w:val="single" w:color="auto"/>
          <w:color w:val="0000EE"/>
        </w:rPr>
      </w:pPr>
      <w:r>
        <w:rPr>
          <w:rFonts w:ascii="Arial" w:cs="Arial" w:eastAsia="Arial" w:hAnsi="Arial"/>
          <w:sz w:val="18"/>
          <w:szCs w:val="18"/>
          <w:color w:val="auto"/>
        </w:rPr>
        <w:t>10.5†</w:t>
      </w:r>
      <w:r>
        <w:rPr>
          <w:sz w:val="20"/>
          <w:szCs w:val="20"/>
          <w:color w:val="auto"/>
        </w:rPr>
        <w:tab/>
      </w:r>
      <w:hyperlink r:id="rId31">
        <w:r>
          <w:rPr>
            <w:rFonts w:ascii="Arial" w:cs="Arial" w:eastAsia="Arial" w:hAnsi="Arial"/>
            <w:sz w:val="18"/>
            <w:szCs w:val="18"/>
            <w:u w:val="single" w:color="auto"/>
            <w:color w:val="0000EE"/>
          </w:rPr>
          <w:t>Loan and Security Agreement, dated May 9, 2022, by and among the</w:t>
        </w:r>
      </w:hyperlink>
      <w:r>
        <w:rPr>
          <w:rFonts w:ascii="Arial" w:cs="Arial" w:eastAsia="Arial" w:hAnsi="Arial"/>
          <w:sz w:val="18"/>
          <w:szCs w:val="18"/>
          <w:u w:val="single" w:color="auto"/>
          <w:color w:val="0000EE"/>
        </w:rPr>
        <w:t xml:space="preserve"> </w:t>
      </w:r>
      <w:hyperlink r:id="rId31">
        <w:r>
          <w:rPr>
            <w:rFonts w:ascii="Arial" w:cs="Arial" w:eastAsia="Arial" w:hAnsi="Arial"/>
            <w:sz w:val="18"/>
            <w:szCs w:val="18"/>
            <w:u w:val="single" w:color="auto"/>
            <w:color w:val="0000EE"/>
          </w:rPr>
          <w:t>Registrant, Canticle Pharmaceuticals, Inc., the several banks and other</w:t>
        </w:r>
      </w:hyperlink>
      <w:r>
        <w:rPr>
          <w:rFonts w:ascii="Arial" w:cs="Arial" w:eastAsia="Arial" w:hAnsi="Arial"/>
          <w:sz w:val="18"/>
          <w:szCs w:val="18"/>
          <w:u w:val="single" w:color="auto"/>
          <w:color w:val="0000EE"/>
        </w:rPr>
        <w:t xml:space="preserve"> </w:t>
      </w:r>
      <w:hyperlink r:id="rId31">
        <w:r>
          <w:rPr>
            <w:rFonts w:ascii="Arial" w:cs="Arial" w:eastAsia="Arial" w:hAnsi="Arial"/>
            <w:sz w:val="18"/>
            <w:szCs w:val="18"/>
            <w:u w:val="single" w:color="auto"/>
            <w:color w:val="0000EE"/>
          </w:rPr>
          <w:t>financial institutions or entities from time to time party thereto and</w:t>
        </w:r>
      </w:hyperlink>
      <w:r>
        <w:rPr>
          <w:rFonts w:ascii="Arial" w:cs="Arial" w:eastAsia="Arial" w:hAnsi="Arial"/>
          <w:sz w:val="18"/>
          <w:szCs w:val="18"/>
          <w:u w:val="single" w:color="auto"/>
          <w:color w:val="0000EE"/>
        </w:rPr>
        <w:t xml:space="preserve"> </w:t>
      </w:r>
      <w:hyperlink r:id="rId31">
        <w:r>
          <w:rPr>
            <w:rFonts w:ascii="Arial" w:cs="Arial" w:eastAsia="Arial" w:hAnsi="Arial"/>
            <w:sz w:val="18"/>
            <w:szCs w:val="18"/>
            <w:u w:val="single" w:color="auto"/>
            <w:color w:val="0000EE"/>
          </w:rPr>
          <w:t>Hercules Capital, Inc.</w:t>
        </w:r>
      </w:hyperlink>
    </w:p>
    <w:p>
      <w:pPr>
        <w:spacing w:after="0" w:line="79" w:lineRule="exact"/>
        <w:rPr>
          <w:rFonts w:ascii="Arial" w:cs="Arial" w:eastAsia="Arial" w:hAnsi="Arial"/>
          <w:sz w:val="18"/>
          <w:szCs w:val="18"/>
          <w:u w:val="single" w:color="auto"/>
          <w:color w:val="0000EE"/>
        </w:rPr>
      </w:pPr>
    </w:p>
    <w:p>
      <w:pPr>
        <w:ind w:left="840" w:right="80" w:hanging="759"/>
        <w:spacing w:after="0" w:line="296" w:lineRule="auto"/>
        <w:tabs>
          <w:tab w:leader="none" w:pos="820" w:val="left"/>
        </w:tabs>
        <w:rPr>
          <w:rFonts w:ascii="Arial" w:cs="Arial" w:eastAsia="Arial" w:hAnsi="Arial"/>
          <w:sz w:val="16"/>
          <w:szCs w:val="16"/>
          <w:u w:val="single" w:color="auto"/>
          <w:color w:val="0000EE"/>
        </w:rPr>
      </w:pPr>
      <w:r>
        <w:rPr>
          <w:rFonts w:ascii="Arial" w:cs="Arial" w:eastAsia="Arial" w:hAnsi="Arial"/>
          <w:sz w:val="18"/>
          <w:szCs w:val="18"/>
          <w:color w:val="auto"/>
        </w:rPr>
        <w:t>10.6†</w:t>
      </w:r>
      <w:r>
        <w:rPr>
          <w:sz w:val="20"/>
          <w:szCs w:val="20"/>
          <w:color w:val="auto"/>
        </w:rPr>
        <w:tab/>
      </w:r>
      <w:hyperlink r:id="rId32">
        <w:r>
          <w:rPr>
            <w:rFonts w:ascii="Arial" w:cs="Arial" w:eastAsia="Arial" w:hAnsi="Arial"/>
            <w:sz w:val="16"/>
            <w:szCs w:val="16"/>
            <w:u w:val="single" w:color="auto"/>
            <w:color w:val="0000EE"/>
          </w:rPr>
          <w:t>Loan and Security Agreement, dated May 9, 2022, as amended by the</w:t>
        </w:r>
      </w:hyperlink>
      <w:r>
        <w:rPr>
          <w:rFonts w:ascii="Arial" w:cs="Arial" w:eastAsia="Arial" w:hAnsi="Arial"/>
          <w:sz w:val="16"/>
          <w:szCs w:val="16"/>
          <w:u w:val="single" w:color="auto"/>
          <w:color w:val="0000EE"/>
        </w:rPr>
        <w:t xml:space="preserve"> </w:t>
      </w:r>
      <w:hyperlink r:id="rId32">
        <w:r>
          <w:rPr>
            <w:rFonts w:ascii="Arial" w:cs="Arial" w:eastAsia="Arial" w:hAnsi="Arial"/>
            <w:sz w:val="16"/>
            <w:szCs w:val="16"/>
            <w:u w:val="single" w:color="auto"/>
            <w:color w:val="0000EE"/>
          </w:rPr>
          <w:t>First Amendment to Loan and Security Agreement, dated February 3,</w:t>
        </w:r>
      </w:hyperlink>
      <w:r>
        <w:rPr>
          <w:rFonts w:ascii="Arial" w:cs="Arial" w:eastAsia="Arial" w:hAnsi="Arial"/>
          <w:sz w:val="16"/>
          <w:szCs w:val="16"/>
          <w:u w:val="single" w:color="auto"/>
          <w:color w:val="0000EE"/>
        </w:rPr>
        <w:t xml:space="preserve"> </w:t>
      </w:r>
      <w:hyperlink r:id="rId32">
        <w:r>
          <w:rPr>
            <w:rFonts w:ascii="Arial" w:cs="Arial" w:eastAsia="Arial" w:hAnsi="Arial"/>
            <w:sz w:val="16"/>
            <w:szCs w:val="16"/>
            <w:u w:val="single" w:color="auto"/>
            <w:color w:val="0000EE"/>
          </w:rPr>
          <w:t>2023, by and among the Registrant, Canticle Pharmaceuticals, Inc., the</w:t>
        </w:r>
      </w:hyperlink>
      <w:r>
        <w:rPr>
          <w:rFonts w:ascii="Arial" w:cs="Arial" w:eastAsia="Arial" w:hAnsi="Arial"/>
          <w:sz w:val="16"/>
          <w:szCs w:val="16"/>
          <w:u w:val="single" w:color="auto"/>
          <w:color w:val="0000EE"/>
        </w:rPr>
        <w:t xml:space="preserve"> </w:t>
      </w:r>
      <w:hyperlink r:id="rId32">
        <w:r>
          <w:rPr>
            <w:rFonts w:ascii="Arial" w:cs="Arial" w:eastAsia="Arial" w:hAnsi="Arial"/>
            <w:sz w:val="16"/>
            <w:szCs w:val="16"/>
            <w:u w:val="single" w:color="auto"/>
            <w:color w:val="0000EE"/>
          </w:rPr>
          <w:t>several banks and other financial institutions or entities from time to</w:t>
        </w:r>
      </w:hyperlink>
      <w:r>
        <w:rPr>
          <w:rFonts w:ascii="Arial" w:cs="Arial" w:eastAsia="Arial" w:hAnsi="Arial"/>
          <w:sz w:val="16"/>
          <w:szCs w:val="16"/>
          <w:u w:val="single" w:color="auto"/>
          <w:color w:val="0000EE"/>
        </w:rPr>
        <w:t xml:space="preserve"> </w:t>
      </w:r>
      <w:hyperlink r:id="rId32">
        <w:r>
          <w:rPr>
            <w:rFonts w:ascii="Arial" w:cs="Arial" w:eastAsia="Arial" w:hAnsi="Arial"/>
            <w:sz w:val="16"/>
            <w:szCs w:val="16"/>
            <w:u w:val="single" w:color="auto"/>
            <w:color w:val="0000EE"/>
          </w:rPr>
          <w:t>time party thereto and Hercules Capital, Inc.</w:t>
        </w:r>
      </w:hyperlink>
    </w:p>
    <w:p>
      <w:pPr>
        <w:spacing w:after="0" w:line="53" w:lineRule="exact"/>
        <w:rPr>
          <w:rFonts w:ascii="Arial" w:cs="Arial" w:eastAsia="Arial" w:hAnsi="Arial"/>
          <w:sz w:val="16"/>
          <w:szCs w:val="16"/>
          <w:u w:val="single" w:color="auto"/>
          <w:color w:val="0000EE"/>
        </w:rPr>
      </w:pPr>
    </w:p>
    <w:p>
      <w:pPr>
        <w:spacing w:after="0"/>
        <w:rPr>
          <w:sz w:val="20"/>
          <w:szCs w:val="20"/>
          <w:color w:val="auto"/>
        </w:rPr>
      </w:pPr>
      <w:r>
        <w:rPr>
          <w:rFonts w:ascii="Arial" w:cs="Arial" w:eastAsia="Arial" w:hAnsi="Arial"/>
          <w:sz w:val="15"/>
          <w:szCs w:val="15"/>
          <w:b w:val="1"/>
          <w:bCs w:val="1"/>
          <w:i w:val="1"/>
          <w:iCs w:val="1"/>
          <w:color w:val="auto"/>
        </w:rPr>
        <w:t>Agreements with Respect to Collaborations, Licenses, Research and Development</w:t>
      </w:r>
    </w:p>
    <w:p>
      <w:pPr>
        <w:spacing w:after="0" w:line="152" w:lineRule="exact"/>
        <w:rPr>
          <w:rFonts w:ascii="Arial" w:cs="Arial" w:eastAsia="Arial" w:hAnsi="Arial"/>
          <w:sz w:val="16"/>
          <w:szCs w:val="16"/>
          <w:u w:val="single" w:color="auto"/>
          <w:color w:val="0000EE"/>
        </w:rPr>
      </w:pPr>
    </w:p>
    <w:p>
      <w:pPr>
        <w:jc w:val="both"/>
        <w:ind w:left="840" w:right="420" w:hanging="759"/>
        <w:spacing w:after="0" w:line="286" w:lineRule="auto"/>
        <w:tabs>
          <w:tab w:leader="none" w:pos="820" w:val="left"/>
        </w:tabs>
        <w:rPr>
          <w:rFonts w:ascii="Arial" w:cs="Arial" w:eastAsia="Arial" w:hAnsi="Arial"/>
          <w:sz w:val="17"/>
          <w:szCs w:val="17"/>
          <w:u w:val="single" w:color="auto"/>
          <w:color w:val="0000EE"/>
        </w:rPr>
      </w:pPr>
      <w:r>
        <w:rPr>
          <w:rFonts w:ascii="Arial" w:cs="Arial" w:eastAsia="Arial" w:hAnsi="Arial"/>
          <w:sz w:val="18"/>
          <w:szCs w:val="18"/>
          <w:color w:val="auto"/>
        </w:rPr>
        <w:t>10.7</w:t>
      </w:r>
      <w:r>
        <w:rPr>
          <w:sz w:val="20"/>
          <w:szCs w:val="20"/>
          <w:color w:val="auto"/>
        </w:rPr>
        <w:tab/>
      </w:r>
      <w:hyperlink r:id="rId33">
        <w:r>
          <w:rPr>
            <w:rFonts w:ascii="Arial" w:cs="Arial" w:eastAsia="Arial" w:hAnsi="Arial"/>
            <w:sz w:val="17"/>
            <w:szCs w:val="17"/>
            <w:u w:val="single" w:color="auto"/>
            <w:color w:val="0000EE"/>
          </w:rPr>
          <w:t>Research, Development and Commercialization Agreement, dated</w:t>
        </w:r>
      </w:hyperlink>
      <w:r>
        <w:rPr>
          <w:rFonts w:ascii="Arial" w:cs="Arial" w:eastAsia="Arial" w:hAnsi="Arial"/>
          <w:sz w:val="17"/>
          <w:szCs w:val="17"/>
          <w:u w:val="single" w:color="auto"/>
          <w:color w:val="0000EE"/>
        </w:rPr>
        <w:t xml:space="preserve"> </w:t>
      </w:r>
      <w:hyperlink r:id="rId33">
        <w:r>
          <w:rPr>
            <w:rFonts w:ascii="Arial" w:cs="Arial" w:eastAsia="Arial" w:hAnsi="Arial"/>
            <w:sz w:val="17"/>
            <w:szCs w:val="17"/>
            <w:u w:val="single" w:color="auto"/>
            <w:color w:val="0000EE"/>
          </w:rPr>
          <w:t>December 18, 2008, by and between Hoffmann-La Roche, Inc., F.</w:t>
        </w:r>
      </w:hyperlink>
      <w:r>
        <w:rPr>
          <w:rFonts w:ascii="Arial" w:cs="Arial" w:eastAsia="Arial" w:hAnsi="Arial"/>
          <w:sz w:val="17"/>
          <w:szCs w:val="17"/>
          <w:u w:val="single" w:color="auto"/>
          <w:color w:val="0000EE"/>
        </w:rPr>
        <w:t xml:space="preserve"> </w:t>
      </w:r>
      <w:hyperlink r:id="rId33">
        <w:r>
          <w:rPr>
            <w:rFonts w:ascii="Arial" w:cs="Arial" w:eastAsia="Arial" w:hAnsi="Arial"/>
            <w:sz w:val="17"/>
            <w:szCs w:val="17"/>
            <w:u w:val="single" w:color="auto"/>
            <w:color w:val="0000EE"/>
          </w:rPr>
          <w:t>Hoffmann-La Roche Ltd and the Registrant.†</w:t>
        </w:r>
      </w:hyperlink>
    </w:p>
    <w:p>
      <w:pPr>
        <w:spacing w:after="0" w:line="57" w:lineRule="exact"/>
        <w:rPr>
          <w:rFonts w:ascii="Arial" w:cs="Arial" w:eastAsia="Arial" w:hAnsi="Arial"/>
          <w:sz w:val="17"/>
          <w:szCs w:val="17"/>
          <w:u w:val="single" w:color="auto"/>
          <w:color w:val="0000EE"/>
        </w:rPr>
      </w:pPr>
    </w:p>
    <w:p>
      <w:pPr>
        <w:spacing w:after="0"/>
        <w:rPr>
          <w:sz w:val="20"/>
          <w:szCs w:val="20"/>
          <w:color w:val="auto"/>
        </w:rPr>
      </w:pPr>
      <w:r>
        <w:rPr>
          <w:rFonts w:ascii="Arial" w:cs="Arial" w:eastAsia="Arial" w:hAnsi="Arial"/>
          <w:sz w:val="18"/>
          <w:szCs w:val="18"/>
          <w:b w:val="1"/>
          <w:bCs w:val="1"/>
          <w:i w:val="1"/>
          <w:iCs w:val="1"/>
          <w:color w:val="auto"/>
        </w:rPr>
        <w:t>Equity Compensation Plans</w:t>
      </w:r>
    </w:p>
    <w:p>
      <w:pPr>
        <w:spacing w:after="0" w:line="117" w:lineRule="exact"/>
        <w:rPr>
          <w:rFonts w:ascii="Arial" w:cs="Arial" w:eastAsia="Arial" w:hAnsi="Arial"/>
          <w:sz w:val="17"/>
          <w:szCs w:val="17"/>
          <w:u w:val="single" w:color="auto"/>
          <w:color w:val="0000EE"/>
        </w:rPr>
      </w:pPr>
    </w:p>
    <w:p>
      <w:pPr>
        <w:ind w:left="80"/>
        <w:spacing w:after="0"/>
        <w:tabs>
          <w:tab w:leader="none" w:pos="820" w:val="left"/>
        </w:tabs>
        <w:rPr>
          <w:rFonts w:ascii="Arial" w:cs="Arial" w:eastAsia="Arial" w:hAnsi="Arial"/>
          <w:sz w:val="16"/>
          <w:szCs w:val="16"/>
          <w:u w:val="single" w:color="auto"/>
          <w:color w:val="0000EE"/>
        </w:rPr>
      </w:pPr>
      <w:r>
        <w:rPr>
          <w:rFonts w:ascii="Arial" w:cs="Arial" w:eastAsia="Arial" w:hAnsi="Arial"/>
          <w:sz w:val="18"/>
          <w:szCs w:val="18"/>
          <w:color w:val="auto"/>
        </w:rPr>
        <w:t>10.8*</w:t>
      </w:r>
      <w:r>
        <w:rPr>
          <w:sz w:val="20"/>
          <w:szCs w:val="20"/>
          <w:color w:val="auto"/>
        </w:rPr>
        <w:tab/>
      </w:r>
      <w:hyperlink r:id="rId34">
        <w:r>
          <w:rPr>
            <w:rFonts w:ascii="Arial" w:cs="Arial" w:eastAsia="Arial" w:hAnsi="Arial"/>
            <w:sz w:val="16"/>
            <w:szCs w:val="16"/>
            <w:u w:val="single" w:color="auto"/>
            <w:color w:val="0000EE"/>
          </w:rPr>
          <w:t>Amended 2015 Stock Plan</w:t>
        </w:r>
      </w:hyperlink>
    </w:p>
    <w:p>
      <w:pPr>
        <w:spacing w:after="0" w:line="200" w:lineRule="exact"/>
        <w:rPr>
          <w:rFonts w:ascii="Arial" w:cs="Arial" w:eastAsia="Arial" w:hAnsi="Arial"/>
          <w:sz w:val="17"/>
          <w:szCs w:val="17"/>
          <w:u w:val="single" w:color="auto"/>
          <w:color w:val="0000EE"/>
        </w:rPr>
      </w:pPr>
    </w:p>
    <w:p>
      <w:pPr>
        <w:spacing w:after="0" w:line="200" w:lineRule="exact"/>
        <w:rPr>
          <w:rFonts w:ascii="Arial" w:cs="Arial" w:eastAsia="Arial" w:hAnsi="Arial"/>
          <w:sz w:val="17"/>
          <w:szCs w:val="17"/>
          <w:u w:val="single" w:color="auto"/>
          <w:color w:val="0000EE"/>
        </w:rPr>
      </w:pPr>
    </w:p>
    <w:p>
      <w:pPr>
        <w:spacing w:after="0" w:line="365" w:lineRule="exact"/>
        <w:rPr>
          <w:rFonts w:ascii="Arial" w:cs="Arial" w:eastAsia="Arial" w:hAnsi="Arial"/>
          <w:sz w:val="17"/>
          <w:szCs w:val="17"/>
          <w:u w:val="single" w:color="auto"/>
          <w:color w:val="0000EE"/>
        </w:rPr>
      </w:pPr>
    </w:p>
    <w:p>
      <w:pPr>
        <w:ind w:left="840" w:right="440" w:hanging="759"/>
        <w:spacing w:after="0" w:line="277" w:lineRule="auto"/>
        <w:tabs>
          <w:tab w:leader="none" w:pos="820" w:val="left"/>
        </w:tabs>
        <w:rPr>
          <w:rFonts w:ascii="Arial" w:cs="Arial" w:eastAsia="Arial" w:hAnsi="Arial"/>
          <w:sz w:val="18"/>
          <w:szCs w:val="18"/>
          <w:u w:val="single" w:color="auto"/>
          <w:color w:val="0000EE"/>
        </w:rPr>
      </w:pPr>
      <w:r>
        <w:rPr>
          <w:rFonts w:ascii="Arial" w:cs="Arial" w:eastAsia="Arial" w:hAnsi="Arial"/>
          <w:sz w:val="18"/>
          <w:szCs w:val="18"/>
          <w:color w:val="auto"/>
        </w:rPr>
        <w:t>10.9*</w:t>
      </w:r>
      <w:r>
        <w:rPr>
          <w:sz w:val="20"/>
          <w:szCs w:val="20"/>
          <w:color w:val="auto"/>
        </w:rPr>
        <w:tab/>
      </w:r>
      <w:hyperlink r:id="rId35">
        <w:r>
          <w:rPr>
            <w:rFonts w:ascii="Arial" w:cs="Arial" w:eastAsia="Arial" w:hAnsi="Arial"/>
            <w:sz w:val="18"/>
            <w:szCs w:val="18"/>
            <w:u w:val="single" w:color="auto"/>
            <w:color w:val="0000EE"/>
          </w:rPr>
          <w:t>Form of Incentive Stock Option Agreement under Amended 2015</w:t>
        </w:r>
      </w:hyperlink>
      <w:r>
        <w:rPr>
          <w:rFonts w:ascii="Arial" w:cs="Arial" w:eastAsia="Arial" w:hAnsi="Arial"/>
          <w:sz w:val="18"/>
          <w:szCs w:val="18"/>
          <w:u w:val="single" w:color="auto"/>
          <w:color w:val="0000EE"/>
        </w:rPr>
        <w:t xml:space="preserve"> </w:t>
      </w:r>
      <w:hyperlink r:id="rId35">
        <w:r>
          <w:rPr>
            <w:rFonts w:ascii="Arial" w:cs="Arial" w:eastAsia="Arial" w:hAnsi="Arial"/>
            <w:sz w:val="18"/>
            <w:szCs w:val="18"/>
            <w:u w:val="single" w:color="auto"/>
            <w:color w:val="0000EE"/>
          </w:rPr>
          <w:t>Stock Plan.</w:t>
        </w:r>
      </w:hyperlink>
    </w:p>
    <w:p>
      <w:pPr>
        <w:spacing w:after="0" w:line="103" w:lineRule="exact"/>
        <w:rPr>
          <w:sz w:val="20"/>
          <w:szCs w:val="20"/>
          <w:color w:val="auto"/>
        </w:rPr>
      </w:pPr>
    </w:p>
    <w:p>
      <w:pPr>
        <w:ind w:left="546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4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4"/>
              </w:rPr>
              <w:t>Incorporated by</w:t>
            </w:r>
          </w:p>
        </w:tc>
        <w:tc>
          <w:tcPr>
            <w:tcW w:w="10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Filed</w:t>
            </w:r>
          </w:p>
        </w:tc>
        <w:tc>
          <w:tcPr>
            <w:tcW w:w="100" w:type="dxa"/>
            <w:vAlign w:val="bottom"/>
          </w:tcPr>
          <w:p>
            <w:pPr>
              <w:spacing w:after="0"/>
              <w:rPr>
                <w:sz w:val="13"/>
                <w:szCs w:val="13"/>
                <w:color w:val="auto"/>
              </w:rPr>
            </w:pPr>
          </w:p>
        </w:tc>
        <w:tc>
          <w:tcPr>
            <w:tcW w:w="1640" w:type="dxa"/>
            <w:vAlign w:val="bottom"/>
            <w:gridSpan w:val="2"/>
          </w:tcPr>
          <w:p>
            <w:pPr>
              <w:jc w:val="center"/>
              <w:ind w:right="80"/>
              <w:spacing w:after="0" w:line="158" w:lineRule="exact"/>
              <w:rPr>
                <w:sz w:val="20"/>
                <w:szCs w:val="20"/>
                <w:color w:val="auto"/>
              </w:rPr>
            </w:pPr>
            <w:r>
              <w:rPr>
                <w:rFonts w:ascii="Arial" w:cs="Arial" w:eastAsia="Arial" w:hAnsi="Arial"/>
                <w:sz w:val="14"/>
                <w:szCs w:val="14"/>
                <w:b w:val="1"/>
                <w:bCs w:val="1"/>
                <w:color w:val="auto"/>
                <w:w w:val="91"/>
              </w:rPr>
              <w:t>Reference herein</w:t>
            </w:r>
          </w:p>
        </w:tc>
        <w:tc>
          <w:tcPr>
            <w:tcW w:w="10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ind w:left="200"/>
              <w:spacing w:after="0" w:line="158" w:lineRule="exact"/>
              <w:rPr>
                <w:sz w:val="20"/>
                <w:szCs w:val="20"/>
                <w:color w:val="auto"/>
              </w:rPr>
            </w:pPr>
            <w:r>
              <w:rPr>
                <w:rFonts w:ascii="Arial" w:cs="Arial" w:eastAsia="Arial" w:hAnsi="Arial"/>
                <w:sz w:val="14"/>
                <w:szCs w:val="14"/>
                <w:b w:val="1"/>
                <w:bCs w:val="1"/>
                <w:color w:val="auto"/>
              </w:rPr>
              <w:t>SEC File /</w:t>
            </w:r>
          </w:p>
        </w:tc>
        <w:tc>
          <w:tcPr>
            <w:tcW w:w="0" w:type="dxa"/>
            <w:vAlign w:val="bottom"/>
          </w:tcPr>
          <w:p>
            <w:pPr>
              <w:spacing w:after="0"/>
              <w:rPr>
                <w:sz w:val="1"/>
                <w:szCs w:val="1"/>
                <w:color w:val="auto"/>
              </w:rPr>
            </w:pPr>
          </w:p>
        </w:tc>
      </w:tr>
      <w:tr>
        <w:trPr>
          <w:trHeight w:val="148"/>
        </w:trPr>
        <w:tc>
          <w:tcPr>
            <w:tcW w:w="7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6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from Form or</w:t>
            </w:r>
          </w:p>
        </w:tc>
        <w:tc>
          <w:tcPr>
            <w:tcW w:w="1080" w:type="dxa"/>
            <w:vAlign w:val="bottom"/>
            <w:vMerge w:val="restart"/>
          </w:tcPr>
          <w:p>
            <w:pPr>
              <w:jc w:val="right"/>
              <w:ind w:right="112"/>
              <w:spacing w:after="0"/>
              <w:rPr>
                <w:sz w:val="20"/>
                <w:szCs w:val="20"/>
                <w:color w:val="auto"/>
              </w:rPr>
            </w:pPr>
            <w:r>
              <w:rPr>
                <w:rFonts w:ascii="Arial" w:cs="Arial" w:eastAsia="Arial" w:hAnsi="Arial"/>
                <w:sz w:val="14"/>
                <w:szCs w:val="14"/>
                <w:b w:val="1"/>
                <w:bCs w:val="1"/>
                <w:color w:val="auto"/>
              </w:rPr>
              <w:t>Filing Date</w:t>
            </w:r>
          </w:p>
        </w:tc>
        <w:tc>
          <w:tcPr>
            <w:tcW w:w="180" w:type="dxa"/>
            <w:vAlign w:val="bottom"/>
            <w:vMerge w:val="restart"/>
          </w:tcPr>
          <w:p>
            <w:pPr>
              <w:spacing w:after="0"/>
              <w:rPr>
                <w:sz w:val="12"/>
                <w:szCs w:val="12"/>
                <w:color w:val="auto"/>
              </w:rPr>
            </w:pPr>
          </w:p>
        </w:tc>
        <w:tc>
          <w:tcPr>
            <w:tcW w:w="1040" w:type="dxa"/>
            <w:vAlign w:val="bottom"/>
          </w:tcPr>
          <w:p>
            <w:pPr>
              <w:ind w:left="140"/>
              <w:spacing w:after="0" w:line="149" w:lineRule="exact"/>
              <w:rPr>
                <w:sz w:val="20"/>
                <w:szCs w:val="20"/>
                <w:color w:val="auto"/>
              </w:rPr>
            </w:pPr>
            <w:r>
              <w:rPr>
                <w:rFonts w:ascii="Arial" w:cs="Arial" w:eastAsia="Arial" w:hAnsi="Arial"/>
                <w:sz w:val="14"/>
                <w:szCs w:val="14"/>
                <w:b w:val="1"/>
                <w:bCs w:val="1"/>
                <w:color w:val="auto"/>
              </w:rPr>
              <w:t>Registration</w:t>
            </w:r>
          </w:p>
        </w:tc>
        <w:tc>
          <w:tcPr>
            <w:tcW w:w="0" w:type="dxa"/>
            <w:vAlign w:val="bottom"/>
          </w:tcPr>
          <w:p>
            <w:pPr>
              <w:spacing w:after="0"/>
              <w:rPr>
                <w:sz w:val="1"/>
                <w:szCs w:val="1"/>
                <w:color w:val="auto"/>
              </w:rPr>
            </w:pPr>
          </w:p>
        </w:tc>
      </w:tr>
      <w:tr>
        <w:trPr>
          <w:trHeight w:val="176"/>
        </w:trPr>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Herewith</w:t>
            </w:r>
          </w:p>
        </w:tc>
        <w:tc>
          <w:tcPr>
            <w:tcW w:w="100" w:type="dxa"/>
            <w:vAlign w:val="bottom"/>
          </w:tcPr>
          <w:p>
            <w:pPr>
              <w:spacing w:after="0"/>
              <w:rPr>
                <w:sz w:val="15"/>
                <w:szCs w:val="15"/>
                <w:color w:val="auto"/>
              </w:rPr>
            </w:pPr>
          </w:p>
        </w:tc>
        <w:tc>
          <w:tcPr>
            <w:tcW w:w="15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Schedule</w:t>
            </w:r>
          </w:p>
        </w:tc>
        <w:tc>
          <w:tcPr>
            <w:tcW w:w="100" w:type="dxa"/>
            <w:vAlign w:val="bottom"/>
          </w:tcPr>
          <w:p>
            <w:pPr>
              <w:spacing w:after="0"/>
              <w:rPr>
                <w:sz w:val="15"/>
                <w:szCs w:val="15"/>
                <w:color w:val="auto"/>
              </w:rPr>
            </w:pPr>
          </w:p>
        </w:tc>
        <w:tc>
          <w:tcPr>
            <w:tcW w:w="1080" w:type="dxa"/>
            <w:vAlign w:val="bottom"/>
            <w:tcBorders>
              <w:bottom w:val="single" w:sz="8" w:color="auto"/>
            </w:tcBorders>
            <w:vMerge w:val="continue"/>
          </w:tcPr>
          <w:p>
            <w:pPr>
              <w:spacing w:after="0"/>
              <w:rPr>
                <w:sz w:val="15"/>
                <w:szCs w:val="15"/>
                <w:color w:val="auto"/>
              </w:rPr>
            </w:pPr>
          </w:p>
        </w:tc>
        <w:tc>
          <w:tcPr>
            <w:tcW w:w="180" w:type="dxa"/>
            <w:vAlign w:val="bottom"/>
            <w:vMerge w:val="continue"/>
          </w:tcPr>
          <w:p>
            <w:pPr>
              <w:spacing w:after="0"/>
              <w:rPr>
                <w:sz w:val="15"/>
                <w:szCs w:val="15"/>
                <w:color w:val="auto"/>
              </w:rPr>
            </w:pPr>
          </w:p>
        </w:tc>
        <w:tc>
          <w:tcPr>
            <w:tcW w:w="1040" w:type="dxa"/>
            <w:vAlign w:val="bottom"/>
            <w:tcBorders>
              <w:bottom w:val="single" w:sz="8" w:color="auto"/>
            </w:tcBorders>
          </w:tcPr>
          <w:p>
            <w:pPr>
              <w:ind w:left="260"/>
              <w:spacing w:after="0"/>
              <w:rPr>
                <w:sz w:val="20"/>
                <w:szCs w:val="20"/>
                <w:color w:val="auto"/>
              </w:rPr>
            </w:pPr>
            <w:r>
              <w:rPr>
                <w:rFonts w:ascii="Arial" w:cs="Arial" w:eastAsia="Arial" w:hAnsi="Arial"/>
                <w:sz w:val="14"/>
                <w:szCs w:val="14"/>
                <w:b w:val="1"/>
                <w:bCs w:val="1"/>
                <w:color w:val="auto"/>
              </w:rPr>
              <w:t>Number</w:t>
            </w:r>
          </w:p>
        </w:tc>
        <w:tc>
          <w:tcPr>
            <w:tcW w:w="0" w:type="dxa"/>
            <w:vAlign w:val="bottom"/>
          </w:tcPr>
          <w:p>
            <w:pPr>
              <w:spacing w:after="0"/>
              <w:rPr>
                <w:sz w:val="1"/>
                <w:szCs w:val="1"/>
                <w:color w:val="auto"/>
              </w:rPr>
            </w:pPr>
          </w:p>
        </w:tc>
      </w:tr>
      <w:tr>
        <w:trPr>
          <w:trHeight w:val="506"/>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Form 8-K (Exhibit</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640" w:type="dxa"/>
            <w:vAlign w:val="bottom"/>
            <w:gridSpan w:val="2"/>
          </w:tcPr>
          <w:p>
            <w:pPr>
              <w:ind w:left="100"/>
              <w:spacing w:after="0"/>
              <w:rPr>
                <w:sz w:val="20"/>
                <w:szCs w:val="20"/>
                <w:color w:val="auto"/>
              </w:rPr>
            </w:pPr>
            <w:r>
              <w:rPr>
                <w:rFonts w:ascii="Arial" w:cs="Arial" w:eastAsia="Arial" w:hAnsi="Arial"/>
                <w:sz w:val="18"/>
                <w:szCs w:val="18"/>
                <w:color w:val="auto"/>
              </w:rPr>
              <w:t>10.2)</w:t>
            </w:r>
          </w:p>
        </w:tc>
        <w:tc>
          <w:tcPr>
            <w:tcW w:w="100" w:type="dxa"/>
            <w:vAlign w:val="bottom"/>
          </w:tcPr>
          <w:p>
            <w:pPr>
              <w:spacing w:after="0"/>
              <w:rPr>
                <w:sz w:val="20"/>
                <w:szCs w:val="20"/>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12/23/2022</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526"/>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Form 8-K</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(Exhibit 1.1)</w:t>
            </w: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6/1/2021</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526"/>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Form 8-K (Exhibit</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640" w:type="dxa"/>
            <w:vAlign w:val="bottom"/>
            <w:gridSpan w:val="2"/>
          </w:tcPr>
          <w:p>
            <w:pPr>
              <w:ind w:left="100"/>
              <w:spacing w:after="0"/>
              <w:rPr>
                <w:sz w:val="20"/>
                <w:szCs w:val="20"/>
                <w:color w:val="auto"/>
              </w:rPr>
            </w:pPr>
            <w:r>
              <w:rPr>
                <w:rFonts w:ascii="Arial" w:cs="Arial" w:eastAsia="Arial" w:hAnsi="Arial"/>
                <w:sz w:val="18"/>
                <w:szCs w:val="18"/>
                <w:color w:val="auto"/>
              </w:rPr>
              <w:t>10.1)</w:t>
            </w:r>
          </w:p>
        </w:tc>
        <w:tc>
          <w:tcPr>
            <w:tcW w:w="100" w:type="dxa"/>
            <w:vAlign w:val="bottom"/>
          </w:tcPr>
          <w:p>
            <w:pPr>
              <w:spacing w:after="0"/>
              <w:rPr>
                <w:sz w:val="20"/>
                <w:szCs w:val="20"/>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12/23/2022</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1066"/>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Form 10-Q</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(Exhibit 10.1)</w:t>
            </w: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8/4/2022</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958"/>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Form 8-K</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(Exhibit 10.1)</w:t>
            </w: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2/09/2023</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850"/>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Form 10-Q</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(Exhibit 10.5)</w:t>
            </w: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11/14/2016</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634"/>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Definitive</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780" w:type="dxa"/>
            <w:vAlign w:val="bottom"/>
          </w:tcPr>
          <w:p>
            <w:pPr>
              <w:spacing w:after="0"/>
              <w:rPr>
                <w:sz w:val="18"/>
                <w:szCs w:val="18"/>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Proxy</w:t>
            </w:r>
          </w:p>
        </w:tc>
        <w:tc>
          <w:tcPr>
            <w:tcW w:w="10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80" w:type="dxa"/>
            <w:vAlign w:val="bottom"/>
          </w:tcPr>
          <w:p>
            <w:pPr>
              <w:spacing w:after="0"/>
              <w:rPr>
                <w:sz w:val="18"/>
                <w:szCs w:val="18"/>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Statement</w:t>
            </w:r>
          </w:p>
        </w:tc>
        <w:tc>
          <w:tcPr>
            <w:tcW w:w="10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(Annex A)</w:t>
            </w: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4/30/2021</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310"/>
        </w:trPr>
        <w:tc>
          <w:tcPr>
            <w:tcW w:w="780" w:type="dxa"/>
            <w:vAlign w:val="bottom"/>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Form 10-K</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80" w:type="dxa"/>
            <w:vAlign w:val="bottom"/>
          </w:tcPr>
          <w:p>
            <w:pPr>
              <w:spacing w:after="0"/>
              <w:rPr>
                <w:sz w:val="20"/>
                <w:szCs w:val="20"/>
                <w:color w:val="auto"/>
              </w:rPr>
            </w:pPr>
          </w:p>
        </w:tc>
        <w:tc>
          <w:tcPr>
            <w:tcW w:w="1740" w:type="dxa"/>
            <w:vAlign w:val="bottom"/>
            <w:gridSpan w:val="3"/>
          </w:tcPr>
          <w:p>
            <w:pPr>
              <w:ind w:left="100"/>
              <w:spacing w:after="0"/>
              <w:rPr>
                <w:sz w:val="20"/>
                <w:szCs w:val="20"/>
                <w:color w:val="auto"/>
              </w:rPr>
            </w:pPr>
            <w:r>
              <w:rPr>
                <w:rFonts w:ascii="Arial" w:cs="Arial" w:eastAsia="Arial" w:hAnsi="Arial"/>
                <w:sz w:val="18"/>
                <w:szCs w:val="18"/>
                <w:color w:val="auto"/>
              </w:rPr>
              <w:t>(Exhibit 10.10)</w:t>
            </w: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3/31/2017</w:t>
            </w:r>
          </w:p>
        </w:tc>
        <w:tc>
          <w:tcPr>
            <w:tcW w:w="1040" w:type="dxa"/>
            <w:vAlign w:val="bottom"/>
          </w:tcPr>
          <w:p>
            <w:pPr>
              <w:ind w:left="26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bl>
    <w:p>
      <w:pPr>
        <w:sectPr>
          <w:pgSz w:w="11900" w:h="16838" w:orient="portrait"/>
          <w:cols w:equalWidth="0" w:num="2">
            <w:col w:w="6040" w:space="80"/>
            <w:col w:w="4820"/>
          </w:cols>
          <w:pgMar w:left="440" w:top="280" w:right="519" w:bottom="1440" w:gutter="0" w:footer="0" w:header="0"/>
        </w:sectPr>
      </w:pPr>
    </w:p>
    <w:bookmarkStart w:id="4" w:name="page5"/>
    <w:bookmarkEnd w:id="4"/>
    <w:p>
      <w:pPr>
        <w:spacing w:after="0" w:line="31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extLst>
                    </a:blip>
                    <a:srcRect/>
                    <a:stretch>
                      <a:fillRect/>
                    </a:stretch>
                  </pic:blipFill>
                  <pic:spPr bwMode="auto">
                    <a:xfrm>
                      <a:off x="0" y="0"/>
                      <a:ext cx="7174865" cy="5588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61"/>
        </w:trPr>
        <w:tc>
          <w:tcPr>
            <w:tcW w:w="8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8"/>
              </w:rPr>
              <w:t>Exhibit</w:t>
            </w:r>
          </w:p>
        </w:tc>
        <w:tc>
          <w:tcPr>
            <w:tcW w:w="8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720" w:type="dxa"/>
            <w:vAlign w:val="bottom"/>
            <w:gridSpan w:val="6"/>
            <w:vMerge w:val="restart"/>
          </w:tcPr>
          <w:p>
            <w:pPr>
              <w:ind w:left="640"/>
              <w:spacing w:after="0"/>
              <w:rPr>
                <w:sz w:val="20"/>
                <w:szCs w:val="20"/>
                <w:color w:val="auto"/>
              </w:rPr>
            </w:pPr>
            <w:r>
              <w:rPr>
                <w:rFonts w:ascii="Arial" w:cs="Arial" w:eastAsia="Arial" w:hAnsi="Arial"/>
                <w:sz w:val="14"/>
                <w:szCs w:val="14"/>
                <w:b w:val="1"/>
                <w:bCs w:val="1"/>
                <w:color w:val="auto"/>
              </w:rPr>
              <w:t>Exhibit Description</w:t>
            </w:r>
          </w:p>
        </w:tc>
        <w:tc>
          <w:tcPr>
            <w:tcW w:w="0" w:type="dxa"/>
            <w:vAlign w:val="bottom"/>
          </w:tcPr>
          <w:p>
            <w:pPr>
              <w:spacing w:after="0"/>
              <w:rPr>
                <w:sz w:val="1"/>
                <w:szCs w:val="1"/>
                <w:color w:val="auto"/>
              </w:rPr>
            </w:pPr>
          </w:p>
        </w:tc>
      </w:tr>
      <w:tr>
        <w:trPr>
          <w:trHeight w:val="171"/>
        </w:trPr>
        <w:tc>
          <w:tcPr>
            <w:tcW w:w="8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Number</w:t>
            </w:r>
          </w:p>
        </w:tc>
        <w:tc>
          <w:tcPr>
            <w:tcW w:w="8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720" w:type="dxa"/>
            <w:vAlign w:val="bottom"/>
            <w:gridSpan w:val="6"/>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63"/>
        </w:trPr>
        <w:tc>
          <w:tcPr>
            <w:tcW w:w="6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5"/>
              </w:rPr>
              <w:t>10.10*</w:t>
            </w:r>
          </w:p>
        </w:tc>
        <w:tc>
          <w:tcPr>
            <w:tcW w:w="200" w:type="dxa"/>
            <w:vAlign w:val="bottom"/>
          </w:tcPr>
          <w:p>
            <w:pPr>
              <w:spacing w:after="0"/>
              <w:rPr>
                <w:sz w:val="22"/>
                <w:szCs w:val="22"/>
                <w:color w:val="auto"/>
              </w:rPr>
            </w:pPr>
          </w:p>
        </w:tc>
        <w:tc>
          <w:tcPr>
            <w:tcW w:w="4960" w:type="dxa"/>
            <w:vAlign w:val="bottom"/>
            <w:tcBorders>
              <w:top w:val="single" w:sz="8" w:color="auto"/>
            </w:tcBorders>
            <w:gridSpan w:val="8"/>
          </w:tcPr>
          <w:p>
            <w:pPr>
              <w:spacing w:after="0"/>
              <w:rPr>
                <w:rFonts w:ascii="Arial" w:cs="Arial" w:eastAsia="Arial" w:hAnsi="Arial"/>
                <w:sz w:val="18"/>
                <w:szCs w:val="18"/>
                <w:color w:val="0000EE"/>
                <w:w w:val="98"/>
              </w:rPr>
            </w:pPr>
            <w:hyperlink r:id="rId37">
              <w:r>
                <w:rPr>
                  <w:rFonts w:ascii="Arial" w:cs="Arial" w:eastAsia="Arial" w:hAnsi="Arial"/>
                  <w:sz w:val="18"/>
                  <w:szCs w:val="18"/>
                  <w:color w:val="0000EE"/>
                  <w:w w:val="98"/>
                </w:rPr>
                <w:t>Form of Nonqualified Stock Option Agreement under Amended</w:t>
              </w:r>
            </w:hyperlink>
          </w:p>
        </w:tc>
        <w:tc>
          <w:tcPr>
            <w:tcW w:w="0" w:type="dxa"/>
            <w:vAlign w:val="bottom"/>
          </w:tcPr>
          <w:p>
            <w:pPr>
              <w:spacing w:after="0"/>
              <w:rPr>
                <w:sz w:val="1"/>
                <w:szCs w:val="1"/>
                <w:color w:val="auto"/>
              </w:rPr>
            </w:pP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4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9"/>
              </w:rPr>
            </w:pPr>
            <w:hyperlink r:id="rId37">
              <w:r>
                <w:rPr>
                  <w:rFonts w:ascii="Arial" w:cs="Arial" w:eastAsia="Arial" w:hAnsi="Arial"/>
                  <w:sz w:val="18"/>
                  <w:szCs w:val="18"/>
                  <w:color w:val="0000EE"/>
                  <w:w w:val="89"/>
                </w:rPr>
                <w:t>2015 Stock Plan.</w:t>
              </w:r>
            </w:hyperlink>
          </w:p>
        </w:tc>
        <w:tc>
          <w:tcPr>
            <w:tcW w:w="3380" w:type="dxa"/>
            <w:vAlign w:val="bottom"/>
            <w:tcBorders>
              <w:top w:val="single" w:sz="8" w:color="0000EE"/>
            </w:tcBorders>
            <w:gridSpan w:val="3"/>
          </w:tcPr>
          <w:p>
            <w:pPr>
              <w:spacing w:after="0"/>
              <w:rPr>
                <w:sz w:val="17"/>
                <w:szCs w:val="17"/>
                <w:color w:val="auto"/>
              </w:rPr>
            </w:pPr>
          </w:p>
        </w:tc>
        <w:tc>
          <w:tcPr>
            <w:tcW w:w="34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680" w:type="dxa"/>
            <w:vAlign w:val="bottom"/>
          </w:tcPr>
          <w:p>
            <w:pPr>
              <w:jc w:val="center"/>
              <w:spacing w:after="0"/>
              <w:rPr>
                <w:sz w:val="20"/>
                <w:szCs w:val="20"/>
                <w:color w:val="auto"/>
              </w:rPr>
            </w:pPr>
            <w:r>
              <w:rPr>
                <w:rFonts w:ascii="Arial" w:cs="Arial" w:eastAsia="Arial" w:hAnsi="Arial"/>
                <w:sz w:val="18"/>
                <w:szCs w:val="18"/>
                <w:color w:val="auto"/>
                <w:w w:val="95"/>
              </w:rPr>
              <w:t>10.11*</w:t>
            </w:r>
          </w:p>
        </w:tc>
        <w:tc>
          <w:tcPr>
            <w:tcW w:w="200" w:type="dxa"/>
            <w:vAlign w:val="bottom"/>
          </w:tcPr>
          <w:p>
            <w:pPr>
              <w:spacing w:after="0"/>
              <w:rPr>
                <w:sz w:val="24"/>
                <w:szCs w:val="24"/>
                <w:color w:val="auto"/>
              </w:rPr>
            </w:pPr>
          </w:p>
        </w:tc>
        <w:tc>
          <w:tcPr>
            <w:tcW w:w="4860" w:type="dxa"/>
            <w:vAlign w:val="bottom"/>
            <w:tcBorders>
              <w:bottom w:val="single" w:sz="8" w:color="0000EE"/>
            </w:tcBorders>
            <w:gridSpan w:val="7"/>
          </w:tcPr>
          <w:p>
            <w:pPr>
              <w:spacing w:after="0"/>
              <w:rPr>
                <w:rFonts w:ascii="Arial" w:cs="Arial" w:eastAsia="Arial" w:hAnsi="Arial"/>
                <w:sz w:val="18"/>
                <w:szCs w:val="18"/>
                <w:color w:val="0000EE"/>
                <w:w w:val="92"/>
              </w:rPr>
            </w:pPr>
            <w:hyperlink r:id="rId38">
              <w:r>
                <w:rPr>
                  <w:rFonts w:ascii="Arial" w:cs="Arial" w:eastAsia="Arial" w:hAnsi="Arial"/>
                  <w:sz w:val="18"/>
                  <w:szCs w:val="18"/>
                  <w:color w:val="0000EE"/>
                  <w:w w:val="92"/>
                </w:rPr>
                <w:t>Form of Nonqualified Stock Option Agreement for Directors under</w:t>
              </w:r>
            </w:hyperlink>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980" w:type="dxa"/>
            <w:vAlign w:val="bottom"/>
            <w:tcBorders>
              <w:bottom w:val="single" w:sz="8" w:color="0000EE"/>
            </w:tcBorders>
            <w:gridSpan w:val="3"/>
          </w:tcPr>
          <w:p>
            <w:pPr>
              <w:spacing w:after="0" w:line="196" w:lineRule="exact"/>
              <w:rPr>
                <w:rFonts w:ascii="Arial" w:cs="Arial" w:eastAsia="Arial" w:hAnsi="Arial"/>
                <w:sz w:val="18"/>
                <w:szCs w:val="18"/>
                <w:color w:val="0000EE"/>
                <w:w w:val="89"/>
              </w:rPr>
            </w:pPr>
            <w:hyperlink r:id="rId38">
              <w:r>
                <w:rPr>
                  <w:rFonts w:ascii="Arial" w:cs="Arial" w:eastAsia="Arial" w:hAnsi="Arial"/>
                  <w:sz w:val="18"/>
                  <w:szCs w:val="18"/>
                  <w:color w:val="0000EE"/>
                  <w:w w:val="89"/>
                </w:rPr>
                <w:t>Amended 2015 Stock Plan.</w:t>
              </w:r>
            </w:hyperlink>
          </w:p>
        </w:tc>
        <w:tc>
          <w:tcPr>
            <w:tcW w:w="2980" w:type="dxa"/>
            <w:vAlign w:val="bottom"/>
            <w:gridSpan w:val="5"/>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680" w:type="dxa"/>
            <w:vAlign w:val="bottom"/>
          </w:tcPr>
          <w:p>
            <w:pPr>
              <w:jc w:val="center"/>
              <w:spacing w:after="0"/>
              <w:rPr>
                <w:sz w:val="20"/>
                <w:szCs w:val="20"/>
                <w:color w:val="auto"/>
              </w:rPr>
            </w:pPr>
            <w:r>
              <w:rPr>
                <w:rFonts w:ascii="Arial" w:cs="Arial" w:eastAsia="Arial" w:hAnsi="Arial"/>
                <w:sz w:val="18"/>
                <w:szCs w:val="18"/>
                <w:color w:val="auto"/>
                <w:w w:val="95"/>
              </w:rPr>
              <w:t>10.12*</w:t>
            </w:r>
          </w:p>
        </w:tc>
        <w:tc>
          <w:tcPr>
            <w:tcW w:w="200" w:type="dxa"/>
            <w:vAlign w:val="bottom"/>
          </w:tcPr>
          <w:p>
            <w:pPr>
              <w:spacing w:after="0"/>
              <w:rPr>
                <w:sz w:val="24"/>
                <w:szCs w:val="24"/>
                <w:color w:val="auto"/>
              </w:rPr>
            </w:pPr>
          </w:p>
        </w:tc>
        <w:tc>
          <w:tcPr>
            <w:tcW w:w="4640" w:type="dxa"/>
            <w:vAlign w:val="bottom"/>
            <w:tcBorders>
              <w:bottom w:val="single" w:sz="8" w:color="0000EE"/>
            </w:tcBorders>
            <w:gridSpan w:val="6"/>
          </w:tcPr>
          <w:p>
            <w:pPr>
              <w:spacing w:after="0"/>
              <w:rPr>
                <w:rFonts w:ascii="Arial" w:cs="Arial" w:eastAsia="Arial" w:hAnsi="Arial"/>
                <w:sz w:val="18"/>
                <w:szCs w:val="18"/>
                <w:color w:val="0000EE"/>
                <w:w w:val="91"/>
              </w:rPr>
            </w:pPr>
            <w:hyperlink r:id="rId39">
              <w:r>
                <w:rPr>
                  <w:rFonts w:ascii="Arial" w:cs="Arial" w:eastAsia="Arial" w:hAnsi="Arial"/>
                  <w:sz w:val="18"/>
                  <w:szCs w:val="18"/>
                  <w:color w:val="0000EE"/>
                  <w:w w:val="91"/>
                </w:rPr>
                <w:t>Form of Restricted Stock Unit Agreement under Amended 2015</w:t>
              </w:r>
            </w:hyperlink>
          </w:p>
        </w:tc>
        <w:tc>
          <w:tcPr>
            <w:tcW w:w="3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960" w:type="dxa"/>
            <w:vAlign w:val="bottom"/>
            <w:gridSpan w:val="8"/>
          </w:tcPr>
          <w:p>
            <w:pPr>
              <w:spacing w:after="0" w:line="196" w:lineRule="exact"/>
              <w:rPr>
                <w:rFonts w:ascii="Arial" w:cs="Arial" w:eastAsia="Arial" w:hAnsi="Arial"/>
                <w:sz w:val="18"/>
                <w:szCs w:val="18"/>
                <w:color w:val="0000EE"/>
              </w:rPr>
            </w:pPr>
            <w:hyperlink r:id="rId39">
              <w:r>
                <w:rPr>
                  <w:rFonts w:ascii="Arial" w:cs="Arial" w:eastAsia="Arial" w:hAnsi="Arial"/>
                  <w:sz w:val="18"/>
                  <w:szCs w:val="18"/>
                  <w:color w:val="0000EE"/>
                </w:rPr>
                <w:t>Stock Plan.</w:t>
              </w:r>
            </w:hyperlink>
          </w:p>
        </w:tc>
        <w:tc>
          <w:tcPr>
            <w:tcW w:w="0" w:type="dxa"/>
            <w:vAlign w:val="bottom"/>
          </w:tcPr>
          <w:p>
            <w:pPr>
              <w:spacing w:after="0"/>
              <w:rPr>
                <w:sz w:val="1"/>
                <w:szCs w:val="1"/>
                <w:color w:val="auto"/>
              </w:rPr>
            </w:pPr>
          </w:p>
        </w:tc>
      </w:tr>
      <w:tr>
        <w:trPr>
          <w:trHeight w:val="20"/>
        </w:trPr>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3040" w:type="dxa"/>
            <w:vAlign w:val="bottom"/>
            <w:gridSpan w:val="3"/>
          </w:tcPr>
          <w:p>
            <w:pPr>
              <w:spacing w:after="0" w:line="20" w:lineRule="exact"/>
              <w:rPr>
                <w:sz w:val="1"/>
                <w:szCs w:val="1"/>
                <w:color w:val="auto"/>
              </w:rPr>
            </w:pPr>
          </w:p>
        </w:tc>
        <w:tc>
          <w:tcPr>
            <w:tcW w:w="1100" w:type="dxa"/>
            <w:vAlign w:val="bottom"/>
            <w:gridSpan w:val="4"/>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680" w:type="dxa"/>
            <w:vAlign w:val="bottom"/>
          </w:tcPr>
          <w:p>
            <w:pPr>
              <w:jc w:val="center"/>
              <w:spacing w:after="0"/>
              <w:rPr>
                <w:sz w:val="20"/>
                <w:szCs w:val="20"/>
                <w:color w:val="auto"/>
              </w:rPr>
            </w:pPr>
            <w:r>
              <w:rPr>
                <w:rFonts w:ascii="Arial" w:cs="Arial" w:eastAsia="Arial" w:hAnsi="Arial"/>
                <w:sz w:val="18"/>
                <w:szCs w:val="18"/>
                <w:color w:val="auto"/>
                <w:w w:val="95"/>
              </w:rPr>
              <w:t>10.13*</w:t>
            </w:r>
          </w:p>
        </w:tc>
        <w:tc>
          <w:tcPr>
            <w:tcW w:w="200" w:type="dxa"/>
            <w:vAlign w:val="bottom"/>
          </w:tcPr>
          <w:p>
            <w:pPr>
              <w:spacing w:after="0"/>
              <w:rPr>
                <w:sz w:val="24"/>
                <w:szCs w:val="24"/>
                <w:color w:val="auto"/>
              </w:rPr>
            </w:pPr>
          </w:p>
        </w:tc>
        <w:tc>
          <w:tcPr>
            <w:tcW w:w="4960" w:type="dxa"/>
            <w:vAlign w:val="bottom"/>
            <w:gridSpan w:val="8"/>
          </w:tcPr>
          <w:p>
            <w:pPr>
              <w:spacing w:after="0"/>
              <w:rPr>
                <w:rFonts w:ascii="Arial" w:cs="Arial" w:eastAsia="Arial" w:hAnsi="Arial"/>
                <w:sz w:val="18"/>
                <w:szCs w:val="18"/>
                <w:color w:val="0000EE"/>
              </w:rPr>
            </w:pPr>
            <w:hyperlink r:id="rId40">
              <w:r>
                <w:rPr>
                  <w:rFonts w:ascii="Arial" w:cs="Arial" w:eastAsia="Arial" w:hAnsi="Arial"/>
                  <w:sz w:val="18"/>
                  <w:szCs w:val="18"/>
                  <w:color w:val="0000EE"/>
                </w:rPr>
                <w:t>Non-Employee Director Equity Compensation Policy</w:t>
              </w:r>
            </w:hyperlink>
          </w:p>
        </w:tc>
        <w:tc>
          <w:tcPr>
            <w:tcW w:w="0" w:type="dxa"/>
            <w:vAlign w:val="bottom"/>
          </w:tcPr>
          <w:p>
            <w:pPr>
              <w:spacing w:after="0"/>
              <w:rPr>
                <w:sz w:val="1"/>
                <w:szCs w:val="1"/>
                <w:color w:val="auto"/>
              </w:rPr>
            </w:pPr>
          </w:p>
        </w:tc>
      </w:tr>
      <w:tr>
        <w:trPr>
          <w:trHeight w:val="20"/>
        </w:trPr>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1880" w:type="dxa"/>
            <w:vAlign w:val="bottom"/>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Agreements with Executive Officers and Directors</w:t>
      </w:r>
    </w:p>
    <w:p>
      <w:pPr>
        <w:spacing w:after="0" w:line="100" w:lineRule="exact"/>
        <w:rPr>
          <w:sz w:val="20"/>
          <w:szCs w:val="20"/>
          <w:color w:val="auto"/>
        </w:rPr>
      </w:pPr>
    </w:p>
    <w:tbl>
      <w:tblPr>
        <w:tblLayout w:type="fixed"/>
        <w:tblInd w:w="80" w:type="dxa"/>
        <w:tblCellMar>
          <w:top w:w="0" w:type="dxa"/>
          <w:left w:w="0" w:type="dxa"/>
          <w:bottom w:w="0" w:type="dxa"/>
          <w:right w:w="0" w:type="dxa"/>
        </w:tblCellMar>
      </w:tblPr>
      <w:tr>
        <w:trPr>
          <w:trHeight w:val="207"/>
        </w:trPr>
        <w:tc>
          <w:tcPr>
            <w:tcW w:w="800" w:type="dxa"/>
            <w:vAlign w:val="bottom"/>
          </w:tcPr>
          <w:p>
            <w:pPr>
              <w:spacing w:after="0"/>
              <w:rPr>
                <w:sz w:val="20"/>
                <w:szCs w:val="20"/>
                <w:color w:val="auto"/>
              </w:rPr>
            </w:pPr>
            <w:r>
              <w:rPr>
                <w:rFonts w:ascii="Arial" w:cs="Arial" w:eastAsia="Arial" w:hAnsi="Arial"/>
                <w:sz w:val="18"/>
                <w:szCs w:val="18"/>
                <w:color w:val="auto"/>
              </w:rPr>
              <w:t>10.14*</w:t>
            </w:r>
          </w:p>
        </w:tc>
        <w:tc>
          <w:tcPr>
            <w:tcW w:w="4920" w:type="dxa"/>
            <w:vAlign w:val="bottom"/>
            <w:gridSpan w:val="13"/>
          </w:tcPr>
          <w:p>
            <w:pPr>
              <w:spacing w:after="0"/>
              <w:rPr>
                <w:rFonts w:ascii="Arial" w:cs="Arial" w:eastAsia="Arial" w:hAnsi="Arial"/>
                <w:sz w:val="18"/>
                <w:szCs w:val="18"/>
                <w:color w:val="0000EE"/>
                <w:w w:val="96"/>
              </w:rPr>
            </w:pPr>
            <w:hyperlink r:id="rId41">
              <w:r>
                <w:rPr>
                  <w:rFonts w:ascii="Arial" w:cs="Arial" w:eastAsia="Arial" w:hAnsi="Arial"/>
                  <w:sz w:val="18"/>
                  <w:szCs w:val="18"/>
                  <w:color w:val="0000EE"/>
                  <w:w w:val="96"/>
                </w:rPr>
                <w:t>Form of Indemnification Agreement between the Registrant and</w:t>
              </w:r>
            </w:hyperlink>
          </w:p>
        </w:tc>
      </w:tr>
      <w:tr>
        <w:trPr>
          <w:trHeight w:val="196"/>
        </w:trPr>
        <w:tc>
          <w:tcPr>
            <w:tcW w:w="800" w:type="dxa"/>
            <w:vAlign w:val="bottom"/>
          </w:tcPr>
          <w:p>
            <w:pPr>
              <w:spacing w:after="0"/>
              <w:rPr>
                <w:sz w:val="17"/>
                <w:szCs w:val="17"/>
                <w:color w:val="auto"/>
              </w:rPr>
            </w:pPr>
          </w:p>
        </w:tc>
        <w:tc>
          <w:tcPr>
            <w:tcW w:w="4620" w:type="dxa"/>
            <w:vAlign w:val="bottom"/>
            <w:tcBorders>
              <w:top w:val="single" w:sz="8" w:color="0000EE"/>
            </w:tcBorders>
            <w:gridSpan w:val="9"/>
          </w:tcPr>
          <w:p>
            <w:pPr>
              <w:spacing w:after="0" w:line="196" w:lineRule="exact"/>
              <w:rPr>
                <w:rFonts w:ascii="Arial" w:cs="Arial" w:eastAsia="Arial" w:hAnsi="Arial"/>
                <w:sz w:val="18"/>
                <w:szCs w:val="18"/>
                <w:color w:val="0000EE"/>
              </w:rPr>
            </w:pPr>
            <w:hyperlink r:id="rId41">
              <w:r>
                <w:rPr>
                  <w:rFonts w:ascii="Arial" w:cs="Arial" w:eastAsia="Arial" w:hAnsi="Arial"/>
                  <w:sz w:val="18"/>
                  <w:szCs w:val="18"/>
                  <w:color w:val="0000EE"/>
                </w:rPr>
                <w:t>certain directors and executive officers.</w:t>
              </w:r>
            </w:hyperlink>
          </w:p>
        </w:tc>
        <w:tc>
          <w:tcPr>
            <w:tcW w:w="300" w:type="dxa"/>
            <w:vAlign w:val="bottom"/>
            <w:gridSpan w:val="4"/>
          </w:tcPr>
          <w:p>
            <w:pPr>
              <w:spacing w:after="0"/>
              <w:rPr>
                <w:sz w:val="17"/>
                <w:szCs w:val="17"/>
                <w:color w:val="auto"/>
              </w:rPr>
            </w:pPr>
          </w:p>
        </w:tc>
      </w:tr>
      <w:tr>
        <w:trPr>
          <w:trHeight w:val="20"/>
        </w:trPr>
        <w:tc>
          <w:tcPr>
            <w:tcW w:w="8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86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660" w:type="dxa"/>
            <w:vAlign w:val="bottom"/>
            <w:tcBorders>
              <w:left w:val="single" w:sz="8" w:color="0000EE"/>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800" w:type="dxa"/>
            <w:vAlign w:val="bottom"/>
          </w:tcPr>
          <w:p>
            <w:pPr>
              <w:spacing w:after="0"/>
              <w:rPr>
                <w:sz w:val="20"/>
                <w:szCs w:val="20"/>
                <w:color w:val="auto"/>
              </w:rPr>
            </w:pPr>
            <w:r>
              <w:rPr>
                <w:rFonts w:ascii="Arial" w:cs="Arial" w:eastAsia="Arial" w:hAnsi="Arial"/>
                <w:sz w:val="18"/>
                <w:szCs w:val="18"/>
                <w:color w:val="auto"/>
              </w:rPr>
              <w:t>10.15*</w:t>
            </w:r>
          </w:p>
        </w:tc>
        <w:tc>
          <w:tcPr>
            <w:tcW w:w="4920" w:type="dxa"/>
            <w:vAlign w:val="bottom"/>
            <w:gridSpan w:val="13"/>
          </w:tcPr>
          <w:p>
            <w:pPr>
              <w:spacing w:after="0"/>
              <w:rPr>
                <w:rFonts w:ascii="Arial" w:cs="Arial" w:eastAsia="Arial" w:hAnsi="Arial"/>
                <w:sz w:val="18"/>
                <w:szCs w:val="18"/>
                <w:color w:val="0000EE"/>
              </w:rPr>
            </w:pPr>
            <w:hyperlink r:id="rId42">
              <w:r>
                <w:rPr>
                  <w:rFonts w:ascii="Arial" w:cs="Arial" w:eastAsia="Arial" w:hAnsi="Arial"/>
                  <w:sz w:val="18"/>
                  <w:szCs w:val="18"/>
                  <w:color w:val="0000EE"/>
                </w:rPr>
                <w:t>Letter Agreement, dated April 13, 2016, by and between the</w:t>
              </w:r>
            </w:hyperlink>
          </w:p>
        </w:tc>
      </w:tr>
      <w:tr>
        <w:trPr>
          <w:trHeight w:val="196"/>
        </w:trPr>
        <w:tc>
          <w:tcPr>
            <w:tcW w:w="800" w:type="dxa"/>
            <w:vAlign w:val="bottom"/>
          </w:tcPr>
          <w:p>
            <w:pPr>
              <w:spacing w:after="0"/>
              <w:rPr>
                <w:sz w:val="17"/>
                <w:szCs w:val="17"/>
                <w:color w:val="auto"/>
              </w:rPr>
            </w:pPr>
          </w:p>
        </w:tc>
        <w:tc>
          <w:tcPr>
            <w:tcW w:w="4340" w:type="dxa"/>
            <w:vAlign w:val="bottom"/>
            <w:tcBorders>
              <w:top w:val="single" w:sz="8" w:color="0000EE"/>
            </w:tcBorders>
            <w:gridSpan w:val="8"/>
          </w:tcPr>
          <w:p>
            <w:pPr>
              <w:spacing w:after="0" w:line="196" w:lineRule="exact"/>
              <w:rPr>
                <w:rFonts w:ascii="Arial" w:cs="Arial" w:eastAsia="Arial" w:hAnsi="Arial"/>
                <w:sz w:val="18"/>
                <w:szCs w:val="18"/>
                <w:color w:val="0000EE"/>
              </w:rPr>
            </w:pPr>
            <w:hyperlink r:id="rId42">
              <w:r>
                <w:rPr>
                  <w:rFonts w:ascii="Arial" w:cs="Arial" w:eastAsia="Arial" w:hAnsi="Arial"/>
                  <w:sz w:val="18"/>
                  <w:szCs w:val="18"/>
                  <w:color w:val="0000EE"/>
                </w:rPr>
                <w:t>Company and Paul A. Friedman, M.D.</w:t>
              </w:r>
            </w:hyperlink>
          </w:p>
        </w:tc>
        <w:tc>
          <w:tcPr>
            <w:tcW w:w="580" w:type="dxa"/>
            <w:vAlign w:val="bottom"/>
            <w:gridSpan w:val="5"/>
          </w:tcPr>
          <w:p>
            <w:pPr>
              <w:spacing w:after="0"/>
              <w:rPr>
                <w:sz w:val="17"/>
                <w:szCs w:val="17"/>
                <w:color w:val="auto"/>
              </w:rPr>
            </w:pPr>
          </w:p>
        </w:tc>
      </w:tr>
      <w:tr>
        <w:trPr>
          <w:trHeight w:val="20"/>
        </w:trPr>
        <w:tc>
          <w:tcPr>
            <w:tcW w:w="8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86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800" w:type="dxa"/>
            <w:vAlign w:val="bottom"/>
          </w:tcPr>
          <w:p>
            <w:pPr>
              <w:spacing w:after="0"/>
              <w:rPr>
                <w:sz w:val="20"/>
                <w:szCs w:val="20"/>
                <w:color w:val="auto"/>
              </w:rPr>
            </w:pPr>
            <w:r>
              <w:rPr>
                <w:rFonts w:ascii="Arial" w:cs="Arial" w:eastAsia="Arial" w:hAnsi="Arial"/>
                <w:sz w:val="18"/>
                <w:szCs w:val="18"/>
                <w:color w:val="auto"/>
              </w:rPr>
              <w:t>10.16*</w:t>
            </w:r>
          </w:p>
        </w:tc>
        <w:tc>
          <w:tcPr>
            <w:tcW w:w="4920" w:type="dxa"/>
            <w:vAlign w:val="bottom"/>
            <w:gridSpan w:val="13"/>
          </w:tcPr>
          <w:p>
            <w:pPr>
              <w:spacing w:after="0"/>
              <w:rPr>
                <w:rFonts w:ascii="Arial" w:cs="Arial" w:eastAsia="Arial" w:hAnsi="Arial"/>
                <w:sz w:val="18"/>
                <w:szCs w:val="18"/>
                <w:color w:val="0000EE"/>
              </w:rPr>
            </w:pPr>
            <w:hyperlink r:id="rId43">
              <w:r>
                <w:rPr>
                  <w:rFonts w:ascii="Arial" w:cs="Arial" w:eastAsia="Arial" w:hAnsi="Arial"/>
                  <w:sz w:val="18"/>
                  <w:szCs w:val="18"/>
                  <w:color w:val="0000EE"/>
                </w:rPr>
                <w:t>Letter Agreement, dated April 13, 2016, by and between the</w:t>
              </w:r>
            </w:hyperlink>
          </w:p>
        </w:tc>
      </w:tr>
      <w:tr>
        <w:trPr>
          <w:trHeight w:val="196"/>
        </w:trPr>
        <w:tc>
          <w:tcPr>
            <w:tcW w:w="800" w:type="dxa"/>
            <w:vAlign w:val="bottom"/>
          </w:tcPr>
          <w:p>
            <w:pPr>
              <w:spacing w:after="0"/>
              <w:rPr>
                <w:sz w:val="17"/>
                <w:szCs w:val="17"/>
                <w:color w:val="auto"/>
              </w:rPr>
            </w:pPr>
          </w:p>
        </w:tc>
        <w:tc>
          <w:tcPr>
            <w:tcW w:w="254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89"/>
              </w:rPr>
            </w:pPr>
            <w:hyperlink r:id="rId43">
              <w:r>
                <w:rPr>
                  <w:rFonts w:ascii="Arial" w:cs="Arial" w:eastAsia="Arial" w:hAnsi="Arial"/>
                  <w:sz w:val="18"/>
                  <w:szCs w:val="18"/>
                  <w:color w:val="0000EE"/>
                  <w:w w:val="89"/>
                </w:rPr>
                <w:t>Company and Rebecca Taub, M.D.</w:t>
              </w:r>
            </w:hyperlink>
          </w:p>
        </w:tc>
        <w:tc>
          <w:tcPr>
            <w:tcW w:w="1800" w:type="dxa"/>
            <w:vAlign w:val="bottom"/>
            <w:tcBorders>
              <w:top w:val="single" w:sz="8" w:color="0000EE"/>
            </w:tcBorders>
            <w:gridSpan w:val="4"/>
          </w:tcPr>
          <w:p>
            <w:pPr>
              <w:spacing w:after="0"/>
              <w:rPr>
                <w:sz w:val="17"/>
                <w:szCs w:val="17"/>
                <w:color w:val="auto"/>
              </w:rPr>
            </w:pPr>
          </w:p>
        </w:tc>
        <w:tc>
          <w:tcPr>
            <w:tcW w:w="580" w:type="dxa"/>
            <w:vAlign w:val="bottom"/>
            <w:gridSpan w:val="5"/>
          </w:tcPr>
          <w:p>
            <w:pPr>
              <w:spacing w:after="0"/>
              <w:rPr>
                <w:sz w:val="17"/>
                <w:szCs w:val="17"/>
                <w:color w:val="auto"/>
              </w:rPr>
            </w:pPr>
          </w:p>
        </w:tc>
      </w:tr>
      <w:tr>
        <w:trPr>
          <w:trHeight w:val="304"/>
        </w:trPr>
        <w:tc>
          <w:tcPr>
            <w:tcW w:w="800" w:type="dxa"/>
            <w:vAlign w:val="bottom"/>
          </w:tcPr>
          <w:p>
            <w:pPr>
              <w:spacing w:after="0"/>
              <w:rPr>
                <w:sz w:val="20"/>
                <w:szCs w:val="20"/>
                <w:color w:val="auto"/>
              </w:rPr>
            </w:pPr>
            <w:r>
              <w:rPr>
                <w:rFonts w:ascii="Arial" w:cs="Arial" w:eastAsia="Arial" w:hAnsi="Arial"/>
                <w:sz w:val="18"/>
                <w:szCs w:val="18"/>
                <w:color w:val="auto"/>
              </w:rPr>
              <w:t>21.1</w:t>
            </w:r>
          </w:p>
        </w:tc>
        <w:tc>
          <w:tcPr>
            <w:tcW w:w="1460" w:type="dxa"/>
            <w:vAlign w:val="bottom"/>
            <w:tcBorders>
              <w:bottom w:val="single" w:sz="8" w:color="0000EE"/>
            </w:tcBorders>
            <w:gridSpan w:val="2"/>
          </w:tcPr>
          <w:p>
            <w:pPr>
              <w:spacing w:after="0"/>
              <w:rPr>
                <w:rFonts w:ascii="Arial" w:cs="Arial" w:eastAsia="Arial" w:hAnsi="Arial"/>
                <w:sz w:val="18"/>
                <w:szCs w:val="18"/>
                <w:color w:val="0000EE"/>
                <w:w w:val="92"/>
              </w:rPr>
            </w:pPr>
            <w:hyperlink r:id="rId44">
              <w:r>
                <w:rPr>
                  <w:rFonts w:ascii="Arial" w:cs="Arial" w:eastAsia="Arial" w:hAnsi="Arial"/>
                  <w:sz w:val="18"/>
                  <w:szCs w:val="18"/>
                  <w:color w:val="0000EE"/>
                  <w:w w:val="92"/>
                </w:rPr>
                <w:t>List of Subsidiaries.</w:t>
              </w:r>
            </w:hyperlink>
          </w:p>
        </w:tc>
        <w:tc>
          <w:tcPr>
            <w:tcW w:w="3460" w:type="dxa"/>
            <w:vAlign w:val="bottom"/>
            <w:gridSpan w:val="11"/>
          </w:tcPr>
          <w:p>
            <w:pPr>
              <w:spacing w:after="0"/>
              <w:rPr>
                <w:sz w:val="24"/>
                <w:szCs w:val="24"/>
                <w:color w:val="auto"/>
              </w:rPr>
            </w:pPr>
          </w:p>
        </w:tc>
      </w:tr>
      <w:tr>
        <w:trPr>
          <w:trHeight w:val="520"/>
        </w:trPr>
        <w:tc>
          <w:tcPr>
            <w:tcW w:w="800" w:type="dxa"/>
            <w:vAlign w:val="bottom"/>
          </w:tcPr>
          <w:p>
            <w:pPr>
              <w:spacing w:after="0"/>
              <w:rPr>
                <w:sz w:val="20"/>
                <w:szCs w:val="20"/>
                <w:color w:val="auto"/>
              </w:rPr>
            </w:pPr>
            <w:r>
              <w:rPr>
                <w:rFonts w:ascii="Arial" w:cs="Arial" w:eastAsia="Arial" w:hAnsi="Arial"/>
                <w:sz w:val="18"/>
                <w:szCs w:val="18"/>
                <w:color w:val="auto"/>
              </w:rPr>
              <w:t>23.1</w:t>
            </w:r>
          </w:p>
        </w:tc>
        <w:tc>
          <w:tcPr>
            <w:tcW w:w="4920" w:type="dxa"/>
            <w:vAlign w:val="bottom"/>
            <w:gridSpan w:val="13"/>
          </w:tcPr>
          <w:p>
            <w:pPr>
              <w:spacing w:after="0"/>
              <w:rPr>
                <w:sz w:val="20"/>
                <w:szCs w:val="20"/>
                <w:color w:val="auto"/>
              </w:rPr>
            </w:pPr>
            <w:r>
              <w:rPr>
                <w:rFonts w:ascii="Arial" w:cs="Arial" w:eastAsia="Arial" w:hAnsi="Arial"/>
                <w:sz w:val="18"/>
                <w:szCs w:val="18"/>
                <w:color w:val="0000EE"/>
                <w:w w:val="91"/>
              </w:rPr>
              <w:t>Consent of PricewaterhouseCoopers LLP, Independent Registered</w:t>
            </w:r>
          </w:p>
        </w:tc>
      </w:tr>
      <w:tr>
        <w:trPr>
          <w:trHeight w:val="196"/>
        </w:trPr>
        <w:tc>
          <w:tcPr>
            <w:tcW w:w="800" w:type="dxa"/>
            <w:vAlign w:val="bottom"/>
          </w:tcPr>
          <w:p>
            <w:pPr>
              <w:spacing w:after="0"/>
              <w:rPr>
                <w:sz w:val="17"/>
                <w:szCs w:val="17"/>
                <w:color w:val="auto"/>
              </w:rPr>
            </w:pPr>
          </w:p>
        </w:tc>
        <w:tc>
          <w:tcPr>
            <w:tcW w:w="1800" w:type="dxa"/>
            <w:vAlign w:val="bottom"/>
            <w:tcBorders>
              <w:top w:val="single" w:sz="8" w:color="0000EE"/>
              <w:bottom w:val="single" w:sz="8" w:color="0000EE"/>
            </w:tcBorders>
            <w:gridSpan w:val="3"/>
          </w:tcPr>
          <w:p>
            <w:pPr>
              <w:spacing w:after="0" w:line="196" w:lineRule="exact"/>
              <w:rPr>
                <w:sz w:val="20"/>
                <w:szCs w:val="20"/>
                <w:color w:val="auto"/>
              </w:rPr>
            </w:pPr>
            <w:r>
              <w:rPr>
                <w:rFonts w:ascii="Arial" w:cs="Arial" w:eastAsia="Arial" w:hAnsi="Arial"/>
                <w:sz w:val="18"/>
                <w:szCs w:val="18"/>
                <w:color w:val="0000EE"/>
                <w:w w:val="94"/>
              </w:rPr>
              <w:t>Public Accounting Firm.</w:t>
            </w:r>
          </w:p>
        </w:tc>
        <w:tc>
          <w:tcPr>
            <w:tcW w:w="2960" w:type="dxa"/>
            <w:vAlign w:val="bottom"/>
            <w:tcBorders>
              <w:top w:val="single" w:sz="8" w:color="0000EE"/>
            </w:tcBorders>
            <w:gridSpan w:val="7"/>
          </w:tcPr>
          <w:p>
            <w:pPr>
              <w:spacing w:after="0"/>
              <w:rPr>
                <w:sz w:val="17"/>
                <w:szCs w:val="17"/>
                <w:color w:val="auto"/>
              </w:rPr>
            </w:pPr>
          </w:p>
        </w:tc>
        <w:tc>
          <w:tcPr>
            <w:tcW w:w="160" w:type="dxa"/>
            <w:vAlign w:val="bottom"/>
            <w:gridSpan w:val="3"/>
          </w:tcPr>
          <w:p>
            <w:pPr>
              <w:spacing w:after="0"/>
              <w:rPr>
                <w:sz w:val="17"/>
                <w:szCs w:val="17"/>
                <w:color w:val="auto"/>
              </w:rPr>
            </w:pPr>
          </w:p>
        </w:tc>
      </w:tr>
      <w:tr>
        <w:trPr>
          <w:trHeight w:val="304"/>
        </w:trPr>
        <w:tc>
          <w:tcPr>
            <w:tcW w:w="800" w:type="dxa"/>
            <w:vAlign w:val="bottom"/>
          </w:tcPr>
          <w:p>
            <w:pPr>
              <w:spacing w:after="0"/>
              <w:rPr>
                <w:sz w:val="20"/>
                <w:szCs w:val="20"/>
                <w:color w:val="auto"/>
              </w:rPr>
            </w:pPr>
            <w:r>
              <w:rPr>
                <w:rFonts w:ascii="Arial" w:cs="Arial" w:eastAsia="Arial" w:hAnsi="Arial"/>
                <w:sz w:val="18"/>
                <w:szCs w:val="18"/>
                <w:color w:val="auto"/>
              </w:rPr>
              <w:t>31.1</w:t>
            </w:r>
          </w:p>
        </w:tc>
        <w:tc>
          <w:tcPr>
            <w:tcW w:w="4920" w:type="dxa"/>
            <w:vAlign w:val="bottom"/>
            <w:gridSpan w:val="13"/>
          </w:tcPr>
          <w:p>
            <w:pPr>
              <w:spacing w:after="0"/>
              <w:rPr>
                <w:sz w:val="20"/>
                <w:szCs w:val="20"/>
                <w:color w:val="auto"/>
              </w:rPr>
            </w:pPr>
            <w:r>
              <w:rPr>
                <w:rFonts w:ascii="Arial" w:cs="Arial" w:eastAsia="Arial" w:hAnsi="Arial"/>
                <w:sz w:val="18"/>
                <w:szCs w:val="18"/>
                <w:color w:val="0000EE"/>
              </w:rPr>
              <w:t>Certification of Principal Executive Officer required by</w:t>
            </w:r>
          </w:p>
        </w:tc>
      </w:tr>
      <w:tr>
        <w:trPr>
          <w:trHeight w:val="20"/>
        </w:trPr>
        <w:tc>
          <w:tcPr>
            <w:tcW w:w="8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2860" w:type="dxa"/>
            <w:vAlign w:val="bottom"/>
            <w:gridSpan w:val="5"/>
            <w:shd w:val="clear" w:color="auto" w:fill="0000EE"/>
          </w:tcPr>
          <w:p>
            <w:pPr>
              <w:spacing w:after="0" w:line="20" w:lineRule="exact"/>
              <w:rPr>
                <w:sz w:val="1"/>
                <w:szCs w:val="1"/>
                <w:color w:val="auto"/>
              </w:rPr>
            </w:pPr>
          </w:p>
        </w:tc>
        <w:tc>
          <w:tcPr>
            <w:tcW w:w="540" w:type="dxa"/>
            <w:vAlign w:val="bottom"/>
            <w:tcBorders>
              <w:right w:val="single" w:sz="8" w:color="0000EE"/>
            </w:tcBorders>
            <w:shd w:val="clear" w:color="auto" w:fill="0000EE"/>
          </w:tcPr>
          <w:p>
            <w:pPr>
              <w:spacing w:after="0" w:line="20" w:lineRule="exact"/>
              <w:rPr>
                <w:sz w:val="1"/>
                <w:szCs w:val="1"/>
                <w:color w:val="auto"/>
              </w:rPr>
            </w:pPr>
          </w:p>
        </w:tc>
        <w:tc>
          <w:tcPr>
            <w:tcW w:w="82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800" w:type="dxa"/>
            <w:vAlign w:val="bottom"/>
          </w:tcPr>
          <w:p>
            <w:pPr>
              <w:spacing w:after="0"/>
              <w:rPr>
                <w:sz w:val="17"/>
                <w:szCs w:val="17"/>
                <w:color w:val="auto"/>
              </w:rPr>
            </w:pPr>
          </w:p>
        </w:tc>
        <w:tc>
          <w:tcPr>
            <w:tcW w:w="4900" w:type="dxa"/>
            <w:vAlign w:val="bottom"/>
            <w:tcBorders>
              <w:bottom w:val="single" w:sz="8" w:color="0000EE"/>
            </w:tcBorders>
            <w:gridSpan w:val="12"/>
          </w:tcPr>
          <w:p>
            <w:pPr>
              <w:spacing w:after="0" w:line="196" w:lineRule="exact"/>
              <w:rPr>
                <w:sz w:val="20"/>
                <w:szCs w:val="20"/>
                <w:color w:val="auto"/>
              </w:rPr>
            </w:pPr>
            <w:r>
              <w:rPr>
                <w:rFonts w:ascii="Arial" w:cs="Arial" w:eastAsia="Arial" w:hAnsi="Arial"/>
                <w:sz w:val="18"/>
                <w:szCs w:val="18"/>
                <w:color w:val="0000EE"/>
                <w:w w:val="90"/>
              </w:rPr>
              <w:t>Rule 13a-14(a) or Rule 15d-14(a) of the Securities Exchange Act of</w:t>
            </w:r>
          </w:p>
        </w:tc>
        <w:tc>
          <w:tcPr>
            <w:tcW w:w="20" w:type="dxa"/>
            <w:vAlign w:val="bottom"/>
          </w:tcPr>
          <w:p>
            <w:pPr>
              <w:spacing w:after="0"/>
              <w:rPr>
                <w:sz w:val="17"/>
                <w:szCs w:val="17"/>
                <w:color w:val="auto"/>
              </w:rPr>
            </w:pPr>
          </w:p>
        </w:tc>
      </w:tr>
      <w:tr>
        <w:trPr>
          <w:trHeight w:val="196"/>
        </w:trPr>
        <w:tc>
          <w:tcPr>
            <w:tcW w:w="800" w:type="dxa"/>
            <w:vAlign w:val="bottom"/>
          </w:tcPr>
          <w:p>
            <w:pPr>
              <w:spacing w:after="0"/>
              <w:rPr>
                <w:sz w:val="17"/>
                <w:szCs w:val="17"/>
                <w:color w:val="auto"/>
              </w:rPr>
            </w:pPr>
          </w:p>
        </w:tc>
        <w:tc>
          <w:tcPr>
            <w:tcW w:w="4920" w:type="dxa"/>
            <w:vAlign w:val="bottom"/>
            <w:tcBorders>
              <w:bottom w:val="single" w:sz="8" w:color="0000EE"/>
            </w:tcBorders>
            <w:gridSpan w:val="13"/>
          </w:tcPr>
          <w:p>
            <w:pPr>
              <w:spacing w:after="0" w:line="196" w:lineRule="exact"/>
              <w:rPr>
                <w:sz w:val="20"/>
                <w:szCs w:val="20"/>
                <w:color w:val="auto"/>
              </w:rPr>
            </w:pPr>
            <w:r>
              <w:rPr>
                <w:rFonts w:ascii="Arial" w:cs="Arial" w:eastAsia="Arial" w:hAnsi="Arial"/>
                <w:sz w:val="18"/>
                <w:szCs w:val="18"/>
                <w:color w:val="0000EE"/>
                <w:w w:val="89"/>
              </w:rPr>
              <w:t>1934, as adopted pursuant to Section 302 of the Sarbanes-Oxley Act</w:t>
            </w:r>
          </w:p>
        </w:tc>
      </w:tr>
      <w:tr>
        <w:trPr>
          <w:trHeight w:val="196"/>
        </w:trPr>
        <w:tc>
          <w:tcPr>
            <w:tcW w:w="800" w:type="dxa"/>
            <w:vAlign w:val="bottom"/>
          </w:tcPr>
          <w:p>
            <w:pPr>
              <w:spacing w:after="0"/>
              <w:rPr>
                <w:sz w:val="17"/>
                <w:szCs w:val="17"/>
                <w:color w:val="auto"/>
              </w:rPr>
            </w:pPr>
          </w:p>
        </w:tc>
        <w:tc>
          <w:tcPr>
            <w:tcW w:w="4920" w:type="dxa"/>
            <w:vAlign w:val="bottom"/>
            <w:gridSpan w:val="13"/>
          </w:tcPr>
          <w:p>
            <w:pPr>
              <w:spacing w:after="0" w:line="196" w:lineRule="exact"/>
              <w:rPr>
                <w:sz w:val="20"/>
                <w:szCs w:val="20"/>
                <w:color w:val="auto"/>
              </w:rPr>
            </w:pPr>
            <w:r>
              <w:rPr>
                <w:rFonts w:ascii="Arial" w:cs="Arial" w:eastAsia="Arial" w:hAnsi="Arial"/>
                <w:sz w:val="18"/>
                <w:szCs w:val="18"/>
                <w:color w:val="0000EE"/>
              </w:rPr>
              <w:t>of 2002.</w:t>
            </w:r>
          </w:p>
        </w:tc>
      </w:tr>
      <w:tr>
        <w:trPr>
          <w:trHeight w:val="20"/>
        </w:trPr>
        <w:tc>
          <w:tcPr>
            <w:tcW w:w="8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2860" w:type="dxa"/>
            <w:vAlign w:val="bottom"/>
            <w:gridSpan w:val="5"/>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20" w:type="dxa"/>
            <w:vAlign w:val="bottom"/>
            <w:gridSpan w:val="4"/>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r>
      <w:tr>
        <w:trPr>
          <w:trHeight w:val="304"/>
        </w:trPr>
        <w:tc>
          <w:tcPr>
            <w:tcW w:w="800" w:type="dxa"/>
            <w:vAlign w:val="bottom"/>
          </w:tcPr>
          <w:p>
            <w:pPr>
              <w:spacing w:after="0"/>
              <w:rPr>
                <w:sz w:val="20"/>
                <w:szCs w:val="20"/>
                <w:color w:val="auto"/>
              </w:rPr>
            </w:pPr>
            <w:r>
              <w:rPr>
                <w:rFonts w:ascii="Arial" w:cs="Arial" w:eastAsia="Arial" w:hAnsi="Arial"/>
                <w:sz w:val="18"/>
                <w:szCs w:val="18"/>
                <w:color w:val="auto"/>
              </w:rPr>
              <w:t>31.2</w:t>
            </w:r>
          </w:p>
        </w:tc>
        <w:tc>
          <w:tcPr>
            <w:tcW w:w="4000" w:type="dxa"/>
            <w:vAlign w:val="bottom"/>
            <w:tcBorders>
              <w:bottom w:val="single" w:sz="8" w:color="0000EE"/>
            </w:tcBorders>
            <w:gridSpan w:val="7"/>
          </w:tcPr>
          <w:p>
            <w:pPr>
              <w:spacing w:after="0"/>
              <w:rPr>
                <w:sz w:val="20"/>
                <w:szCs w:val="20"/>
                <w:color w:val="auto"/>
              </w:rPr>
            </w:pPr>
            <w:r>
              <w:rPr>
                <w:rFonts w:ascii="Arial" w:cs="Arial" w:eastAsia="Arial" w:hAnsi="Arial"/>
                <w:sz w:val="18"/>
                <w:szCs w:val="18"/>
                <w:color w:val="0000EE"/>
                <w:w w:val="94"/>
              </w:rPr>
              <w:t>Certification of Principal Financial Officer pursuant to</w:t>
            </w:r>
          </w:p>
        </w:tc>
        <w:tc>
          <w:tcPr>
            <w:tcW w:w="920" w:type="dxa"/>
            <w:vAlign w:val="bottom"/>
            <w:gridSpan w:val="6"/>
          </w:tcPr>
          <w:p>
            <w:pPr>
              <w:spacing w:after="0"/>
              <w:rPr>
                <w:sz w:val="24"/>
                <w:szCs w:val="24"/>
                <w:color w:val="auto"/>
              </w:rPr>
            </w:pPr>
          </w:p>
        </w:tc>
      </w:tr>
      <w:tr>
        <w:trPr>
          <w:trHeight w:val="196"/>
        </w:trPr>
        <w:tc>
          <w:tcPr>
            <w:tcW w:w="800" w:type="dxa"/>
            <w:vAlign w:val="bottom"/>
          </w:tcPr>
          <w:p>
            <w:pPr>
              <w:spacing w:after="0"/>
              <w:rPr>
                <w:sz w:val="17"/>
                <w:szCs w:val="17"/>
                <w:color w:val="auto"/>
              </w:rPr>
            </w:pPr>
          </w:p>
        </w:tc>
        <w:tc>
          <w:tcPr>
            <w:tcW w:w="4900" w:type="dxa"/>
            <w:vAlign w:val="bottom"/>
            <w:tcBorders>
              <w:bottom w:val="single" w:sz="8" w:color="0000EE"/>
            </w:tcBorders>
            <w:gridSpan w:val="12"/>
          </w:tcPr>
          <w:p>
            <w:pPr>
              <w:spacing w:after="0" w:line="196" w:lineRule="exact"/>
              <w:rPr>
                <w:sz w:val="20"/>
                <w:szCs w:val="20"/>
                <w:color w:val="auto"/>
              </w:rPr>
            </w:pPr>
            <w:r>
              <w:rPr>
                <w:rFonts w:ascii="Arial" w:cs="Arial" w:eastAsia="Arial" w:hAnsi="Arial"/>
                <w:sz w:val="18"/>
                <w:szCs w:val="18"/>
                <w:color w:val="0000EE"/>
                <w:w w:val="90"/>
              </w:rPr>
              <w:t>Rule 13a-14(a) or Rule 15d-14(a) of the Securities Exchange Act of</w:t>
            </w:r>
          </w:p>
        </w:tc>
        <w:tc>
          <w:tcPr>
            <w:tcW w:w="20" w:type="dxa"/>
            <w:vAlign w:val="bottom"/>
          </w:tcPr>
          <w:p>
            <w:pPr>
              <w:spacing w:after="0"/>
              <w:rPr>
                <w:sz w:val="17"/>
                <w:szCs w:val="17"/>
                <w:color w:val="auto"/>
              </w:rPr>
            </w:pPr>
          </w:p>
        </w:tc>
      </w:tr>
      <w:tr>
        <w:trPr>
          <w:trHeight w:val="196"/>
        </w:trPr>
        <w:tc>
          <w:tcPr>
            <w:tcW w:w="800" w:type="dxa"/>
            <w:vAlign w:val="bottom"/>
          </w:tcPr>
          <w:p>
            <w:pPr>
              <w:spacing w:after="0"/>
              <w:rPr>
                <w:sz w:val="17"/>
                <w:szCs w:val="17"/>
                <w:color w:val="auto"/>
              </w:rPr>
            </w:pPr>
          </w:p>
        </w:tc>
        <w:tc>
          <w:tcPr>
            <w:tcW w:w="4920" w:type="dxa"/>
            <w:vAlign w:val="bottom"/>
            <w:tcBorders>
              <w:bottom w:val="single" w:sz="8" w:color="0000EE"/>
            </w:tcBorders>
            <w:gridSpan w:val="13"/>
          </w:tcPr>
          <w:p>
            <w:pPr>
              <w:spacing w:after="0" w:line="196" w:lineRule="exact"/>
              <w:rPr>
                <w:sz w:val="20"/>
                <w:szCs w:val="20"/>
                <w:color w:val="auto"/>
              </w:rPr>
            </w:pPr>
            <w:r>
              <w:rPr>
                <w:rFonts w:ascii="Arial" w:cs="Arial" w:eastAsia="Arial" w:hAnsi="Arial"/>
                <w:sz w:val="18"/>
                <w:szCs w:val="18"/>
                <w:color w:val="0000EE"/>
                <w:w w:val="89"/>
              </w:rPr>
              <w:t>1934, as adopted pursuant to Section 302 of the Sarbanes-Oxley Act</w:t>
            </w:r>
          </w:p>
        </w:tc>
      </w:tr>
      <w:tr>
        <w:trPr>
          <w:trHeight w:val="196"/>
        </w:trPr>
        <w:tc>
          <w:tcPr>
            <w:tcW w:w="800" w:type="dxa"/>
            <w:vAlign w:val="bottom"/>
          </w:tcPr>
          <w:p>
            <w:pPr>
              <w:spacing w:after="0"/>
              <w:rPr>
                <w:sz w:val="17"/>
                <w:szCs w:val="17"/>
                <w:color w:val="auto"/>
              </w:rPr>
            </w:pPr>
          </w:p>
        </w:tc>
        <w:tc>
          <w:tcPr>
            <w:tcW w:w="4920" w:type="dxa"/>
            <w:vAlign w:val="bottom"/>
            <w:gridSpan w:val="13"/>
          </w:tcPr>
          <w:p>
            <w:pPr>
              <w:spacing w:after="0" w:line="196" w:lineRule="exact"/>
              <w:rPr>
                <w:sz w:val="20"/>
                <w:szCs w:val="20"/>
                <w:color w:val="auto"/>
              </w:rPr>
            </w:pPr>
            <w:r>
              <w:rPr>
                <w:rFonts w:ascii="Arial" w:cs="Arial" w:eastAsia="Arial" w:hAnsi="Arial"/>
                <w:sz w:val="18"/>
                <w:szCs w:val="18"/>
                <w:color w:val="0000EE"/>
              </w:rPr>
              <w:t>of 2002.</w:t>
            </w:r>
          </w:p>
        </w:tc>
      </w:tr>
      <w:tr>
        <w:trPr>
          <w:trHeight w:val="20"/>
        </w:trPr>
        <w:tc>
          <w:tcPr>
            <w:tcW w:w="8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2860" w:type="dxa"/>
            <w:vAlign w:val="bottom"/>
            <w:gridSpan w:val="5"/>
          </w:tcPr>
          <w:p>
            <w:pPr>
              <w:spacing w:after="0" w:line="20" w:lineRule="exact"/>
              <w:rPr>
                <w:sz w:val="1"/>
                <w:szCs w:val="1"/>
                <w:color w:val="auto"/>
              </w:rPr>
            </w:pPr>
          </w:p>
        </w:tc>
        <w:tc>
          <w:tcPr>
            <w:tcW w:w="1360" w:type="dxa"/>
            <w:vAlign w:val="bottom"/>
            <w:gridSpan w:val="5"/>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r>
      <w:tr>
        <w:trPr>
          <w:trHeight w:val="304"/>
        </w:trPr>
        <w:tc>
          <w:tcPr>
            <w:tcW w:w="800" w:type="dxa"/>
            <w:vAlign w:val="bottom"/>
          </w:tcPr>
          <w:p>
            <w:pPr>
              <w:spacing w:after="0"/>
              <w:rPr>
                <w:sz w:val="20"/>
                <w:szCs w:val="20"/>
                <w:color w:val="auto"/>
              </w:rPr>
            </w:pPr>
            <w:r>
              <w:rPr>
                <w:rFonts w:ascii="Arial" w:cs="Arial" w:eastAsia="Arial" w:hAnsi="Arial"/>
                <w:sz w:val="18"/>
                <w:szCs w:val="18"/>
                <w:color w:val="auto"/>
              </w:rPr>
              <w:t>32.1**</w:t>
            </w:r>
          </w:p>
        </w:tc>
        <w:tc>
          <w:tcPr>
            <w:tcW w:w="4920" w:type="dxa"/>
            <w:vAlign w:val="bottom"/>
            <w:tcBorders>
              <w:bottom w:val="single" w:sz="8" w:color="0000EE"/>
            </w:tcBorders>
            <w:gridSpan w:val="13"/>
          </w:tcPr>
          <w:p>
            <w:pPr>
              <w:spacing w:after="0"/>
              <w:rPr>
                <w:sz w:val="20"/>
                <w:szCs w:val="20"/>
                <w:color w:val="auto"/>
              </w:rPr>
            </w:pPr>
            <w:r>
              <w:rPr>
                <w:rFonts w:ascii="Arial" w:cs="Arial" w:eastAsia="Arial" w:hAnsi="Arial"/>
                <w:sz w:val="18"/>
                <w:szCs w:val="18"/>
                <w:color w:val="0000EE"/>
                <w:w w:val="93"/>
              </w:rPr>
              <w:t>Certifications of Principal Executive Officer and Principal Financial</w:t>
            </w:r>
          </w:p>
        </w:tc>
      </w:tr>
      <w:tr>
        <w:trPr>
          <w:trHeight w:val="196"/>
        </w:trPr>
        <w:tc>
          <w:tcPr>
            <w:tcW w:w="800" w:type="dxa"/>
            <w:vAlign w:val="bottom"/>
          </w:tcPr>
          <w:p>
            <w:pPr>
              <w:spacing w:after="0"/>
              <w:rPr>
                <w:sz w:val="17"/>
                <w:szCs w:val="17"/>
                <w:color w:val="auto"/>
              </w:rPr>
            </w:pPr>
          </w:p>
        </w:tc>
        <w:tc>
          <w:tcPr>
            <w:tcW w:w="4920" w:type="dxa"/>
            <w:vAlign w:val="bottom"/>
            <w:gridSpan w:val="13"/>
          </w:tcPr>
          <w:p>
            <w:pPr>
              <w:spacing w:after="0" w:line="196" w:lineRule="exact"/>
              <w:rPr>
                <w:sz w:val="20"/>
                <w:szCs w:val="20"/>
                <w:color w:val="auto"/>
              </w:rPr>
            </w:pPr>
            <w:r>
              <w:rPr>
                <w:rFonts w:ascii="Arial" w:cs="Arial" w:eastAsia="Arial" w:hAnsi="Arial"/>
                <w:sz w:val="18"/>
                <w:szCs w:val="18"/>
                <w:color w:val="0000EE"/>
                <w:w w:val="91"/>
              </w:rPr>
              <w:t>Officer pursuant to 18 U.S.C. Section 1350, as adopted pursuant to</w:t>
            </w:r>
          </w:p>
        </w:tc>
      </w:tr>
      <w:tr>
        <w:trPr>
          <w:trHeight w:val="196"/>
        </w:trPr>
        <w:tc>
          <w:tcPr>
            <w:tcW w:w="800" w:type="dxa"/>
            <w:vAlign w:val="bottom"/>
          </w:tcPr>
          <w:p>
            <w:pPr>
              <w:spacing w:after="0"/>
              <w:rPr>
                <w:sz w:val="17"/>
                <w:szCs w:val="17"/>
                <w:color w:val="auto"/>
              </w:rPr>
            </w:pPr>
          </w:p>
        </w:tc>
        <w:tc>
          <w:tcPr>
            <w:tcW w:w="4820" w:type="dxa"/>
            <w:vAlign w:val="bottom"/>
            <w:tcBorders>
              <w:top w:val="single" w:sz="8" w:color="0000EE"/>
            </w:tcBorders>
            <w:gridSpan w:val="11"/>
          </w:tcPr>
          <w:p>
            <w:pPr>
              <w:spacing w:after="0" w:line="196" w:lineRule="exact"/>
              <w:rPr>
                <w:sz w:val="20"/>
                <w:szCs w:val="20"/>
                <w:color w:val="auto"/>
              </w:rPr>
            </w:pPr>
            <w:r>
              <w:rPr>
                <w:rFonts w:ascii="Arial" w:cs="Arial" w:eastAsia="Arial" w:hAnsi="Arial"/>
                <w:sz w:val="18"/>
                <w:szCs w:val="18"/>
                <w:color w:val="0000EE"/>
              </w:rPr>
              <w:t>Section 906 of the Sarbanes-Oxley Act of 2002.</w:t>
            </w:r>
          </w:p>
        </w:tc>
        <w:tc>
          <w:tcPr>
            <w:tcW w:w="100" w:type="dxa"/>
            <w:vAlign w:val="bottom"/>
            <w:gridSpan w:val="2"/>
          </w:tcPr>
          <w:p>
            <w:pPr>
              <w:spacing w:after="0"/>
              <w:rPr>
                <w:sz w:val="17"/>
                <w:szCs w:val="17"/>
                <w:color w:val="auto"/>
              </w:rPr>
            </w:pPr>
          </w:p>
        </w:tc>
      </w:tr>
      <w:tr>
        <w:trPr>
          <w:trHeight w:val="385"/>
        </w:trPr>
        <w:tc>
          <w:tcPr>
            <w:tcW w:w="800" w:type="dxa"/>
            <w:vAlign w:val="bottom"/>
          </w:tcPr>
          <w:p>
            <w:pPr>
              <w:spacing w:after="0"/>
              <w:rPr>
                <w:sz w:val="24"/>
                <w:szCs w:val="24"/>
                <w:color w:val="auto"/>
              </w:rPr>
            </w:pPr>
          </w:p>
        </w:tc>
        <w:tc>
          <w:tcPr>
            <w:tcW w:w="3460" w:type="dxa"/>
            <w:vAlign w:val="bottom"/>
            <w:tcBorders>
              <w:top w:val="single" w:sz="8" w:color="0000EE"/>
            </w:tcBorders>
            <w:gridSpan w:val="6"/>
          </w:tcPr>
          <w:p>
            <w:pPr>
              <w:spacing w:after="0"/>
              <w:rPr>
                <w:sz w:val="24"/>
                <w:szCs w:val="24"/>
                <w:color w:val="auto"/>
              </w:rPr>
            </w:pPr>
          </w:p>
        </w:tc>
        <w:tc>
          <w:tcPr>
            <w:tcW w:w="1300" w:type="dxa"/>
            <w:vAlign w:val="bottom"/>
            <w:gridSpan w:val="4"/>
          </w:tcPr>
          <w:p>
            <w:pPr>
              <w:jc w:val="right"/>
              <w:ind w:right="100"/>
              <w:spacing w:after="0"/>
              <w:rPr>
                <w:sz w:val="20"/>
                <w:szCs w:val="20"/>
                <w:color w:val="auto"/>
              </w:rPr>
            </w:pPr>
            <w:r>
              <w:rPr>
                <w:rFonts w:ascii="Arial" w:cs="Arial" w:eastAsia="Arial" w:hAnsi="Arial"/>
                <w:sz w:val="18"/>
                <w:szCs w:val="18"/>
                <w:color w:val="auto"/>
              </w:rPr>
              <w:t>4</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7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7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4"/>
              </w:rPr>
              <w:t>Incorporated by</w:t>
            </w:r>
          </w:p>
        </w:tc>
        <w:tc>
          <w:tcPr>
            <w:tcW w:w="9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98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7"/>
              </w:rPr>
              <w:t>Filed</w:t>
            </w:r>
          </w:p>
        </w:tc>
        <w:tc>
          <w:tcPr>
            <w:tcW w:w="1760" w:type="dxa"/>
            <w:vAlign w:val="bottom"/>
            <w:gridSpan w:val="2"/>
          </w:tcPr>
          <w:p>
            <w:pPr>
              <w:jc w:val="center"/>
              <w:ind w:right="200"/>
              <w:spacing w:after="0" w:line="158" w:lineRule="exact"/>
              <w:rPr>
                <w:sz w:val="20"/>
                <w:szCs w:val="20"/>
                <w:color w:val="auto"/>
              </w:rPr>
            </w:pPr>
            <w:r>
              <w:rPr>
                <w:rFonts w:ascii="Arial" w:cs="Arial" w:eastAsia="Arial" w:hAnsi="Arial"/>
                <w:sz w:val="14"/>
                <w:szCs w:val="14"/>
                <w:b w:val="1"/>
                <w:bCs w:val="1"/>
                <w:color w:val="auto"/>
                <w:w w:val="91"/>
              </w:rPr>
              <w:t>Reference herein</w:t>
            </w:r>
          </w:p>
        </w:tc>
        <w:tc>
          <w:tcPr>
            <w:tcW w:w="9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ind w:left="160"/>
              <w:spacing w:after="0" w:line="158" w:lineRule="exact"/>
              <w:rPr>
                <w:sz w:val="20"/>
                <w:szCs w:val="20"/>
                <w:color w:val="auto"/>
              </w:rPr>
            </w:pPr>
            <w:r>
              <w:rPr>
                <w:rFonts w:ascii="Arial" w:cs="Arial" w:eastAsia="Arial" w:hAnsi="Arial"/>
                <w:sz w:val="14"/>
                <w:szCs w:val="14"/>
                <w:b w:val="1"/>
                <w:bCs w:val="1"/>
                <w:color w:val="auto"/>
              </w:rPr>
              <w:t>SEC File /</w:t>
            </w:r>
          </w:p>
        </w:tc>
        <w:tc>
          <w:tcPr>
            <w:tcW w:w="0" w:type="dxa"/>
            <w:vAlign w:val="bottom"/>
          </w:tcPr>
          <w:p>
            <w:pPr>
              <w:spacing w:after="0"/>
              <w:rPr>
                <w:sz w:val="1"/>
                <w:szCs w:val="1"/>
                <w:color w:val="auto"/>
              </w:rPr>
            </w:pPr>
          </w:p>
        </w:tc>
      </w:tr>
      <w:tr>
        <w:trPr>
          <w:trHeight w:val="148"/>
        </w:trPr>
        <w:tc>
          <w:tcPr>
            <w:tcW w:w="980" w:type="dxa"/>
            <w:vAlign w:val="bottom"/>
            <w:gridSpan w:val="2"/>
            <w:vMerge w:val="continue"/>
          </w:tcPr>
          <w:p>
            <w:pPr>
              <w:spacing w:after="0"/>
              <w:rPr>
                <w:sz w:val="12"/>
                <w:szCs w:val="12"/>
                <w:color w:val="auto"/>
              </w:rPr>
            </w:pPr>
          </w:p>
        </w:tc>
        <w:tc>
          <w:tcPr>
            <w:tcW w:w="17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7"/>
              </w:rPr>
              <w:t>from Form or</w:t>
            </w:r>
          </w:p>
        </w:tc>
        <w:tc>
          <w:tcPr>
            <w:tcW w:w="900" w:type="dxa"/>
            <w:vAlign w:val="bottom"/>
            <w:vMerge w:val="restart"/>
          </w:tcPr>
          <w:p>
            <w:pPr>
              <w:ind w:left="100"/>
              <w:spacing w:after="0"/>
              <w:rPr>
                <w:sz w:val="20"/>
                <w:szCs w:val="20"/>
                <w:color w:val="auto"/>
              </w:rPr>
            </w:pPr>
            <w:r>
              <w:rPr>
                <w:rFonts w:ascii="Arial" w:cs="Arial" w:eastAsia="Arial" w:hAnsi="Arial"/>
                <w:sz w:val="14"/>
                <w:szCs w:val="14"/>
                <w:b w:val="1"/>
                <w:bCs w:val="1"/>
                <w:color w:val="auto"/>
              </w:rPr>
              <w:t>Filing Date</w:t>
            </w:r>
          </w:p>
        </w:tc>
        <w:tc>
          <w:tcPr>
            <w:tcW w:w="280" w:type="dxa"/>
            <w:vAlign w:val="bottom"/>
            <w:vMerge w:val="restart"/>
          </w:tcPr>
          <w:p>
            <w:pPr>
              <w:spacing w:after="0"/>
              <w:rPr>
                <w:sz w:val="12"/>
                <w:szCs w:val="12"/>
                <w:color w:val="auto"/>
              </w:rPr>
            </w:pPr>
          </w:p>
        </w:tc>
        <w:tc>
          <w:tcPr>
            <w:tcW w:w="960" w:type="dxa"/>
            <w:vAlign w:val="bottom"/>
          </w:tcPr>
          <w:p>
            <w:pPr>
              <w:ind w:left="100"/>
              <w:spacing w:after="0" w:line="149" w:lineRule="exact"/>
              <w:rPr>
                <w:sz w:val="20"/>
                <w:szCs w:val="20"/>
                <w:color w:val="auto"/>
              </w:rPr>
            </w:pPr>
            <w:r>
              <w:rPr>
                <w:rFonts w:ascii="Arial" w:cs="Arial" w:eastAsia="Arial" w:hAnsi="Arial"/>
                <w:sz w:val="14"/>
                <w:szCs w:val="14"/>
                <w:b w:val="1"/>
                <w:bCs w:val="1"/>
                <w:color w:val="auto"/>
              </w:rPr>
              <w:t>Registration</w:t>
            </w:r>
          </w:p>
        </w:tc>
        <w:tc>
          <w:tcPr>
            <w:tcW w:w="0" w:type="dxa"/>
            <w:vAlign w:val="bottom"/>
          </w:tcPr>
          <w:p>
            <w:pPr>
              <w:spacing w:after="0"/>
              <w:rPr>
                <w:sz w:val="1"/>
                <w:szCs w:val="1"/>
                <w:color w:val="auto"/>
              </w:rPr>
            </w:pPr>
          </w:p>
        </w:tc>
      </w:tr>
      <w:tr>
        <w:trPr>
          <w:trHeight w:val="176"/>
        </w:trPr>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Herewith</w:t>
            </w:r>
          </w:p>
        </w:tc>
        <w:tc>
          <w:tcPr>
            <w:tcW w:w="220" w:type="dxa"/>
            <w:vAlign w:val="bottom"/>
          </w:tcPr>
          <w:p>
            <w:pPr>
              <w:spacing w:after="0"/>
              <w:rPr>
                <w:sz w:val="15"/>
                <w:szCs w:val="15"/>
                <w:color w:val="auto"/>
              </w:rPr>
            </w:pPr>
          </w:p>
        </w:tc>
        <w:tc>
          <w:tcPr>
            <w:tcW w:w="15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Schedule</w:t>
            </w:r>
          </w:p>
        </w:tc>
        <w:tc>
          <w:tcPr>
            <w:tcW w:w="220" w:type="dxa"/>
            <w:vAlign w:val="bottom"/>
          </w:tcPr>
          <w:p>
            <w:pPr>
              <w:spacing w:after="0"/>
              <w:rPr>
                <w:sz w:val="15"/>
                <w:szCs w:val="15"/>
                <w:color w:val="auto"/>
              </w:rPr>
            </w:pPr>
          </w:p>
        </w:tc>
        <w:tc>
          <w:tcPr>
            <w:tcW w:w="900" w:type="dxa"/>
            <w:vAlign w:val="bottom"/>
            <w:tcBorders>
              <w:bottom w:val="single" w:sz="8" w:color="auto"/>
            </w:tcBorders>
            <w:vMerge w:val="continue"/>
          </w:tcPr>
          <w:p>
            <w:pPr>
              <w:spacing w:after="0"/>
              <w:rPr>
                <w:sz w:val="15"/>
                <w:szCs w:val="15"/>
                <w:color w:val="auto"/>
              </w:rPr>
            </w:pPr>
          </w:p>
        </w:tc>
        <w:tc>
          <w:tcPr>
            <w:tcW w:w="280" w:type="dxa"/>
            <w:vAlign w:val="bottom"/>
            <w:vMerge w:val="continue"/>
          </w:tcPr>
          <w:p>
            <w:pPr>
              <w:spacing w:after="0"/>
              <w:rPr>
                <w:sz w:val="15"/>
                <w:szCs w:val="15"/>
                <w:color w:val="auto"/>
              </w:rPr>
            </w:pPr>
          </w:p>
        </w:tc>
        <w:tc>
          <w:tcPr>
            <w:tcW w:w="960" w:type="dxa"/>
            <w:vAlign w:val="bottom"/>
            <w:tcBorders>
              <w:bottom w:val="single" w:sz="8" w:color="auto"/>
            </w:tcBorders>
          </w:tcPr>
          <w:p>
            <w:pPr>
              <w:ind w:left="220"/>
              <w:spacing w:after="0"/>
              <w:rPr>
                <w:sz w:val="20"/>
                <w:szCs w:val="20"/>
                <w:color w:val="auto"/>
              </w:rPr>
            </w:pPr>
            <w:r>
              <w:rPr>
                <w:rFonts w:ascii="Arial" w:cs="Arial" w:eastAsia="Arial" w:hAnsi="Arial"/>
                <w:sz w:val="14"/>
                <w:szCs w:val="14"/>
                <w:b w:val="1"/>
                <w:bCs w:val="1"/>
                <w:color w:val="auto"/>
              </w:rPr>
              <w:t>Number</w:t>
            </w:r>
          </w:p>
        </w:tc>
        <w:tc>
          <w:tcPr>
            <w:tcW w:w="0" w:type="dxa"/>
            <w:vAlign w:val="bottom"/>
          </w:tcPr>
          <w:p>
            <w:pPr>
              <w:spacing w:after="0"/>
              <w:rPr>
                <w:sz w:val="1"/>
                <w:szCs w:val="1"/>
                <w:color w:val="auto"/>
              </w:rPr>
            </w:pPr>
          </w:p>
        </w:tc>
      </w:tr>
      <w:tr>
        <w:trPr>
          <w:trHeight w:val="290"/>
        </w:trPr>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60" w:type="dxa"/>
            <w:vAlign w:val="bottom"/>
            <w:gridSpan w:val="2"/>
          </w:tcPr>
          <w:p>
            <w:pPr>
              <w:spacing w:after="0"/>
              <w:rPr>
                <w:sz w:val="20"/>
                <w:szCs w:val="20"/>
                <w:color w:val="auto"/>
              </w:rPr>
            </w:pPr>
            <w:r>
              <w:rPr>
                <w:rFonts w:ascii="Arial" w:cs="Arial" w:eastAsia="Arial" w:hAnsi="Arial"/>
                <w:sz w:val="18"/>
                <w:szCs w:val="18"/>
                <w:color w:val="auto"/>
              </w:rPr>
              <w:t>Form 10-K</w:t>
            </w: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60" w:type="dxa"/>
            <w:vAlign w:val="bottom"/>
            <w:gridSpan w:val="2"/>
          </w:tcPr>
          <w:p>
            <w:pPr>
              <w:spacing w:after="0"/>
              <w:rPr>
                <w:sz w:val="20"/>
                <w:szCs w:val="20"/>
                <w:color w:val="auto"/>
              </w:rPr>
            </w:pPr>
            <w:r>
              <w:rPr>
                <w:rFonts w:ascii="Arial" w:cs="Arial" w:eastAsia="Arial" w:hAnsi="Arial"/>
                <w:sz w:val="18"/>
                <w:szCs w:val="18"/>
                <w:color w:val="auto"/>
              </w:rPr>
              <w:t>(Exhibit 10.11)</w:t>
            </w: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3/31/2017</w:t>
            </w:r>
          </w:p>
        </w:tc>
        <w:tc>
          <w:tcPr>
            <w:tcW w:w="960" w:type="dxa"/>
            <w:vAlign w:val="bottom"/>
          </w:tcPr>
          <w:p>
            <w:pPr>
              <w:ind w:left="18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310"/>
        </w:trPr>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60" w:type="dxa"/>
            <w:vAlign w:val="bottom"/>
            <w:gridSpan w:val="2"/>
          </w:tcPr>
          <w:p>
            <w:pPr>
              <w:spacing w:after="0"/>
              <w:rPr>
                <w:sz w:val="20"/>
                <w:szCs w:val="20"/>
                <w:color w:val="auto"/>
              </w:rPr>
            </w:pPr>
            <w:r>
              <w:rPr>
                <w:rFonts w:ascii="Arial" w:cs="Arial" w:eastAsia="Arial" w:hAnsi="Arial"/>
                <w:sz w:val="18"/>
                <w:szCs w:val="18"/>
                <w:color w:val="auto"/>
              </w:rPr>
              <w:t>Form 10-K</w:t>
            </w: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60" w:type="dxa"/>
            <w:vAlign w:val="bottom"/>
            <w:gridSpan w:val="2"/>
          </w:tcPr>
          <w:p>
            <w:pPr>
              <w:spacing w:after="0"/>
              <w:rPr>
                <w:sz w:val="20"/>
                <w:szCs w:val="20"/>
                <w:color w:val="auto"/>
              </w:rPr>
            </w:pPr>
            <w:r>
              <w:rPr>
                <w:rFonts w:ascii="Arial" w:cs="Arial" w:eastAsia="Arial" w:hAnsi="Arial"/>
                <w:sz w:val="18"/>
                <w:szCs w:val="18"/>
                <w:color w:val="auto"/>
              </w:rPr>
              <w:t>(Exhibit 10.13)</w:t>
            </w: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3/31/2017</w:t>
            </w:r>
          </w:p>
        </w:tc>
        <w:tc>
          <w:tcPr>
            <w:tcW w:w="960" w:type="dxa"/>
            <w:vAlign w:val="bottom"/>
          </w:tcPr>
          <w:p>
            <w:pPr>
              <w:ind w:left="18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310"/>
        </w:trPr>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60" w:type="dxa"/>
            <w:vAlign w:val="bottom"/>
            <w:gridSpan w:val="2"/>
          </w:tcPr>
          <w:p>
            <w:pPr>
              <w:spacing w:after="0"/>
              <w:rPr>
                <w:sz w:val="20"/>
                <w:szCs w:val="20"/>
                <w:color w:val="auto"/>
              </w:rPr>
            </w:pPr>
            <w:r>
              <w:rPr>
                <w:rFonts w:ascii="Arial" w:cs="Arial" w:eastAsia="Arial" w:hAnsi="Arial"/>
                <w:sz w:val="18"/>
                <w:szCs w:val="18"/>
                <w:color w:val="auto"/>
              </w:rPr>
              <w:t>Form 10-K (Exhibit</w:t>
            </w: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40" w:type="dxa"/>
            <w:vAlign w:val="bottom"/>
          </w:tcPr>
          <w:p>
            <w:pPr>
              <w:spacing w:after="0"/>
              <w:rPr>
                <w:sz w:val="20"/>
                <w:szCs w:val="20"/>
                <w:color w:val="auto"/>
              </w:rPr>
            </w:pPr>
            <w:r>
              <w:rPr>
                <w:rFonts w:ascii="Arial" w:cs="Arial" w:eastAsia="Arial" w:hAnsi="Arial"/>
                <w:sz w:val="18"/>
                <w:szCs w:val="18"/>
                <w:color w:val="auto"/>
              </w:rPr>
              <w:t>10.12)</w:t>
            </w:r>
          </w:p>
        </w:tc>
        <w:tc>
          <w:tcPr>
            <w:tcW w:w="220" w:type="dxa"/>
            <w:vAlign w:val="bottom"/>
          </w:tcPr>
          <w:p>
            <w:pPr>
              <w:spacing w:after="0"/>
              <w:rPr>
                <w:sz w:val="20"/>
                <w:szCs w:val="20"/>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2/23/2023</w:t>
            </w:r>
          </w:p>
        </w:tc>
        <w:tc>
          <w:tcPr>
            <w:tcW w:w="960" w:type="dxa"/>
            <w:vAlign w:val="bottom"/>
          </w:tcPr>
          <w:p>
            <w:pPr>
              <w:ind w:left="18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310"/>
        </w:trPr>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60" w:type="dxa"/>
            <w:vAlign w:val="bottom"/>
            <w:gridSpan w:val="2"/>
          </w:tcPr>
          <w:p>
            <w:pPr>
              <w:spacing w:after="0"/>
              <w:rPr>
                <w:sz w:val="20"/>
                <w:szCs w:val="20"/>
                <w:color w:val="auto"/>
              </w:rPr>
            </w:pPr>
            <w:r>
              <w:rPr>
                <w:rFonts w:ascii="Arial" w:cs="Arial" w:eastAsia="Arial" w:hAnsi="Arial"/>
                <w:sz w:val="18"/>
                <w:szCs w:val="18"/>
                <w:color w:val="auto"/>
              </w:rPr>
              <w:t>Form 10-Q</w:t>
            </w: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60" w:type="dxa"/>
            <w:vAlign w:val="bottom"/>
            <w:gridSpan w:val="2"/>
          </w:tcPr>
          <w:p>
            <w:pPr>
              <w:spacing w:after="0"/>
              <w:rPr>
                <w:sz w:val="20"/>
                <w:szCs w:val="20"/>
                <w:color w:val="auto"/>
              </w:rPr>
            </w:pPr>
            <w:r>
              <w:rPr>
                <w:rFonts w:ascii="Arial" w:cs="Arial" w:eastAsia="Arial" w:hAnsi="Arial"/>
                <w:sz w:val="18"/>
                <w:szCs w:val="18"/>
                <w:color w:val="auto"/>
              </w:rPr>
              <w:t>(Exhibit 10.1)</w:t>
            </w: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5/6/2021</w:t>
            </w:r>
          </w:p>
        </w:tc>
        <w:tc>
          <w:tcPr>
            <w:tcW w:w="960" w:type="dxa"/>
            <w:vAlign w:val="bottom"/>
          </w:tcPr>
          <w:p>
            <w:pPr>
              <w:ind w:left="18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634"/>
        </w:trPr>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60" w:type="dxa"/>
            <w:vAlign w:val="bottom"/>
            <w:gridSpan w:val="2"/>
          </w:tcPr>
          <w:p>
            <w:pPr>
              <w:spacing w:after="0"/>
              <w:rPr>
                <w:sz w:val="20"/>
                <w:szCs w:val="20"/>
                <w:color w:val="auto"/>
              </w:rPr>
            </w:pPr>
            <w:r>
              <w:rPr>
                <w:rFonts w:ascii="Arial" w:cs="Arial" w:eastAsia="Arial" w:hAnsi="Arial"/>
                <w:sz w:val="18"/>
                <w:szCs w:val="18"/>
                <w:color w:val="auto"/>
              </w:rPr>
              <w:t>Form 8-K</w:t>
            </w: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60" w:type="dxa"/>
            <w:vAlign w:val="bottom"/>
            <w:gridSpan w:val="2"/>
          </w:tcPr>
          <w:p>
            <w:pPr>
              <w:spacing w:after="0"/>
              <w:rPr>
                <w:sz w:val="20"/>
                <w:szCs w:val="20"/>
                <w:color w:val="auto"/>
              </w:rPr>
            </w:pPr>
            <w:r>
              <w:rPr>
                <w:rFonts w:ascii="Arial" w:cs="Arial" w:eastAsia="Arial" w:hAnsi="Arial"/>
                <w:sz w:val="18"/>
                <w:szCs w:val="18"/>
                <w:color w:val="auto"/>
              </w:rPr>
              <w:t>(Exhibit 10.2)</w:t>
            </w: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7/22/2016</w:t>
            </w:r>
          </w:p>
        </w:tc>
        <w:tc>
          <w:tcPr>
            <w:tcW w:w="960" w:type="dxa"/>
            <w:vAlign w:val="bottom"/>
          </w:tcPr>
          <w:p>
            <w:pPr>
              <w:ind w:left="18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310"/>
        </w:trPr>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60" w:type="dxa"/>
            <w:vAlign w:val="bottom"/>
            <w:gridSpan w:val="2"/>
          </w:tcPr>
          <w:p>
            <w:pPr>
              <w:spacing w:after="0"/>
              <w:rPr>
                <w:sz w:val="20"/>
                <w:szCs w:val="20"/>
                <w:color w:val="auto"/>
              </w:rPr>
            </w:pPr>
            <w:r>
              <w:rPr>
                <w:rFonts w:ascii="Arial" w:cs="Arial" w:eastAsia="Arial" w:hAnsi="Arial"/>
                <w:sz w:val="18"/>
                <w:szCs w:val="18"/>
                <w:color w:val="auto"/>
              </w:rPr>
              <w:t>Form 8-K</w:t>
            </w: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60" w:type="dxa"/>
            <w:vAlign w:val="bottom"/>
            <w:gridSpan w:val="2"/>
          </w:tcPr>
          <w:p>
            <w:pPr>
              <w:spacing w:after="0"/>
              <w:rPr>
                <w:sz w:val="20"/>
                <w:szCs w:val="20"/>
                <w:color w:val="auto"/>
              </w:rPr>
            </w:pPr>
            <w:r>
              <w:rPr>
                <w:rFonts w:ascii="Arial" w:cs="Arial" w:eastAsia="Arial" w:hAnsi="Arial"/>
                <w:sz w:val="18"/>
                <w:szCs w:val="18"/>
                <w:color w:val="auto"/>
              </w:rPr>
              <w:t>(Exhibit 10.3)</w:t>
            </w: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7/22/2016</w:t>
            </w:r>
          </w:p>
        </w:tc>
        <w:tc>
          <w:tcPr>
            <w:tcW w:w="960" w:type="dxa"/>
            <w:vAlign w:val="bottom"/>
          </w:tcPr>
          <w:p>
            <w:pPr>
              <w:ind w:left="18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310"/>
        </w:trPr>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60" w:type="dxa"/>
            <w:vAlign w:val="bottom"/>
            <w:gridSpan w:val="2"/>
          </w:tcPr>
          <w:p>
            <w:pPr>
              <w:spacing w:after="0"/>
              <w:rPr>
                <w:sz w:val="20"/>
                <w:szCs w:val="20"/>
                <w:color w:val="auto"/>
              </w:rPr>
            </w:pPr>
            <w:r>
              <w:rPr>
                <w:rFonts w:ascii="Arial" w:cs="Arial" w:eastAsia="Arial" w:hAnsi="Arial"/>
                <w:sz w:val="18"/>
                <w:szCs w:val="18"/>
                <w:color w:val="auto"/>
              </w:rPr>
              <w:t>Form 8-K</w:t>
            </w: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60" w:type="dxa"/>
            <w:vAlign w:val="bottom"/>
            <w:gridSpan w:val="2"/>
          </w:tcPr>
          <w:p>
            <w:pPr>
              <w:spacing w:after="0"/>
              <w:rPr>
                <w:sz w:val="20"/>
                <w:szCs w:val="20"/>
                <w:color w:val="auto"/>
              </w:rPr>
            </w:pPr>
            <w:r>
              <w:rPr>
                <w:rFonts w:ascii="Arial" w:cs="Arial" w:eastAsia="Arial" w:hAnsi="Arial"/>
                <w:sz w:val="18"/>
                <w:szCs w:val="18"/>
                <w:color w:val="auto"/>
              </w:rPr>
              <w:t>(Exhibit 10.4)</w:t>
            </w: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7/22/2016</w:t>
            </w:r>
          </w:p>
        </w:tc>
        <w:tc>
          <w:tcPr>
            <w:tcW w:w="960" w:type="dxa"/>
            <w:vAlign w:val="bottom"/>
          </w:tcPr>
          <w:p>
            <w:pPr>
              <w:ind w:left="18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r>
        <w:trPr>
          <w:trHeight w:val="310"/>
        </w:trPr>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60" w:type="dxa"/>
            <w:vAlign w:val="bottom"/>
            <w:gridSpan w:val="2"/>
          </w:tcPr>
          <w:p>
            <w:pPr>
              <w:spacing w:after="0"/>
              <w:rPr>
                <w:sz w:val="20"/>
                <w:szCs w:val="20"/>
                <w:color w:val="auto"/>
              </w:rPr>
            </w:pPr>
            <w:r>
              <w:rPr>
                <w:rFonts w:ascii="Arial" w:cs="Arial" w:eastAsia="Arial" w:hAnsi="Arial"/>
                <w:sz w:val="18"/>
                <w:szCs w:val="18"/>
                <w:color w:val="auto"/>
              </w:rPr>
              <w:t>Form 10-K (Exhibit</w:t>
            </w: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40" w:type="dxa"/>
            <w:vAlign w:val="bottom"/>
          </w:tcPr>
          <w:p>
            <w:pPr>
              <w:spacing w:after="0"/>
              <w:rPr>
                <w:sz w:val="20"/>
                <w:szCs w:val="20"/>
                <w:color w:val="auto"/>
              </w:rPr>
            </w:pPr>
            <w:r>
              <w:rPr>
                <w:rFonts w:ascii="Arial" w:cs="Arial" w:eastAsia="Arial" w:hAnsi="Arial"/>
                <w:sz w:val="18"/>
                <w:szCs w:val="18"/>
                <w:color w:val="auto"/>
              </w:rPr>
              <w:t>21.1)</w:t>
            </w:r>
          </w:p>
        </w:tc>
        <w:tc>
          <w:tcPr>
            <w:tcW w:w="220" w:type="dxa"/>
            <w:vAlign w:val="bottom"/>
          </w:tcPr>
          <w:p>
            <w:pPr>
              <w:spacing w:after="0"/>
              <w:rPr>
                <w:sz w:val="20"/>
                <w:szCs w:val="20"/>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2/23/2023</w:t>
            </w:r>
          </w:p>
        </w:tc>
        <w:tc>
          <w:tcPr>
            <w:tcW w:w="960" w:type="dxa"/>
            <w:vAlign w:val="bottom"/>
          </w:tcPr>
          <w:p>
            <w:pPr>
              <w:ind w:left="180"/>
              <w:spacing w:after="0"/>
              <w:rPr>
                <w:sz w:val="20"/>
                <w:szCs w:val="20"/>
                <w:color w:val="auto"/>
              </w:rPr>
            </w:pPr>
            <w:r>
              <w:rPr>
                <w:rFonts w:ascii="Arial" w:cs="Arial" w:eastAsia="Arial" w:hAnsi="Arial"/>
                <w:sz w:val="18"/>
                <w:szCs w:val="18"/>
                <w:color w:val="auto"/>
                <w:w w:val="88"/>
              </w:rPr>
              <w:t>001-33277</w:t>
            </w:r>
          </w:p>
        </w:tc>
        <w:tc>
          <w:tcPr>
            <w:tcW w:w="0" w:type="dxa"/>
            <w:vAlign w:val="bottom"/>
          </w:tcPr>
          <w:p>
            <w:pPr>
              <w:spacing w:after="0"/>
              <w:rPr>
                <w:sz w:val="1"/>
                <w:szCs w:val="1"/>
                <w:color w:val="auto"/>
              </w:rPr>
            </w:pPr>
          </w:p>
        </w:tc>
      </w:tr>
    </w:tbl>
    <w:p>
      <w:pPr>
        <w:spacing w:after="0" w:line="310" w:lineRule="exact"/>
        <w:rPr>
          <w:sz w:val="20"/>
          <w:szCs w:val="20"/>
          <w:color w:val="auto"/>
        </w:rPr>
      </w:pPr>
    </w:p>
    <w:p>
      <w:pPr>
        <w:ind w:left="640"/>
        <w:spacing w:after="0"/>
        <w:rPr>
          <w:sz w:val="20"/>
          <w:szCs w:val="20"/>
          <w:color w:val="auto"/>
        </w:rPr>
      </w:pPr>
      <w:r>
        <w:rPr>
          <w:rFonts w:ascii="Arial" w:cs="Arial" w:eastAsia="Arial" w:hAnsi="Arial"/>
          <w:sz w:val="18"/>
          <w:szCs w:val="18"/>
          <w:color w:val="auto"/>
        </w:rPr>
        <w:t>X</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640"/>
        <w:spacing w:after="0"/>
        <w:rPr>
          <w:sz w:val="20"/>
          <w:szCs w:val="20"/>
          <w:color w:val="auto"/>
        </w:rPr>
      </w:pPr>
      <w:r>
        <w:rPr>
          <w:rFonts w:ascii="Arial" w:cs="Arial" w:eastAsia="Arial" w:hAnsi="Arial"/>
          <w:sz w:val="18"/>
          <w:szCs w:val="18"/>
          <w:color w:val="auto"/>
        </w:rPr>
        <w:t>X</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640"/>
        <w:spacing w:after="0"/>
        <w:rPr>
          <w:sz w:val="20"/>
          <w:szCs w:val="20"/>
          <w:color w:val="auto"/>
        </w:rPr>
      </w:pPr>
      <w:r>
        <w:rPr>
          <w:rFonts w:ascii="Arial" w:cs="Arial" w:eastAsia="Arial" w:hAnsi="Arial"/>
          <w:sz w:val="18"/>
          <w:szCs w:val="18"/>
          <w:color w:val="auto"/>
        </w:rPr>
        <w:t>X</w:t>
      </w:r>
    </w:p>
    <w:p>
      <w:pPr>
        <w:spacing w:after="0" w:line="200" w:lineRule="exact"/>
        <w:rPr>
          <w:sz w:val="20"/>
          <w:szCs w:val="20"/>
          <w:color w:val="auto"/>
        </w:rPr>
      </w:pPr>
    </w:p>
    <w:p>
      <w:pPr>
        <w:spacing w:after="0" w:line="349" w:lineRule="exact"/>
        <w:rPr>
          <w:sz w:val="20"/>
          <w:szCs w:val="20"/>
          <w:color w:val="auto"/>
        </w:rPr>
      </w:pPr>
    </w:p>
    <w:p>
      <w:pPr>
        <w:ind w:left="640"/>
        <w:spacing w:after="0"/>
        <w:rPr>
          <w:sz w:val="20"/>
          <w:szCs w:val="20"/>
          <w:color w:val="auto"/>
        </w:rPr>
      </w:pPr>
      <w:r>
        <w:rPr>
          <w:rFonts w:ascii="Arial" w:cs="Arial" w:eastAsia="Arial" w:hAnsi="Arial"/>
          <w:sz w:val="18"/>
          <w:szCs w:val="18"/>
          <w:color w:val="auto"/>
        </w:rPr>
        <w:t>X</w:t>
      </w:r>
    </w:p>
    <w:p>
      <w:pPr>
        <w:sectPr>
          <w:pgSz w:w="11900" w:h="16838" w:orient="portrait"/>
          <w:cols w:equalWidth="0" w:num="2">
            <w:col w:w="5840" w:space="220"/>
            <w:col w:w="4880"/>
          </w:cols>
          <w:pgMar w:left="440" w:top="280" w:right="519" w:bottom="1440" w:gutter="0" w:footer="0" w:header="0"/>
        </w:sectPr>
      </w:pPr>
    </w:p>
    <w:bookmarkStart w:id="5" w:name="page6"/>
    <w:bookmarkEnd w:id="5"/>
    <w:tbl>
      <w:tblPr>
        <w:tblLayout w:type="fixed"/>
        <w:tblInd w:w="4" w:type="dxa"/>
        <w:tblCellMar>
          <w:top w:w="0" w:type="dxa"/>
          <w:left w:w="0" w:type="dxa"/>
          <w:bottom w:w="0" w:type="dxa"/>
          <w:right w:w="0" w:type="dxa"/>
        </w:tblCellMar>
      </w:tblPr>
      <w:tr>
        <w:trPr>
          <w:trHeight w:val="161"/>
        </w:trPr>
        <w:tc>
          <w:tcPr>
            <w:tcW w:w="6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41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90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4"/>
              </w:rPr>
              <w:t>Incorporated by</w:t>
            </w:r>
          </w:p>
        </w:tc>
        <w:tc>
          <w:tcPr>
            <w:tcW w:w="6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680" w:type="dxa"/>
            <w:vAlign w:val="bottom"/>
            <w:vMerge w:val="restart"/>
          </w:tcPr>
          <w:p>
            <w:pPr>
              <w:ind w:left="100"/>
              <w:spacing w:after="0"/>
              <w:rPr>
                <w:sz w:val="20"/>
                <w:szCs w:val="20"/>
                <w:color w:val="auto"/>
              </w:rPr>
            </w:pPr>
            <w:r>
              <w:rPr>
                <w:rFonts w:ascii="Arial" w:cs="Arial" w:eastAsia="Arial" w:hAnsi="Arial"/>
                <w:sz w:val="14"/>
                <w:szCs w:val="14"/>
                <w:b w:val="1"/>
                <w:bCs w:val="1"/>
                <w:color w:val="auto"/>
              </w:rPr>
              <w:t>Exhibit</w:t>
            </w:r>
          </w:p>
        </w:tc>
        <w:tc>
          <w:tcPr>
            <w:tcW w:w="620" w:type="dxa"/>
            <w:vAlign w:val="bottom"/>
          </w:tcPr>
          <w:p>
            <w:pPr>
              <w:spacing w:after="0"/>
              <w:rPr>
                <w:sz w:val="13"/>
                <w:szCs w:val="13"/>
                <w:color w:val="auto"/>
              </w:rPr>
            </w:pPr>
          </w:p>
        </w:tc>
        <w:tc>
          <w:tcPr>
            <w:tcW w:w="41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220" w:type="dxa"/>
            <w:vAlign w:val="bottom"/>
            <w:gridSpan w:val="2"/>
            <w:vMerge w:val="restart"/>
          </w:tcPr>
          <w:p>
            <w:pPr>
              <w:ind w:left="220"/>
              <w:spacing w:after="0"/>
              <w:rPr>
                <w:sz w:val="20"/>
                <w:szCs w:val="20"/>
                <w:color w:val="auto"/>
              </w:rPr>
            </w:pPr>
            <w:r>
              <w:rPr>
                <w:rFonts w:ascii="Arial" w:cs="Arial" w:eastAsia="Arial" w:hAnsi="Arial"/>
                <w:sz w:val="14"/>
                <w:szCs w:val="14"/>
                <w:b w:val="1"/>
                <w:bCs w:val="1"/>
                <w:color w:val="auto"/>
              </w:rPr>
              <w:t>Filed</w:t>
            </w:r>
          </w:p>
        </w:tc>
        <w:tc>
          <w:tcPr>
            <w:tcW w:w="1900" w:type="dxa"/>
            <w:vAlign w:val="bottom"/>
            <w:gridSpan w:val="2"/>
          </w:tcPr>
          <w:p>
            <w:pPr>
              <w:jc w:val="center"/>
              <w:ind w:right="460"/>
              <w:spacing w:after="0" w:line="158" w:lineRule="exact"/>
              <w:rPr>
                <w:sz w:val="20"/>
                <w:szCs w:val="20"/>
                <w:color w:val="auto"/>
              </w:rPr>
            </w:pPr>
            <w:r>
              <w:rPr>
                <w:rFonts w:ascii="Arial" w:cs="Arial" w:eastAsia="Arial" w:hAnsi="Arial"/>
                <w:sz w:val="14"/>
                <w:szCs w:val="14"/>
                <w:b w:val="1"/>
                <w:bCs w:val="1"/>
                <w:color w:val="auto"/>
                <w:w w:val="91"/>
              </w:rPr>
              <w:t>Reference herein</w:t>
            </w:r>
          </w:p>
        </w:tc>
        <w:tc>
          <w:tcPr>
            <w:tcW w:w="6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8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5"/>
              </w:rPr>
              <w:t>SEC File /</w:t>
            </w:r>
          </w:p>
        </w:tc>
        <w:tc>
          <w:tcPr>
            <w:tcW w:w="0" w:type="dxa"/>
            <w:vAlign w:val="bottom"/>
          </w:tcPr>
          <w:p>
            <w:pPr>
              <w:spacing w:after="0"/>
              <w:rPr>
                <w:sz w:val="1"/>
                <w:szCs w:val="1"/>
                <w:color w:val="auto"/>
              </w:rPr>
            </w:pPr>
          </w:p>
        </w:tc>
      </w:tr>
      <w:tr>
        <w:trPr>
          <w:trHeight w:val="148"/>
        </w:trPr>
        <w:tc>
          <w:tcPr>
            <w:tcW w:w="680" w:type="dxa"/>
            <w:vAlign w:val="bottom"/>
            <w:vMerge w:val="continue"/>
          </w:tcPr>
          <w:p>
            <w:pPr>
              <w:spacing w:after="0"/>
              <w:rPr>
                <w:sz w:val="12"/>
                <w:szCs w:val="12"/>
                <w:color w:val="auto"/>
              </w:rPr>
            </w:pPr>
          </w:p>
        </w:tc>
        <w:tc>
          <w:tcPr>
            <w:tcW w:w="620" w:type="dxa"/>
            <w:vAlign w:val="bottom"/>
          </w:tcPr>
          <w:p>
            <w:pPr>
              <w:spacing w:after="0"/>
              <w:rPr>
                <w:sz w:val="12"/>
                <w:szCs w:val="12"/>
                <w:color w:val="auto"/>
              </w:rPr>
            </w:pPr>
          </w:p>
        </w:tc>
        <w:tc>
          <w:tcPr>
            <w:tcW w:w="4140" w:type="dxa"/>
            <w:vAlign w:val="bottom"/>
            <w:vMerge w:val="restart"/>
          </w:tcPr>
          <w:p>
            <w:pPr>
              <w:ind w:left="1480"/>
              <w:spacing w:after="0"/>
              <w:rPr>
                <w:sz w:val="20"/>
                <w:szCs w:val="20"/>
                <w:color w:val="auto"/>
              </w:rPr>
            </w:pPr>
            <w:r>
              <w:rPr>
                <w:rFonts w:ascii="Arial" w:cs="Arial" w:eastAsia="Arial" w:hAnsi="Arial"/>
                <w:sz w:val="14"/>
                <w:szCs w:val="14"/>
                <w:b w:val="1"/>
                <w:bCs w:val="1"/>
                <w:color w:val="auto"/>
              </w:rPr>
              <w:t>Exhibit Description</w:t>
            </w:r>
          </w:p>
        </w:tc>
        <w:tc>
          <w:tcPr>
            <w:tcW w:w="460" w:type="dxa"/>
            <w:vAlign w:val="bottom"/>
            <w:vMerge w:val="restart"/>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190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7"/>
              </w:rPr>
              <w:t>from Form or</w:t>
            </w:r>
          </w:p>
        </w:tc>
        <w:tc>
          <w:tcPr>
            <w:tcW w:w="680" w:type="dxa"/>
            <w:vAlign w:val="bottom"/>
            <w:vMerge w:val="restart"/>
          </w:tcPr>
          <w:p>
            <w:pPr>
              <w:spacing w:after="0"/>
              <w:rPr>
                <w:sz w:val="20"/>
                <w:szCs w:val="20"/>
                <w:color w:val="auto"/>
              </w:rPr>
            </w:pPr>
            <w:r>
              <w:rPr>
                <w:rFonts w:ascii="Arial" w:cs="Arial" w:eastAsia="Arial" w:hAnsi="Arial"/>
                <w:sz w:val="14"/>
                <w:szCs w:val="14"/>
                <w:b w:val="1"/>
                <w:bCs w:val="1"/>
                <w:color w:val="auto"/>
                <w:w w:val="92"/>
              </w:rPr>
              <w:t>Filing Date</w:t>
            </w:r>
          </w:p>
        </w:tc>
        <w:tc>
          <w:tcPr>
            <w:tcW w:w="500" w:type="dxa"/>
            <w:vAlign w:val="bottom"/>
            <w:vMerge w:val="restart"/>
          </w:tcPr>
          <w:p>
            <w:pPr>
              <w:spacing w:after="0"/>
              <w:rPr>
                <w:sz w:val="12"/>
                <w:szCs w:val="12"/>
                <w:color w:val="auto"/>
              </w:rPr>
            </w:pPr>
          </w:p>
        </w:tc>
        <w:tc>
          <w:tcPr>
            <w:tcW w:w="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Registration</w:t>
            </w:r>
          </w:p>
        </w:tc>
        <w:tc>
          <w:tcPr>
            <w:tcW w:w="0" w:type="dxa"/>
            <w:vAlign w:val="bottom"/>
          </w:tcPr>
          <w:p>
            <w:pPr>
              <w:spacing w:after="0"/>
              <w:rPr>
                <w:sz w:val="1"/>
                <w:szCs w:val="1"/>
                <w:color w:val="auto"/>
              </w:rPr>
            </w:pPr>
          </w:p>
        </w:tc>
      </w:tr>
      <w:tr>
        <w:trPr>
          <w:trHeight w:val="176"/>
        </w:trPr>
        <w:tc>
          <w:tcPr>
            <w:tcW w:w="68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Number</w:t>
            </w:r>
          </w:p>
        </w:tc>
        <w:tc>
          <w:tcPr>
            <w:tcW w:w="620" w:type="dxa"/>
            <w:vAlign w:val="bottom"/>
          </w:tcPr>
          <w:p>
            <w:pPr>
              <w:spacing w:after="0"/>
              <w:rPr>
                <w:sz w:val="15"/>
                <w:szCs w:val="15"/>
                <w:color w:val="auto"/>
              </w:rPr>
            </w:pPr>
          </w:p>
        </w:tc>
        <w:tc>
          <w:tcPr>
            <w:tcW w:w="4140" w:type="dxa"/>
            <w:vAlign w:val="bottom"/>
            <w:tcBorders>
              <w:bottom w:val="single" w:sz="8" w:color="auto"/>
            </w:tcBorders>
            <w:vMerge w:val="continue"/>
          </w:tcPr>
          <w:p>
            <w:pPr>
              <w:spacing w:after="0"/>
              <w:rPr>
                <w:sz w:val="15"/>
                <w:szCs w:val="15"/>
                <w:color w:val="auto"/>
              </w:rPr>
            </w:pPr>
          </w:p>
        </w:tc>
        <w:tc>
          <w:tcPr>
            <w:tcW w:w="460" w:type="dxa"/>
            <w:vAlign w:val="bottom"/>
            <w:vMerge w:val="continue"/>
          </w:tcPr>
          <w:p>
            <w:pPr>
              <w:spacing w:after="0"/>
              <w:rPr>
                <w:sz w:val="15"/>
                <w:szCs w:val="15"/>
                <w:color w:val="auto"/>
              </w:rPr>
            </w:pPr>
          </w:p>
        </w:tc>
        <w:tc>
          <w:tcPr>
            <w:tcW w:w="76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Herewith</w:t>
            </w:r>
          </w:p>
        </w:tc>
        <w:tc>
          <w:tcPr>
            <w:tcW w:w="460" w:type="dxa"/>
            <w:vAlign w:val="bottom"/>
          </w:tcPr>
          <w:p>
            <w:pPr>
              <w:spacing w:after="0"/>
              <w:rPr>
                <w:sz w:val="15"/>
                <w:szCs w:val="15"/>
                <w:color w:val="auto"/>
              </w:rPr>
            </w:pPr>
          </w:p>
        </w:tc>
        <w:tc>
          <w:tcPr>
            <w:tcW w:w="14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Schedule</w:t>
            </w:r>
          </w:p>
        </w:tc>
        <w:tc>
          <w:tcPr>
            <w:tcW w:w="460" w:type="dxa"/>
            <w:vAlign w:val="bottom"/>
          </w:tcPr>
          <w:p>
            <w:pPr>
              <w:spacing w:after="0"/>
              <w:rPr>
                <w:sz w:val="15"/>
                <w:szCs w:val="15"/>
                <w:color w:val="auto"/>
              </w:rPr>
            </w:pPr>
          </w:p>
        </w:tc>
        <w:tc>
          <w:tcPr>
            <w:tcW w:w="680" w:type="dxa"/>
            <w:vAlign w:val="bottom"/>
            <w:tcBorders>
              <w:bottom w:val="single" w:sz="8" w:color="auto"/>
            </w:tcBorders>
            <w:vMerge w:val="continue"/>
          </w:tcPr>
          <w:p>
            <w:pPr>
              <w:spacing w:after="0"/>
              <w:rPr>
                <w:sz w:val="15"/>
                <w:szCs w:val="15"/>
                <w:color w:val="auto"/>
              </w:rPr>
            </w:pPr>
          </w:p>
        </w:tc>
        <w:tc>
          <w:tcPr>
            <w:tcW w:w="500" w:type="dxa"/>
            <w:vAlign w:val="bottom"/>
            <w:vMerge w:val="continue"/>
          </w:tcPr>
          <w:p>
            <w:pPr>
              <w:spacing w:after="0"/>
              <w:rPr>
                <w:sz w:val="15"/>
                <w:szCs w:val="15"/>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Number</w:t>
            </w:r>
          </w:p>
        </w:tc>
        <w:tc>
          <w:tcPr>
            <w:tcW w:w="0" w:type="dxa"/>
            <w:vAlign w:val="bottom"/>
          </w:tcPr>
          <w:p>
            <w:pPr>
              <w:spacing w:after="0"/>
              <w:rPr>
                <w:sz w:val="1"/>
                <w:szCs w:val="1"/>
                <w:color w:val="auto"/>
              </w:rPr>
            </w:pPr>
          </w:p>
        </w:tc>
      </w:tr>
      <w:tr>
        <w:trPr>
          <w:trHeight w:val="304"/>
        </w:trPr>
        <w:tc>
          <w:tcPr>
            <w:tcW w:w="680" w:type="dxa"/>
            <w:vAlign w:val="bottom"/>
          </w:tcPr>
          <w:p>
            <w:pPr>
              <w:spacing w:after="0"/>
              <w:rPr>
                <w:sz w:val="20"/>
                <w:szCs w:val="20"/>
                <w:color w:val="auto"/>
              </w:rPr>
            </w:pPr>
            <w:r>
              <w:rPr>
                <w:rFonts w:ascii="Arial" w:cs="Arial" w:eastAsia="Arial" w:hAnsi="Arial"/>
                <w:sz w:val="18"/>
                <w:szCs w:val="18"/>
                <w:color w:val="auto"/>
              </w:rPr>
              <w:t>101.INS</w:t>
            </w:r>
          </w:p>
        </w:tc>
        <w:tc>
          <w:tcPr>
            <w:tcW w:w="5220" w:type="dxa"/>
            <w:vAlign w:val="bottom"/>
            <w:gridSpan w:val="3"/>
          </w:tcPr>
          <w:p>
            <w:pPr>
              <w:ind w:left="620"/>
              <w:spacing w:after="0"/>
              <w:rPr>
                <w:sz w:val="20"/>
                <w:szCs w:val="20"/>
                <w:color w:val="auto"/>
              </w:rPr>
            </w:pPr>
            <w:r>
              <w:rPr>
                <w:rFonts w:ascii="Arial" w:cs="Arial" w:eastAsia="Arial" w:hAnsi="Arial"/>
                <w:sz w:val="18"/>
                <w:szCs w:val="18"/>
                <w:color w:val="auto"/>
              </w:rPr>
              <w:t>Inline XBRL Instance Document.</w:t>
            </w:r>
          </w:p>
        </w:tc>
        <w:tc>
          <w:tcPr>
            <w:tcW w:w="1220" w:type="dxa"/>
            <w:vAlign w:val="bottom"/>
            <w:gridSpan w:val="2"/>
          </w:tcPr>
          <w:p>
            <w:pPr>
              <w:ind w:left="620"/>
              <w:spacing w:after="0"/>
              <w:rPr>
                <w:sz w:val="20"/>
                <w:szCs w:val="20"/>
                <w:color w:val="auto"/>
              </w:rPr>
            </w:pPr>
            <w:r>
              <w:rPr>
                <w:rFonts w:ascii="Arial" w:cs="Arial" w:eastAsia="Arial" w:hAnsi="Arial"/>
                <w:sz w:val="18"/>
                <w:szCs w:val="18"/>
                <w:color w:val="auto"/>
              </w:rPr>
              <w:t>X</w:t>
            </w:r>
          </w:p>
        </w:tc>
        <w:tc>
          <w:tcPr>
            <w:tcW w:w="14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680" w:type="dxa"/>
            <w:vAlign w:val="bottom"/>
          </w:tcPr>
          <w:p>
            <w:pPr>
              <w:spacing w:after="0"/>
              <w:rPr>
                <w:sz w:val="20"/>
                <w:szCs w:val="20"/>
                <w:color w:val="auto"/>
              </w:rPr>
            </w:pPr>
            <w:r>
              <w:rPr>
                <w:rFonts w:ascii="Arial" w:cs="Arial" w:eastAsia="Arial" w:hAnsi="Arial"/>
                <w:sz w:val="18"/>
                <w:szCs w:val="18"/>
                <w:color w:val="auto"/>
                <w:w w:val="90"/>
              </w:rPr>
              <w:t>101.SCH</w:t>
            </w:r>
          </w:p>
        </w:tc>
        <w:tc>
          <w:tcPr>
            <w:tcW w:w="5220" w:type="dxa"/>
            <w:vAlign w:val="bottom"/>
            <w:gridSpan w:val="3"/>
          </w:tcPr>
          <w:p>
            <w:pPr>
              <w:ind w:left="620"/>
              <w:spacing w:after="0"/>
              <w:rPr>
                <w:sz w:val="20"/>
                <w:szCs w:val="20"/>
                <w:color w:val="auto"/>
              </w:rPr>
            </w:pPr>
            <w:r>
              <w:rPr>
                <w:rFonts w:ascii="Arial" w:cs="Arial" w:eastAsia="Arial" w:hAnsi="Arial"/>
                <w:sz w:val="18"/>
                <w:szCs w:val="18"/>
                <w:color w:val="auto"/>
              </w:rPr>
              <w:t>Inline XBRL Taxonomy Extension Schema Document.</w:t>
            </w:r>
          </w:p>
        </w:tc>
        <w:tc>
          <w:tcPr>
            <w:tcW w:w="1220" w:type="dxa"/>
            <w:vAlign w:val="bottom"/>
            <w:gridSpan w:val="2"/>
          </w:tcPr>
          <w:p>
            <w:pPr>
              <w:ind w:left="620"/>
              <w:spacing w:after="0"/>
              <w:rPr>
                <w:sz w:val="20"/>
                <w:szCs w:val="20"/>
                <w:color w:val="auto"/>
              </w:rPr>
            </w:pPr>
            <w:r>
              <w:rPr>
                <w:rFonts w:ascii="Arial" w:cs="Arial" w:eastAsia="Arial" w:hAnsi="Arial"/>
                <w:sz w:val="18"/>
                <w:szCs w:val="18"/>
                <w:color w:val="auto"/>
              </w:rPr>
              <w:t>X</w:t>
            </w:r>
          </w:p>
        </w:tc>
        <w:tc>
          <w:tcPr>
            <w:tcW w:w="14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680" w:type="dxa"/>
            <w:vAlign w:val="bottom"/>
          </w:tcPr>
          <w:p>
            <w:pPr>
              <w:spacing w:after="0"/>
              <w:rPr>
                <w:sz w:val="20"/>
                <w:szCs w:val="20"/>
                <w:color w:val="auto"/>
              </w:rPr>
            </w:pPr>
            <w:r>
              <w:rPr>
                <w:rFonts w:ascii="Arial" w:cs="Arial" w:eastAsia="Arial" w:hAnsi="Arial"/>
                <w:sz w:val="18"/>
                <w:szCs w:val="18"/>
                <w:color w:val="auto"/>
                <w:w w:val="94"/>
              </w:rPr>
              <w:t>101.CAL</w:t>
            </w:r>
          </w:p>
        </w:tc>
        <w:tc>
          <w:tcPr>
            <w:tcW w:w="5220" w:type="dxa"/>
            <w:vAlign w:val="bottom"/>
            <w:gridSpan w:val="3"/>
          </w:tcPr>
          <w:p>
            <w:pPr>
              <w:ind w:left="620"/>
              <w:spacing w:after="0"/>
              <w:rPr>
                <w:sz w:val="20"/>
                <w:szCs w:val="20"/>
                <w:color w:val="auto"/>
              </w:rPr>
            </w:pPr>
            <w:r>
              <w:rPr>
                <w:rFonts w:ascii="Arial" w:cs="Arial" w:eastAsia="Arial" w:hAnsi="Arial"/>
                <w:sz w:val="18"/>
                <w:szCs w:val="18"/>
                <w:color w:val="auto"/>
              </w:rPr>
              <w:t>Inline XBRL Taxonomy Extension Calculation Linkbase</w:t>
            </w:r>
          </w:p>
        </w:tc>
        <w:tc>
          <w:tcPr>
            <w:tcW w:w="7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680" w:type="dxa"/>
            <w:vAlign w:val="bottom"/>
          </w:tcPr>
          <w:p>
            <w:pPr>
              <w:spacing w:after="0"/>
              <w:rPr>
                <w:sz w:val="20"/>
                <w:szCs w:val="20"/>
                <w:color w:val="auto"/>
              </w:rPr>
            </w:pPr>
          </w:p>
        </w:tc>
        <w:tc>
          <w:tcPr>
            <w:tcW w:w="5220" w:type="dxa"/>
            <w:vAlign w:val="bottom"/>
            <w:gridSpan w:val="3"/>
          </w:tcPr>
          <w:p>
            <w:pPr>
              <w:ind w:left="620"/>
              <w:spacing w:after="0"/>
              <w:rPr>
                <w:sz w:val="20"/>
                <w:szCs w:val="20"/>
                <w:color w:val="auto"/>
              </w:rPr>
            </w:pPr>
            <w:r>
              <w:rPr>
                <w:rFonts w:ascii="Arial" w:cs="Arial" w:eastAsia="Arial" w:hAnsi="Arial"/>
                <w:sz w:val="18"/>
                <w:szCs w:val="18"/>
                <w:color w:val="auto"/>
              </w:rPr>
              <w:t>Document.</w:t>
            </w:r>
          </w:p>
        </w:tc>
        <w:tc>
          <w:tcPr>
            <w:tcW w:w="1220" w:type="dxa"/>
            <w:vAlign w:val="bottom"/>
            <w:gridSpan w:val="2"/>
          </w:tcPr>
          <w:p>
            <w:pPr>
              <w:ind w:left="620"/>
              <w:spacing w:after="0"/>
              <w:rPr>
                <w:sz w:val="20"/>
                <w:szCs w:val="20"/>
                <w:color w:val="auto"/>
              </w:rPr>
            </w:pPr>
            <w:r>
              <w:rPr>
                <w:rFonts w:ascii="Arial" w:cs="Arial" w:eastAsia="Arial" w:hAnsi="Arial"/>
                <w:sz w:val="18"/>
                <w:szCs w:val="18"/>
                <w:color w:val="auto"/>
              </w:rPr>
              <w:t>X</w:t>
            </w:r>
          </w:p>
        </w:tc>
        <w:tc>
          <w:tcPr>
            <w:tcW w:w="14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0"/>
        </w:trPr>
        <w:tc>
          <w:tcPr>
            <w:tcW w:w="680" w:type="dxa"/>
            <w:vAlign w:val="bottom"/>
          </w:tcPr>
          <w:p>
            <w:pPr>
              <w:spacing w:after="0"/>
              <w:rPr>
                <w:sz w:val="20"/>
                <w:szCs w:val="20"/>
                <w:color w:val="auto"/>
              </w:rPr>
            </w:pPr>
            <w:r>
              <w:rPr>
                <w:rFonts w:ascii="Arial" w:cs="Arial" w:eastAsia="Arial" w:hAnsi="Arial"/>
                <w:sz w:val="18"/>
                <w:szCs w:val="18"/>
                <w:color w:val="auto"/>
                <w:w w:val="92"/>
              </w:rPr>
              <w:t>101.DEF</w:t>
            </w:r>
          </w:p>
        </w:tc>
        <w:tc>
          <w:tcPr>
            <w:tcW w:w="5220" w:type="dxa"/>
            <w:vAlign w:val="bottom"/>
            <w:gridSpan w:val="3"/>
          </w:tcPr>
          <w:p>
            <w:pPr>
              <w:ind w:left="620"/>
              <w:spacing w:after="0"/>
              <w:rPr>
                <w:sz w:val="20"/>
                <w:szCs w:val="20"/>
                <w:color w:val="auto"/>
              </w:rPr>
            </w:pPr>
            <w:r>
              <w:rPr>
                <w:rFonts w:ascii="Arial" w:cs="Arial" w:eastAsia="Arial" w:hAnsi="Arial"/>
                <w:sz w:val="18"/>
                <w:szCs w:val="18"/>
                <w:color w:val="auto"/>
              </w:rPr>
              <w:t>Inline XBRL Taxonomy Extension Definition Linkbase</w:t>
            </w:r>
          </w:p>
        </w:tc>
        <w:tc>
          <w:tcPr>
            <w:tcW w:w="7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680" w:type="dxa"/>
            <w:vAlign w:val="bottom"/>
          </w:tcPr>
          <w:p>
            <w:pPr>
              <w:spacing w:after="0"/>
              <w:rPr>
                <w:sz w:val="20"/>
                <w:szCs w:val="20"/>
                <w:color w:val="auto"/>
              </w:rPr>
            </w:pPr>
          </w:p>
        </w:tc>
        <w:tc>
          <w:tcPr>
            <w:tcW w:w="5220" w:type="dxa"/>
            <w:vAlign w:val="bottom"/>
            <w:gridSpan w:val="3"/>
          </w:tcPr>
          <w:p>
            <w:pPr>
              <w:ind w:left="620"/>
              <w:spacing w:after="0"/>
              <w:rPr>
                <w:sz w:val="20"/>
                <w:szCs w:val="20"/>
                <w:color w:val="auto"/>
              </w:rPr>
            </w:pPr>
            <w:r>
              <w:rPr>
                <w:rFonts w:ascii="Arial" w:cs="Arial" w:eastAsia="Arial" w:hAnsi="Arial"/>
                <w:sz w:val="18"/>
                <w:szCs w:val="18"/>
                <w:color w:val="auto"/>
              </w:rPr>
              <w:t>Document.</w:t>
            </w:r>
          </w:p>
        </w:tc>
        <w:tc>
          <w:tcPr>
            <w:tcW w:w="1220" w:type="dxa"/>
            <w:vAlign w:val="bottom"/>
            <w:gridSpan w:val="2"/>
          </w:tcPr>
          <w:p>
            <w:pPr>
              <w:ind w:left="620"/>
              <w:spacing w:after="0"/>
              <w:rPr>
                <w:sz w:val="20"/>
                <w:szCs w:val="20"/>
                <w:color w:val="auto"/>
              </w:rPr>
            </w:pPr>
            <w:r>
              <w:rPr>
                <w:rFonts w:ascii="Arial" w:cs="Arial" w:eastAsia="Arial" w:hAnsi="Arial"/>
                <w:sz w:val="18"/>
                <w:szCs w:val="18"/>
                <w:color w:val="auto"/>
              </w:rPr>
              <w:t>X</w:t>
            </w:r>
          </w:p>
        </w:tc>
        <w:tc>
          <w:tcPr>
            <w:tcW w:w="14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0"/>
        </w:trPr>
        <w:tc>
          <w:tcPr>
            <w:tcW w:w="680" w:type="dxa"/>
            <w:vAlign w:val="bottom"/>
          </w:tcPr>
          <w:p>
            <w:pPr>
              <w:spacing w:after="0"/>
              <w:rPr>
                <w:sz w:val="20"/>
                <w:szCs w:val="20"/>
                <w:color w:val="auto"/>
              </w:rPr>
            </w:pPr>
            <w:r>
              <w:rPr>
                <w:rFonts w:ascii="Arial" w:cs="Arial" w:eastAsia="Arial" w:hAnsi="Arial"/>
                <w:sz w:val="18"/>
                <w:szCs w:val="18"/>
                <w:color w:val="auto"/>
                <w:w w:val="95"/>
              </w:rPr>
              <w:t>101.LAB</w:t>
            </w:r>
          </w:p>
        </w:tc>
        <w:tc>
          <w:tcPr>
            <w:tcW w:w="5220" w:type="dxa"/>
            <w:vAlign w:val="bottom"/>
            <w:gridSpan w:val="3"/>
          </w:tcPr>
          <w:p>
            <w:pPr>
              <w:ind w:left="620"/>
              <w:spacing w:after="0"/>
              <w:rPr>
                <w:sz w:val="20"/>
                <w:szCs w:val="20"/>
                <w:color w:val="auto"/>
              </w:rPr>
            </w:pPr>
            <w:r>
              <w:rPr>
                <w:rFonts w:ascii="Arial" w:cs="Arial" w:eastAsia="Arial" w:hAnsi="Arial"/>
                <w:sz w:val="18"/>
                <w:szCs w:val="18"/>
                <w:color w:val="auto"/>
              </w:rPr>
              <w:t>Inline XBRL Taxonomy Extension Label Linkbase</w:t>
            </w:r>
          </w:p>
        </w:tc>
        <w:tc>
          <w:tcPr>
            <w:tcW w:w="7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680" w:type="dxa"/>
            <w:vAlign w:val="bottom"/>
          </w:tcPr>
          <w:p>
            <w:pPr>
              <w:spacing w:after="0"/>
              <w:rPr>
                <w:sz w:val="20"/>
                <w:szCs w:val="20"/>
                <w:color w:val="auto"/>
              </w:rPr>
            </w:pPr>
          </w:p>
        </w:tc>
        <w:tc>
          <w:tcPr>
            <w:tcW w:w="5220" w:type="dxa"/>
            <w:vAlign w:val="bottom"/>
            <w:gridSpan w:val="3"/>
          </w:tcPr>
          <w:p>
            <w:pPr>
              <w:ind w:left="620"/>
              <w:spacing w:after="0"/>
              <w:rPr>
                <w:sz w:val="20"/>
                <w:szCs w:val="20"/>
                <w:color w:val="auto"/>
              </w:rPr>
            </w:pPr>
            <w:r>
              <w:rPr>
                <w:rFonts w:ascii="Arial" w:cs="Arial" w:eastAsia="Arial" w:hAnsi="Arial"/>
                <w:sz w:val="18"/>
                <w:szCs w:val="18"/>
                <w:color w:val="auto"/>
              </w:rPr>
              <w:t>Document.</w:t>
            </w:r>
          </w:p>
        </w:tc>
        <w:tc>
          <w:tcPr>
            <w:tcW w:w="1220" w:type="dxa"/>
            <w:vAlign w:val="bottom"/>
            <w:gridSpan w:val="2"/>
          </w:tcPr>
          <w:p>
            <w:pPr>
              <w:ind w:left="620"/>
              <w:spacing w:after="0"/>
              <w:rPr>
                <w:sz w:val="20"/>
                <w:szCs w:val="20"/>
                <w:color w:val="auto"/>
              </w:rPr>
            </w:pPr>
            <w:r>
              <w:rPr>
                <w:rFonts w:ascii="Arial" w:cs="Arial" w:eastAsia="Arial" w:hAnsi="Arial"/>
                <w:sz w:val="18"/>
                <w:szCs w:val="18"/>
                <w:color w:val="auto"/>
              </w:rPr>
              <w:t>X</w:t>
            </w:r>
          </w:p>
        </w:tc>
        <w:tc>
          <w:tcPr>
            <w:tcW w:w="14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0"/>
        </w:trPr>
        <w:tc>
          <w:tcPr>
            <w:tcW w:w="680" w:type="dxa"/>
            <w:vAlign w:val="bottom"/>
          </w:tcPr>
          <w:p>
            <w:pPr>
              <w:spacing w:after="0"/>
              <w:rPr>
                <w:sz w:val="20"/>
                <w:szCs w:val="20"/>
                <w:color w:val="auto"/>
              </w:rPr>
            </w:pPr>
            <w:r>
              <w:rPr>
                <w:rFonts w:ascii="Arial" w:cs="Arial" w:eastAsia="Arial" w:hAnsi="Arial"/>
                <w:sz w:val="18"/>
                <w:szCs w:val="18"/>
                <w:color w:val="auto"/>
                <w:w w:val="91"/>
              </w:rPr>
              <w:t>101.PRE</w:t>
            </w:r>
          </w:p>
        </w:tc>
        <w:tc>
          <w:tcPr>
            <w:tcW w:w="5220" w:type="dxa"/>
            <w:vAlign w:val="bottom"/>
            <w:gridSpan w:val="3"/>
          </w:tcPr>
          <w:p>
            <w:pPr>
              <w:ind w:left="620"/>
              <w:spacing w:after="0"/>
              <w:rPr>
                <w:sz w:val="20"/>
                <w:szCs w:val="20"/>
                <w:color w:val="auto"/>
              </w:rPr>
            </w:pPr>
            <w:r>
              <w:rPr>
                <w:rFonts w:ascii="Arial" w:cs="Arial" w:eastAsia="Arial" w:hAnsi="Arial"/>
                <w:sz w:val="18"/>
                <w:szCs w:val="18"/>
                <w:color w:val="auto"/>
              </w:rPr>
              <w:t>Inline XBRL Taxonomy Extension Presentation</w:t>
            </w:r>
          </w:p>
        </w:tc>
        <w:tc>
          <w:tcPr>
            <w:tcW w:w="7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680" w:type="dxa"/>
            <w:vAlign w:val="bottom"/>
          </w:tcPr>
          <w:p>
            <w:pPr>
              <w:spacing w:after="0"/>
              <w:rPr>
                <w:sz w:val="20"/>
                <w:szCs w:val="20"/>
                <w:color w:val="auto"/>
              </w:rPr>
            </w:pPr>
          </w:p>
        </w:tc>
        <w:tc>
          <w:tcPr>
            <w:tcW w:w="5220" w:type="dxa"/>
            <w:vAlign w:val="bottom"/>
            <w:gridSpan w:val="3"/>
          </w:tcPr>
          <w:p>
            <w:pPr>
              <w:ind w:left="620"/>
              <w:spacing w:after="0"/>
              <w:rPr>
                <w:sz w:val="20"/>
                <w:szCs w:val="20"/>
                <w:color w:val="auto"/>
              </w:rPr>
            </w:pPr>
            <w:r>
              <w:rPr>
                <w:rFonts w:ascii="Arial" w:cs="Arial" w:eastAsia="Arial" w:hAnsi="Arial"/>
                <w:sz w:val="18"/>
                <w:szCs w:val="18"/>
                <w:color w:val="auto"/>
              </w:rPr>
              <w:t>Linkbase Document.</w:t>
            </w:r>
          </w:p>
        </w:tc>
        <w:tc>
          <w:tcPr>
            <w:tcW w:w="1220" w:type="dxa"/>
            <w:vAlign w:val="bottom"/>
            <w:gridSpan w:val="2"/>
          </w:tcPr>
          <w:p>
            <w:pPr>
              <w:ind w:left="620"/>
              <w:spacing w:after="0"/>
              <w:rPr>
                <w:sz w:val="20"/>
                <w:szCs w:val="20"/>
                <w:color w:val="auto"/>
              </w:rPr>
            </w:pPr>
            <w:r>
              <w:rPr>
                <w:rFonts w:ascii="Arial" w:cs="Arial" w:eastAsia="Arial" w:hAnsi="Arial"/>
                <w:sz w:val="18"/>
                <w:szCs w:val="18"/>
                <w:color w:val="auto"/>
              </w:rPr>
              <w:t>X</w:t>
            </w:r>
          </w:p>
        </w:tc>
        <w:tc>
          <w:tcPr>
            <w:tcW w:w="14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0"/>
        </w:trPr>
        <w:tc>
          <w:tcPr>
            <w:tcW w:w="680" w:type="dxa"/>
            <w:vAlign w:val="bottom"/>
          </w:tcPr>
          <w:p>
            <w:pPr>
              <w:spacing w:after="0"/>
              <w:rPr>
                <w:sz w:val="20"/>
                <w:szCs w:val="20"/>
                <w:color w:val="auto"/>
              </w:rPr>
            </w:pPr>
            <w:r>
              <w:rPr>
                <w:rFonts w:ascii="Arial" w:cs="Arial" w:eastAsia="Arial" w:hAnsi="Arial"/>
                <w:sz w:val="18"/>
                <w:szCs w:val="18"/>
                <w:color w:val="auto"/>
              </w:rPr>
              <w:t>104</w:t>
            </w:r>
          </w:p>
        </w:tc>
        <w:tc>
          <w:tcPr>
            <w:tcW w:w="5220" w:type="dxa"/>
            <w:vAlign w:val="bottom"/>
            <w:gridSpan w:val="3"/>
          </w:tcPr>
          <w:p>
            <w:pPr>
              <w:ind w:left="620"/>
              <w:spacing w:after="0"/>
              <w:rPr>
                <w:sz w:val="20"/>
                <w:szCs w:val="20"/>
                <w:color w:val="auto"/>
              </w:rPr>
            </w:pPr>
            <w:r>
              <w:rPr>
                <w:rFonts w:ascii="Arial" w:cs="Arial" w:eastAsia="Arial" w:hAnsi="Arial"/>
                <w:sz w:val="18"/>
                <w:szCs w:val="18"/>
                <w:color w:val="auto"/>
              </w:rPr>
              <w:t>Inline XBRL for the cover page of this Annual Report on</w:t>
            </w:r>
          </w:p>
        </w:tc>
        <w:tc>
          <w:tcPr>
            <w:tcW w:w="7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80" w:type="dxa"/>
            <w:vAlign w:val="bottom"/>
          </w:tcPr>
          <w:p>
            <w:pPr>
              <w:spacing w:after="0"/>
              <w:rPr>
                <w:sz w:val="18"/>
                <w:szCs w:val="18"/>
                <w:color w:val="auto"/>
              </w:rPr>
            </w:pPr>
          </w:p>
        </w:tc>
        <w:tc>
          <w:tcPr>
            <w:tcW w:w="5220" w:type="dxa"/>
            <w:vAlign w:val="bottom"/>
            <w:gridSpan w:val="3"/>
          </w:tcPr>
          <w:p>
            <w:pPr>
              <w:ind w:left="620"/>
              <w:spacing w:after="0"/>
              <w:rPr>
                <w:sz w:val="20"/>
                <w:szCs w:val="20"/>
                <w:color w:val="auto"/>
              </w:rPr>
            </w:pPr>
            <w:r>
              <w:rPr>
                <w:rFonts w:ascii="Arial" w:cs="Arial" w:eastAsia="Arial" w:hAnsi="Arial"/>
                <w:sz w:val="18"/>
                <w:szCs w:val="18"/>
                <w:color w:val="auto"/>
              </w:rPr>
              <w:t>Form 10-K, included in the Exhibit 101 Inline XBRL</w:t>
            </w:r>
          </w:p>
        </w:tc>
        <w:tc>
          <w:tcPr>
            <w:tcW w:w="7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80" w:type="dxa"/>
            <w:vAlign w:val="bottom"/>
          </w:tcPr>
          <w:p>
            <w:pPr>
              <w:spacing w:after="0"/>
              <w:rPr>
                <w:sz w:val="20"/>
                <w:szCs w:val="20"/>
                <w:color w:val="auto"/>
              </w:rPr>
            </w:pPr>
          </w:p>
        </w:tc>
        <w:tc>
          <w:tcPr>
            <w:tcW w:w="5220" w:type="dxa"/>
            <w:vAlign w:val="bottom"/>
            <w:gridSpan w:val="3"/>
          </w:tcPr>
          <w:p>
            <w:pPr>
              <w:ind w:left="620"/>
              <w:spacing w:after="0"/>
              <w:rPr>
                <w:sz w:val="20"/>
                <w:szCs w:val="20"/>
                <w:color w:val="auto"/>
              </w:rPr>
            </w:pPr>
            <w:r>
              <w:rPr>
                <w:rFonts w:ascii="Arial" w:cs="Arial" w:eastAsia="Arial" w:hAnsi="Arial"/>
                <w:sz w:val="18"/>
                <w:szCs w:val="18"/>
                <w:color w:val="auto"/>
              </w:rPr>
              <w:t>Document Set.</w:t>
            </w:r>
          </w:p>
        </w:tc>
        <w:tc>
          <w:tcPr>
            <w:tcW w:w="1220" w:type="dxa"/>
            <w:vAlign w:val="bottom"/>
            <w:gridSpan w:val="2"/>
          </w:tcPr>
          <w:p>
            <w:pPr>
              <w:ind w:left="620"/>
              <w:spacing w:after="0"/>
              <w:rPr>
                <w:sz w:val="20"/>
                <w:szCs w:val="20"/>
                <w:color w:val="auto"/>
              </w:rPr>
            </w:pPr>
            <w:r>
              <w:rPr>
                <w:rFonts w:ascii="Arial" w:cs="Arial" w:eastAsia="Arial" w:hAnsi="Arial"/>
                <w:sz w:val="18"/>
                <w:szCs w:val="18"/>
                <w:color w:val="auto"/>
              </w:rPr>
              <w:t>X</w:t>
            </w:r>
          </w:p>
        </w:tc>
        <w:tc>
          <w:tcPr>
            <w:tcW w:w="14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extLst>
                    </a:blip>
                    <a:srcRect/>
                    <a:stretch>
                      <a:fillRect/>
                    </a:stretch>
                  </pic:blipFill>
                  <pic:spPr bwMode="auto">
                    <a:xfrm>
                      <a:off x="0" y="0"/>
                      <a:ext cx="7174865" cy="5588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93980</wp:posOffset>
            </wp:positionV>
            <wp:extent cx="77152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155" w:lineRule="exact"/>
        <w:rPr>
          <w:sz w:val="20"/>
          <w:szCs w:val="20"/>
          <w:color w:val="auto"/>
        </w:rPr>
      </w:pPr>
    </w:p>
    <w:p>
      <w:pPr>
        <w:ind w:left="424" w:hanging="424"/>
        <w:spacing w:after="0"/>
        <w:tabs>
          <w:tab w:leader="none" w:pos="424" w:val="left"/>
        </w:tabs>
        <w:numPr>
          <w:ilvl w:val="0"/>
          <w:numId w:val="3"/>
        </w:numPr>
        <w:rPr>
          <w:rFonts w:ascii="Arial" w:cs="Arial" w:eastAsia="Arial" w:hAnsi="Arial"/>
          <w:sz w:val="18"/>
          <w:szCs w:val="18"/>
          <w:color w:val="auto"/>
        </w:rPr>
      </w:pPr>
      <w:r>
        <w:rPr>
          <w:rFonts w:ascii="Arial" w:cs="Arial" w:eastAsia="Arial" w:hAnsi="Arial"/>
          <w:sz w:val="18"/>
          <w:szCs w:val="18"/>
          <w:color w:val="auto"/>
        </w:rPr>
        <w:t>Indicates a management contract, compensatory plan or arrangement.</w:t>
      </w:r>
    </w:p>
    <w:p>
      <w:pPr>
        <w:spacing w:after="0" w:line="23" w:lineRule="exact"/>
        <w:rPr>
          <w:sz w:val="20"/>
          <w:szCs w:val="20"/>
          <w:color w:val="auto"/>
        </w:rPr>
      </w:pPr>
    </w:p>
    <w:p>
      <w:pPr>
        <w:ind w:left="424" w:hanging="424"/>
        <w:spacing w:after="0" w:line="250" w:lineRule="auto"/>
        <w:tabs>
          <w:tab w:leader="none" w:pos="424"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certifications attached as Exhibit 32.1 that accompany this Annual Report on Form 10-K are not deemed filed with the SEC and are not to be incorporated by reference into any filing of the registrant under the Securities Act of 1933, as amended, or the Securities Exchange Act of 1934, as amended, whether made before or after the date of this Annual Report on Form 10-K, regardless of any general incorporation language contained in any filing.</w:t>
      </w:r>
    </w:p>
    <w:p>
      <w:pPr>
        <w:spacing w:after="0" w:line="2" w:lineRule="exact"/>
        <w:rPr>
          <w:sz w:val="20"/>
          <w:szCs w:val="20"/>
          <w:color w:val="auto"/>
        </w:rPr>
      </w:pPr>
    </w:p>
    <w:p>
      <w:pPr>
        <w:ind w:left="5464" w:right="3280" w:hanging="5464"/>
        <w:spacing w:after="0" w:line="433" w:lineRule="auto"/>
        <w:tabs>
          <w:tab w:leader="none" w:pos="433" w:val="left"/>
        </w:tabs>
        <w:numPr>
          <w:ilvl w:val="0"/>
          <w:numId w:val="5"/>
        </w:numPr>
        <w:rPr>
          <w:rFonts w:ascii="Arial" w:cs="Arial" w:eastAsia="Arial" w:hAnsi="Arial"/>
          <w:sz w:val="18"/>
          <w:szCs w:val="18"/>
          <w:color w:val="auto"/>
        </w:rPr>
      </w:pPr>
      <w:r>
        <w:rPr>
          <w:rFonts w:ascii="Arial" w:cs="Arial" w:eastAsia="Arial" w:hAnsi="Arial"/>
          <w:sz w:val="18"/>
          <w:szCs w:val="18"/>
          <w:color w:val="auto"/>
        </w:rPr>
        <w:t>Certain portions of this exhibit have been omitted pursuant to Item 601(b)(10)(iv) of Regulation S-K. 5</w:t>
      </w:r>
    </w:p>
    <w:p>
      <w:pPr>
        <w:sectPr>
          <w:pgSz w:w="11900" w:h="16838" w:orient="portrait"/>
          <w:cols w:equalWidth="0" w:num="1">
            <w:col w:w="11004"/>
          </w:cols>
          <w:pgMar w:left="436" w:top="280" w:right="45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extLst>
                    </a:blip>
                    <a:srcRect/>
                    <a:stretch>
                      <a:fillRect/>
                    </a:stretch>
                  </pic:blipFill>
                  <pic:spPr bwMode="auto">
                    <a:xfrm>
                      <a:off x="0" y="0"/>
                      <a:ext cx="7174865" cy="55245"/>
                    </a:xfrm>
                    <a:prstGeom prst="rect">
                      <a:avLst/>
                    </a:prstGeom>
                    <a:noFill/>
                  </pic:spPr>
                </pic:pic>
              </a:graphicData>
            </a:graphic>
          </wp:anchor>
        </w:drawing>
        <w:t>SIGNATURES</w:t>
      </w:r>
    </w:p>
    <w:p>
      <w:pPr>
        <w:spacing w:after="0" w:line="229" w:lineRule="exact"/>
        <w:rPr>
          <w:sz w:val="20"/>
          <w:szCs w:val="20"/>
          <w:color w:val="auto"/>
        </w:rPr>
      </w:pPr>
    </w:p>
    <w:p>
      <w:pPr>
        <w:ind w:right="20" w:firstLine="440"/>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as amended, the registrant has duly caused this Report to be signed on its behalf by the undersigned thereunto duly authorized.</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00" w:type="dxa"/>
            <w:vAlign w:val="bottom"/>
          </w:tcPr>
          <w:p>
            <w:pPr>
              <w:spacing w:after="0"/>
              <w:rPr>
                <w:sz w:val="20"/>
                <w:szCs w:val="20"/>
                <w:color w:val="auto"/>
              </w:rPr>
            </w:pPr>
          </w:p>
        </w:tc>
        <w:tc>
          <w:tcPr>
            <w:tcW w:w="7420" w:type="dxa"/>
            <w:vAlign w:val="bottom"/>
            <w:gridSpan w:val="2"/>
          </w:tcPr>
          <w:p>
            <w:pPr>
              <w:ind w:left="2140"/>
              <w:spacing w:after="0"/>
              <w:rPr>
                <w:sz w:val="20"/>
                <w:szCs w:val="20"/>
                <w:color w:val="auto"/>
              </w:rPr>
            </w:pPr>
            <w:r>
              <w:rPr>
                <w:rFonts w:ascii="Arial" w:cs="Arial" w:eastAsia="Arial" w:hAnsi="Arial"/>
                <w:sz w:val="18"/>
                <w:szCs w:val="18"/>
                <w:b w:val="1"/>
                <w:bCs w:val="1"/>
                <w:color w:val="auto"/>
              </w:rPr>
              <w:t>MADRIGAL PHARMACEUTICALS INC.</w:t>
            </w:r>
          </w:p>
        </w:tc>
      </w:tr>
      <w:tr>
        <w:trPr>
          <w:trHeight w:val="432"/>
        </w:trPr>
        <w:tc>
          <w:tcPr>
            <w:tcW w:w="3600" w:type="dxa"/>
            <w:vAlign w:val="bottom"/>
          </w:tcPr>
          <w:p>
            <w:pPr>
              <w:spacing w:after="0"/>
              <w:rPr>
                <w:sz w:val="20"/>
                <w:szCs w:val="20"/>
                <w:color w:val="auto"/>
              </w:rPr>
            </w:pPr>
            <w:r>
              <w:rPr>
                <w:rFonts w:ascii="Arial" w:cs="Arial" w:eastAsia="Arial" w:hAnsi="Arial"/>
                <w:sz w:val="18"/>
                <w:szCs w:val="18"/>
                <w:color w:val="auto"/>
              </w:rPr>
              <w:t>Date: March 3, 2023</w:t>
            </w:r>
          </w:p>
        </w:tc>
        <w:tc>
          <w:tcPr>
            <w:tcW w:w="7420" w:type="dxa"/>
            <w:vAlign w:val="bottom"/>
            <w:gridSpan w:val="2"/>
          </w:tcPr>
          <w:p>
            <w:pPr>
              <w:ind w:left="2140"/>
              <w:spacing w:after="0"/>
              <w:rPr>
                <w:sz w:val="20"/>
                <w:szCs w:val="20"/>
                <w:color w:val="auto"/>
              </w:rPr>
            </w:pPr>
            <w:r>
              <w:rPr>
                <w:rFonts w:ascii="Arial" w:cs="Arial" w:eastAsia="Arial" w:hAnsi="Arial"/>
                <w:sz w:val="18"/>
                <w:szCs w:val="18"/>
                <w:color w:val="auto"/>
              </w:rPr>
              <w:t>By:  /s/ PAUL A. FRIEDMAN, M.D.</w:t>
            </w:r>
          </w:p>
        </w:tc>
      </w:tr>
      <w:tr>
        <w:trPr>
          <w:trHeight w:val="195"/>
        </w:trPr>
        <w:tc>
          <w:tcPr>
            <w:tcW w:w="3600" w:type="dxa"/>
            <w:vAlign w:val="bottom"/>
          </w:tcPr>
          <w:p>
            <w:pPr>
              <w:spacing w:after="0"/>
              <w:rPr>
                <w:sz w:val="16"/>
                <w:szCs w:val="16"/>
                <w:color w:val="auto"/>
              </w:rPr>
            </w:pPr>
          </w:p>
        </w:tc>
        <w:tc>
          <w:tcPr>
            <w:tcW w:w="2460" w:type="dxa"/>
            <w:vAlign w:val="bottom"/>
          </w:tcPr>
          <w:p>
            <w:pPr>
              <w:spacing w:after="0"/>
              <w:rPr>
                <w:sz w:val="16"/>
                <w:szCs w:val="16"/>
                <w:color w:val="auto"/>
              </w:rPr>
            </w:pPr>
          </w:p>
        </w:tc>
        <w:tc>
          <w:tcPr>
            <w:tcW w:w="4960" w:type="dxa"/>
            <w:vAlign w:val="bottom"/>
            <w:tcBorders>
              <w:top w:val="single" w:sz="8" w:color="auto"/>
            </w:tcBorders>
          </w:tcPr>
          <w:p>
            <w:pPr>
              <w:ind w:left="100"/>
              <w:spacing w:after="0" w:line="195" w:lineRule="exact"/>
              <w:rPr>
                <w:sz w:val="20"/>
                <w:szCs w:val="20"/>
                <w:color w:val="auto"/>
              </w:rPr>
            </w:pPr>
            <w:r>
              <w:rPr>
                <w:rFonts w:ascii="Arial" w:cs="Arial" w:eastAsia="Arial" w:hAnsi="Arial"/>
                <w:sz w:val="18"/>
                <w:szCs w:val="18"/>
                <w:color w:val="auto"/>
              </w:rPr>
              <w:t>Paul A. Friedman, M.D.</w:t>
            </w:r>
          </w:p>
        </w:tc>
      </w:tr>
      <w:tr>
        <w:trPr>
          <w:trHeight w:val="216"/>
        </w:trPr>
        <w:tc>
          <w:tcPr>
            <w:tcW w:w="3600" w:type="dxa"/>
            <w:vAlign w:val="bottom"/>
          </w:tcPr>
          <w:p>
            <w:pPr>
              <w:spacing w:after="0"/>
              <w:rPr>
                <w:sz w:val="18"/>
                <w:szCs w:val="18"/>
                <w:color w:val="auto"/>
              </w:rPr>
            </w:pPr>
          </w:p>
        </w:tc>
        <w:tc>
          <w:tcPr>
            <w:tcW w:w="2460" w:type="dxa"/>
            <w:vAlign w:val="bottom"/>
          </w:tcPr>
          <w:p>
            <w:pPr>
              <w:spacing w:after="0"/>
              <w:rPr>
                <w:sz w:val="18"/>
                <w:szCs w:val="18"/>
                <w:color w:val="auto"/>
              </w:rPr>
            </w:pPr>
          </w:p>
        </w:tc>
        <w:tc>
          <w:tcPr>
            <w:tcW w:w="4960" w:type="dxa"/>
            <w:vAlign w:val="bottom"/>
          </w:tcPr>
          <w:p>
            <w:pPr>
              <w:ind w:left="100"/>
              <w:spacing w:after="0"/>
              <w:rPr>
                <w:sz w:val="20"/>
                <w:szCs w:val="20"/>
                <w:color w:val="auto"/>
              </w:rPr>
            </w:pPr>
            <w:r>
              <w:rPr>
                <w:rFonts w:ascii="Arial" w:cs="Arial" w:eastAsia="Arial" w:hAnsi="Arial"/>
                <w:sz w:val="18"/>
                <w:szCs w:val="18"/>
                <w:i w:val="1"/>
                <w:iCs w:val="1"/>
                <w:color w:val="auto"/>
              </w:rPr>
              <w:t>Chief Executive Officer</w:t>
            </w:r>
          </w:p>
        </w:tc>
      </w:tr>
      <w:tr>
        <w:trPr>
          <w:trHeight w:val="230"/>
        </w:trPr>
        <w:tc>
          <w:tcPr>
            <w:tcW w:w="3600" w:type="dxa"/>
            <w:vAlign w:val="bottom"/>
          </w:tcPr>
          <w:p>
            <w:pPr>
              <w:spacing w:after="0"/>
              <w:rPr>
                <w:sz w:val="20"/>
                <w:szCs w:val="20"/>
                <w:color w:val="auto"/>
              </w:rPr>
            </w:pPr>
          </w:p>
        </w:tc>
        <w:tc>
          <w:tcPr>
            <w:tcW w:w="2460" w:type="dxa"/>
            <w:vAlign w:val="bottom"/>
          </w:tcPr>
          <w:p>
            <w:pPr>
              <w:spacing w:after="0"/>
              <w:rPr>
                <w:sz w:val="20"/>
                <w:szCs w:val="20"/>
                <w:color w:val="auto"/>
              </w:rPr>
            </w:pPr>
          </w:p>
        </w:tc>
        <w:tc>
          <w:tcPr>
            <w:tcW w:w="4960" w:type="dxa"/>
            <w:vAlign w:val="bottom"/>
          </w:tcPr>
          <w:p>
            <w:pPr>
              <w:ind w:left="100"/>
              <w:spacing w:after="0"/>
              <w:rPr>
                <w:sz w:val="20"/>
                <w:szCs w:val="20"/>
                <w:color w:val="auto"/>
              </w:rPr>
            </w:pPr>
            <w:r>
              <w:rPr>
                <w:rFonts w:ascii="Arial" w:cs="Arial" w:eastAsia="Arial" w:hAnsi="Arial"/>
                <w:sz w:val="18"/>
                <w:szCs w:val="18"/>
                <w:i w:val="1"/>
                <w:iCs w:val="1"/>
                <w:color w:val="auto"/>
              </w:rPr>
              <w:t>(Principal Executive Officer)</w:t>
            </w:r>
          </w:p>
        </w:tc>
      </w:tr>
    </w:tbl>
    <w:p>
      <w:pPr>
        <w:spacing w:after="0" w:line="202" w:lineRule="exact"/>
        <w:rPr>
          <w:sz w:val="20"/>
          <w:szCs w:val="20"/>
          <w:color w:val="auto"/>
        </w:rPr>
      </w:pPr>
    </w:p>
    <w:p>
      <w:pPr>
        <w:ind w:right="500" w:firstLine="440"/>
        <w:spacing w:after="0" w:line="277" w:lineRule="auto"/>
        <w:rPr>
          <w:sz w:val="20"/>
          <w:szCs w:val="20"/>
          <w:color w:val="auto"/>
        </w:rPr>
      </w:pPr>
      <w:r>
        <w:rPr>
          <w:rFonts w:ascii="Arial" w:cs="Arial" w:eastAsia="Arial" w:hAnsi="Arial"/>
          <w:sz w:val="18"/>
          <w:szCs w:val="18"/>
          <w:color w:val="auto"/>
        </w:rPr>
        <w:t>Pursuant to the requirements of the Exchange Act, as amended, this Report has been signed below by the following persons on behalf of the registrant and in the capacities and on the dates indicated.</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4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Signatures</w:t>
            </w:r>
          </w:p>
        </w:tc>
        <w:tc>
          <w:tcPr>
            <w:tcW w:w="120" w:type="dxa"/>
            <w:vAlign w:val="bottom"/>
          </w:tcPr>
          <w:p>
            <w:pPr>
              <w:spacing w:after="0"/>
              <w:rPr>
                <w:sz w:val="16"/>
                <w:szCs w:val="16"/>
                <w:color w:val="auto"/>
              </w:rPr>
            </w:pPr>
          </w:p>
        </w:tc>
        <w:tc>
          <w:tcPr>
            <w:tcW w:w="3860" w:type="dxa"/>
            <w:vAlign w:val="bottom"/>
            <w:tcBorders>
              <w:bottom w:val="single" w:sz="8" w:color="auto"/>
            </w:tcBorders>
          </w:tcPr>
          <w:p>
            <w:pPr>
              <w:ind w:left="1780"/>
              <w:spacing w:after="0"/>
              <w:rPr>
                <w:sz w:val="20"/>
                <w:szCs w:val="20"/>
                <w:color w:val="auto"/>
              </w:rPr>
            </w:pPr>
            <w:r>
              <w:rPr>
                <w:rFonts w:ascii="Arial" w:cs="Arial" w:eastAsia="Arial" w:hAnsi="Arial"/>
                <w:sz w:val="14"/>
                <w:szCs w:val="14"/>
                <w:b w:val="1"/>
                <w:bCs w:val="1"/>
                <w:color w:val="auto"/>
              </w:rPr>
              <w:t>Title</w:t>
            </w:r>
          </w:p>
        </w:tc>
        <w:tc>
          <w:tcPr>
            <w:tcW w:w="200" w:type="dxa"/>
            <w:vAlign w:val="bottom"/>
          </w:tcPr>
          <w:p>
            <w:pPr>
              <w:spacing w:after="0"/>
              <w:rPr>
                <w:sz w:val="16"/>
                <w:szCs w:val="16"/>
                <w:color w:val="auto"/>
              </w:rPr>
            </w:pPr>
          </w:p>
        </w:tc>
        <w:tc>
          <w:tcPr>
            <w:tcW w:w="1880" w:type="dxa"/>
            <w:vAlign w:val="bottom"/>
            <w:tcBorders>
              <w:bottom w:val="single" w:sz="8" w:color="auto"/>
            </w:tcBorders>
          </w:tcPr>
          <w:p>
            <w:pPr>
              <w:ind w:left="800"/>
              <w:spacing w:after="0"/>
              <w:rPr>
                <w:sz w:val="20"/>
                <w:szCs w:val="20"/>
                <w:color w:val="auto"/>
              </w:rPr>
            </w:pPr>
            <w:r>
              <w:rPr>
                <w:rFonts w:ascii="Arial" w:cs="Arial" w:eastAsia="Arial" w:hAnsi="Arial"/>
                <w:sz w:val="14"/>
                <w:szCs w:val="14"/>
                <w:b w:val="1"/>
                <w:bCs w:val="1"/>
                <w:color w:val="auto"/>
              </w:rPr>
              <w:t>Date</w:t>
            </w:r>
          </w:p>
        </w:tc>
      </w:tr>
      <w:tr>
        <w:trPr>
          <w:trHeight w:val="412"/>
        </w:trPr>
        <w:tc>
          <w:tcPr>
            <w:tcW w:w="49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8"/>
              </w:rPr>
              <w:t>/s/ PAUL A. FRIEDMAN, M.D.</w:t>
            </w:r>
          </w:p>
        </w:tc>
        <w:tc>
          <w:tcPr>
            <w:tcW w:w="4180" w:type="dxa"/>
            <w:vAlign w:val="bottom"/>
            <w:gridSpan w:val="3"/>
          </w:tcPr>
          <w:p>
            <w:pPr>
              <w:ind w:left="120"/>
              <w:spacing w:after="0"/>
              <w:rPr>
                <w:sz w:val="20"/>
                <w:szCs w:val="20"/>
                <w:color w:val="auto"/>
              </w:rPr>
            </w:pPr>
            <w:r>
              <w:rPr>
                <w:rFonts w:ascii="Arial" w:cs="Arial" w:eastAsia="Arial" w:hAnsi="Arial"/>
                <w:sz w:val="18"/>
                <w:szCs w:val="18"/>
                <w:color w:val="auto"/>
              </w:rPr>
              <w:t>Chairman of the Board of Directors and Chief</w:t>
            </w:r>
          </w:p>
        </w:tc>
        <w:tc>
          <w:tcPr>
            <w:tcW w:w="1880" w:type="dxa"/>
            <w:vAlign w:val="bottom"/>
          </w:tcPr>
          <w:p>
            <w:pPr>
              <w:spacing w:after="0"/>
              <w:rPr>
                <w:sz w:val="20"/>
                <w:szCs w:val="20"/>
                <w:color w:val="auto"/>
              </w:rPr>
            </w:pPr>
            <w:r>
              <w:rPr>
                <w:rFonts w:ascii="Arial" w:cs="Arial" w:eastAsia="Arial" w:hAnsi="Arial"/>
                <w:sz w:val="18"/>
                <w:szCs w:val="18"/>
                <w:color w:val="auto"/>
              </w:rPr>
              <w:t>March 3, 2023</w:t>
            </w:r>
          </w:p>
        </w:tc>
      </w:tr>
      <w:tr>
        <w:trPr>
          <w:trHeight w:val="224"/>
        </w:trPr>
        <w:tc>
          <w:tcPr>
            <w:tcW w:w="4960" w:type="dxa"/>
            <w:vAlign w:val="bottom"/>
          </w:tcPr>
          <w:p>
            <w:pPr>
              <w:jc w:val="center"/>
              <w:spacing w:after="0"/>
              <w:rPr>
                <w:sz w:val="20"/>
                <w:szCs w:val="20"/>
                <w:color w:val="auto"/>
              </w:rPr>
            </w:pPr>
            <w:r>
              <w:rPr>
                <w:rFonts w:ascii="Arial" w:cs="Arial" w:eastAsia="Arial" w:hAnsi="Arial"/>
                <w:sz w:val="18"/>
                <w:szCs w:val="18"/>
                <w:color w:val="auto"/>
                <w:w w:val="94"/>
              </w:rPr>
              <w:t>Paul A. Friedman, M.D.</w:t>
            </w:r>
          </w:p>
        </w:tc>
        <w:tc>
          <w:tcPr>
            <w:tcW w:w="4180" w:type="dxa"/>
            <w:vAlign w:val="bottom"/>
            <w:gridSpan w:val="3"/>
          </w:tcPr>
          <w:p>
            <w:pPr>
              <w:ind w:left="120"/>
              <w:spacing w:after="0"/>
              <w:rPr>
                <w:sz w:val="20"/>
                <w:szCs w:val="20"/>
                <w:color w:val="auto"/>
              </w:rPr>
            </w:pPr>
            <w:r>
              <w:rPr>
                <w:rFonts w:ascii="Arial" w:cs="Arial" w:eastAsia="Arial" w:hAnsi="Arial"/>
                <w:sz w:val="18"/>
                <w:szCs w:val="18"/>
                <w:color w:val="auto"/>
              </w:rPr>
              <w:t>Executive Officer (Principal Executive Officer)</w:t>
            </w:r>
          </w:p>
        </w:tc>
        <w:tc>
          <w:tcPr>
            <w:tcW w:w="1880" w:type="dxa"/>
            <w:vAlign w:val="bottom"/>
          </w:tcPr>
          <w:p>
            <w:pPr>
              <w:spacing w:after="0"/>
              <w:rPr>
                <w:sz w:val="19"/>
                <w:szCs w:val="19"/>
                <w:color w:val="auto"/>
              </w:rPr>
            </w:pPr>
          </w:p>
        </w:tc>
      </w:tr>
      <w:tr>
        <w:trPr>
          <w:trHeight w:val="431"/>
        </w:trPr>
        <w:tc>
          <w:tcPr>
            <w:tcW w:w="49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5"/>
              </w:rPr>
              <w:t>/s/ ALEX G. HOWARTH</w:t>
            </w:r>
          </w:p>
        </w:tc>
        <w:tc>
          <w:tcPr>
            <w:tcW w:w="4180" w:type="dxa"/>
            <w:vAlign w:val="bottom"/>
            <w:gridSpan w:val="3"/>
          </w:tcPr>
          <w:p>
            <w:pPr>
              <w:ind w:left="120"/>
              <w:spacing w:after="0"/>
              <w:rPr>
                <w:sz w:val="20"/>
                <w:szCs w:val="20"/>
                <w:color w:val="auto"/>
              </w:rPr>
            </w:pPr>
            <w:r>
              <w:rPr>
                <w:rFonts w:ascii="Arial" w:cs="Arial" w:eastAsia="Arial" w:hAnsi="Arial"/>
                <w:sz w:val="18"/>
                <w:szCs w:val="18"/>
                <w:color w:val="auto"/>
              </w:rPr>
              <w:t>Chief Financial Officer (Principal Accounting and</w:t>
            </w:r>
          </w:p>
        </w:tc>
        <w:tc>
          <w:tcPr>
            <w:tcW w:w="1880" w:type="dxa"/>
            <w:vAlign w:val="bottom"/>
          </w:tcPr>
          <w:p>
            <w:pPr>
              <w:spacing w:after="0"/>
              <w:rPr>
                <w:sz w:val="20"/>
                <w:szCs w:val="20"/>
                <w:color w:val="auto"/>
              </w:rPr>
            </w:pPr>
            <w:r>
              <w:rPr>
                <w:rFonts w:ascii="Arial" w:cs="Arial" w:eastAsia="Arial" w:hAnsi="Arial"/>
                <w:sz w:val="18"/>
                <w:szCs w:val="18"/>
                <w:color w:val="auto"/>
              </w:rPr>
              <w:t>March 3, 2023</w:t>
            </w:r>
          </w:p>
        </w:tc>
      </w:tr>
      <w:tr>
        <w:trPr>
          <w:trHeight w:val="224"/>
        </w:trPr>
        <w:tc>
          <w:tcPr>
            <w:tcW w:w="4960" w:type="dxa"/>
            <w:vAlign w:val="bottom"/>
          </w:tcPr>
          <w:p>
            <w:pPr>
              <w:jc w:val="center"/>
              <w:spacing w:after="0"/>
              <w:rPr>
                <w:sz w:val="20"/>
                <w:szCs w:val="20"/>
                <w:color w:val="auto"/>
              </w:rPr>
            </w:pPr>
            <w:r>
              <w:rPr>
                <w:rFonts w:ascii="Arial" w:cs="Arial" w:eastAsia="Arial" w:hAnsi="Arial"/>
                <w:sz w:val="18"/>
                <w:szCs w:val="18"/>
                <w:color w:val="auto"/>
                <w:w w:val="94"/>
              </w:rPr>
              <w:t>Alex G. Howarth</w:t>
            </w:r>
          </w:p>
        </w:tc>
        <w:tc>
          <w:tcPr>
            <w:tcW w:w="4180" w:type="dxa"/>
            <w:vAlign w:val="bottom"/>
            <w:gridSpan w:val="3"/>
          </w:tcPr>
          <w:p>
            <w:pPr>
              <w:ind w:left="120"/>
              <w:spacing w:after="0"/>
              <w:rPr>
                <w:sz w:val="20"/>
                <w:szCs w:val="20"/>
                <w:color w:val="auto"/>
              </w:rPr>
            </w:pPr>
            <w:r>
              <w:rPr>
                <w:rFonts w:ascii="Arial" w:cs="Arial" w:eastAsia="Arial" w:hAnsi="Arial"/>
                <w:sz w:val="18"/>
                <w:szCs w:val="18"/>
                <w:color w:val="auto"/>
              </w:rPr>
              <w:t>Financial Officer)</w:t>
            </w:r>
          </w:p>
        </w:tc>
        <w:tc>
          <w:tcPr>
            <w:tcW w:w="1880" w:type="dxa"/>
            <w:vAlign w:val="bottom"/>
          </w:tcPr>
          <w:p>
            <w:pPr>
              <w:spacing w:after="0"/>
              <w:rPr>
                <w:sz w:val="19"/>
                <w:szCs w:val="19"/>
                <w:color w:val="auto"/>
              </w:rPr>
            </w:pPr>
          </w:p>
        </w:tc>
      </w:tr>
    </w:tbl>
    <w:p>
      <w:pPr>
        <w:sectPr>
          <w:pgSz w:w="11900" w:h="16838" w:orient="portrait"/>
          <w:cols w:equalWidth="0" w:num="1">
            <w:col w:w="11020"/>
          </w:cols>
          <w:pgMar w:left="440" w:top="297" w:right="439" w:bottom="1440" w:gutter="0" w:footer="0" w:header="0"/>
        </w:sectPr>
      </w:pPr>
    </w:p>
    <w:bookmarkStart w:id="7" w:name="page8"/>
    <w:bookmarkEnd w:id="7"/>
    <w:p>
      <w:pP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extLst>
                    </a:blip>
                    <a:srcRect/>
                    <a:stretch>
                      <a:fillRect/>
                    </a:stretch>
                  </pic:blipFill>
                  <pic:spPr bwMode="auto">
                    <a:xfrm>
                      <a:off x="0" y="0"/>
                      <a:ext cx="7174865" cy="5524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8" w:name="page9"/>
    <w:bookmarkEnd w:id="8"/>
    <w:p>
      <w:pPr>
        <w:jc w:val="center"/>
        <w:ind w:right="-39"/>
        <w:spacing w:after="0"/>
        <w:rPr>
          <w:sz w:val="20"/>
          <w:szCs w:val="20"/>
          <w:color w:val="auto"/>
        </w:rPr>
      </w:pPr>
      <w:r>
        <w:rPr>
          <w:rFonts w:ascii="Arial" w:cs="Arial" w:eastAsia="Arial" w:hAnsi="Arial"/>
          <w:sz w:val="18"/>
          <w:szCs w:val="18"/>
          <w:b w:val="1"/>
          <w:bCs w:val="1"/>
          <w:color w:val="auto"/>
        </w:rPr>
        <w:t>INDEX TO CONSOLIDATED FINANCIAL STATEMENTS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220" w:type="dxa"/>
            <w:vAlign w:val="bottom"/>
            <w:gridSpan w:val="6"/>
            <w:vMerge w:val="restart"/>
          </w:tcPr>
          <w:p>
            <w:pPr>
              <w:spacing w:after="0"/>
              <w:rPr>
                <w:sz w:val="20"/>
                <w:szCs w:val="20"/>
                <w:color w:val="auto"/>
              </w:rPr>
            </w:pPr>
            <w:r>
              <w:rPr>
                <w:rFonts w:ascii="Arial" w:cs="Arial" w:eastAsia="Arial" w:hAnsi="Arial"/>
                <w:sz w:val="18"/>
                <w:szCs w:val="18"/>
                <w:color w:val="0000EE"/>
                <w:w w:val="91"/>
              </w:rPr>
              <w:t>Report of Independent Registered Public Accounting Firm</w:t>
            </w:r>
          </w:p>
        </w:tc>
        <w:tc>
          <w:tcPr>
            <w:tcW w:w="580" w:type="dxa"/>
            <w:vAlign w:val="bottom"/>
            <w:vMerge w:val="restart"/>
          </w:tcPr>
          <w:p>
            <w:pPr>
              <w:spacing w:after="0"/>
              <w:rPr>
                <w:sz w:val="14"/>
                <w:szCs w:val="14"/>
                <w:color w:val="auto"/>
              </w:rPr>
            </w:pPr>
          </w:p>
        </w:tc>
        <w:tc>
          <w:tcPr>
            <w:tcW w:w="5760" w:type="dxa"/>
            <w:vAlign w:val="bottom"/>
          </w:tcPr>
          <w:p>
            <w:pPr>
              <w:spacing w:after="0"/>
              <w:rPr>
                <w:sz w:val="14"/>
                <w:szCs w:val="14"/>
                <w:color w:val="auto"/>
              </w:rPr>
            </w:pPr>
          </w:p>
        </w:tc>
        <w:tc>
          <w:tcPr>
            <w:tcW w:w="420" w:type="dxa"/>
            <w:vAlign w:val="bottom"/>
            <w:gridSpan w:val="2"/>
          </w:tcPr>
          <w:p>
            <w:pPr>
              <w:ind w:left="4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74"/>
        </w:trPr>
        <w:tc>
          <w:tcPr>
            <w:tcW w:w="4220" w:type="dxa"/>
            <w:vAlign w:val="bottom"/>
            <w:tcBorders>
              <w:bottom w:val="single" w:sz="8" w:color="0000EE"/>
            </w:tcBorders>
            <w:gridSpan w:val="6"/>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5760" w:type="dxa"/>
            <w:vAlign w:val="bottom"/>
          </w:tcPr>
          <w:p>
            <w:pPr>
              <w:spacing w:after="0"/>
              <w:rPr>
                <w:sz w:val="14"/>
                <w:szCs w:val="14"/>
                <w:color w:val="auto"/>
              </w:rPr>
            </w:pPr>
          </w:p>
        </w:tc>
        <w:tc>
          <w:tcPr>
            <w:tcW w:w="400" w:type="dxa"/>
            <w:vAlign w:val="bottom"/>
            <w:tcBorders>
              <w:top w:val="single" w:sz="8" w:color="auto"/>
            </w:tcBorders>
          </w:tcPr>
          <w:p>
            <w:pPr>
              <w:jc w:val="right"/>
              <w:spacing w:after="0" w:line="169" w:lineRule="exact"/>
              <w:rPr>
                <w:sz w:val="20"/>
                <w:szCs w:val="20"/>
                <w:color w:val="auto"/>
              </w:rPr>
            </w:pPr>
            <w:r>
              <w:rPr>
                <w:rFonts w:ascii="Arial" w:cs="Arial" w:eastAsia="Arial" w:hAnsi="Arial"/>
                <w:sz w:val="18"/>
                <w:szCs w:val="18"/>
                <w:color w:val="auto"/>
              </w:rPr>
              <w:t>F-2</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4800" w:type="dxa"/>
            <w:vAlign w:val="bottom"/>
            <w:gridSpan w:val="7"/>
          </w:tcPr>
          <w:p>
            <w:pPr>
              <w:spacing w:after="0"/>
              <w:rPr>
                <w:sz w:val="20"/>
                <w:szCs w:val="20"/>
                <w:color w:val="auto"/>
              </w:rPr>
            </w:pPr>
            <w:r>
              <w:rPr>
                <w:rFonts w:ascii="Arial" w:cs="Arial" w:eastAsia="Arial" w:hAnsi="Arial"/>
                <w:sz w:val="18"/>
                <w:szCs w:val="18"/>
                <w:color w:val="auto"/>
              </w:rPr>
              <w:t>Consolidated Financial Statements:</w:t>
            </w:r>
          </w:p>
        </w:tc>
        <w:tc>
          <w:tcPr>
            <w:tcW w:w="57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4800" w:type="dxa"/>
            <w:vAlign w:val="bottom"/>
            <w:gridSpan w:val="7"/>
          </w:tcPr>
          <w:p>
            <w:pPr>
              <w:spacing w:after="0" w:line="190" w:lineRule="exact"/>
              <w:rPr>
                <w:sz w:val="20"/>
                <w:szCs w:val="20"/>
                <w:color w:val="auto"/>
              </w:rPr>
            </w:pPr>
            <w:r>
              <w:rPr>
                <w:rFonts w:ascii="Arial" w:cs="Arial" w:eastAsia="Arial" w:hAnsi="Arial"/>
                <w:sz w:val="18"/>
                <w:szCs w:val="18"/>
                <w:color w:val="0000EE"/>
              </w:rPr>
              <w:t>Consolidated Balance Sheets</w:t>
            </w:r>
          </w:p>
        </w:tc>
        <w:tc>
          <w:tcPr>
            <w:tcW w:w="5760" w:type="dxa"/>
            <w:vAlign w:val="bottom"/>
          </w:tcPr>
          <w:p>
            <w:pPr>
              <w:spacing w:after="0"/>
              <w:rPr>
                <w:sz w:val="16"/>
                <w:szCs w:val="16"/>
                <w:color w:val="auto"/>
              </w:rPr>
            </w:pPr>
          </w:p>
        </w:tc>
        <w:tc>
          <w:tcPr>
            <w:tcW w:w="420" w:type="dxa"/>
            <w:vAlign w:val="bottom"/>
            <w:gridSpan w:val="2"/>
          </w:tcPr>
          <w:p>
            <w:pPr>
              <w:jc w:val="right"/>
              <w:ind w:right="20"/>
              <w:spacing w:after="0" w:line="190" w:lineRule="exact"/>
              <w:rPr>
                <w:sz w:val="20"/>
                <w:szCs w:val="20"/>
                <w:color w:val="auto"/>
              </w:rPr>
            </w:pPr>
            <w:r>
              <w:rPr>
                <w:rFonts w:ascii="Arial" w:cs="Arial" w:eastAsia="Arial" w:hAnsi="Arial"/>
                <w:sz w:val="18"/>
                <w:szCs w:val="18"/>
                <w:color w:val="auto"/>
              </w:rPr>
              <w:t>F-5</w:t>
            </w:r>
          </w:p>
        </w:tc>
        <w:tc>
          <w:tcPr>
            <w:tcW w:w="0" w:type="dxa"/>
            <w:vAlign w:val="bottom"/>
          </w:tcPr>
          <w:p>
            <w:pPr>
              <w:spacing w:after="0"/>
              <w:rPr>
                <w:sz w:val="1"/>
                <w:szCs w:val="1"/>
                <w:color w:val="auto"/>
              </w:rPr>
            </w:pPr>
          </w:p>
        </w:tc>
      </w:tr>
      <w:tr>
        <w:trPr>
          <w:trHeight w:val="20"/>
        </w:trPr>
        <w:tc>
          <w:tcPr>
            <w:tcW w:w="2080" w:type="dxa"/>
            <w:vAlign w:val="bottom"/>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60" w:type="dxa"/>
            <w:vAlign w:val="bottom"/>
            <w:gridSpan w:val="2"/>
          </w:tcPr>
          <w:p>
            <w:pPr>
              <w:spacing w:after="0" w:line="20" w:lineRule="exact"/>
              <w:rPr>
                <w:sz w:val="1"/>
                <w:szCs w:val="1"/>
                <w:color w:val="auto"/>
              </w:rPr>
            </w:pPr>
          </w:p>
        </w:tc>
        <w:tc>
          <w:tcPr>
            <w:tcW w:w="576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800" w:type="dxa"/>
            <w:vAlign w:val="bottom"/>
            <w:gridSpan w:val="7"/>
          </w:tcPr>
          <w:p>
            <w:pPr>
              <w:spacing w:after="0" w:line="196" w:lineRule="exact"/>
              <w:rPr>
                <w:sz w:val="20"/>
                <w:szCs w:val="20"/>
                <w:color w:val="auto"/>
              </w:rPr>
            </w:pPr>
            <w:r>
              <w:rPr>
                <w:rFonts w:ascii="Arial" w:cs="Arial" w:eastAsia="Arial" w:hAnsi="Arial"/>
                <w:sz w:val="18"/>
                <w:szCs w:val="18"/>
                <w:color w:val="0000EE"/>
              </w:rPr>
              <w:t>Consolidated Statements of Operations</w:t>
            </w:r>
          </w:p>
        </w:tc>
        <w:tc>
          <w:tcPr>
            <w:tcW w:w="5760" w:type="dxa"/>
            <w:vAlign w:val="bottom"/>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F-6</w:t>
            </w:r>
          </w:p>
        </w:tc>
        <w:tc>
          <w:tcPr>
            <w:tcW w:w="0" w:type="dxa"/>
            <w:vAlign w:val="bottom"/>
          </w:tcPr>
          <w:p>
            <w:pPr>
              <w:spacing w:after="0"/>
              <w:rPr>
                <w:sz w:val="1"/>
                <w:szCs w:val="1"/>
                <w:color w:val="auto"/>
              </w:rPr>
            </w:pPr>
          </w:p>
        </w:tc>
      </w:tr>
      <w:tr>
        <w:trPr>
          <w:trHeight w:val="20"/>
        </w:trPr>
        <w:tc>
          <w:tcPr>
            <w:tcW w:w="280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60" w:type="dxa"/>
            <w:vAlign w:val="bottom"/>
            <w:gridSpan w:val="2"/>
          </w:tcPr>
          <w:p>
            <w:pPr>
              <w:spacing w:after="0" w:line="20" w:lineRule="exact"/>
              <w:rPr>
                <w:sz w:val="1"/>
                <w:szCs w:val="1"/>
                <w:color w:val="auto"/>
              </w:rPr>
            </w:pPr>
          </w:p>
        </w:tc>
        <w:tc>
          <w:tcPr>
            <w:tcW w:w="576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540" w:type="dxa"/>
            <w:vAlign w:val="bottom"/>
            <w:tcBorders>
              <w:bottom w:val="single" w:sz="8" w:color="0000EE"/>
            </w:tcBorders>
            <w:gridSpan w:val="5"/>
          </w:tcPr>
          <w:p>
            <w:pPr>
              <w:spacing w:after="0" w:line="196" w:lineRule="exact"/>
              <w:rPr>
                <w:sz w:val="20"/>
                <w:szCs w:val="20"/>
                <w:color w:val="auto"/>
              </w:rPr>
            </w:pPr>
            <w:r>
              <w:rPr>
                <w:rFonts w:ascii="Arial" w:cs="Arial" w:eastAsia="Arial" w:hAnsi="Arial"/>
                <w:sz w:val="18"/>
                <w:szCs w:val="18"/>
                <w:color w:val="0000EE"/>
                <w:w w:val="89"/>
              </w:rPr>
              <w:t>Consolidated Statements of Comprehensive Loss</w:t>
            </w:r>
          </w:p>
        </w:tc>
        <w:tc>
          <w:tcPr>
            <w:tcW w:w="1260" w:type="dxa"/>
            <w:vAlign w:val="bottom"/>
            <w:gridSpan w:val="2"/>
          </w:tcPr>
          <w:p>
            <w:pPr>
              <w:spacing w:after="0"/>
              <w:rPr>
                <w:sz w:val="17"/>
                <w:szCs w:val="17"/>
                <w:color w:val="auto"/>
              </w:rPr>
            </w:pPr>
          </w:p>
        </w:tc>
        <w:tc>
          <w:tcPr>
            <w:tcW w:w="5760" w:type="dxa"/>
            <w:vAlign w:val="bottom"/>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F-7</w:t>
            </w:r>
          </w:p>
        </w:tc>
        <w:tc>
          <w:tcPr>
            <w:tcW w:w="0" w:type="dxa"/>
            <w:vAlign w:val="bottom"/>
          </w:tcPr>
          <w:p>
            <w:pPr>
              <w:spacing w:after="0"/>
              <w:rPr>
                <w:sz w:val="1"/>
                <w:szCs w:val="1"/>
                <w:color w:val="auto"/>
              </w:rPr>
            </w:pPr>
          </w:p>
        </w:tc>
      </w:tr>
      <w:tr>
        <w:trPr>
          <w:trHeight w:val="196"/>
        </w:trPr>
        <w:tc>
          <w:tcPr>
            <w:tcW w:w="4800" w:type="dxa"/>
            <w:vAlign w:val="bottom"/>
            <w:gridSpan w:val="7"/>
          </w:tcPr>
          <w:p>
            <w:pPr>
              <w:spacing w:after="0" w:line="196" w:lineRule="exact"/>
              <w:rPr>
                <w:sz w:val="20"/>
                <w:szCs w:val="20"/>
                <w:color w:val="auto"/>
              </w:rPr>
            </w:pPr>
            <w:r>
              <w:rPr>
                <w:rFonts w:ascii="Arial" w:cs="Arial" w:eastAsia="Arial" w:hAnsi="Arial"/>
                <w:sz w:val="18"/>
                <w:szCs w:val="18"/>
                <w:color w:val="0000EE"/>
              </w:rPr>
              <w:t>Consolidated Statements of Stockholders’ Equity</w:t>
            </w:r>
          </w:p>
        </w:tc>
        <w:tc>
          <w:tcPr>
            <w:tcW w:w="5760" w:type="dxa"/>
            <w:vAlign w:val="bottom"/>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F-8</w:t>
            </w:r>
          </w:p>
        </w:tc>
        <w:tc>
          <w:tcPr>
            <w:tcW w:w="0" w:type="dxa"/>
            <w:vAlign w:val="bottom"/>
          </w:tcPr>
          <w:p>
            <w:pPr>
              <w:spacing w:after="0"/>
              <w:rPr>
                <w:sz w:val="1"/>
                <w:szCs w:val="1"/>
                <w:color w:val="auto"/>
              </w:rPr>
            </w:pPr>
          </w:p>
        </w:tc>
      </w:tr>
      <w:tr>
        <w:trPr>
          <w:trHeight w:val="196"/>
        </w:trPr>
        <w:tc>
          <w:tcPr>
            <w:tcW w:w="3540" w:type="dxa"/>
            <w:vAlign w:val="bottom"/>
            <w:tcBorders>
              <w:top w:val="single" w:sz="8" w:color="0000EE"/>
            </w:tcBorders>
            <w:gridSpan w:val="5"/>
          </w:tcPr>
          <w:p>
            <w:pPr>
              <w:spacing w:after="0" w:line="196" w:lineRule="exact"/>
              <w:rPr>
                <w:sz w:val="20"/>
                <w:szCs w:val="20"/>
                <w:color w:val="auto"/>
              </w:rPr>
            </w:pPr>
            <w:r>
              <w:rPr>
                <w:rFonts w:ascii="Arial" w:cs="Arial" w:eastAsia="Arial" w:hAnsi="Arial"/>
                <w:sz w:val="18"/>
                <w:szCs w:val="18"/>
                <w:color w:val="0000EE"/>
              </w:rPr>
              <w:t>Consolidated Statements of Cash Flows</w:t>
            </w:r>
          </w:p>
        </w:tc>
        <w:tc>
          <w:tcPr>
            <w:tcW w:w="1260" w:type="dxa"/>
            <w:vAlign w:val="bottom"/>
            <w:gridSpan w:val="2"/>
          </w:tcPr>
          <w:p>
            <w:pPr>
              <w:spacing w:after="0"/>
              <w:rPr>
                <w:sz w:val="17"/>
                <w:szCs w:val="17"/>
                <w:color w:val="auto"/>
              </w:rPr>
            </w:pPr>
          </w:p>
        </w:tc>
        <w:tc>
          <w:tcPr>
            <w:tcW w:w="5760" w:type="dxa"/>
            <w:vAlign w:val="bottom"/>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F-9</w:t>
            </w:r>
          </w:p>
        </w:tc>
        <w:tc>
          <w:tcPr>
            <w:tcW w:w="0" w:type="dxa"/>
            <w:vAlign w:val="bottom"/>
          </w:tcPr>
          <w:p>
            <w:pPr>
              <w:spacing w:after="0"/>
              <w:rPr>
                <w:sz w:val="1"/>
                <w:szCs w:val="1"/>
                <w:color w:val="auto"/>
              </w:rPr>
            </w:pPr>
          </w:p>
        </w:tc>
      </w:tr>
      <w:tr>
        <w:trPr>
          <w:trHeight w:val="20"/>
        </w:trPr>
        <w:tc>
          <w:tcPr>
            <w:tcW w:w="2860" w:type="dxa"/>
            <w:vAlign w:val="bottom"/>
            <w:gridSpan w:val="3"/>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60" w:type="dxa"/>
            <w:vAlign w:val="bottom"/>
            <w:gridSpan w:val="3"/>
          </w:tcPr>
          <w:p>
            <w:pPr>
              <w:spacing w:after="0" w:line="20" w:lineRule="exact"/>
              <w:rPr>
                <w:sz w:val="1"/>
                <w:szCs w:val="1"/>
                <w:color w:val="auto"/>
              </w:rPr>
            </w:pPr>
          </w:p>
        </w:tc>
        <w:tc>
          <w:tcPr>
            <w:tcW w:w="576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800" w:type="dxa"/>
            <w:vAlign w:val="bottom"/>
            <w:gridSpan w:val="7"/>
          </w:tcPr>
          <w:p>
            <w:pPr>
              <w:spacing w:after="0" w:line="196" w:lineRule="exact"/>
              <w:rPr>
                <w:sz w:val="20"/>
                <w:szCs w:val="20"/>
                <w:color w:val="auto"/>
              </w:rPr>
            </w:pPr>
            <w:r>
              <w:rPr>
                <w:rFonts w:ascii="Arial" w:cs="Arial" w:eastAsia="Arial" w:hAnsi="Arial"/>
                <w:sz w:val="18"/>
                <w:szCs w:val="18"/>
                <w:color w:val="0000EE"/>
              </w:rPr>
              <w:t>Notes to Consolidated Financial Statements</w:t>
            </w:r>
          </w:p>
        </w:tc>
        <w:tc>
          <w:tcPr>
            <w:tcW w:w="5760" w:type="dxa"/>
            <w:vAlign w:val="bottom"/>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F-10</w:t>
            </w:r>
          </w:p>
        </w:tc>
        <w:tc>
          <w:tcPr>
            <w:tcW w:w="0" w:type="dxa"/>
            <w:vAlign w:val="bottom"/>
          </w:tcPr>
          <w:p>
            <w:pPr>
              <w:spacing w:after="0"/>
              <w:rPr>
                <w:sz w:val="1"/>
                <w:szCs w:val="1"/>
                <w:color w:val="auto"/>
              </w:rPr>
            </w:pPr>
          </w:p>
        </w:tc>
      </w:tr>
      <w:tr>
        <w:trPr>
          <w:trHeight w:val="385"/>
        </w:trPr>
        <w:tc>
          <w:tcPr>
            <w:tcW w:w="2080" w:type="dxa"/>
            <w:vAlign w:val="bottom"/>
            <w:tcBorders>
              <w:top w:val="single" w:sz="8" w:color="0000EE"/>
            </w:tcBorders>
          </w:tcPr>
          <w:p>
            <w:pPr>
              <w:spacing w:after="0"/>
              <w:rPr>
                <w:sz w:val="24"/>
                <w:szCs w:val="24"/>
                <w:color w:val="auto"/>
              </w:rPr>
            </w:pPr>
          </w:p>
        </w:tc>
        <w:tc>
          <w:tcPr>
            <w:tcW w:w="72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180" w:type="dxa"/>
            <w:vAlign w:val="bottom"/>
            <w:gridSpan w:val="3"/>
          </w:tcPr>
          <w:p>
            <w:pPr>
              <w:ind w:left="580"/>
              <w:spacing w:after="0"/>
              <w:rPr>
                <w:sz w:val="20"/>
                <w:szCs w:val="20"/>
                <w:color w:val="auto"/>
              </w:rPr>
            </w:pPr>
            <w:r>
              <w:rPr>
                <w:rFonts w:ascii="Arial" w:cs="Arial" w:eastAsia="Arial" w:hAnsi="Arial"/>
                <w:sz w:val="18"/>
                <w:szCs w:val="18"/>
                <w:color w:val="auto"/>
              </w:rPr>
              <w:t>F-1</w:t>
            </w:r>
          </w:p>
        </w:tc>
        <w:tc>
          <w:tcPr>
            <w:tcW w:w="0" w:type="dxa"/>
            <w:vAlign w:val="bottom"/>
          </w:tcPr>
          <w:p>
            <w:pPr>
              <w:spacing w:after="0"/>
              <w:rPr>
                <w:sz w:val="1"/>
                <w:szCs w:val="1"/>
                <w:color w:val="auto"/>
              </w:rPr>
            </w:pPr>
          </w:p>
        </w:tc>
      </w:tr>
    </w:tbl>
    <w:p>
      <w:pPr>
        <w:sectPr>
          <w:pgSz w:w="11900" w:h="16838" w:orient="portrait"/>
          <w:cols w:equalWidth="0" w:num="1">
            <w:col w:w="10960"/>
          </w:cols>
          <w:pgMar w:left="440" w:top="121" w:right="49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5" w:lineRule="exact"/>
        <w:rPr>
          <w:sz w:val="20"/>
          <w:szCs w:val="20"/>
          <w:color w:val="auto"/>
        </w:rPr>
      </w:pPr>
    </w:p>
    <w:p>
      <w:pPr>
        <w:ind w:left="560" w:right="2420" w:firstLine="1987"/>
        <w:spacing w:after="0" w:line="407" w:lineRule="auto"/>
        <w:rPr>
          <w:sz w:val="20"/>
          <w:szCs w:val="20"/>
          <w:color w:val="auto"/>
        </w:rPr>
      </w:pPr>
      <w:r>
        <w:rPr>
          <w:rFonts w:ascii="Arial" w:cs="Arial" w:eastAsia="Arial" w:hAnsi="Arial"/>
          <w:sz w:val="18"/>
          <w:szCs w:val="18"/>
          <w:b w:val="1"/>
          <w:bCs w:val="1"/>
          <w:color w:val="auto"/>
        </w:rPr>
        <w:t xml:space="preserve">REPORT OF INDEPENDENT REGISTERED PUBLIC ACCOUNTING FIRM </w:t>
      </w:r>
      <w:r>
        <w:rPr>
          <w:rFonts w:ascii="Arial" w:cs="Arial" w:eastAsia="Arial" w:hAnsi="Arial"/>
          <w:sz w:val="18"/>
          <w:szCs w:val="18"/>
          <w:color w:val="auto"/>
        </w:rPr>
        <w:t>To the Board of Directors and Stockholders of Madrigal Pharmaceuticals, Inc.</w:t>
      </w:r>
    </w:p>
    <w:p>
      <w:pPr>
        <w:spacing w:after="0" w:line="58"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Opinions on the Financial Statements and Internal Control over Financial Reporting</w:t>
      </w:r>
    </w:p>
    <w:p>
      <w:pPr>
        <w:spacing w:after="0" w:line="117" w:lineRule="exact"/>
        <w:rPr>
          <w:sz w:val="20"/>
          <w:szCs w:val="20"/>
          <w:color w:val="auto"/>
        </w:rPr>
      </w:pPr>
    </w:p>
    <w:p>
      <w:pPr>
        <w:ind w:left="120" w:right="220" w:firstLine="440"/>
        <w:spacing w:after="0" w:line="296" w:lineRule="auto"/>
        <w:rPr>
          <w:sz w:val="20"/>
          <w:szCs w:val="20"/>
          <w:color w:val="auto"/>
        </w:rPr>
      </w:pPr>
      <w:r>
        <w:rPr>
          <w:rFonts w:ascii="Arial" w:cs="Arial" w:eastAsia="Arial" w:hAnsi="Arial"/>
          <w:sz w:val="16"/>
          <w:szCs w:val="16"/>
          <w:color w:val="auto"/>
        </w:rPr>
        <w:t>We have audited the accompanying consolidated balance sheets of Madrigal Pharmaceuticals, Inc. and its subsidiaries (the “Company”) as of December 31, 2022 and 2021, and the related consolidated statements of operations, of comprehensive loss, of stockholders’ equity and of cash flows for each of the three years in the period ended December 31, 2022, including the related notes (collectively referred to as the “consolidated financial statements”). We also have audited the Company’s internal control over financial reporting as of December 31, 2022, based on criteria established in Internal Control—Integrated Framework (2013) issued by the Committee of Sponsoring Organizations of the Treadway Commission (COSO).</w:t>
      </w:r>
    </w:p>
    <w:p>
      <w:pPr>
        <w:spacing w:after="0" w:line="161"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In our opinion, the consolidated financial statements referred to above present fairly, in all material respects, the financial position of the Company as of December 31, 2022 and 2021, and the results of its operations and its cash flows for each of the three years in the period ended December 31, 2022 in conformity with accounting principles generally accepted in the United States of America. Also in our opinion, the Company maintained, in all material respects, effective internal control over financial reporting as of December 31, 2022, based on criteria established in Internal Control— Integrated Framework (2013) issued by the COSO.</w:t>
      </w:r>
    </w:p>
    <w:p>
      <w:pPr>
        <w:spacing w:after="0" w:line="296"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Basis for Opinions</w:t>
      </w:r>
    </w:p>
    <w:p>
      <w:pPr>
        <w:spacing w:after="0" w:line="117" w:lineRule="exact"/>
        <w:rPr>
          <w:sz w:val="20"/>
          <w:szCs w:val="20"/>
          <w:color w:val="auto"/>
        </w:rPr>
      </w:pPr>
    </w:p>
    <w:p>
      <w:pPr>
        <w:ind w:left="120" w:firstLine="440"/>
        <w:spacing w:after="0" w:line="293" w:lineRule="auto"/>
        <w:rPr>
          <w:sz w:val="20"/>
          <w:szCs w:val="20"/>
          <w:color w:val="auto"/>
        </w:rPr>
      </w:pPr>
      <w:r>
        <w:rPr>
          <w:rFonts w:ascii="Arial" w:cs="Arial" w:eastAsia="Arial" w:hAnsi="Arial"/>
          <w:sz w:val="16"/>
          <w:szCs w:val="16"/>
          <w:color w:val="auto"/>
        </w:rPr>
        <w:t>The Company’s management is responsible for these consolidated financial statements, for maintaining effective internal control over financial reporting, and for its assessment of the effectiveness of internal control over financial reporting, included in Management’s Report On Internal Control Over Financial Reporting appearing under Item 9A. Our responsibility is to express opinions on the Company’s consolidated financial statements and on the Company’s internal control over financial reporting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64" w:lineRule="exact"/>
        <w:rPr>
          <w:sz w:val="20"/>
          <w:szCs w:val="20"/>
          <w:color w:val="auto"/>
        </w:rPr>
      </w:pPr>
    </w:p>
    <w:p>
      <w:pPr>
        <w:jc w:val="both"/>
        <w:ind w:left="120" w:right="160" w:firstLine="440"/>
        <w:spacing w:after="0" w:line="263"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audits to obtain reasonable assurance about whether the consolidated financial statements are free of material misstatement, whether due to error or fraud, and whether effective internal control over financial reporting was maintained in all material respects.</w:t>
      </w:r>
    </w:p>
    <w:p>
      <w:pPr>
        <w:spacing w:after="0" w:line="184" w:lineRule="exact"/>
        <w:rPr>
          <w:sz w:val="20"/>
          <w:szCs w:val="20"/>
          <w:color w:val="auto"/>
        </w:rPr>
      </w:pPr>
    </w:p>
    <w:p>
      <w:pPr>
        <w:ind w:left="120" w:firstLine="440"/>
        <w:spacing w:after="0" w:line="254" w:lineRule="auto"/>
        <w:rPr>
          <w:sz w:val="20"/>
          <w:szCs w:val="20"/>
          <w:color w:val="auto"/>
        </w:rPr>
      </w:pPr>
      <w:r>
        <w:rPr>
          <w:rFonts w:ascii="Arial" w:cs="Arial" w:eastAsia="Arial" w:hAnsi="Arial"/>
          <w:sz w:val="18"/>
          <w:szCs w:val="18"/>
          <w:color w:val="auto"/>
        </w:rPr>
        <w:t>Our audits of the consolidated financial statements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30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Emphasis of Matter</w:t>
      </w:r>
    </w:p>
    <w:p>
      <w:pPr>
        <w:spacing w:after="0" w:line="117" w:lineRule="exact"/>
        <w:rPr>
          <w:sz w:val="20"/>
          <w:szCs w:val="20"/>
          <w:color w:val="auto"/>
        </w:rPr>
      </w:pPr>
    </w:p>
    <w:p>
      <w:pPr>
        <w:ind w:left="560"/>
        <w:spacing w:after="0"/>
        <w:rPr>
          <w:sz w:val="20"/>
          <w:szCs w:val="20"/>
          <w:color w:val="auto"/>
        </w:rPr>
      </w:pPr>
      <w:r>
        <w:rPr>
          <w:rFonts w:ascii="Arial" w:cs="Arial" w:eastAsia="Arial" w:hAnsi="Arial"/>
          <w:sz w:val="17"/>
          <w:szCs w:val="17"/>
          <w:color w:val="auto"/>
        </w:rPr>
        <w:t>As discussed in Note 3 to the consolidated financial statements, the Company will require additional financing to fund future operations.</w:t>
      </w:r>
    </w:p>
    <w:p>
      <w:pPr>
        <w:spacing w:after="0" w:line="3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Management’s evaluation of the events and conditions and plans to mitigate this matter are also described in Note 3.</w:t>
      </w:r>
    </w:p>
    <w:p>
      <w:pPr>
        <w:spacing w:after="0" w:line="14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F-2</w:t>
      </w:r>
    </w:p>
    <w:p>
      <w:pPr>
        <w:sectPr>
          <w:pgSz w:w="11900" w:h="16838" w:orient="portrait"/>
          <w:cols w:equalWidth="0" w:num="1">
            <w:col w:w="11120"/>
          </w:cols>
          <w:pgMar w:left="320" w:top="486" w:right="45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Definition and Limitations of Internal Control over Financial Reporting</w:t>
      </w:r>
    </w:p>
    <w:p>
      <w:pPr>
        <w:spacing w:after="0" w:line="117" w:lineRule="exact"/>
        <w:rPr>
          <w:sz w:val="20"/>
          <w:szCs w:val="20"/>
          <w:color w:val="auto"/>
        </w:rPr>
      </w:pPr>
    </w:p>
    <w:p>
      <w:pPr>
        <w:ind w:left="120" w:right="100" w:firstLine="440"/>
        <w:spacing w:after="0" w:line="271" w:lineRule="auto"/>
        <w:rPr>
          <w:sz w:val="20"/>
          <w:szCs w:val="20"/>
          <w:color w:val="auto"/>
        </w:rPr>
      </w:pPr>
      <w:r>
        <w:rPr>
          <w:rFonts w:ascii="Arial" w:cs="Arial" w:eastAsia="Arial" w:hAnsi="Arial"/>
          <w:sz w:val="17"/>
          <w:szCs w:val="17"/>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pPr>
        <w:spacing w:after="0" w:line="178" w:lineRule="exact"/>
        <w:rPr>
          <w:sz w:val="20"/>
          <w:szCs w:val="20"/>
          <w:color w:val="auto"/>
        </w:rPr>
      </w:pPr>
    </w:p>
    <w:p>
      <w:pPr>
        <w:ind w:left="120" w:right="300" w:firstLine="440"/>
        <w:spacing w:after="0" w:line="263"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Critical Audit Matters</w:t>
      </w:r>
    </w:p>
    <w:p>
      <w:pPr>
        <w:spacing w:after="0" w:line="117" w:lineRule="exact"/>
        <w:rPr>
          <w:sz w:val="20"/>
          <w:szCs w:val="20"/>
          <w:color w:val="auto"/>
        </w:rPr>
      </w:pPr>
    </w:p>
    <w:p>
      <w:pPr>
        <w:ind w:left="120" w:right="80" w:firstLine="440"/>
        <w:spacing w:after="0" w:line="296" w:lineRule="auto"/>
        <w:rPr>
          <w:sz w:val="20"/>
          <w:szCs w:val="20"/>
          <w:color w:val="auto"/>
        </w:rPr>
      </w:pPr>
      <w:r>
        <w:rPr>
          <w:rFonts w:ascii="Arial" w:cs="Arial" w:eastAsia="Arial" w:hAnsi="Arial"/>
          <w:sz w:val="16"/>
          <w:szCs w:val="16"/>
          <w:color w:val="auto"/>
        </w:rPr>
        <w:t>The critical audit matter communicated below is a matter arising from the current period audit of the consolidated financial statements that was communicated or required to be communicated to the audit committee and that (i) relates to accounts or disclosures that are material to the consolidated financial statements and (ii) involved our especially challenging, subjective, or complex judgments. The communication of critical audit matters does not alter in any way our opinion on the consolidated financial statements, taken as a whole, and we are not, by communicating the critical audit matter below, providing a separate opinion on the critical audit matter or on the accounts or disclosures to which it relates.</w:t>
      </w:r>
    </w:p>
    <w:p>
      <w:pPr>
        <w:spacing w:after="0" w:line="26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Research and Development Costs</w:t>
      </w:r>
    </w:p>
    <w:p>
      <w:pPr>
        <w:spacing w:after="0" w:line="117" w:lineRule="exact"/>
        <w:rPr>
          <w:sz w:val="20"/>
          <w:szCs w:val="20"/>
          <w:color w:val="auto"/>
        </w:rPr>
      </w:pPr>
    </w:p>
    <w:p>
      <w:pPr>
        <w:ind w:left="120" w:right="300" w:firstLine="440"/>
        <w:spacing w:after="0" w:line="275" w:lineRule="auto"/>
        <w:rPr>
          <w:sz w:val="20"/>
          <w:szCs w:val="20"/>
          <w:color w:val="auto"/>
        </w:rPr>
      </w:pPr>
      <w:r>
        <w:rPr>
          <w:rFonts w:ascii="Arial" w:cs="Arial" w:eastAsia="Arial" w:hAnsi="Arial"/>
          <w:sz w:val="17"/>
          <w:szCs w:val="17"/>
          <w:color w:val="auto"/>
        </w:rPr>
        <w:t>As described in Notes 2 and 5 to the consolidated financial statements, management uses significant judgment in estimating the amount of research and development costs recognized in each reporting period. Management analyzes and estimates the progress of its preclinical studies and clinical trials, completion of milestone events per underlying agreements, invoices received and contracted costs when estimating the research and development costs to accrue in each reporting period. Total research and development costs incurred during the year ended December 31, 2022 were $245.4 million and research and development costs accrued were $53.1 million as of December 31, 2022.</w:t>
      </w:r>
    </w:p>
    <w:p>
      <w:pPr>
        <w:spacing w:after="0" w:line="176" w:lineRule="exact"/>
        <w:rPr>
          <w:sz w:val="20"/>
          <w:szCs w:val="20"/>
          <w:color w:val="auto"/>
        </w:rPr>
      </w:pPr>
    </w:p>
    <w:p>
      <w:pPr>
        <w:ind w:left="120" w:right="80" w:firstLine="440"/>
        <w:spacing w:after="0" w:line="255" w:lineRule="auto"/>
        <w:rPr>
          <w:sz w:val="20"/>
          <w:szCs w:val="20"/>
          <w:color w:val="auto"/>
        </w:rPr>
      </w:pPr>
      <w:r>
        <w:rPr>
          <w:rFonts w:ascii="Arial" w:cs="Arial" w:eastAsia="Arial" w:hAnsi="Arial"/>
          <w:sz w:val="18"/>
          <w:szCs w:val="18"/>
          <w:color w:val="auto"/>
        </w:rPr>
        <w:t>The principal considerations for our determination that performing procedures relating to research and development costs is a critical audit matter are (i) the significant judgment by management when estimating: the costs incurred for services performed by vendors that have not yet been invoiced, the completion of milestone events per underlying agreements, and invoices received and contracted costs, in estimating the research and development costs to accrue in the reporting period; and (ii) the high degree of auditor judgment, subjectivity and effort in evaluating management’s significant assumption related to using contracted costs applied to the number of patients screened for and enrolled in the trials to reasonably estimate costs incurred that have not been invoiced.</w:t>
      </w:r>
    </w:p>
    <w:p>
      <w:pPr>
        <w:spacing w:after="0" w:line="192" w:lineRule="exact"/>
        <w:rPr>
          <w:sz w:val="20"/>
          <w:szCs w:val="20"/>
          <w:color w:val="auto"/>
        </w:rPr>
      </w:pPr>
    </w:p>
    <w:p>
      <w:pPr>
        <w:ind w:left="120" w:firstLine="440"/>
        <w:spacing w:after="0" w:line="279" w:lineRule="auto"/>
        <w:rPr>
          <w:sz w:val="20"/>
          <w:szCs w:val="20"/>
          <w:color w:val="auto"/>
        </w:rPr>
      </w:pPr>
      <w:r>
        <w:rPr>
          <w:rFonts w:ascii="Arial" w:cs="Arial" w:eastAsia="Arial" w:hAnsi="Arial"/>
          <w:sz w:val="17"/>
          <w:szCs w:val="17"/>
          <w:color w:val="auto"/>
        </w:rPr>
        <w:t>Addressing the matter involved performing procedures and evaluating audit evidence in connection with forming our overall opinion on the consolidated financial statements. These procedures included testing the effectiveness of controls over management’s process relating to accruing research and development costs, including controls over estimating the costs incurred for services performed by vendors that have not yet been invoiced. These procedures also included, among others, testing management’s process for estimating the</w:t>
      </w:r>
    </w:p>
    <w:p>
      <w:pPr>
        <w:spacing w:after="0" w:line="104"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F-3</w:t>
      </w:r>
    </w:p>
    <w:p>
      <w:pPr>
        <w:sectPr>
          <w:pgSz w:w="11900" w:h="16838" w:orient="portrait"/>
          <w:cols w:equalWidth="0" w:num="1">
            <w:col w:w="11120"/>
          </w:cols>
          <w:pgMar w:left="320" w:top="486" w:right="45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73" w:lineRule="auto"/>
        <w:rPr>
          <w:sz w:val="20"/>
          <w:szCs w:val="20"/>
          <w:color w:val="auto"/>
        </w:rPr>
      </w:pPr>
      <w:r>
        <w:rPr>
          <w:rFonts w:ascii="Arial" w:cs="Arial" w:eastAsia="Arial" w:hAnsi="Arial"/>
          <w:sz w:val="17"/>
          <w:szCs w:val="17"/>
          <w:color w:val="auto"/>
        </w:rPr>
        <w:t>research and development costs to accrue in the reporting period, evaluating the completeness and accuracy of underlying data used in management’s estimate by testing for consistency with a sample of contracts and invoices, testing the number of patients screened for and enrolled in the trial, testing the mathematical accuracy of the calculation of the accrual for research and development costs incurred, and evaluating the reasonableness of assumptions used in the estimate. Evaluating the reasonableness of assumptions used in the estimate involved assessing management’s ability to reasonably estimate costs incurred that have not been invoiced by performing a comparison of the estimated accrual to contracted costs applied to the number of patients screened for and enrolled in the trials.</w:t>
      </w:r>
    </w:p>
    <w:p>
      <w:pPr>
        <w:spacing w:after="0" w:line="178" w:lineRule="exact"/>
        <w:rPr>
          <w:sz w:val="20"/>
          <w:szCs w:val="20"/>
          <w:color w:val="auto"/>
        </w:rPr>
      </w:pPr>
    </w:p>
    <w:p>
      <w:pPr>
        <w:ind w:left="120"/>
        <w:spacing w:after="0"/>
        <w:rPr>
          <w:sz w:val="20"/>
          <w:szCs w:val="20"/>
          <w:color w:val="auto"/>
        </w:rPr>
      </w:pPr>
      <w:r>
        <w:rPr>
          <w:rFonts w:ascii="Arial" w:cs="Arial" w:eastAsia="Arial" w:hAnsi="Arial"/>
          <w:sz w:val="18"/>
          <w:szCs w:val="18"/>
          <w:color w:val="auto"/>
        </w:rPr>
        <w:t>/s/ PricewaterhouseCoopers LLP</w:t>
      </w:r>
    </w:p>
    <w:p>
      <w:pPr>
        <w:spacing w:after="0" w:line="2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Philadelphia, Pennsylvania</w:t>
      </w:r>
    </w:p>
    <w:p>
      <w:pPr>
        <w:spacing w:after="0" w:line="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February 23, 2023</w:t>
      </w:r>
    </w:p>
    <w:p>
      <w:pPr>
        <w:spacing w:after="0" w:line="21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have served as the Company’s auditor since 2016.</w:t>
      </w:r>
    </w:p>
    <w:p>
      <w:pPr>
        <w:spacing w:after="0" w:line="158"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F-4</w:t>
      </w:r>
    </w:p>
    <w:p>
      <w:pPr>
        <w:sectPr>
          <w:pgSz w:w="11900" w:h="16838" w:orient="portrait"/>
          <w:cols w:equalWidth="0" w:num="1">
            <w:col w:w="10940"/>
          </w:cols>
          <w:pgMar w:left="320" w:top="486" w:right="63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Consolidated Balance Sheets</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35"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8800" w:type="dxa"/>
            <w:vAlign w:val="bottom"/>
          </w:tcPr>
          <w:p>
            <w:pPr>
              <w:spacing w:after="0"/>
              <w:rPr>
                <w:sz w:val="14"/>
                <w:szCs w:val="14"/>
                <w:color w:val="auto"/>
              </w:rPr>
            </w:pPr>
          </w:p>
        </w:tc>
        <w:tc>
          <w:tcPr>
            <w:tcW w:w="1260" w:type="dxa"/>
            <w:vAlign w:val="bottom"/>
            <w:gridSpan w:val="4"/>
          </w:tcPr>
          <w:p>
            <w:pPr>
              <w:spacing w:after="0"/>
              <w:rPr>
                <w:sz w:val="20"/>
                <w:szCs w:val="20"/>
                <w:color w:val="auto"/>
              </w:rPr>
            </w:pPr>
            <w:r>
              <w:rPr>
                <w:rFonts w:ascii="Arial" w:cs="Arial" w:eastAsia="Arial" w:hAnsi="Arial"/>
                <w:sz w:val="14"/>
                <w:szCs w:val="14"/>
                <w:b w:val="1"/>
                <w:bCs w:val="1"/>
                <w:color w:val="auto"/>
              </w:rPr>
              <w:t>December 31,</w:t>
            </w:r>
          </w:p>
        </w:tc>
        <w:tc>
          <w:tcPr>
            <w:tcW w:w="960" w:type="dxa"/>
            <w:vAlign w:val="bottom"/>
            <w:gridSpan w:val="3"/>
          </w:tcPr>
          <w:p>
            <w:pPr>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88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2022</w:t>
            </w:r>
          </w:p>
        </w:tc>
        <w:tc>
          <w:tcPr>
            <w:tcW w:w="20" w:type="dxa"/>
            <w:vAlign w:val="bottom"/>
            <w:tcBorders>
              <w:bottom w:val="single" w:sz="8" w:color="CCEEFF"/>
            </w:tcBorders>
          </w:tcPr>
          <w:p>
            <w:pPr>
              <w:spacing w:after="0"/>
              <w:rPr>
                <w:sz w:val="14"/>
                <w:szCs w:val="14"/>
                <w:color w:val="auto"/>
              </w:rPr>
            </w:pPr>
          </w:p>
        </w:tc>
        <w:tc>
          <w:tcPr>
            <w:tcW w:w="4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88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00" w:type="dxa"/>
            <w:vAlign w:val="bottom"/>
          </w:tcPr>
          <w:p>
            <w:pPr>
              <w:spacing w:after="0"/>
              <w:rPr>
                <w:sz w:val="20"/>
                <w:szCs w:val="20"/>
                <w:color w:val="auto"/>
              </w:rPr>
            </w:pPr>
            <w:r>
              <w:rPr>
                <w:rFonts w:ascii="Arial" w:cs="Arial" w:eastAsia="Arial" w:hAnsi="Arial"/>
                <w:sz w:val="18"/>
                <w:szCs w:val="18"/>
                <w:color w:val="auto"/>
              </w:rPr>
              <w:t>Current assets:</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Cash and cash equivalents</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331,549</w:t>
            </w: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36,269</w:t>
            </w:r>
          </w:p>
        </w:tc>
        <w:tc>
          <w:tcPr>
            <w:tcW w:w="0" w:type="dxa"/>
            <w:vAlign w:val="bottom"/>
          </w:tcPr>
          <w:p>
            <w:pPr>
              <w:spacing w:after="0"/>
              <w:rPr>
                <w:sz w:val="1"/>
                <w:szCs w:val="1"/>
                <w:color w:val="auto"/>
              </w:rPr>
            </w:pPr>
          </w:p>
        </w:tc>
      </w:tr>
      <w:tr>
        <w:trPr>
          <w:trHeight w:val="216"/>
        </w:trPr>
        <w:tc>
          <w:tcPr>
            <w:tcW w:w="8800" w:type="dxa"/>
            <w:vAlign w:val="bottom"/>
          </w:tcPr>
          <w:p>
            <w:pPr>
              <w:ind w:left="360"/>
              <w:spacing w:after="0"/>
              <w:rPr>
                <w:sz w:val="20"/>
                <w:szCs w:val="20"/>
                <w:color w:val="auto"/>
              </w:rPr>
            </w:pPr>
            <w:r>
              <w:rPr>
                <w:rFonts w:ascii="Arial" w:cs="Arial" w:eastAsia="Arial" w:hAnsi="Arial"/>
                <w:sz w:val="18"/>
                <w:szCs w:val="18"/>
                <w:color w:val="auto"/>
              </w:rPr>
              <w:t>Marketable securities</w:t>
            </w:r>
          </w:p>
        </w:tc>
        <w:tc>
          <w:tcPr>
            <w:tcW w:w="100" w:type="dxa"/>
            <w:vAlign w:val="bottom"/>
          </w:tcPr>
          <w:p>
            <w:pPr>
              <w:spacing w:after="0"/>
              <w:rPr>
                <w:sz w:val="18"/>
                <w:szCs w:val="18"/>
                <w:color w:val="auto"/>
              </w:rPr>
            </w:pPr>
          </w:p>
        </w:tc>
        <w:tc>
          <w:tcPr>
            <w:tcW w:w="1160" w:type="dxa"/>
            <w:vAlign w:val="bottom"/>
            <w:gridSpan w:val="3"/>
          </w:tcPr>
          <w:p>
            <w:pPr>
              <w:jc w:val="right"/>
              <w:ind w:right="420"/>
              <w:spacing w:after="0"/>
              <w:rPr>
                <w:sz w:val="20"/>
                <w:szCs w:val="20"/>
                <w:color w:val="auto"/>
              </w:rPr>
            </w:pPr>
            <w:r>
              <w:rPr>
                <w:rFonts w:ascii="Arial" w:cs="Arial" w:eastAsia="Arial" w:hAnsi="Arial"/>
                <w:sz w:val="18"/>
                <w:szCs w:val="18"/>
                <w:color w:val="auto"/>
              </w:rPr>
              <w:t>27,225</w:t>
            </w: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234,077</w:t>
            </w: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Prepaid expenses and other current assets</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2,595</w:t>
            </w: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1,338</w:t>
            </w:r>
          </w:p>
        </w:tc>
        <w:tc>
          <w:tcPr>
            <w:tcW w:w="0" w:type="dxa"/>
            <w:vAlign w:val="bottom"/>
          </w:tcPr>
          <w:p>
            <w:pPr>
              <w:spacing w:after="0"/>
              <w:rPr>
                <w:sz w:val="1"/>
                <w:szCs w:val="1"/>
                <w:color w:val="auto"/>
              </w:rPr>
            </w:pPr>
          </w:p>
        </w:tc>
      </w:tr>
      <w:tr>
        <w:trPr>
          <w:trHeight w:val="223"/>
        </w:trPr>
        <w:tc>
          <w:tcPr>
            <w:tcW w:w="8800" w:type="dxa"/>
            <w:vAlign w:val="bottom"/>
          </w:tcPr>
          <w:p>
            <w:pPr>
              <w:ind w:left="720"/>
              <w:spacing w:after="0"/>
              <w:rPr>
                <w:sz w:val="20"/>
                <w:szCs w:val="20"/>
                <w:color w:val="auto"/>
              </w:rPr>
            </w:pPr>
            <w:r>
              <w:rPr>
                <w:rFonts w:ascii="Arial" w:cs="Arial" w:eastAsia="Arial" w:hAnsi="Arial"/>
                <w:sz w:val="18"/>
                <w:szCs w:val="18"/>
                <w:color w:val="auto"/>
              </w:rPr>
              <w:t>Total current assets</w:t>
            </w: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361,369</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271,684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Property and equipment, net</w:t>
            </w:r>
          </w:p>
        </w:tc>
        <w:tc>
          <w:tcPr>
            <w:tcW w:w="10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601</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851</w:t>
            </w:r>
          </w:p>
        </w:tc>
        <w:tc>
          <w:tcPr>
            <w:tcW w:w="0" w:type="dxa"/>
            <w:vAlign w:val="bottom"/>
          </w:tcPr>
          <w:p>
            <w:pPr>
              <w:spacing w:after="0"/>
              <w:rPr>
                <w:sz w:val="1"/>
                <w:szCs w:val="1"/>
                <w:color w:val="auto"/>
              </w:rPr>
            </w:pPr>
          </w:p>
        </w:tc>
      </w:tr>
      <w:tr>
        <w:trPr>
          <w:trHeight w:val="216"/>
        </w:trPr>
        <w:tc>
          <w:tcPr>
            <w:tcW w:w="8800" w:type="dxa"/>
            <w:vAlign w:val="bottom"/>
          </w:tcPr>
          <w:p>
            <w:pPr>
              <w:ind w:left="360"/>
              <w:spacing w:after="0"/>
              <w:rPr>
                <w:sz w:val="20"/>
                <w:szCs w:val="20"/>
                <w:color w:val="auto"/>
              </w:rPr>
            </w:pPr>
            <w:r>
              <w:rPr>
                <w:rFonts w:ascii="Arial" w:cs="Arial" w:eastAsia="Arial" w:hAnsi="Arial"/>
                <w:sz w:val="18"/>
                <w:szCs w:val="18"/>
                <w:color w:val="auto"/>
              </w:rPr>
              <w:t>Right-of-use asset</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602</w:t>
            </w:r>
          </w:p>
        </w:tc>
        <w:tc>
          <w:tcPr>
            <w:tcW w:w="420" w:type="dxa"/>
            <w:vAlign w:val="bottom"/>
            <w:gridSpan w:val="2"/>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797</w:t>
            </w:r>
          </w:p>
        </w:tc>
        <w:tc>
          <w:tcPr>
            <w:tcW w:w="0" w:type="dxa"/>
            <w:vAlign w:val="bottom"/>
          </w:tcPr>
          <w:p>
            <w:pPr>
              <w:spacing w:after="0"/>
              <w:rPr>
                <w:sz w:val="1"/>
                <w:szCs w:val="1"/>
                <w:color w:val="auto"/>
              </w:rPr>
            </w:pPr>
          </w:p>
        </w:tc>
      </w:tr>
      <w:tr>
        <w:trPr>
          <w:trHeight w:val="27"/>
        </w:trPr>
        <w:tc>
          <w:tcPr>
            <w:tcW w:w="88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8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assets</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362,572</w:t>
            </w: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273,332</w:t>
            </w:r>
          </w:p>
        </w:tc>
        <w:tc>
          <w:tcPr>
            <w:tcW w:w="0" w:type="dxa"/>
            <w:vAlign w:val="bottom"/>
          </w:tcPr>
          <w:p>
            <w:pPr>
              <w:spacing w:after="0"/>
              <w:rPr>
                <w:sz w:val="1"/>
                <w:szCs w:val="1"/>
                <w:color w:val="auto"/>
              </w:rPr>
            </w:pPr>
          </w:p>
        </w:tc>
      </w:tr>
      <w:tr>
        <w:trPr>
          <w:trHeight w:val="20"/>
        </w:trPr>
        <w:tc>
          <w:tcPr>
            <w:tcW w:w="880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80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00" w:type="dxa"/>
            <w:vAlign w:val="bottom"/>
          </w:tcPr>
          <w:p>
            <w:pPr>
              <w:ind w:left="360"/>
              <w:spacing w:after="0"/>
              <w:rPr>
                <w:sz w:val="20"/>
                <w:szCs w:val="20"/>
                <w:color w:val="auto"/>
              </w:rPr>
            </w:pPr>
            <w:r>
              <w:rPr>
                <w:rFonts w:ascii="Arial" w:cs="Arial" w:eastAsia="Arial" w:hAnsi="Arial"/>
                <w:sz w:val="18"/>
                <w:szCs w:val="18"/>
                <w:color w:val="auto"/>
              </w:rPr>
              <w:t>Accounts payable</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160" w:type="dxa"/>
            <w:vAlign w:val="bottom"/>
            <w:gridSpan w:val="3"/>
          </w:tcPr>
          <w:p>
            <w:pPr>
              <w:jc w:val="right"/>
              <w:ind w:right="420"/>
              <w:spacing w:after="0"/>
              <w:rPr>
                <w:sz w:val="20"/>
                <w:szCs w:val="20"/>
                <w:color w:val="auto"/>
              </w:rPr>
            </w:pPr>
            <w:r>
              <w:rPr>
                <w:rFonts w:ascii="Arial" w:cs="Arial" w:eastAsia="Arial" w:hAnsi="Arial"/>
                <w:sz w:val="18"/>
                <w:szCs w:val="18"/>
                <w:color w:val="auto"/>
              </w:rPr>
              <w:t>23,831</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21,380</w:t>
            </w: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Accrued expenses</w:t>
            </w:r>
          </w:p>
        </w:tc>
        <w:tc>
          <w:tcPr>
            <w:tcW w:w="10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91,461</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55,048</w:t>
            </w:r>
          </w:p>
        </w:tc>
        <w:tc>
          <w:tcPr>
            <w:tcW w:w="0" w:type="dxa"/>
            <w:vAlign w:val="bottom"/>
          </w:tcPr>
          <w:p>
            <w:pPr>
              <w:spacing w:after="0"/>
              <w:rPr>
                <w:sz w:val="1"/>
                <w:szCs w:val="1"/>
                <w:color w:val="auto"/>
              </w:rPr>
            </w:pPr>
          </w:p>
        </w:tc>
      </w:tr>
      <w:tr>
        <w:trPr>
          <w:trHeight w:val="216"/>
        </w:trPr>
        <w:tc>
          <w:tcPr>
            <w:tcW w:w="8800" w:type="dxa"/>
            <w:vAlign w:val="bottom"/>
          </w:tcPr>
          <w:p>
            <w:pPr>
              <w:ind w:left="360"/>
              <w:spacing w:after="0"/>
              <w:rPr>
                <w:sz w:val="20"/>
                <w:szCs w:val="20"/>
                <w:color w:val="auto"/>
              </w:rPr>
            </w:pPr>
            <w:r>
              <w:rPr>
                <w:rFonts w:ascii="Arial" w:cs="Arial" w:eastAsia="Arial" w:hAnsi="Arial"/>
                <w:sz w:val="18"/>
                <w:szCs w:val="18"/>
                <w:color w:val="auto"/>
              </w:rPr>
              <w:t>Lease liability</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602</w:t>
            </w:r>
          </w:p>
        </w:tc>
        <w:tc>
          <w:tcPr>
            <w:tcW w:w="420" w:type="dxa"/>
            <w:vAlign w:val="bottom"/>
            <w:gridSpan w:val="2"/>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410</w:t>
            </w:r>
          </w:p>
        </w:tc>
        <w:tc>
          <w:tcPr>
            <w:tcW w:w="0" w:type="dxa"/>
            <w:vAlign w:val="bottom"/>
          </w:tcPr>
          <w:p>
            <w:pPr>
              <w:spacing w:after="0"/>
              <w:rPr>
                <w:sz w:val="1"/>
                <w:szCs w:val="1"/>
                <w:color w:val="auto"/>
              </w:rPr>
            </w:pPr>
          </w:p>
        </w:tc>
      </w:tr>
      <w:tr>
        <w:trPr>
          <w:trHeight w:val="27"/>
        </w:trPr>
        <w:tc>
          <w:tcPr>
            <w:tcW w:w="88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8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current liabilities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115,894</w:t>
            </w:r>
          </w:p>
        </w:tc>
        <w:tc>
          <w:tcPr>
            <w:tcW w:w="420" w:type="dxa"/>
            <w:vAlign w:val="bottom"/>
            <w:gridSpan w:val="2"/>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76,838</w:t>
            </w:r>
          </w:p>
        </w:tc>
        <w:tc>
          <w:tcPr>
            <w:tcW w:w="0" w:type="dxa"/>
            <w:vAlign w:val="bottom"/>
          </w:tcPr>
          <w:p>
            <w:pPr>
              <w:spacing w:after="0"/>
              <w:rPr>
                <w:sz w:val="1"/>
                <w:szCs w:val="1"/>
                <w:color w:val="auto"/>
              </w:rPr>
            </w:pPr>
          </w:p>
        </w:tc>
      </w:tr>
      <w:tr>
        <w:trPr>
          <w:trHeight w:val="216"/>
        </w:trPr>
        <w:tc>
          <w:tcPr>
            <w:tcW w:w="8800" w:type="dxa"/>
            <w:vAlign w:val="bottom"/>
          </w:tcPr>
          <w:p>
            <w:pPr>
              <w:spacing w:after="0"/>
              <w:rPr>
                <w:sz w:val="20"/>
                <w:szCs w:val="20"/>
                <w:color w:val="auto"/>
              </w:rPr>
            </w:pPr>
            <w:r>
              <w:rPr>
                <w:rFonts w:ascii="Arial" w:cs="Arial" w:eastAsia="Arial" w:hAnsi="Arial"/>
                <w:sz w:val="18"/>
                <w:szCs w:val="18"/>
                <w:color w:val="auto"/>
              </w:rPr>
              <w:t>Long term liabilities:</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Loan payable, net of discount</w:t>
            </w:r>
          </w:p>
        </w:tc>
        <w:tc>
          <w:tcPr>
            <w:tcW w:w="10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49,289</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800" w:type="dxa"/>
            <w:vAlign w:val="bottom"/>
          </w:tcPr>
          <w:p>
            <w:pPr>
              <w:ind w:left="360"/>
              <w:spacing w:after="0"/>
              <w:rPr>
                <w:sz w:val="20"/>
                <w:szCs w:val="20"/>
                <w:color w:val="auto"/>
              </w:rPr>
            </w:pPr>
            <w:r>
              <w:rPr>
                <w:rFonts w:ascii="Arial" w:cs="Arial" w:eastAsia="Arial" w:hAnsi="Arial"/>
                <w:sz w:val="18"/>
                <w:szCs w:val="18"/>
                <w:color w:val="auto"/>
              </w:rPr>
              <w:t>Lease liability</w:t>
            </w:r>
          </w:p>
        </w:tc>
        <w:tc>
          <w:tcPr>
            <w:tcW w:w="100" w:type="dxa"/>
            <w:vAlign w:val="bottom"/>
          </w:tcPr>
          <w:p>
            <w:pPr>
              <w:spacing w:after="0"/>
              <w:rPr>
                <w:sz w:val="18"/>
                <w:szCs w:val="18"/>
                <w:color w:val="auto"/>
              </w:rPr>
            </w:pPr>
          </w:p>
        </w:tc>
        <w:tc>
          <w:tcPr>
            <w:tcW w:w="7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420" w:type="dxa"/>
            <w:vAlign w:val="bottom"/>
            <w:gridSpan w:val="2"/>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387</w:t>
            </w:r>
          </w:p>
        </w:tc>
        <w:tc>
          <w:tcPr>
            <w:tcW w:w="0" w:type="dxa"/>
            <w:vAlign w:val="bottom"/>
          </w:tcPr>
          <w:p>
            <w:pPr>
              <w:spacing w:after="0"/>
              <w:rPr>
                <w:sz w:val="1"/>
                <w:szCs w:val="1"/>
                <w:color w:val="auto"/>
              </w:rPr>
            </w:pPr>
          </w:p>
        </w:tc>
      </w:tr>
      <w:tr>
        <w:trPr>
          <w:trHeight w:val="27"/>
        </w:trPr>
        <w:tc>
          <w:tcPr>
            <w:tcW w:w="88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8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long term liabilities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49,289</w:t>
            </w:r>
          </w:p>
        </w:tc>
        <w:tc>
          <w:tcPr>
            <w:tcW w:w="420" w:type="dxa"/>
            <w:vAlign w:val="bottom"/>
            <w:gridSpan w:val="2"/>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387</w:t>
            </w:r>
          </w:p>
        </w:tc>
        <w:tc>
          <w:tcPr>
            <w:tcW w:w="0" w:type="dxa"/>
            <w:vAlign w:val="bottom"/>
          </w:tcPr>
          <w:p>
            <w:pPr>
              <w:spacing w:after="0"/>
              <w:rPr>
                <w:sz w:val="1"/>
                <w:szCs w:val="1"/>
                <w:color w:val="auto"/>
              </w:rPr>
            </w:pPr>
          </w:p>
        </w:tc>
      </w:tr>
      <w:tr>
        <w:trPr>
          <w:trHeight w:val="230"/>
        </w:trPr>
        <w:tc>
          <w:tcPr>
            <w:tcW w:w="8800" w:type="dxa"/>
            <w:vAlign w:val="bottom"/>
          </w:tcPr>
          <w:p>
            <w:pPr>
              <w:ind w:left="720"/>
              <w:spacing w:after="0"/>
              <w:rPr>
                <w:sz w:val="20"/>
                <w:szCs w:val="20"/>
                <w:color w:val="auto"/>
              </w:rPr>
            </w:pPr>
            <w:r>
              <w:rPr>
                <w:rFonts w:ascii="Arial" w:cs="Arial" w:eastAsia="Arial" w:hAnsi="Arial"/>
                <w:sz w:val="18"/>
                <w:szCs w:val="18"/>
                <w:color w:val="auto"/>
              </w:rPr>
              <w:t>Total liabilities</w:t>
            </w:r>
          </w:p>
        </w:tc>
        <w:tc>
          <w:tcPr>
            <w:tcW w:w="1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165,183</w:t>
            </w: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77,225</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spacing w:after="0"/>
              <w:rPr>
                <w:sz w:val="20"/>
                <w:szCs w:val="20"/>
                <w:color w:val="auto"/>
              </w:rPr>
            </w:pPr>
            <w:r>
              <w:rPr>
                <w:rFonts w:ascii="Arial" w:cs="Arial" w:eastAsia="Arial" w:hAnsi="Arial"/>
                <w:sz w:val="18"/>
                <w:szCs w:val="18"/>
                <w:color w:val="auto"/>
              </w:rPr>
              <w:t>Stockholders’ equity:</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8800" w:type="dxa"/>
            <w:vAlign w:val="bottom"/>
          </w:tcPr>
          <w:p>
            <w:pPr>
              <w:ind w:left="360"/>
              <w:spacing w:after="0" w:line="201" w:lineRule="exact"/>
              <w:rPr>
                <w:sz w:val="20"/>
                <w:szCs w:val="20"/>
                <w:color w:val="auto"/>
              </w:rPr>
            </w:pPr>
            <w:r>
              <w:rPr>
                <w:rFonts w:ascii="Arial" w:cs="Arial" w:eastAsia="Arial" w:hAnsi="Arial"/>
                <w:sz w:val="18"/>
                <w:szCs w:val="18"/>
                <w:color w:val="auto"/>
              </w:rPr>
              <w:t>Preferred stock, par value $0.0001 per share authorized: 5,000,000 shares at December 31, 2022 and</w:t>
            </w: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800" w:type="dxa"/>
            <w:vAlign w:val="bottom"/>
          </w:tcPr>
          <w:p>
            <w:pPr>
              <w:ind w:left="540"/>
              <w:spacing w:after="0"/>
              <w:rPr>
                <w:sz w:val="20"/>
                <w:szCs w:val="20"/>
                <w:color w:val="auto"/>
              </w:rPr>
            </w:pPr>
            <w:r>
              <w:rPr>
                <w:rFonts w:ascii="Arial" w:cs="Arial" w:eastAsia="Arial" w:hAnsi="Arial"/>
                <w:sz w:val="18"/>
                <w:szCs w:val="18"/>
                <w:color w:val="auto"/>
                <w:w w:val="98"/>
              </w:rPr>
              <w:t>December 31, 2021; 2,369,797 and 1,969,797 shares issued and outstanding at December 31, 2022 and</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800" w:type="dxa"/>
            <w:vAlign w:val="bottom"/>
          </w:tcPr>
          <w:p>
            <w:pPr>
              <w:ind w:left="540"/>
              <w:spacing w:after="0"/>
              <w:rPr>
                <w:sz w:val="20"/>
                <w:szCs w:val="20"/>
                <w:color w:val="auto"/>
              </w:rPr>
            </w:pPr>
            <w:r>
              <w:rPr>
                <w:rFonts w:ascii="Arial" w:cs="Arial" w:eastAsia="Arial" w:hAnsi="Arial"/>
                <w:sz w:val="18"/>
                <w:szCs w:val="18"/>
                <w:color w:val="auto"/>
              </w:rPr>
              <w:t>December 31, 2021, respectively</w:t>
            </w:r>
          </w:p>
        </w:tc>
        <w:tc>
          <w:tcPr>
            <w:tcW w:w="100" w:type="dxa"/>
            <w:vAlign w:val="bottom"/>
          </w:tcPr>
          <w:p>
            <w:pPr>
              <w:spacing w:after="0"/>
              <w:rPr>
                <w:sz w:val="20"/>
                <w:szCs w:val="20"/>
                <w:color w:val="auto"/>
              </w:rPr>
            </w:pPr>
          </w:p>
        </w:tc>
        <w:tc>
          <w:tcPr>
            <w:tcW w:w="1160" w:type="dxa"/>
            <w:vAlign w:val="bottom"/>
            <w:gridSpan w:val="3"/>
          </w:tcPr>
          <w:p>
            <w:pPr>
              <w:jc w:val="right"/>
              <w:ind w:righ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8800" w:type="dxa"/>
            <w:vAlign w:val="bottom"/>
            <w:shd w:val="clear" w:color="auto" w:fill="CCEEFF"/>
          </w:tcPr>
          <w:p>
            <w:pPr>
              <w:ind w:left="360"/>
              <w:spacing w:after="0" w:line="201" w:lineRule="exact"/>
              <w:rPr>
                <w:sz w:val="20"/>
                <w:szCs w:val="20"/>
                <w:color w:val="auto"/>
              </w:rPr>
            </w:pPr>
            <w:r>
              <w:rPr>
                <w:rFonts w:ascii="Arial" w:cs="Arial" w:eastAsia="Arial" w:hAnsi="Arial"/>
                <w:sz w:val="18"/>
                <w:szCs w:val="18"/>
                <w:color w:val="auto"/>
                <w:w w:val="94"/>
              </w:rPr>
              <w:t>Common stock, par value $0.0001 per share authorized: 200,000,000 at December 31, 2022 and December 31,</w:t>
            </w: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ind w:left="540"/>
              <w:spacing w:after="0"/>
              <w:rPr>
                <w:sz w:val="20"/>
                <w:szCs w:val="20"/>
                <w:color w:val="auto"/>
              </w:rPr>
            </w:pPr>
            <w:r>
              <w:rPr>
                <w:rFonts w:ascii="Arial" w:cs="Arial" w:eastAsia="Arial" w:hAnsi="Arial"/>
                <w:sz w:val="18"/>
                <w:szCs w:val="18"/>
                <w:color w:val="auto"/>
                <w:w w:val="96"/>
              </w:rPr>
              <w:t>2021; 18,102,523 and 17,103,395 shares issued and outstanding at December 31, 2022 and December 31,</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8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2021, respectively</w:t>
            </w:r>
          </w:p>
        </w:tc>
        <w:tc>
          <w:tcPr>
            <w:tcW w:w="100" w:type="dxa"/>
            <w:vAlign w:val="bottom"/>
            <w:shd w:val="clear" w:color="auto" w:fill="CCEEFF"/>
          </w:tcPr>
          <w:p>
            <w:pPr>
              <w:spacing w:after="0"/>
              <w:rPr>
                <w:sz w:val="20"/>
                <w:szCs w:val="20"/>
                <w:color w:val="auto"/>
              </w:rPr>
            </w:pPr>
          </w:p>
        </w:tc>
        <w:tc>
          <w:tcPr>
            <w:tcW w:w="116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2</w:t>
            </w:r>
          </w:p>
        </w:tc>
        <w:tc>
          <w:tcPr>
            <w:tcW w:w="14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8800" w:type="dxa"/>
            <w:vAlign w:val="bottom"/>
          </w:tcPr>
          <w:p>
            <w:pPr>
              <w:ind w:left="360"/>
              <w:spacing w:after="0"/>
              <w:rPr>
                <w:sz w:val="20"/>
                <w:szCs w:val="20"/>
                <w:color w:val="auto"/>
              </w:rPr>
            </w:pPr>
            <w:r>
              <w:rPr>
                <w:rFonts w:ascii="Arial" w:cs="Arial" w:eastAsia="Arial" w:hAnsi="Arial"/>
                <w:sz w:val="18"/>
                <w:szCs w:val="18"/>
                <w:color w:val="auto"/>
              </w:rPr>
              <w:t>Additional paid-in-capital</w:t>
            </w: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w w:val="89"/>
              </w:rPr>
              <w:t>1,160,079</w:t>
            </w:r>
          </w:p>
        </w:tc>
        <w:tc>
          <w:tcPr>
            <w:tcW w:w="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863,495</w:t>
            </w: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Accumulated other comprehensive loss</w:t>
            </w:r>
          </w:p>
        </w:tc>
        <w:tc>
          <w:tcPr>
            <w:tcW w:w="10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(32)</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16"/>
        </w:trPr>
        <w:tc>
          <w:tcPr>
            <w:tcW w:w="8800" w:type="dxa"/>
            <w:vAlign w:val="bottom"/>
          </w:tcPr>
          <w:p>
            <w:pPr>
              <w:ind w:left="360"/>
              <w:spacing w:after="0"/>
              <w:rPr>
                <w:sz w:val="20"/>
                <w:szCs w:val="20"/>
                <w:color w:val="auto"/>
              </w:rPr>
            </w:pPr>
            <w:r>
              <w:rPr>
                <w:rFonts w:ascii="Arial" w:cs="Arial" w:eastAsia="Arial" w:hAnsi="Arial"/>
                <w:sz w:val="18"/>
                <w:szCs w:val="18"/>
                <w:color w:val="auto"/>
              </w:rPr>
              <w:t>Accumulated deficit</w:t>
            </w:r>
          </w:p>
        </w:tc>
        <w:tc>
          <w:tcPr>
            <w:tcW w:w="100" w:type="dxa"/>
            <w:vAlign w:val="bottom"/>
          </w:tcPr>
          <w:p>
            <w:pPr>
              <w:spacing w:after="0"/>
              <w:rPr>
                <w:sz w:val="18"/>
                <w:szCs w:val="18"/>
                <w:color w:val="auto"/>
              </w:rPr>
            </w:pPr>
          </w:p>
        </w:tc>
        <w:tc>
          <w:tcPr>
            <w:tcW w:w="1160" w:type="dxa"/>
            <w:vAlign w:val="bottom"/>
            <w:gridSpan w:val="3"/>
          </w:tcPr>
          <w:p>
            <w:pPr>
              <w:jc w:val="right"/>
              <w:ind w:right="360"/>
              <w:spacing w:after="0"/>
              <w:rPr>
                <w:sz w:val="20"/>
                <w:szCs w:val="20"/>
                <w:color w:val="auto"/>
              </w:rPr>
            </w:pPr>
            <w:r>
              <w:rPr>
                <w:rFonts w:ascii="Arial" w:cs="Arial" w:eastAsia="Arial" w:hAnsi="Arial"/>
                <w:sz w:val="18"/>
                <w:szCs w:val="18"/>
                <w:color w:val="auto"/>
              </w:rPr>
              <w:t>(962,660)</w:t>
            </w:r>
          </w:p>
        </w:tc>
        <w:tc>
          <w:tcPr>
            <w:tcW w:w="140" w:type="dxa"/>
            <w:vAlign w:val="bottom"/>
          </w:tcPr>
          <w:p>
            <w:pPr>
              <w:spacing w:after="0"/>
              <w:rPr>
                <w:sz w:val="18"/>
                <w:szCs w:val="18"/>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(667,310)</w:t>
            </w:r>
          </w:p>
        </w:tc>
        <w:tc>
          <w:tcPr>
            <w:tcW w:w="0" w:type="dxa"/>
            <w:vAlign w:val="bottom"/>
          </w:tcPr>
          <w:p>
            <w:pPr>
              <w:spacing w:after="0"/>
              <w:rPr>
                <w:sz w:val="1"/>
                <w:szCs w:val="1"/>
                <w:color w:val="auto"/>
              </w:rPr>
            </w:pPr>
          </w:p>
        </w:tc>
      </w:tr>
      <w:tr>
        <w:trPr>
          <w:trHeight w:val="27"/>
        </w:trPr>
        <w:tc>
          <w:tcPr>
            <w:tcW w:w="88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8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stockholders’ equity</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197,389</w:t>
            </w: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196,107</w:t>
            </w:r>
          </w:p>
        </w:tc>
        <w:tc>
          <w:tcPr>
            <w:tcW w:w="0" w:type="dxa"/>
            <w:vAlign w:val="bottom"/>
          </w:tcPr>
          <w:p>
            <w:pPr>
              <w:spacing w:after="0"/>
              <w:rPr>
                <w:sz w:val="1"/>
                <w:szCs w:val="1"/>
                <w:color w:val="auto"/>
              </w:rPr>
            </w:pPr>
          </w:p>
        </w:tc>
      </w:tr>
      <w:tr>
        <w:trPr>
          <w:trHeight w:val="223"/>
        </w:trPr>
        <w:tc>
          <w:tcPr>
            <w:tcW w:w="8800" w:type="dxa"/>
            <w:vAlign w:val="bottom"/>
          </w:tcPr>
          <w:p>
            <w:pPr>
              <w:ind w:left="720"/>
              <w:spacing w:after="0"/>
              <w:rPr>
                <w:sz w:val="20"/>
                <w:szCs w:val="20"/>
                <w:color w:val="auto"/>
              </w:rPr>
            </w:pPr>
            <w:r>
              <w:rPr>
                <w:rFonts w:ascii="Arial" w:cs="Arial" w:eastAsia="Arial" w:hAnsi="Arial"/>
                <w:sz w:val="18"/>
                <w:szCs w:val="18"/>
                <w:color w:val="auto"/>
              </w:rPr>
              <w:t>Total liabilities and stockholders’ equity</w:t>
            </w: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362,572</w:t>
            </w:r>
          </w:p>
        </w:tc>
        <w:tc>
          <w:tcPr>
            <w:tcW w:w="20" w:type="dxa"/>
            <w:vAlign w:val="bottom"/>
            <w:tcBorders>
              <w:bottom w:val="single" w:sz="8" w:color="auto"/>
            </w:tcBorders>
          </w:tcPr>
          <w:p>
            <w:pPr>
              <w:spacing w:after="0"/>
              <w:rPr>
                <w:sz w:val="19"/>
                <w:szCs w:val="19"/>
                <w:color w:val="auto"/>
              </w:rPr>
            </w:pPr>
          </w:p>
        </w:tc>
        <w:tc>
          <w:tcPr>
            <w:tcW w:w="40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273,332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8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F-5</w:t>
      </w:r>
    </w:p>
    <w:p>
      <w:pPr>
        <w:sectPr>
          <w:pgSz w:w="11900" w:h="16838" w:orient="portrait"/>
          <w:cols w:equalWidth="0" w:num="1">
            <w:col w:w="11140"/>
          </w:cols>
          <w:pgMar w:left="320" w:top="486" w:right="4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2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48" w:lineRule="exact"/>
        <w:rPr>
          <w:sz w:val="20"/>
          <w:szCs w:val="20"/>
          <w:color w:val="auto"/>
        </w:rPr>
      </w:pPr>
    </w:p>
    <w:tbl>
      <w:tblPr>
        <w:tblLayout w:type="fixed"/>
        <w:tblInd w:w="120" w:type="dxa"/>
        <w:tblCellMar>
          <w:top w:w="0" w:type="dxa"/>
          <w:left w:w="0" w:type="dxa"/>
          <w:bottom w:w="0" w:type="dxa"/>
          <w:right w:w="0" w:type="dxa"/>
        </w:tblCellMar>
      </w:tblPr>
      <w:tr>
        <w:trPr>
          <w:trHeight w:val="171"/>
        </w:trPr>
        <w:tc>
          <w:tcPr>
            <w:tcW w:w="7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840" w:type="dxa"/>
            <w:vAlign w:val="bottom"/>
            <w:tcBorders>
              <w:bottom w:val="single" w:sz="8" w:color="auto"/>
            </w:tcBorders>
            <w:gridSpan w:val="4"/>
          </w:tcPr>
          <w:p>
            <w:pPr>
              <w:jc w:val="right"/>
              <w:ind w:right="180"/>
              <w:spacing w:after="0"/>
              <w:rPr>
                <w:sz w:val="20"/>
                <w:szCs w:val="20"/>
                <w:color w:val="auto"/>
              </w:rPr>
            </w:pPr>
            <w:r>
              <w:rPr>
                <w:rFonts w:ascii="Arial" w:cs="Arial" w:eastAsia="Arial" w:hAnsi="Arial"/>
                <w:sz w:val="14"/>
                <w:szCs w:val="14"/>
                <w:b w:val="1"/>
                <w:bCs w:val="1"/>
                <w:color w:val="auto"/>
                <w:w w:val="95"/>
              </w:rPr>
              <w:t>Year Ended December 31,</w:t>
            </w: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1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12"/>
              <w:spacing w:after="0" w:line="142" w:lineRule="exact"/>
              <w:rPr>
                <w:sz w:val="20"/>
                <w:szCs w:val="20"/>
                <w:color w:val="auto"/>
              </w:rPr>
            </w:pPr>
            <w:r>
              <w:rPr>
                <w:rFonts w:ascii="Arial" w:cs="Arial" w:eastAsia="Arial" w:hAnsi="Arial"/>
                <w:sz w:val="14"/>
                <w:szCs w:val="14"/>
                <w:b w:val="1"/>
                <w:bCs w:val="1"/>
                <w:color w:val="auto"/>
              </w:rPr>
              <w:t>2022</w:t>
            </w:r>
          </w:p>
        </w:tc>
        <w:tc>
          <w:tcPr>
            <w:tcW w:w="120" w:type="dxa"/>
            <w:vAlign w:val="bottom"/>
            <w:tcBorders>
              <w:bottom w:val="single" w:sz="8" w:color="CCEEFF"/>
            </w:tcBorders>
          </w:tcPr>
          <w:p>
            <w:pPr>
              <w:spacing w:after="0"/>
              <w:rPr>
                <w:sz w:val="12"/>
                <w:szCs w:val="12"/>
                <w:color w:val="auto"/>
              </w:rPr>
            </w:pPr>
          </w:p>
        </w:tc>
        <w:tc>
          <w:tcPr>
            <w:tcW w:w="42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212"/>
              <w:spacing w:after="0" w:line="142" w:lineRule="exact"/>
              <w:rPr>
                <w:sz w:val="20"/>
                <w:szCs w:val="20"/>
                <w:color w:val="auto"/>
              </w:rPr>
            </w:pPr>
            <w:r>
              <w:rPr>
                <w:rFonts w:ascii="Arial" w:cs="Arial" w:eastAsia="Arial" w:hAnsi="Arial"/>
                <w:sz w:val="14"/>
                <w:szCs w:val="14"/>
                <w:b w:val="1"/>
                <w:bCs w:val="1"/>
                <w:color w:val="auto"/>
              </w:rPr>
              <w:t>2021</w:t>
            </w:r>
          </w:p>
        </w:tc>
        <w:tc>
          <w:tcPr>
            <w:tcW w:w="5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232"/>
              <w:spacing w:after="0" w:line="142" w:lineRule="exact"/>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7120" w:type="dxa"/>
            <w:vAlign w:val="bottom"/>
            <w:shd w:val="clear" w:color="auto" w:fill="CCEEFF"/>
          </w:tcPr>
          <w:p>
            <w:pPr>
              <w:spacing w:after="0"/>
              <w:rPr>
                <w:sz w:val="20"/>
                <w:szCs w:val="20"/>
                <w:color w:val="auto"/>
              </w:rPr>
            </w:pPr>
            <w:r>
              <w:rPr>
                <w:rFonts w:ascii="Arial" w:cs="Arial" w:eastAsia="Arial" w:hAnsi="Arial"/>
                <w:sz w:val="18"/>
                <w:szCs w:val="18"/>
                <w:color w:val="auto"/>
              </w:rPr>
              <w:t>Revenues:</w:t>
            </w: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120" w:type="dxa"/>
            <w:vAlign w:val="bottom"/>
          </w:tcPr>
          <w:p>
            <w:pPr>
              <w:ind w:left="360"/>
              <w:spacing w:after="0"/>
              <w:rPr>
                <w:sz w:val="20"/>
                <w:szCs w:val="20"/>
                <w:color w:val="auto"/>
              </w:rPr>
            </w:pPr>
            <w:r>
              <w:rPr>
                <w:rFonts w:ascii="Arial" w:cs="Arial" w:eastAsia="Arial" w:hAnsi="Arial"/>
                <w:sz w:val="18"/>
                <w:szCs w:val="18"/>
                <w:color w:val="auto"/>
              </w:rPr>
              <w:t>Total revenues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62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12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120" w:type="dxa"/>
            <w:vAlign w:val="bottom"/>
          </w:tcPr>
          <w:p>
            <w:pPr>
              <w:ind w:left="360"/>
              <w:spacing w:after="0"/>
              <w:rPr>
                <w:sz w:val="20"/>
                <w:szCs w:val="20"/>
                <w:color w:val="auto"/>
              </w:rPr>
            </w:pPr>
            <w:r>
              <w:rPr>
                <w:rFonts w:ascii="Arial" w:cs="Arial" w:eastAsia="Arial" w:hAnsi="Arial"/>
                <w:sz w:val="18"/>
                <w:szCs w:val="18"/>
                <w:color w:val="auto"/>
              </w:rPr>
              <w:t>Research and development</w:t>
            </w:r>
          </w:p>
        </w:tc>
        <w:tc>
          <w:tcPr>
            <w:tcW w:w="10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245,441</w:t>
            </w: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40" w:type="dxa"/>
            <w:vAlign w:val="bottom"/>
            <w:gridSpan w:val="2"/>
          </w:tcPr>
          <w:p>
            <w:pPr>
              <w:jc w:val="right"/>
              <w:ind w:right="520"/>
              <w:spacing w:after="0"/>
              <w:rPr>
                <w:sz w:val="20"/>
                <w:szCs w:val="20"/>
                <w:color w:val="auto"/>
              </w:rPr>
            </w:pPr>
            <w:r>
              <w:rPr>
                <w:rFonts w:ascii="Arial" w:cs="Arial" w:eastAsia="Arial" w:hAnsi="Arial"/>
                <w:sz w:val="18"/>
                <w:szCs w:val="18"/>
                <w:color w:val="auto"/>
              </w:rPr>
              <w:t>205,164</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184,809</w:t>
            </w:r>
          </w:p>
        </w:tc>
        <w:tc>
          <w:tcPr>
            <w:tcW w:w="0" w:type="dxa"/>
            <w:vAlign w:val="bottom"/>
          </w:tcPr>
          <w:p>
            <w:pPr>
              <w:spacing w:after="0"/>
              <w:rPr>
                <w:sz w:val="1"/>
                <w:szCs w:val="1"/>
                <w:color w:val="auto"/>
              </w:rPr>
            </w:pPr>
          </w:p>
        </w:tc>
      </w:tr>
      <w:tr>
        <w:trPr>
          <w:trHeight w:val="216"/>
        </w:trPr>
        <w:tc>
          <w:tcPr>
            <w:tcW w:w="71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General and administrative</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48,130</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37,318</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21,864</w:t>
            </w:r>
          </w:p>
        </w:tc>
        <w:tc>
          <w:tcPr>
            <w:tcW w:w="0" w:type="dxa"/>
            <w:vAlign w:val="bottom"/>
          </w:tcPr>
          <w:p>
            <w:pPr>
              <w:spacing w:after="0"/>
              <w:rPr>
                <w:sz w:val="1"/>
                <w:szCs w:val="1"/>
                <w:color w:val="auto"/>
              </w:rPr>
            </w:pPr>
          </w:p>
        </w:tc>
      </w:tr>
      <w:tr>
        <w:trPr>
          <w:trHeight w:val="230"/>
        </w:trPr>
        <w:tc>
          <w:tcPr>
            <w:tcW w:w="7120" w:type="dxa"/>
            <w:vAlign w:val="bottom"/>
          </w:tcPr>
          <w:p>
            <w:pPr>
              <w:ind w:left="360"/>
              <w:spacing w:after="0"/>
              <w:rPr>
                <w:sz w:val="20"/>
                <w:szCs w:val="20"/>
                <w:color w:val="auto"/>
              </w:rPr>
            </w:pPr>
            <w:r>
              <w:rPr>
                <w:rFonts w:ascii="Arial" w:cs="Arial" w:eastAsia="Arial" w:hAnsi="Arial"/>
                <w:sz w:val="18"/>
                <w:szCs w:val="18"/>
                <w:color w:val="auto"/>
              </w:rPr>
              <w:t>Total operating expenses</w:t>
            </w:r>
          </w:p>
        </w:tc>
        <w:tc>
          <w:tcPr>
            <w:tcW w:w="10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293,571</w:t>
            </w: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242,482</w:t>
            </w:r>
          </w:p>
        </w:tc>
        <w:tc>
          <w:tcPr>
            <w:tcW w:w="5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206,673</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1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Loss from operations</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(293,571)</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(242,482)</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(206,673)</w:t>
            </w:r>
          </w:p>
        </w:tc>
        <w:tc>
          <w:tcPr>
            <w:tcW w:w="0" w:type="dxa"/>
            <w:vAlign w:val="bottom"/>
          </w:tcPr>
          <w:p>
            <w:pPr>
              <w:spacing w:after="0"/>
              <w:rPr>
                <w:sz w:val="1"/>
                <w:szCs w:val="1"/>
                <w:color w:val="auto"/>
              </w:rPr>
            </w:pPr>
          </w:p>
        </w:tc>
      </w:tr>
      <w:tr>
        <w:trPr>
          <w:trHeight w:val="216"/>
        </w:trPr>
        <w:tc>
          <w:tcPr>
            <w:tcW w:w="7120" w:type="dxa"/>
            <w:vAlign w:val="bottom"/>
          </w:tcPr>
          <w:p>
            <w:pPr>
              <w:ind w:left="360"/>
              <w:spacing w:after="0"/>
              <w:rPr>
                <w:sz w:val="20"/>
                <w:szCs w:val="20"/>
                <w:color w:val="auto"/>
              </w:rPr>
            </w:pPr>
            <w:r>
              <w:rPr>
                <w:rFonts w:ascii="Arial" w:cs="Arial" w:eastAsia="Arial" w:hAnsi="Arial"/>
                <w:sz w:val="18"/>
                <w:szCs w:val="18"/>
                <w:color w:val="auto"/>
              </w:rPr>
              <w:t>Interest income</w:t>
            </w:r>
          </w:p>
        </w:tc>
        <w:tc>
          <w:tcPr>
            <w:tcW w:w="10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2,185</w:t>
            </w: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40" w:type="dxa"/>
            <w:vAlign w:val="bottom"/>
            <w:gridSpan w:val="2"/>
          </w:tcPr>
          <w:p>
            <w:pPr>
              <w:jc w:val="right"/>
              <w:ind w:right="520"/>
              <w:spacing w:after="0"/>
              <w:rPr>
                <w:sz w:val="20"/>
                <w:szCs w:val="20"/>
                <w:color w:val="auto"/>
              </w:rPr>
            </w:pPr>
            <w:r>
              <w:rPr>
                <w:rFonts w:ascii="Arial" w:cs="Arial" w:eastAsia="Arial" w:hAnsi="Arial"/>
                <w:sz w:val="18"/>
                <w:szCs w:val="18"/>
                <w:color w:val="auto"/>
              </w:rPr>
              <w:t>363</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4,329</w:t>
            </w:r>
          </w:p>
        </w:tc>
        <w:tc>
          <w:tcPr>
            <w:tcW w:w="0" w:type="dxa"/>
            <w:vAlign w:val="bottom"/>
          </w:tcPr>
          <w:p>
            <w:pPr>
              <w:spacing w:after="0"/>
              <w:rPr>
                <w:sz w:val="1"/>
                <w:szCs w:val="1"/>
                <w:color w:val="auto"/>
              </w:rPr>
            </w:pPr>
          </w:p>
        </w:tc>
      </w:tr>
      <w:tr>
        <w:trPr>
          <w:trHeight w:val="216"/>
        </w:trPr>
        <w:tc>
          <w:tcPr>
            <w:tcW w:w="71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Interest expense</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(3,964)</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120" w:type="dxa"/>
            <w:vAlign w:val="bottom"/>
          </w:tcPr>
          <w:p>
            <w:pPr>
              <w:ind w:left="360"/>
              <w:spacing w:after="0"/>
              <w:rPr>
                <w:sz w:val="20"/>
                <w:szCs w:val="20"/>
                <w:color w:val="auto"/>
              </w:rPr>
            </w:pPr>
            <w:r>
              <w:rPr>
                <w:rFonts w:ascii="Arial" w:cs="Arial" w:eastAsia="Arial" w:hAnsi="Arial"/>
                <w:sz w:val="18"/>
                <w:szCs w:val="18"/>
                <w:color w:val="auto"/>
              </w:rPr>
              <w:t>Other income</w:t>
            </w:r>
          </w:p>
        </w:tc>
        <w:tc>
          <w:tcPr>
            <w:tcW w:w="1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273</w:t>
            </w:r>
          </w:p>
        </w:tc>
        <w:tc>
          <w:tcPr>
            <w:tcW w:w="5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71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Net loss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(295,350)</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(241,846)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(202,244)</w:t>
            </w:r>
          </w:p>
        </w:tc>
        <w:tc>
          <w:tcPr>
            <w:tcW w:w="0" w:type="dxa"/>
            <w:vAlign w:val="bottom"/>
          </w:tcPr>
          <w:p>
            <w:pPr>
              <w:spacing w:after="0"/>
              <w:rPr>
                <w:sz w:val="1"/>
                <w:szCs w:val="1"/>
                <w:color w:val="auto"/>
              </w:rPr>
            </w:pPr>
          </w:p>
        </w:tc>
      </w:tr>
      <w:tr>
        <w:trPr>
          <w:trHeight w:val="20"/>
        </w:trPr>
        <w:tc>
          <w:tcPr>
            <w:tcW w:w="7120" w:type="dxa"/>
            <w:vAlign w:val="bottom"/>
            <w:vMerge w:val="restart"/>
          </w:tcPr>
          <w:p>
            <w:pPr>
              <w:spacing w:after="0"/>
              <w:rPr>
                <w:sz w:val="20"/>
                <w:szCs w:val="20"/>
                <w:color w:val="auto"/>
              </w:rPr>
            </w:pPr>
            <w:r>
              <w:rPr>
                <w:rFonts w:ascii="Arial" w:cs="Arial" w:eastAsia="Arial" w:hAnsi="Arial"/>
                <w:sz w:val="18"/>
                <w:szCs w:val="18"/>
                <w:color w:val="auto"/>
              </w:rPr>
              <w:t>Net loss per common share:</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1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120" w:type="dxa"/>
            <w:vAlign w:val="bottom"/>
            <w:shd w:val="clear" w:color="auto" w:fill="CCEEFF"/>
          </w:tcPr>
          <w:p>
            <w:pPr>
              <w:spacing w:after="0"/>
              <w:rPr>
                <w:sz w:val="20"/>
                <w:szCs w:val="20"/>
                <w:color w:val="auto"/>
              </w:rPr>
            </w:pPr>
            <w:r>
              <w:rPr>
                <w:rFonts w:ascii="Arial" w:cs="Arial" w:eastAsia="Arial" w:hAnsi="Arial"/>
                <w:sz w:val="18"/>
                <w:szCs w:val="18"/>
                <w:color w:val="auto"/>
              </w:rPr>
              <w:t>Basic and diluted net loss per common share</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(17.23)</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(14.63)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(13.09)</w:t>
            </w:r>
          </w:p>
        </w:tc>
        <w:tc>
          <w:tcPr>
            <w:tcW w:w="0" w:type="dxa"/>
            <w:vAlign w:val="bottom"/>
          </w:tcPr>
          <w:p>
            <w:pPr>
              <w:spacing w:after="0"/>
              <w:rPr>
                <w:sz w:val="1"/>
                <w:szCs w:val="1"/>
                <w:color w:val="auto"/>
              </w:rPr>
            </w:pPr>
          </w:p>
        </w:tc>
      </w:tr>
      <w:tr>
        <w:trPr>
          <w:trHeight w:val="230"/>
        </w:trPr>
        <w:tc>
          <w:tcPr>
            <w:tcW w:w="7120" w:type="dxa"/>
            <w:vAlign w:val="bottom"/>
          </w:tcPr>
          <w:p>
            <w:pPr>
              <w:spacing w:after="0"/>
              <w:rPr>
                <w:sz w:val="20"/>
                <w:szCs w:val="20"/>
                <w:color w:val="auto"/>
              </w:rPr>
            </w:pPr>
            <w:r>
              <w:rPr>
                <w:rFonts w:ascii="Arial" w:cs="Arial" w:eastAsia="Arial" w:hAnsi="Arial"/>
                <w:sz w:val="18"/>
                <w:szCs w:val="18"/>
                <w:color w:val="auto"/>
              </w:rPr>
              <w:t>Basic and diluted weighted average number of common shares outstanding</w:t>
            </w:r>
          </w:p>
        </w:tc>
        <w:tc>
          <w:tcPr>
            <w:tcW w:w="100" w:type="dxa"/>
            <w:vAlign w:val="bottom"/>
          </w:tcPr>
          <w:p>
            <w:pPr>
              <w:spacing w:after="0"/>
              <w:rPr>
                <w:sz w:val="20"/>
                <w:szCs w:val="20"/>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w w:val="86"/>
              </w:rPr>
              <w:t>17,137,201</w:t>
            </w:r>
          </w:p>
        </w:tc>
        <w:tc>
          <w:tcPr>
            <w:tcW w:w="4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340" w:type="dxa"/>
            <w:vAlign w:val="bottom"/>
            <w:gridSpan w:val="2"/>
          </w:tcPr>
          <w:p>
            <w:pPr>
              <w:jc w:val="right"/>
              <w:ind w:right="520"/>
              <w:spacing w:after="0"/>
              <w:rPr>
                <w:sz w:val="20"/>
                <w:szCs w:val="20"/>
                <w:color w:val="auto"/>
              </w:rPr>
            </w:pPr>
            <w:r>
              <w:rPr>
                <w:rFonts w:ascii="Arial" w:cs="Arial" w:eastAsia="Arial" w:hAnsi="Arial"/>
                <w:sz w:val="18"/>
                <w:szCs w:val="18"/>
                <w:color w:val="auto"/>
                <w:w w:val="88"/>
              </w:rPr>
              <w:t>16,535,188</w:t>
            </w:r>
          </w:p>
        </w:tc>
        <w:tc>
          <w:tcPr>
            <w:tcW w:w="100" w:type="dxa"/>
            <w:vAlign w:val="bottom"/>
          </w:tcPr>
          <w:p>
            <w:pPr>
              <w:spacing w:after="0"/>
              <w:rPr>
                <w:sz w:val="20"/>
                <w:szCs w:val="20"/>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15,446,638</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F-6</w:t>
      </w:r>
    </w:p>
    <w:p>
      <w:pPr>
        <w:sectPr>
          <w:pgSz w:w="11900" w:h="16838" w:orient="portrait"/>
          <w:cols w:equalWidth="0" w:num="1">
            <w:col w:w="11120"/>
          </w:cols>
          <w:pgMar w:left="320" w:top="486" w:right="45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Consolidated Statements of Comprehensive Loss</w:t>
      </w:r>
    </w:p>
    <w:p>
      <w:pPr>
        <w:spacing w:after="0" w:line="22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48" w:lineRule="exact"/>
        <w:rPr>
          <w:sz w:val="20"/>
          <w:szCs w:val="20"/>
          <w:color w:val="auto"/>
        </w:rPr>
      </w:pPr>
    </w:p>
    <w:tbl>
      <w:tblPr>
        <w:tblLayout w:type="fixed"/>
        <w:tblInd w:w="120" w:type="dxa"/>
        <w:tblCellMar>
          <w:top w:w="0" w:type="dxa"/>
          <w:left w:w="0" w:type="dxa"/>
          <w:bottom w:w="0" w:type="dxa"/>
          <w:right w:w="0" w:type="dxa"/>
        </w:tblCellMar>
      </w:tblPr>
      <w:tr>
        <w:trPr>
          <w:trHeight w:val="171"/>
        </w:trPr>
        <w:tc>
          <w:tcPr>
            <w:tcW w:w="79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040" w:type="dxa"/>
            <w:vAlign w:val="bottom"/>
            <w:gridSpan w:val="8"/>
          </w:tcPr>
          <w:p>
            <w:pPr>
              <w:jc w:val="center"/>
              <w:ind w:right="41"/>
              <w:spacing w:after="0"/>
              <w:rPr>
                <w:sz w:val="20"/>
                <w:szCs w:val="20"/>
                <w:color w:val="auto"/>
              </w:rPr>
            </w:pPr>
            <w:r>
              <w:rPr>
                <w:rFonts w:ascii="Arial" w:cs="Arial" w:eastAsia="Arial" w:hAnsi="Arial"/>
                <w:sz w:val="14"/>
                <w:szCs w:val="14"/>
                <w:b w:val="1"/>
                <w:bCs w:val="1"/>
                <w:color w:val="auto"/>
                <w:w w:val="93"/>
              </w:rPr>
              <w:t>Year Ended December 31,</w:t>
            </w:r>
          </w:p>
        </w:tc>
      </w:tr>
      <w:tr>
        <w:trPr>
          <w:trHeight w:val="142"/>
        </w:trPr>
        <w:tc>
          <w:tcPr>
            <w:tcW w:w="79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40" w:type="dxa"/>
            <w:vAlign w:val="bottom"/>
            <w:tcBorders>
              <w:top w:val="single" w:sz="8" w:color="auto"/>
            </w:tcBorders>
          </w:tcPr>
          <w:p>
            <w:pPr>
              <w:jc w:val="right"/>
              <w:ind w:right="159"/>
              <w:spacing w:after="0" w:line="142" w:lineRule="exact"/>
              <w:rPr>
                <w:sz w:val="20"/>
                <w:szCs w:val="20"/>
                <w:color w:val="auto"/>
              </w:rPr>
            </w:pPr>
            <w:r>
              <w:rPr>
                <w:rFonts w:ascii="Arial" w:cs="Arial" w:eastAsia="Arial" w:hAnsi="Arial"/>
                <w:sz w:val="14"/>
                <w:szCs w:val="14"/>
                <w:b w:val="1"/>
                <w:bCs w:val="1"/>
                <w:color w:val="auto"/>
              </w:rPr>
              <w:t>2022</w:t>
            </w:r>
          </w:p>
        </w:tc>
        <w:tc>
          <w:tcPr>
            <w:tcW w:w="2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900" w:type="dxa"/>
            <w:vAlign w:val="bottom"/>
            <w:tcBorders>
              <w:top w:val="single" w:sz="8" w:color="auto"/>
            </w:tcBorders>
            <w:gridSpan w:val="2"/>
          </w:tcPr>
          <w:p>
            <w:pPr>
              <w:jc w:val="center"/>
              <w:ind w:left="59"/>
              <w:spacing w:after="0" w:line="142" w:lineRule="exact"/>
              <w:rPr>
                <w:sz w:val="20"/>
                <w:szCs w:val="20"/>
                <w:color w:val="auto"/>
              </w:rPr>
            </w:pPr>
            <w:r>
              <w:rPr>
                <w:rFonts w:ascii="Arial" w:cs="Arial" w:eastAsia="Arial" w:hAnsi="Arial"/>
                <w:sz w:val="14"/>
                <w:szCs w:val="14"/>
                <w:b w:val="1"/>
                <w:bCs w:val="1"/>
                <w:color w:val="auto"/>
                <w:w w:val="89"/>
              </w:rPr>
              <w:t>2021</w:t>
            </w:r>
          </w:p>
        </w:tc>
        <w:tc>
          <w:tcPr>
            <w:tcW w:w="34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ind w:right="175"/>
              <w:spacing w:after="0" w:line="142" w:lineRule="exact"/>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2"/>
                <w:szCs w:val="12"/>
                <w:color w:val="auto"/>
              </w:rPr>
            </w:pPr>
          </w:p>
        </w:tc>
      </w:tr>
      <w:tr>
        <w:trPr>
          <w:trHeight w:val="210"/>
        </w:trPr>
        <w:tc>
          <w:tcPr>
            <w:tcW w:w="79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Loss</w:t>
            </w:r>
          </w:p>
        </w:tc>
        <w:tc>
          <w:tcPr>
            <w:tcW w:w="2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8"/>
              </w:rPr>
              <w:t>$ (295,350)</w:t>
            </w:r>
          </w:p>
        </w:tc>
        <w:tc>
          <w:tcPr>
            <w:tcW w:w="180" w:type="dxa"/>
            <w:vAlign w:val="bottom"/>
            <w:tcBorders>
              <w:top w:val="single" w:sz="8" w:color="CCEEFF"/>
            </w:tcBorders>
            <w:gridSpan w:val="2"/>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0"/>
              </w:rPr>
              <w:t>$ (241,846)</w:t>
            </w:r>
          </w:p>
        </w:tc>
        <w:tc>
          <w:tcPr>
            <w:tcW w:w="34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2"/>
              </w:rPr>
              <w:t>$ (202,244)</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7920" w:type="dxa"/>
            <w:vAlign w:val="bottom"/>
          </w:tcPr>
          <w:p>
            <w:pPr>
              <w:spacing w:after="0"/>
              <w:rPr>
                <w:sz w:val="20"/>
                <w:szCs w:val="20"/>
                <w:color w:val="auto"/>
              </w:rPr>
            </w:pPr>
            <w:r>
              <w:rPr>
                <w:rFonts w:ascii="Arial" w:cs="Arial" w:eastAsia="Arial" w:hAnsi="Arial"/>
                <w:sz w:val="18"/>
                <w:szCs w:val="18"/>
                <w:color w:val="auto"/>
              </w:rPr>
              <w:t>Other comprehensive income (loss):</w:t>
            </w:r>
          </w:p>
        </w:tc>
        <w:tc>
          <w:tcPr>
            <w:tcW w:w="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9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Unrealized gain (loss) on available-for-sale securities</w:t>
            </w:r>
          </w:p>
        </w:tc>
        <w:tc>
          <w:tcPr>
            <w:tcW w:w="940" w:type="dxa"/>
            <w:vAlign w:val="bottom"/>
            <w:gridSpan w:val="4"/>
            <w:shd w:val="clear" w:color="auto" w:fill="CCEEFF"/>
          </w:tcPr>
          <w:p>
            <w:pPr>
              <w:jc w:val="right"/>
              <w:ind w:right="180"/>
              <w:spacing w:after="0"/>
              <w:rPr>
                <w:sz w:val="20"/>
                <w:szCs w:val="20"/>
                <w:color w:val="auto"/>
              </w:rPr>
            </w:pPr>
            <w:r>
              <w:rPr>
                <w:rFonts w:ascii="Arial" w:cs="Arial" w:eastAsia="Arial" w:hAnsi="Arial"/>
                <w:sz w:val="18"/>
                <w:szCs w:val="18"/>
                <w:color w:val="auto"/>
              </w:rPr>
              <w:t>48</w:t>
            </w:r>
          </w:p>
        </w:tc>
        <w:tc>
          <w:tcPr>
            <w:tcW w:w="1240" w:type="dxa"/>
            <w:vAlign w:val="bottom"/>
            <w:gridSpan w:val="3"/>
            <w:shd w:val="clear" w:color="auto" w:fill="CCEEFF"/>
          </w:tcPr>
          <w:p>
            <w:pPr>
              <w:jc w:val="right"/>
              <w:ind w:right="170"/>
              <w:spacing w:after="0"/>
              <w:rPr>
                <w:sz w:val="20"/>
                <w:szCs w:val="20"/>
                <w:color w:val="auto"/>
              </w:rPr>
            </w:pPr>
            <w:r>
              <w:rPr>
                <w:rFonts w:ascii="Arial" w:cs="Arial" w:eastAsia="Arial" w:hAnsi="Arial"/>
                <w:sz w:val="18"/>
                <w:szCs w:val="18"/>
                <w:color w:val="auto"/>
              </w:rPr>
              <w:t>(127)</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(169)</w:t>
            </w:r>
          </w:p>
        </w:tc>
      </w:tr>
      <w:tr>
        <w:trPr>
          <w:trHeight w:val="223"/>
        </w:trPr>
        <w:tc>
          <w:tcPr>
            <w:tcW w:w="7920" w:type="dxa"/>
            <w:vAlign w:val="bottom"/>
          </w:tcPr>
          <w:p>
            <w:pPr>
              <w:ind w:left="720"/>
              <w:spacing w:after="0"/>
              <w:rPr>
                <w:sz w:val="20"/>
                <w:szCs w:val="20"/>
                <w:color w:val="auto"/>
              </w:rPr>
            </w:pPr>
            <w:r>
              <w:rPr>
                <w:rFonts w:ascii="Arial" w:cs="Arial" w:eastAsia="Arial" w:hAnsi="Arial"/>
                <w:sz w:val="18"/>
                <w:szCs w:val="18"/>
                <w:color w:val="auto"/>
              </w:rPr>
              <w:t>Comprehensive loss</w:t>
            </w:r>
          </w:p>
        </w:tc>
        <w:tc>
          <w:tcPr>
            <w:tcW w:w="20" w:type="dxa"/>
            <w:vAlign w:val="bottom"/>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u w:val="single" w:color="auto"/>
                <w:color w:val="auto"/>
                <w:w w:val="83"/>
              </w:rPr>
              <w:t>$</w:t>
            </w:r>
            <w:r>
              <w:rPr>
                <w:rFonts w:ascii="Arial" w:cs="Arial" w:eastAsia="Arial" w:hAnsi="Arial"/>
                <w:sz w:val="18"/>
                <w:szCs w:val="18"/>
                <w:color w:val="auto"/>
                <w:w w:val="83"/>
              </w:rPr>
              <w:t xml:space="preserve"> (295,302</w:t>
            </w:r>
          </w:p>
        </w:tc>
        <w:tc>
          <w:tcPr>
            <w:tcW w:w="180" w:type="dxa"/>
            <w:vAlign w:val="bottom"/>
            <w:gridSpan w:val="2"/>
          </w:tcPr>
          <w:p>
            <w:pPr>
              <w:jc w:val="right"/>
              <w:ind w:right="120"/>
              <w:spacing w:after="0"/>
              <w:rPr>
                <w:sz w:val="20"/>
                <w:szCs w:val="20"/>
                <w:color w:val="auto"/>
              </w:rPr>
            </w:pPr>
            <w:r>
              <w:rPr>
                <w:rFonts w:ascii="Arial" w:cs="Arial" w:eastAsia="Arial" w:hAnsi="Arial"/>
                <w:sz w:val="16"/>
                <w:szCs w:val="16"/>
                <w:color w:val="auto"/>
                <w:w w:val="74"/>
              </w:rPr>
              <w:t>)</w:t>
            </w:r>
          </w:p>
        </w:tc>
        <w:tc>
          <w:tcPr>
            <w:tcW w:w="140" w:type="dxa"/>
            <w:vAlign w:val="bottom"/>
          </w:tcPr>
          <w:p>
            <w:pPr>
              <w:spacing w:after="0"/>
              <w:rPr>
                <w:sz w:val="19"/>
                <w:szCs w:val="19"/>
                <w:color w:val="auto"/>
              </w:rPr>
            </w:pPr>
          </w:p>
        </w:tc>
        <w:tc>
          <w:tcPr>
            <w:tcW w:w="7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8"/>
              </w:rPr>
              <w:t>$ (241,973</w:t>
            </w:r>
          </w:p>
        </w:tc>
        <w:tc>
          <w:tcPr>
            <w:tcW w:w="34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 (202,413</w:t>
            </w:r>
          </w:p>
        </w:tc>
        <w:tc>
          <w:tcPr>
            <w:tcW w:w="100" w:type="dxa"/>
            <w:vAlign w:val="bottom"/>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792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100"/>
          </w:cols>
          <w:pgMar w:left="320" w:top="486" w:right="4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139"/>
        <w:spacing w:after="0"/>
        <w:rPr>
          <w:sz w:val="20"/>
          <w:szCs w:val="20"/>
          <w:color w:val="auto"/>
        </w:rPr>
      </w:pPr>
      <w:r>
        <w:rPr>
          <w:rFonts w:ascii="Arial" w:cs="Arial" w:eastAsia="Arial" w:hAnsi="Arial"/>
          <w:sz w:val="16"/>
          <w:szCs w:val="16"/>
          <w:color w:val="auto"/>
        </w:rPr>
        <w:t>See accompanying notes to consolidated financial statements.</w:t>
      </w:r>
    </w:p>
    <w:p>
      <w:pPr>
        <w:spacing w:after="0" w:line="18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F-7</w:t>
      </w:r>
    </w:p>
    <w:p>
      <w:pPr>
        <w:sectPr>
          <w:pgSz w:w="11900" w:h="16838" w:orient="portrait"/>
          <w:cols w:equalWidth="0" w:num="1">
            <w:col w:w="11100"/>
          </w:cols>
          <w:pgMar w:left="320" w:top="486" w:right="479" w:bottom="1440" w:gutter="0" w:footer="0" w:header="0"/>
          <w:type w:val="continuous"/>
        </w:sectPr>
      </w:pPr>
    </w:p>
    <w:bookmarkStart w:id="15" w:name="page16"/>
    <w:bookmarkEnd w:id="15"/>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38" w:lineRule="exact"/>
        <w:rPr>
          <w:sz w:val="20"/>
          <w:szCs w:val="20"/>
          <w:color w:val="auto"/>
        </w:rPr>
      </w:pPr>
    </w:p>
    <w:tbl>
      <w:tblPr>
        <w:tblLayout w:type="fixed"/>
        <w:tblInd w:w="120" w:type="dxa"/>
        <w:tblCellMar>
          <w:top w:w="0" w:type="dxa"/>
          <w:left w:w="0" w:type="dxa"/>
          <w:bottom w:w="0" w:type="dxa"/>
          <w:right w:w="0" w:type="dxa"/>
        </w:tblCellMar>
      </w:tblPr>
      <w:tr>
        <w:trPr>
          <w:trHeight w:val="149"/>
        </w:trPr>
        <w:tc>
          <w:tcPr>
            <w:tcW w:w="4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40" w:type="dxa"/>
            <w:vAlign w:val="bottom"/>
            <w:gridSpan w:val="3"/>
          </w:tcPr>
          <w:p>
            <w:pPr>
              <w:jc w:val="center"/>
              <w:ind w:right="120"/>
              <w:spacing w:after="0"/>
              <w:rPr>
                <w:sz w:val="20"/>
                <w:szCs w:val="20"/>
                <w:color w:val="auto"/>
              </w:rPr>
            </w:pPr>
            <w:r>
              <w:rPr>
                <w:rFonts w:ascii="Arial" w:cs="Arial" w:eastAsia="Arial" w:hAnsi="Arial"/>
                <w:sz w:val="13"/>
                <w:szCs w:val="13"/>
                <w:b w:val="1"/>
                <w:bCs w:val="1"/>
                <w:color w:val="auto"/>
                <w:w w:val="85"/>
              </w:rPr>
              <w:t>Accumulated</w:t>
            </w: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4100" w:type="dxa"/>
            <w:vAlign w:val="bottom"/>
          </w:tcPr>
          <w:p>
            <w:pPr>
              <w:spacing w:after="0"/>
              <w:rPr>
                <w:sz w:val="11"/>
                <w:szCs w:val="11"/>
                <w:color w:val="auto"/>
              </w:rPr>
            </w:pPr>
          </w:p>
        </w:tc>
        <w:tc>
          <w:tcPr>
            <w:tcW w:w="1100" w:type="dxa"/>
            <w:vAlign w:val="bottom"/>
            <w:gridSpan w:val="4"/>
            <w:vMerge w:val="restart"/>
          </w:tcPr>
          <w:p>
            <w:pPr>
              <w:jc w:val="right"/>
              <w:spacing w:after="0"/>
              <w:rPr>
                <w:sz w:val="20"/>
                <w:szCs w:val="20"/>
                <w:color w:val="auto"/>
              </w:rPr>
            </w:pPr>
            <w:r>
              <w:rPr>
                <w:rFonts w:ascii="Arial" w:cs="Arial" w:eastAsia="Arial" w:hAnsi="Arial"/>
                <w:sz w:val="13"/>
                <w:szCs w:val="13"/>
                <w:b w:val="1"/>
                <w:bCs w:val="1"/>
                <w:color w:val="auto"/>
              </w:rPr>
              <w:t>Preferred stock</w:t>
            </w: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3"/>
            <w:vMerge w:val="restart"/>
          </w:tcPr>
          <w:p>
            <w:pPr>
              <w:ind w:left="340"/>
              <w:spacing w:after="0"/>
              <w:rPr>
                <w:sz w:val="20"/>
                <w:szCs w:val="20"/>
                <w:color w:val="auto"/>
              </w:rPr>
            </w:pPr>
            <w:r>
              <w:rPr>
                <w:rFonts w:ascii="Arial" w:cs="Arial" w:eastAsia="Arial" w:hAnsi="Arial"/>
                <w:sz w:val="13"/>
                <w:szCs w:val="13"/>
                <w:b w:val="1"/>
                <w:bCs w:val="1"/>
                <w:color w:val="auto"/>
                <w:w w:val="85"/>
              </w:rPr>
              <w:t>Common stock</w:t>
            </w: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1"/>
              </w:rPr>
              <w:t>Additional</w:t>
            </w:r>
          </w:p>
        </w:tc>
        <w:tc>
          <w:tcPr>
            <w:tcW w:w="180" w:type="dxa"/>
            <w:vAlign w:val="bottom"/>
          </w:tcPr>
          <w:p>
            <w:pPr>
              <w:spacing w:after="0"/>
              <w:rPr>
                <w:sz w:val="11"/>
                <w:szCs w:val="11"/>
                <w:color w:val="auto"/>
              </w:rPr>
            </w:pPr>
          </w:p>
        </w:tc>
        <w:tc>
          <w:tcPr>
            <w:tcW w:w="760" w:type="dxa"/>
            <w:vAlign w:val="bottom"/>
            <w:gridSpan w:val="2"/>
          </w:tcPr>
          <w:p>
            <w:pPr>
              <w:jc w:val="center"/>
              <w:ind w:right="300"/>
              <w:spacing w:after="0" w:line="135" w:lineRule="exact"/>
              <w:rPr>
                <w:sz w:val="20"/>
                <w:szCs w:val="20"/>
                <w:color w:val="auto"/>
              </w:rPr>
            </w:pPr>
            <w:r>
              <w:rPr>
                <w:rFonts w:ascii="Arial" w:cs="Arial" w:eastAsia="Arial" w:hAnsi="Arial"/>
                <w:sz w:val="13"/>
                <w:szCs w:val="13"/>
                <w:b w:val="1"/>
                <w:bCs w:val="1"/>
                <w:color w:val="auto"/>
                <w:w w:val="92"/>
              </w:rPr>
              <w:t>other</w:t>
            </w: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9"/>
              </w:rPr>
              <w:t>Total</w:t>
            </w:r>
          </w:p>
        </w:tc>
        <w:tc>
          <w:tcPr>
            <w:tcW w:w="0" w:type="dxa"/>
            <w:vAlign w:val="bottom"/>
          </w:tcPr>
          <w:p>
            <w:pPr>
              <w:spacing w:after="0"/>
              <w:rPr>
                <w:sz w:val="1"/>
                <w:szCs w:val="1"/>
                <w:color w:val="auto"/>
              </w:rPr>
            </w:pPr>
          </w:p>
        </w:tc>
      </w:tr>
      <w:tr>
        <w:trPr>
          <w:trHeight w:val="86"/>
        </w:trPr>
        <w:tc>
          <w:tcPr>
            <w:tcW w:w="4100" w:type="dxa"/>
            <w:vAlign w:val="bottom"/>
          </w:tcPr>
          <w:p>
            <w:pPr>
              <w:spacing w:after="0"/>
              <w:rPr>
                <w:sz w:val="7"/>
                <w:szCs w:val="7"/>
                <w:color w:val="auto"/>
              </w:rPr>
            </w:pPr>
          </w:p>
        </w:tc>
        <w:tc>
          <w:tcPr>
            <w:tcW w:w="1100" w:type="dxa"/>
            <w:vAlign w:val="bottom"/>
            <w:tcBorders>
              <w:bottom w:val="single" w:sz="8" w:color="auto"/>
            </w:tcBorders>
            <w:gridSpan w:val="4"/>
            <w:vMerge w:val="continue"/>
          </w:tcPr>
          <w:p>
            <w:pPr>
              <w:spacing w:after="0"/>
              <w:rPr>
                <w:sz w:val="7"/>
                <w:szCs w:val="7"/>
                <w:color w:val="auto"/>
              </w:rPr>
            </w:pPr>
          </w:p>
        </w:tc>
        <w:tc>
          <w:tcPr>
            <w:tcW w:w="280" w:type="dxa"/>
            <w:vAlign w:val="bottom"/>
            <w:tcBorders>
              <w:bottom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1160" w:type="dxa"/>
            <w:vAlign w:val="bottom"/>
            <w:tcBorders>
              <w:bottom w:val="single" w:sz="8" w:color="auto"/>
            </w:tcBorders>
            <w:gridSpan w:val="3"/>
            <w:vMerge w:val="continue"/>
          </w:tcPr>
          <w:p>
            <w:pPr>
              <w:spacing w:after="0"/>
              <w:rPr>
                <w:sz w:val="7"/>
                <w:szCs w:val="7"/>
                <w:color w:val="auto"/>
              </w:rPr>
            </w:pPr>
          </w:p>
        </w:tc>
        <w:tc>
          <w:tcPr>
            <w:tcW w:w="300" w:type="dxa"/>
            <w:vAlign w:val="bottom"/>
            <w:tcBorders>
              <w:bottom w:val="single" w:sz="8" w:color="auto"/>
            </w:tcBorders>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880" w:type="dxa"/>
            <w:vAlign w:val="bottom"/>
            <w:gridSpan w:val="2"/>
            <w:vMerge w:val="restart"/>
          </w:tcPr>
          <w:p>
            <w:pPr>
              <w:jc w:val="center"/>
              <w:ind w:right="220"/>
              <w:spacing w:after="0" w:line="135" w:lineRule="exact"/>
              <w:rPr>
                <w:sz w:val="20"/>
                <w:szCs w:val="20"/>
                <w:color w:val="auto"/>
              </w:rPr>
            </w:pPr>
            <w:r>
              <w:rPr>
                <w:rFonts w:ascii="Arial" w:cs="Arial" w:eastAsia="Arial" w:hAnsi="Arial"/>
                <w:sz w:val="13"/>
                <w:szCs w:val="13"/>
                <w:b w:val="1"/>
                <w:bCs w:val="1"/>
                <w:color w:val="auto"/>
                <w:w w:val="89"/>
              </w:rPr>
              <w:t>paid-in</w:t>
            </w:r>
          </w:p>
        </w:tc>
        <w:tc>
          <w:tcPr>
            <w:tcW w:w="940" w:type="dxa"/>
            <w:vAlign w:val="bottom"/>
            <w:gridSpan w:val="3"/>
            <w:vMerge w:val="restart"/>
          </w:tcPr>
          <w:p>
            <w:pPr>
              <w:spacing w:after="0" w:line="135" w:lineRule="exact"/>
              <w:rPr>
                <w:sz w:val="20"/>
                <w:szCs w:val="20"/>
                <w:color w:val="auto"/>
              </w:rPr>
            </w:pPr>
            <w:r>
              <w:rPr>
                <w:rFonts w:ascii="Arial" w:cs="Arial" w:eastAsia="Arial" w:hAnsi="Arial"/>
                <w:sz w:val="13"/>
                <w:szCs w:val="13"/>
                <w:b w:val="1"/>
                <w:bCs w:val="1"/>
                <w:color w:val="auto"/>
                <w:w w:val="96"/>
              </w:rPr>
              <w:t>comprehensive</w:t>
            </w:r>
          </w:p>
        </w:tc>
        <w:tc>
          <w:tcPr>
            <w:tcW w:w="80" w:type="dxa"/>
            <w:vAlign w:val="bottom"/>
          </w:tcPr>
          <w:p>
            <w:pPr>
              <w:spacing w:after="0"/>
              <w:rPr>
                <w:sz w:val="7"/>
                <w:szCs w:val="7"/>
                <w:color w:val="auto"/>
              </w:rPr>
            </w:pPr>
          </w:p>
        </w:tc>
        <w:tc>
          <w:tcPr>
            <w:tcW w:w="880" w:type="dxa"/>
            <w:vAlign w:val="bottom"/>
            <w:gridSpan w:val="2"/>
            <w:vMerge w:val="restart"/>
          </w:tcPr>
          <w:p>
            <w:pPr>
              <w:jc w:val="right"/>
              <w:ind w:right="81"/>
              <w:spacing w:after="0" w:line="135" w:lineRule="exact"/>
              <w:rPr>
                <w:sz w:val="20"/>
                <w:szCs w:val="20"/>
                <w:color w:val="auto"/>
              </w:rPr>
            </w:pPr>
            <w:r>
              <w:rPr>
                <w:rFonts w:ascii="Arial" w:cs="Arial" w:eastAsia="Arial" w:hAnsi="Arial"/>
                <w:sz w:val="13"/>
                <w:szCs w:val="13"/>
                <w:b w:val="1"/>
                <w:bCs w:val="1"/>
                <w:color w:val="auto"/>
                <w:w w:val="85"/>
              </w:rPr>
              <w:t>Accumulated</w:t>
            </w:r>
          </w:p>
        </w:tc>
        <w:tc>
          <w:tcPr>
            <w:tcW w:w="60" w:type="dxa"/>
            <w:vAlign w:val="bottom"/>
          </w:tcPr>
          <w:p>
            <w:pPr>
              <w:spacing w:after="0"/>
              <w:rPr>
                <w:sz w:val="7"/>
                <w:szCs w:val="7"/>
                <w:color w:val="auto"/>
              </w:rPr>
            </w:pPr>
          </w:p>
        </w:tc>
        <w:tc>
          <w:tcPr>
            <w:tcW w:w="860" w:type="dxa"/>
            <w:vAlign w:val="bottom"/>
            <w:gridSpan w:val="2"/>
            <w:vMerge w:val="restart"/>
          </w:tcPr>
          <w:p>
            <w:pPr>
              <w:jc w:val="center"/>
              <w:ind w:right="100"/>
              <w:spacing w:after="0" w:line="135" w:lineRule="exact"/>
              <w:rPr>
                <w:sz w:val="20"/>
                <w:szCs w:val="20"/>
                <w:color w:val="auto"/>
              </w:rPr>
            </w:pPr>
            <w:r>
              <w:rPr>
                <w:rFonts w:ascii="Arial" w:cs="Arial" w:eastAsia="Arial" w:hAnsi="Arial"/>
                <w:sz w:val="13"/>
                <w:szCs w:val="13"/>
                <w:b w:val="1"/>
                <w:bCs w:val="1"/>
                <w:color w:val="auto"/>
                <w:w w:val="85"/>
              </w:rPr>
              <w:t>stockholders’</w:t>
            </w:r>
          </w:p>
        </w:tc>
        <w:tc>
          <w:tcPr>
            <w:tcW w:w="0" w:type="dxa"/>
            <w:vAlign w:val="bottom"/>
          </w:tcPr>
          <w:p>
            <w:pPr>
              <w:spacing w:after="0"/>
              <w:rPr>
                <w:sz w:val="1"/>
                <w:szCs w:val="1"/>
                <w:color w:val="auto"/>
              </w:rPr>
            </w:pPr>
          </w:p>
        </w:tc>
      </w:tr>
      <w:tr>
        <w:trPr>
          <w:trHeight w:val="29"/>
        </w:trPr>
        <w:tc>
          <w:tcPr>
            <w:tcW w:w="4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880" w:type="dxa"/>
            <w:vAlign w:val="bottom"/>
            <w:gridSpan w:val="2"/>
            <w:vMerge w:val="continue"/>
          </w:tcPr>
          <w:p>
            <w:pPr>
              <w:spacing w:after="0"/>
              <w:rPr>
                <w:sz w:val="2"/>
                <w:szCs w:val="2"/>
                <w:color w:val="auto"/>
              </w:rPr>
            </w:pPr>
          </w:p>
        </w:tc>
        <w:tc>
          <w:tcPr>
            <w:tcW w:w="940" w:type="dxa"/>
            <w:vAlign w:val="bottom"/>
            <w:gridSpan w:val="3"/>
            <w:vMerge w:val="continue"/>
          </w:tcPr>
          <w:p>
            <w:pPr>
              <w:spacing w:after="0"/>
              <w:rPr>
                <w:sz w:val="2"/>
                <w:szCs w:val="2"/>
                <w:color w:val="auto"/>
              </w:rPr>
            </w:pPr>
          </w:p>
        </w:tc>
        <w:tc>
          <w:tcPr>
            <w:tcW w:w="80" w:type="dxa"/>
            <w:vAlign w:val="bottom"/>
          </w:tcPr>
          <w:p>
            <w:pPr>
              <w:spacing w:after="0"/>
              <w:rPr>
                <w:sz w:val="2"/>
                <w:szCs w:val="2"/>
                <w:color w:val="auto"/>
              </w:rPr>
            </w:pPr>
          </w:p>
        </w:tc>
        <w:tc>
          <w:tcPr>
            <w:tcW w:w="880" w:type="dxa"/>
            <w:vAlign w:val="bottom"/>
            <w:gridSpan w:val="2"/>
            <w:vMerge w:val="continue"/>
          </w:tcPr>
          <w:p>
            <w:pPr>
              <w:spacing w:after="0"/>
              <w:rPr>
                <w:sz w:val="2"/>
                <w:szCs w:val="2"/>
                <w:color w:val="auto"/>
              </w:rPr>
            </w:pPr>
          </w:p>
        </w:tc>
        <w:tc>
          <w:tcPr>
            <w:tcW w:w="60" w:type="dxa"/>
            <w:vAlign w:val="bottom"/>
          </w:tcPr>
          <w:p>
            <w:pPr>
              <w:spacing w:after="0"/>
              <w:rPr>
                <w:sz w:val="2"/>
                <w:szCs w:val="2"/>
                <w:color w:val="auto"/>
              </w:rPr>
            </w:pPr>
          </w:p>
        </w:tc>
        <w:tc>
          <w:tcPr>
            <w:tcW w:w="860" w:type="dxa"/>
            <w:vAlign w:val="bottom"/>
            <w:gridSpan w:val="2"/>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3"/>
        </w:trPr>
        <w:tc>
          <w:tcPr>
            <w:tcW w:w="4100" w:type="dxa"/>
            <w:vAlign w:val="bottom"/>
          </w:tcPr>
          <w:p>
            <w:pPr>
              <w:spacing w:after="0"/>
              <w:rPr>
                <w:sz w:val="13"/>
                <w:szCs w:val="1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3"/>
                <w:szCs w:val="13"/>
                <w:b w:val="1"/>
                <w:bCs w:val="1"/>
                <w:color w:val="auto"/>
              </w:rPr>
              <w:t>Shares</w:t>
            </w:r>
          </w:p>
        </w:tc>
        <w:tc>
          <w:tcPr>
            <w:tcW w:w="140" w:type="dxa"/>
            <w:vAlign w:val="bottom"/>
          </w:tcPr>
          <w:p>
            <w:pPr>
              <w:spacing w:after="0"/>
              <w:rPr>
                <w:sz w:val="13"/>
                <w:szCs w:val="13"/>
                <w:color w:val="auto"/>
              </w:rPr>
            </w:pPr>
          </w:p>
        </w:tc>
        <w:tc>
          <w:tcPr>
            <w:tcW w:w="440" w:type="dxa"/>
            <w:vAlign w:val="bottom"/>
            <w:gridSpan w:val="2"/>
          </w:tcPr>
          <w:p>
            <w:pPr>
              <w:spacing w:after="0"/>
              <w:rPr>
                <w:sz w:val="20"/>
                <w:szCs w:val="20"/>
                <w:color w:val="auto"/>
              </w:rPr>
            </w:pPr>
            <w:r>
              <w:rPr>
                <w:rFonts w:ascii="Arial" w:cs="Arial" w:eastAsia="Arial" w:hAnsi="Arial"/>
                <w:sz w:val="13"/>
                <w:szCs w:val="13"/>
                <w:b w:val="1"/>
                <w:bCs w:val="1"/>
                <w:color w:val="auto"/>
                <w:w w:val="85"/>
              </w:rPr>
              <w:t>Amount</w:t>
            </w:r>
          </w:p>
        </w:tc>
        <w:tc>
          <w:tcPr>
            <w:tcW w:w="140" w:type="dxa"/>
            <w:vAlign w:val="bottom"/>
          </w:tcPr>
          <w:p>
            <w:pPr>
              <w:spacing w:after="0"/>
              <w:rPr>
                <w:sz w:val="13"/>
                <w:szCs w:val="13"/>
                <w:color w:val="auto"/>
              </w:rPr>
            </w:pPr>
          </w:p>
        </w:tc>
        <w:tc>
          <w:tcPr>
            <w:tcW w:w="1020" w:type="dxa"/>
            <w:vAlign w:val="bottom"/>
            <w:gridSpan w:val="2"/>
          </w:tcPr>
          <w:p>
            <w:pPr>
              <w:jc w:val="right"/>
              <w:ind w:right="400"/>
              <w:spacing w:after="0"/>
              <w:rPr>
                <w:sz w:val="20"/>
                <w:szCs w:val="20"/>
                <w:color w:val="auto"/>
              </w:rPr>
            </w:pPr>
            <w:r>
              <w:rPr>
                <w:rFonts w:ascii="Arial" w:cs="Arial" w:eastAsia="Arial" w:hAnsi="Arial"/>
                <w:sz w:val="13"/>
                <w:szCs w:val="13"/>
                <w:b w:val="1"/>
                <w:bCs w:val="1"/>
                <w:color w:val="auto"/>
              </w:rPr>
              <w:t>Shares</w:t>
            </w:r>
          </w:p>
        </w:tc>
        <w:tc>
          <w:tcPr>
            <w:tcW w:w="600" w:type="dxa"/>
            <w:vAlign w:val="bottom"/>
            <w:gridSpan w:val="3"/>
          </w:tcPr>
          <w:p>
            <w:pPr>
              <w:spacing w:after="0"/>
              <w:rPr>
                <w:sz w:val="20"/>
                <w:szCs w:val="20"/>
                <w:color w:val="auto"/>
              </w:rPr>
            </w:pPr>
            <w:r>
              <w:rPr>
                <w:rFonts w:ascii="Arial" w:cs="Arial" w:eastAsia="Arial" w:hAnsi="Arial"/>
                <w:sz w:val="13"/>
                <w:szCs w:val="13"/>
                <w:b w:val="1"/>
                <w:bCs w:val="1"/>
                <w:color w:val="auto"/>
              </w:rPr>
              <w:t>Amount</w:t>
            </w:r>
          </w:p>
        </w:tc>
        <w:tc>
          <w:tcPr>
            <w:tcW w:w="80" w:type="dxa"/>
            <w:vAlign w:val="bottom"/>
          </w:tcPr>
          <w:p>
            <w:pPr>
              <w:spacing w:after="0"/>
              <w:rPr>
                <w:sz w:val="13"/>
                <w:szCs w:val="13"/>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2"/>
              </w:rPr>
              <w:t>Capital</w:t>
            </w:r>
          </w:p>
        </w:tc>
        <w:tc>
          <w:tcPr>
            <w:tcW w:w="940" w:type="dxa"/>
            <w:vAlign w:val="bottom"/>
            <w:gridSpan w:val="3"/>
          </w:tcPr>
          <w:p>
            <w:pPr>
              <w:jc w:val="center"/>
              <w:ind w:right="120"/>
              <w:spacing w:after="0"/>
              <w:rPr>
                <w:sz w:val="20"/>
                <w:szCs w:val="20"/>
                <w:color w:val="auto"/>
              </w:rPr>
            </w:pPr>
            <w:r>
              <w:rPr>
                <w:rFonts w:ascii="Arial" w:cs="Arial" w:eastAsia="Arial" w:hAnsi="Arial"/>
                <w:sz w:val="13"/>
                <w:szCs w:val="13"/>
                <w:b w:val="1"/>
                <w:bCs w:val="1"/>
                <w:color w:val="auto"/>
                <w:w w:val="83"/>
              </w:rPr>
              <w:t>income (loss)</w:t>
            </w:r>
          </w:p>
        </w:tc>
        <w:tc>
          <w:tcPr>
            <w:tcW w:w="80" w:type="dxa"/>
            <w:vAlign w:val="bottom"/>
          </w:tcPr>
          <w:p>
            <w:pPr>
              <w:spacing w:after="0"/>
              <w:rPr>
                <w:sz w:val="13"/>
                <w:szCs w:val="13"/>
                <w:color w:val="auto"/>
              </w:rPr>
            </w:pPr>
          </w:p>
        </w:tc>
        <w:tc>
          <w:tcPr>
            <w:tcW w:w="880" w:type="dxa"/>
            <w:vAlign w:val="bottom"/>
            <w:gridSpan w:val="2"/>
          </w:tcPr>
          <w:p>
            <w:pPr>
              <w:jc w:val="right"/>
              <w:ind w:right="261"/>
              <w:spacing w:after="0"/>
              <w:rPr>
                <w:sz w:val="20"/>
                <w:szCs w:val="20"/>
                <w:color w:val="auto"/>
              </w:rPr>
            </w:pPr>
            <w:r>
              <w:rPr>
                <w:rFonts w:ascii="Arial" w:cs="Arial" w:eastAsia="Arial" w:hAnsi="Arial"/>
                <w:sz w:val="13"/>
                <w:szCs w:val="13"/>
                <w:b w:val="1"/>
                <w:bCs w:val="1"/>
                <w:color w:val="auto"/>
              </w:rPr>
              <w:t>deficit</w:t>
            </w:r>
          </w:p>
        </w:tc>
        <w:tc>
          <w:tcPr>
            <w:tcW w:w="60" w:type="dxa"/>
            <w:vAlign w:val="bottom"/>
          </w:tcPr>
          <w:p>
            <w:pPr>
              <w:spacing w:after="0"/>
              <w:rPr>
                <w:sz w:val="13"/>
                <w:szCs w:val="13"/>
                <w:color w:val="auto"/>
              </w:rPr>
            </w:pPr>
          </w:p>
        </w:tc>
        <w:tc>
          <w:tcPr>
            <w:tcW w:w="86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8"/>
              </w:rPr>
              <w:t>equity</w:t>
            </w:r>
          </w:p>
        </w:tc>
        <w:tc>
          <w:tcPr>
            <w:tcW w:w="0" w:type="dxa"/>
            <w:vAlign w:val="bottom"/>
          </w:tcPr>
          <w:p>
            <w:pPr>
              <w:spacing w:after="0"/>
              <w:rPr>
                <w:sz w:val="1"/>
                <w:szCs w:val="1"/>
                <w:color w:val="auto"/>
              </w:rPr>
            </w:pPr>
          </w:p>
        </w:tc>
      </w:tr>
      <w:tr>
        <w:trPr>
          <w:trHeight w:val="209"/>
        </w:trPr>
        <w:tc>
          <w:tcPr>
            <w:tcW w:w="41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December 31, 2019</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1,969,797</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5"/>
                <w:szCs w:val="15"/>
                <w:color w:val="auto"/>
                <w:w w:val="71"/>
              </w:rPr>
              <w:t>$</w:t>
            </w:r>
          </w:p>
        </w:tc>
        <w:tc>
          <w:tcPr>
            <w:tcW w:w="2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15,429,154</w:t>
            </w: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tcBorders>
            <w:shd w:val="clear" w:color="auto" w:fill="CCEEFF"/>
          </w:tcPr>
          <w:p>
            <w:pPr>
              <w:ind w:left="220"/>
              <w:spacing w:after="0"/>
              <w:rPr>
                <w:sz w:val="20"/>
                <w:szCs w:val="20"/>
                <w:color w:val="auto"/>
              </w:rPr>
            </w:pPr>
            <w:r>
              <w:rPr>
                <w:rFonts w:ascii="Arial" w:cs="Arial" w:eastAsia="Arial" w:hAnsi="Arial"/>
                <w:sz w:val="15"/>
                <w:szCs w:val="15"/>
                <w:color w:val="auto"/>
                <w:w w:val="71"/>
              </w:rPr>
              <w:t>2</w:t>
            </w:r>
          </w:p>
        </w:tc>
        <w:tc>
          <w:tcPr>
            <w:tcW w:w="16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639,567</w:t>
            </w:r>
          </w:p>
        </w:tc>
        <w:tc>
          <w:tcPr>
            <w:tcW w:w="1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40" w:type="dxa"/>
            <w:vAlign w:val="bottom"/>
            <w:tcBorders>
              <w:top w:val="single" w:sz="8" w:color="auto"/>
            </w:tcBorders>
            <w:shd w:val="clear" w:color="auto" w:fill="CCEEFF"/>
          </w:tcPr>
          <w:p>
            <w:pPr>
              <w:ind w:left="360"/>
              <w:spacing w:after="0"/>
              <w:rPr>
                <w:sz w:val="20"/>
                <w:szCs w:val="20"/>
                <w:color w:val="auto"/>
              </w:rPr>
            </w:pPr>
            <w:r>
              <w:rPr>
                <w:rFonts w:ascii="Arial" w:cs="Arial" w:eastAsia="Arial" w:hAnsi="Arial"/>
                <w:sz w:val="18"/>
                <w:szCs w:val="18"/>
                <w:color w:val="auto"/>
                <w:w w:val="86"/>
              </w:rPr>
              <w:t>216</w:t>
            </w:r>
          </w:p>
        </w:tc>
        <w:tc>
          <w:tcPr>
            <w:tcW w:w="1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2"/>
              </w:rPr>
              <w:t>$(223,220)</w:t>
            </w:r>
          </w:p>
        </w:tc>
        <w:tc>
          <w:tcPr>
            <w:tcW w:w="14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$ 416,565</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100" w:type="dxa"/>
            <w:vAlign w:val="bottom"/>
          </w:tcPr>
          <w:p>
            <w:pPr>
              <w:ind w:left="360"/>
              <w:spacing w:after="0" w:line="201" w:lineRule="exact"/>
              <w:rPr>
                <w:sz w:val="20"/>
                <w:szCs w:val="20"/>
                <w:color w:val="auto"/>
              </w:rPr>
            </w:pPr>
            <w:r>
              <w:rPr>
                <w:rFonts w:ascii="Arial" w:cs="Arial" w:eastAsia="Arial" w:hAnsi="Arial"/>
                <w:sz w:val="18"/>
                <w:szCs w:val="18"/>
                <w:color w:val="auto"/>
              </w:rPr>
              <w:t>Issuance of common shares in equity offering,</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100" w:type="dxa"/>
            <w:vAlign w:val="bottom"/>
          </w:tcPr>
          <w:p>
            <w:pPr>
              <w:ind w:left="540"/>
              <w:spacing w:after="0"/>
              <w:rPr>
                <w:sz w:val="20"/>
                <w:szCs w:val="20"/>
                <w:color w:val="auto"/>
              </w:rPr>
            </w:pPr>
            <w:r>
              <w:rPr>
                <w:rFonts w:ascii="Arial" w:cs="Arial" w:eastAsia="Arial" w:hAnsi="Arial"/>
                <w:sz w:val="18"/>
                <w:szCs w:val="18"/>
                <w:color w:val="auto"/>
                <w:w w:val="97"/>
              </w:rPr>
              <w:t>excluding to related parties, net of transaction</w:t>
            </w: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100" w:type="dxa"/>
            <w:vAlign w:val="bottom"/>
          </w:tcPr>
          <w:p>
            <w:pPr>
              <w:ind w:left="540"/>
              <w:spacing w:after="0"/>
              <w:rPr>
                <w:sz w:val="20"/>
                <w:szCs w:val="20"/>
                <w:color w:val="auto"/>
              </w:rPr>
            </w:pPr>
            <w:r>
              <w:rPr>
                <w:rFonts w:ascii="Arial" w:cs="Arial" w:eastAsia="Arial" w:hAnsi="Arial"/>
                <w:sz w:val="18"/>
                <w:szCs w:val="18"/>
                <w:color w:val="auto"/>
              </w:rPr>
              <w:t>costs</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r>
              <w:rPr>
                <w:rFonts w:ascii="Arial" w:cs="Arial" w:eastAsia="Arial" w:hAnsi="Arial"/>
                <w:sz w:val="18"/>
                <w:szCs w:val="18"/>
                <w:color w:val="auto"/>
              </w:rPr>
              <w:t>—</w:t>
            </w:r>
          </w:p>
        </w:tc>
        <w:tc>
          <w:tcPr>
            <w:tcW w:w="1160" w:type="dxa"/>
            <w:vAlign w:val="bottom"/>
            <w:gridSpan w:val="3"/>
          </w:tcPr>
          <w:p>
            <w:pPr>
              <w:jc w:val="right"/>
              <w:ind w:right="160"/>
              <w:spacing w:after="0"/>
              <w:rPr>
                <w:sz w:val="20"/>
                <w:szCs w:val="20"/>
                <w:color w:val="auto"/>
              </w:rPr>
            </w:pPr>
            <w:r>
              <w:rPr>
                <w:rFonts w:ascii="Arial" w:cs="Arial" w:eastAsia="Arial" w:hAnsi="Arial"/>
                <w:sz w:val="18"/>
                <w:szCs w:val="18"/>
                <w:color w:val="auto"/>
              </w:rPr>
              <w:t>39,607</w:t>
            </w:r>
          </w:p>
        </w:tc>
        <w:tc>
          <w:tcPr>
            <w:tcW w:w="140" w:type="dxa"/>
            <w:vAlign w:val="bottom"/>
          </w:tcPr>
          <w:p>
            <w:pPr>
              <w:spacing w:after="0"/>
              <w:rPr>
                <w:sz w:val="20"/>
                <w:szCs w:val="20"/>
                <w:color w:val="auto"/>
              </w:rPr>
            </w:pPr>
          </w:p>
        </w:tc>
        <w:tc>
          <w:tcPr>
            <w:tcW w:w="46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4,421</w:t>
            </w:r>
          </w:p>
        </w:tc>
        <w:tc>
          <w:tcPr>
            <w:tcW w:w="180" w:type="dxa"/>
            <w:vAlign w:val="bottom"/>
          </w:tcPr>
          <w:p>
            <w:pPr>
              <w:spacing w:after="0"/>
              <w:rPr>
                <w:sz w:val="20"/>
                <w:szCs w:val="20"/>
                <w:color w:val="auto"/>
              </w:rPr>
            </w:pPr>
          </w:p>
        </w:tc>
        <w:tc>
          <w:tcPr>
            <w:tcW w:w="76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880" w:type="dxa"/>
            <w:vAlign w:val="bottom"/>
            <w:gridSpan w:val="2"/>
          </w:tcPr>
          <w:p>
            <w:pPr>
              <w:jc w:val="right"/>
              <w:ind w:right="161"/>
              <w:spacing w:after="0"/>
              <w:rPr>
                <w:sz w:val="20"/>
                <w:szCs w:val="20"/>
                <w:color w:val="auto"/>
              </w:rPr>
            </w:pPr>
            <w:r>
              <w:rPr>
                <w:rFonts w:ascii="Arial" w:cs="Arial" w:eastAsia="Arial" w:hAnsi="Arial"/>
                <w:sz w:val="18"/>
                <w:szCs w:val="18"/>
                <w:color w:val="auto"/>
              </w:rPr>
              <w:t>—</w:t>
            </w:r>
          </w:p>
        </w:tc>
        <w:tc>
          <w:tcPr>
            <w:tcW w:w="920" w:type="dxa"/>
            <w:vAlign w:val="bottom"/>
            <w:gridSpan w:val="3"/>
          </w:tcPr>
          <w:p>
            <w:pPr>
              <w:jc w:val="right"/>
              <w:ind w:right="120"/>
              <w:spacing w:after="0"/>
              <w:rPr>
                <w:sz w:val="20"/>
                <w:szCs w:val="20"/>
                <w:color w:val="auto"/>
              </w:rPr>
            </w:pPr>
            <w:r>
              <w:rPr>
                <w:rFonts w:ascii="Arial" w:cs="Arial" w:eastAsia="Arial" w:hAnsi="Arial"/>
                <w:sz w:val="18"/>
                <w:szCs w:val="18"/>
                <w:color w:val="auto"/>
              </w:rPr>
              <w:t>4,421</w:t>
            </w:r>
          </w:p>
        </w:tc>
        <w:tc>
          <w:tcPr>
            <w:tcW w:w="0" w:type="dxa"/>
            <w:vAlign w:val="bottom"/>
          </w:tcPr>
          <w:p>
            <w:pPr>
              <w:spacing w:after="0"/>
              <w:rPr>
                <w:sz w:val="1"/>
                <w:szCs w:val="1"/>
                <w:color w:val="auto"/>
              </w:rPr>
            </w:pPr>
          </w:p>
        </w:tc>
      </w:tr>
      <w:tr>
        <w:trPr>
          <w:trHeight w:val="202"/>
        </w:trPr>
        <w:tc>
          <w:tcPr>
            <w:tcW w:w="4100" w:type="dxa"/>
            <w:vAlign w:val="bottom"/>
            <w:shd w:val="clear" w:color="auto" w:fill="CCEEFF"/>
          </w:tcPr>
          <w:p>
            <w:pPr>
              <w:ind w:left="360"/>
              <w:spacing w:after="0" w:line="201" w:lineRule="exact"/>
              <w:rPr>
                <w:sz w:val="20"/>
                <w:szCs w:val="20"/>
                <w:color w:val="auto"/>
              </w:rPr>
            </w:pPr>
            <w:r>
              <w:rPr>
                <w:rFonts w:ascii="Arial" w:cs="Arial" w:eastAsia="Arial" w:hAnsi="Arial"/>
                <w:sz w:val="18"/>
                <w:szCs w:val="18"/>
                <w:color w:val="auto"/>
              </w:rPr>
              <w:t>Sale of common shares to related parties and</w:t>
            </w:r>
          </w:p>
        </w:tc>
        <w:tc>
          <w:tcPr>
            <w:tcW w:w="7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exercise of common stock options, net of</w:t>
            </w: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1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transaction costs</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39,385</w:t>
            </w:r>
          </w:p>
        </w:tc>
        <w:tc>
          <w:tcPr>
            <w:tcW w:w="140" w:type="dxa"/>
            <w:vAlign w:val="bottom"/>
            <w:shd w:val="clear" w:color="auto" w:fill="CCEEFF"/>
          </w:tcPr>
          <w:p>
            <w:pPr>
              <w:spacing w:after="0"/>
              <w:rPr>
                <w:sz w:val="20"/>
                <w:szCs w:val="20"/>
                <w:color w:val="auto"/>
              </w:rPr>
            </w:pPr>
          </w:p>
        </w:tc>
        <w:tc>
          <w:tcPr>
            <w:tcW w:w="46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667</w:t>
            </w:r>
          </w:p>
        </w:tc>
        <w:tc>
          <w:tcPr>
            <w:tcW w:w="180" w:type="dxa"/>
            <w:vAlign w:val="bottom"/>
            <w:shd w:val="clear" w:color="auto" w:fill="CCEEFF"/>
          </w:tcPr>
          <w:p>
            <w:pPr>
              <w:spacing w:after="0"/>
              <w:rPr>
                <w:sz w:val="20"/>
                <w:szCs w:val="20"/>
                <w:color w:val="auto"/>
              </w:rPr>
            </w:pPr>
          </w:p>
        </w:tc>
        <w:tc>
          <w:tcPr>
            <w:tcW w:w="7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161"/>
              <w:spacing w:after="0"/>
              <w:rPr>
                <w:sz w:val="20"/>
                <w:szCs w:val="20"/>
                <w:color w:val="auto"/>
              </w:rPr>
            </w:pPr>
            <w:r>
              <w:rPr>
                <w:rFonts w:ascii="Arial" w:cs="Arial" w:eastAsia="Arial" w:hAnsi="Arial"/>
                <w:sz w:val="18"/>
                <w:szCs w:val="18"/>
                <w:color w:val="auto"/>
              </w:rPr>
              <w:t>—</w:t>
            </w:r>
          </w:p>
        </w:tc>
        <w:tc>
          <w:tcPr>
            <w:tcW w:w="9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667</w:t>
            </w:r>
          </w:p>
        </w:tc>
        <w:tc>
          <w:tcPr>
            <w:tcW w:w="0" w:type="dxa"/>
            <w:vAlign w:val="bottom"/>
          </w:tcPr>
          <w:p>
            <w:pPr>
              <w:spacing w:after="0"/>
              <w:rPr>
                <w:sz w:val="1"/>
                <w:szCs w:val="1"/>
                <w:color w:val="auto"/>
              </w:rPr>
            </w:pPr>
          </w:p>
        </w:tc>
      </w:tr>
      <w:tr>
        <w:trPr>
          <w:trHeight w:val="202"/>
        </w:trPr>
        <w:tc>
          <w:tcPr>
            <w:tcW w:w="4100" w:type="dxa"/>
            <w:vAlign w:val="bottom"/>
          </w:tcPr>
          <w:p>
            <w:pPr>
              <w:ind w:left="360"/>
              <w:spacing w:after="0" w:line="201" w:lineRule="exact"/>
              <w:rPr>
                <w:sz w:val="20"/>
                <w:szCs w:val="20"/>
                <w:color w:val="auto"/>
              </w:rPr>
            </w:pPr>
            <w:r>
              <w:rPr>
                <w:rFonts w:ascii="Arial" w:cs="Arial" w:eastAsia="Arial" w:hAnsi="Arial"/>
                <w:sz w:val="18"/>
                <w:szCs w:val="18"/>
                <w:color w:val="auto"/>
                <w:w w:val="91"/>
              </w:rPr>
              <w:t>Compensation expense related to stock options for</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100" w:type="dxa"/>
            <w:vAlign w:val="bottom"/>
          </w:tcPr>
          <w:p>
            <w:pPr>
              <w:ind w:left="540"/>
              <w:spacing w:after="0"/>
              <w:rPr>
                <w:sz w:val="20"/>
                <w:szCs w:val="20"/>
                <w:color w:val="auto"/>
              </w:rPr>
            </w:pPr>
            <w:r>
              <w:rPr>
                <w:rFonts w:ascii="Arial" w:cs="Arial" w:eastAsia="Arial" w:hAnsi="Arial"/>
                <w:sz w:val="18"/>
                <w:szCs w:val="18"/>
                <w:color w:val="auto"/>
              </w:rPr>
              <w:t>services</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46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20,730</w:t>
            </w:r>
          </w:p>
        </w:tc>
        <w:tc>
          <w:tcPr>
            <w:tcW w:w="180" w:type="dxa"/>
            <w:vAlign w:val="bottom"/>
          </w:tcPr>
          <w:p>
            <w:pPr>
              <w:spacing w:after="0"/>
              <w:rPr>
                <w:sz w:val="20"/>
                <w:szCs w:val="20"/>
                <w:color w:val="auto"/>
              </w:rPr>
            </w:pPr>
          </w:p>
        </w:tc>
        <w:tc>
          <w:tcPr>
            <w:tcW w:w="76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880" w:type="dxa"/>
            <w:vAlign w:val="bottom"/>
            <w:gridSpan w:val="2"/>
          </w:tcPr>
          <w:p>
            <w:pPr>
              <w:jc w:val="right"/>
              <w:ind w:right="161"/>
              <w:spacing w:after="0"/>
              <w:rPr>
                <w:sz w:val="20"/>
                <w:szCs w:val="20"/>
                <w:color w:val="auto"/>
              </w:rPr>
            </w:pPr>
            <w:r>
              <w:rPr>
                <w:rFonts w:ascii="Arial" w:cs="Arial" w:eastAsia="Arial" w:hAnsi="Arial"/>
                <w:sz w:val="18"/>
                <w:szCs w:val="18"/>
                <w:color w:val="auto"/>
              </w:rPr>
              <w:t>—</w:t>
            </w:r>
          </w:p>
        </w:tc>
        <w:tc>
          <w:tcPr>
            <w:tcW w:w="920" w:type="dxa"/>
            <w:vAlign w:val="bottom"/>
            <w:gridSpan w:val="3"/>
          </w:tcPr>
          <w:p>
            <w:pPr>
              <w:jc w:val="right"/>
              <w:ind w:right="120"/>
              <w:spacing w:after="0"/>
              <w:rPr>
                <w:sz w:val="20"/>
                <w:szCs w:val="20"/>
                <w:color w:val="auto"/>
              </w:rPr>
            </w:pPr>
            <w:r>
              <w:rPr>
                <w:rFonts w:ascii="Arial" w:cs="Arial" w:eastAsia="Arial" w:hAnsi="Arial"/>
                <w:sz w:val="18"/>
                <w:szCs w:val="18"/>
                <w:color w:val="auto"/>
              </w:rPr>
              <w:t>20,730</w:t>
            </w: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Unrealized loss on marketable securities</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46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(169)</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1"/>
              <w:spacing w:after="0"/>
              <w:rPr>
                <w:sz w:val="20"/>
                <w:szCs w:val="20"/>
                <w:color w:val="auto"/>
              </w:rPr>
            </w:pPr>
            <w:r>
              <w:rPr>
                <w:rFonts w:ascii="Arial" w:cs="Arial" w:eastAsia="Arial" w:hAnsi="Arial"/>
                <w:sz w:val="18"/>
                <w:szCs w:val="18"/>
                <w:color w:val="auto"/>
              </w:rPr>
              <w:t>—</w:t>
            </w:r>
          </w:p>
        </w:tc>
        <w:tc>
          <w:tcPr>
            <w:tcW w:w="9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(169)</w:t>
            </w:r>
          </w:p>
        </w:tc>
        <w:tc>
          <w:tcPr>
            <w:tcW w:w="0" w:type="dxa"/>
            <w:vAlign w:val="bottom"/>
          </w:tcPr>
          <w:p>
            <w:pPr>
              <w:spacing w:after="0"/>
              <w:rPr>
                <w:sz w:val="1"/>
                <w:szCs w:val="1"/>
                <w:color w:val="auto"/>
              </w:rPr>
            </w:pPr>
          </w:p>
        </w:tc>
      </w:tr>
      <w:tr>
        <w:trPr>
          <w:trHeight w:val="216"/>
        </w:trPr>
        <w:tc>
          <w:tcPr>
            <w:tcW w:w="4100" w:type="dxa"/>
            <w:vAlign w:val="bottom"/>
          </w:tcPr>
          <w:p>
            <w:pPr>
              <w:ind w:left="360"/>
              <w:spacing w:after="0"/>
              <w:rPr>
                <w:sz w:val="20"/>
                <w:szCs w:val="20"/>
                <w:color w:val="auto"/>
              </w:rPr>
            </w:pPr>
            <w:r>
              <w:rPr>
                <w:rFonts w:ascii="Arial" w:cs="Arial" w:eastAsia="Arial" w:hAnsi="Arial"/>
                <w:sz w:val="18"/>
                <w:szCs w:val="18"/>
                <w:color w:val="auto"/>
              </w:rPr>
              <w:t>Net loss</w:t>
            </w: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Pr>
          <w:p>
            <w:pPr>
              <w:ind w:left="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ind w:left="4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ind w:left="3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2"/>
          </w:tcPr>
          <w:p>
            <w:pPr>
              <w:jc w:val="right"/>
              <w:ind w:right="1"/>
              <w:spacing w:after="0"/>
              <w:rPr>
                <w:sz w:val="20"/>
                <w:szCs w:val="20"/>
                <w:color w:val="auto"/>
              </w:rPr>
            </w:pPr>
            <w:r>
              <w:rPr>
                <w:rFonts w:ascii="Arial" w:cs="Arial" w:eastAsia="Arial" w:hAnsi="Arial"/>
                <w:sz w:val="18"/>
                <w:szCs w:val="18"/>
                <w:color w:val="auto"/>
              </w:rPr>
              <w:t>(202,244)</w:t>
            </w:r>
          </w:p>
        </w:tc>
        <w:tc>
          <w:tcPr>
            <w:tcW w:w="920" w:type="dxa"/>
            <w:vAlign w:val="bottom"/>
            <w:gridSpan w:val="3"/>
          </w:tcPr>
          <w:p>
            <w:pPr>
              <w:jc w:val="right"/>
              <w:ind w:right="60"/>
              <w:spacing w:after="0"/>
              <w:rPr>
                <w:sz w:val="20"/>
                <w:szCs w:val="20"/>
                <w:color w:val="auto"/>
              </w:rPr>
            </w:pPr>
            <w:r>
              <w:rPr>
                <w:rFonts w:ascii="Arial" w:cs="Arial" w:eastAsia="Arial" w:hAnsi="Arial"/>
                <w:sz w:val="18"/>
                <w:szCs w:val="18"/>
                <w:color w:val="auto"/>
              </w:rPr>
              <w:t>(202,244)</w:t>
            </w:r>
          </w:p>
        </w:tc>
        <w:tc>
          <w:tcPr>
            <w:tcW w:w="0" w:type="dxa"/>
            <w:vAlign w:val="bottom"/>
          </w:tcPr>
          <w:p>
            <w:pPr>
              <w:spacing w:after="0"/>
              <w:rPr>
                <w:sz w:val="1"/>
                <w:szCs w:val="1"/>
                <w:color w:val="auto"/>
              </w:rPr>
            </w:pPr>
          </w:p>
        </w:tc>
      </w:tr>
      <w:tr>
        <w:trPr>
          <w:trHeight w:val="27"/>
        </w:trPr>
        <w:tc>
          <w:tcPr>
            <w:tcW w:w="410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2020</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1,969,797</w:t>
            </w:r>
          </w:p>
        </w:tc>
        <w:tc>
          <w:tcPr>
            <w:tcW w:w="2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15,508,146</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2</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665,385</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47</w:t>
            </w:r>
          </w:p>
        </w:tc>
        <w:tc>
          <w:tcPr>
            <w:tcW w:w="960" w:type="dxa"/>
            <w:vAlign w:val="bottom"/>
            <w:gridSpan w:val="3"/>
            <w:shd w:val="clear" w:color="auto" w:fill="CCEEFF"/>
          </w:tcPr>
          <w:p>
            <w:pPr>
              <w:jc w:val="right"/>
              <w:ind w:right="1"/>
              <w:spacing w:after="0"/>
              <w:rPr>
                <w:sz w:val="20"/>
                <w:szCs w:val="20"/>
                <w:color w:val="auto"/>
              </w:rPr>
            </w:pPr>
            <w:r>
              <w:rPr>
                <w:rFonts w:ascii="Arial" w:cs="Arial" w:eastAsia="Arial" w:hAnsi="Arial"/>
                <w:sz w:val="18"/>
                <w:szCs w:val="18"/>
                <w:color w:val="auto"/>
                <w:w w:val="98"/>
              </w:rPr>
              <w:t>$(425,464)</w:t>
            </w:r>
          </w:p>
        </w:tc>
        <w:tc>
          <w:tcPr>
            <w:tcW w:w="9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w w:val="97"/>
              </w:rPr>
              <w:t>$ 239,970</w:t>
            </w:r>
          </w:p>
        </w:tc>
        <w:tc>
          <w:tcPr>
            <w:tcW w:w="0" w:type="dxa"/>
            <w:vAlign w:val="bottom"/>
          </w:tcPr>
          <w:p>
            <w:pPr>
              <w:spacing w:after="0"/>
              <w:rPr>
                <w:sz w:val="1"/>
                <w:szCs w:val="1"/>
                <w:color w:val="auto"/>
              </w:rPr>
            </w:pPr>
          </w:p>
        </w:tc>
      </w:tr>
      <w:tr>
        <w:trPr>
          <w:trHeight w:val="202"/>
        </w:trPr>
        <w:tc>
          <w:tcPr>
            <w:tcW w:w="4100" w:type="dxa"/>
            <w:vAlign w:val="bottom"/>
          </w:tcPr>
          <w:p>
            <w:pPr>
              <w:ind w:left="360"/>
              <w:spacing w:after="0" w:line="201" w:lineRule="exact"/>
              <w:rPr>
                <w:sz w:val="20"/>
                <w:szCs w:val="20"/>
                <w:color w:val="auto"/>
              </w:rPr>
            </w:pPr>
            <w:r>
              <w:rPr>
                <w:rFonts w:ascii="Arial" w:cs="Arial" w:eastAsia="Arial" w:hAnsi="Arial"/>
                <w:sz w:val="18"/>
                <w:szCs w:val="18"/>
                <w:color w:val="auto"/>
              </w:rPr>
              <w:t>Issuance of common shares in equity offering,</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100" w:type="dxa"/>
            <w:vAlign w:val="bottom"/>
          </w:tcPr>
          <w:p>
            <w:pPr>
              <w:ind w:left="540"/>
              <w:spacing w:after="0"/>
              <w:rPr>
                <w:sz w:val="20"/>
                <w:szCs w:val="20"/>
                <w:color w:val="auto"/>
              </w:rPr>
            </w:pPr>
            <w:r>
              <w:rPr>
                <w:rFonts w:ascii="Arial" w:cs="Arial" w:eastAsia="Arial" w:hAnsi="Arial"/>
                <w:sz w:val="18"/>
                <w:szCs w:val="18"/>
                <w:color w:val="auto"/>
                <w:w w:val="97"/>
              </w:rPr>
              <w:t>excluding to related parties, net of transaction</w:t>
            </w: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100" w:type="dxa"/>
            <w:vAlign w:val="bottom"/>
          </w:tcPr>
          <w:p>
            <w:pPr>
              <w:ind w:left="540"/>
              <w:spacing w:after="0"/>
              <w:rPr>
                <w:sz w:val="20"/>
                <w:szCs w:val="20"/>
                <w:color w:val="auto"/>
              </w:rPr>
            </w:pPr>
            <w:r>
              <w:rPr>
                <w:rFonts w:ascii="Arial" w:cs="Arial" w:eastAsia="Arial" w:hAnsi="Arial"/>
                <w:sz w:val="18"/>
                <w:szCs w:val="18"/>
                <w:color w:val="auto"/>
              </w:rPr>
              <w:t>costs</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r>
              <w:rPr>
                <w:rFonts w:ascii="Arial" w:cs="Arial" w:eastAsia="Arial" w:hAnsi="Arial"/>
                <w:sz w:val="18"/>
                <w:szCs w:val="18"/>
                <w:color w:val="auto"/>
              </w:rPr>
              <w:t>—</w:t>
            </w:r>
          </w:p>
        </w:tc>
        <w:tc>
          <w:tcPr>
            <w:tcW w:w="1160" w:type="dxa"/>
            <w:vAlign w:val="bottom"/>
            <w:gridSpan w:val="3"/>
          </w:tcPr>
          <w:p>
            <w:pPr>
              <w:jc w:val="right"/>
              <w:ind w:right="160"/>
              <w:spacing w:after="0"/>
              <w:rPr>
                <w:sz w:val="20"/>
                <w:szCs w:val="20"/>
                <w:color w:val="auto"/>
              </w:rPr>
            </w:pPr>
            <w:r>
              <w:rPr>
                <w:rFonts w:ascii="Arial" w:cs="Arial" w:eastAsia="Arial" w:hAnsi="Arial"/>
                <w:sz w:val="18"/>
                <w:szCs w:val="18"/>
                <w:color w:val="auto"/>
              </w:rPr>
              <w:t>1,584,169</w:t>
            </w:r>
          </w:p>
        </w:tc>
        <w:tc>
          <w:tcPr>
            <w:tcW w:w="140" w:type="dxa"/>
            <w:vAlign w:val="bottom"/>
          </w:tcPr>
          <w:p>
            <w:pPr>
              <w:spacing w:after="0"/>
              <w:rPr>
                <w:sz w:val="20"/>
                <w:szCs w:val="20"/>
                <w:color w:val="auto"/>
              </w:rPr>
            </w:pPr>
          </w:p>
        </w:tc>
        <w:tc>
          <w:tcPr>
            <w:tcW w:w="46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170,207</w:t>
            </w:r>
          </w:p>
        </w:tc>
        <w:tc>
          <w:tcPr>
            <w:tcW w:w="180" w:type="dxa"/>
            <w:vAlign w:val="bottom"/>
          </w:tcPr>
          <w:p>
            <w:pPr>
              <w:spacing w:after="0"/>
              <w:rPr>
                <w:sz w:val="20"/>
                <w:szCs w:val="20"/>
                <w:color w:val="auto"/>
              </w:rPr>
            </w:pPr>
          </w:p>
        </w:tc>
        <w:tc>
          <w:tcPr>
            <w:tcW w:w="76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880" w:type="dxa"/>
            <w:vAlign w:val="bottom"/>
            <w:gridSpan w:val="2"/>
          </w:tcPr>
          <w:p>
            <w:pPr>
              <w:jc w:val="right"/>
              <w:ind w:right="161"/>
              <w:spacing w:after="0"/>
              <w:rPr>
                <w:sz w:val="20"/>
                <w:szCs w:val="20"/>
                <w:color w:val="auto"/>
              </w:rPr>
            </w:pPr>
            <w:r>
              <w:rPr>
                <w:rFonts w:ascii="Arial" w:cs="Arial" w:eastAsia="Arial" w:hAnsi="Arial"/>
                <w:sz w:val="18"/>
                <w:szCs w:val="18"/>
                <w:color w:val="auto"/>
              </w:rPr>
              <w:t>—</w:t>
            </w:r>
          </w:p>
        </w:tc>
        <w:tc>
          <w:tcPr>
            <w:tcW w:w="920" w:type="dxa"/>
            <w:vAlign w:val="bottom"/>
            <w:gridSpan w:val="3"/>
          </w:tcPr>
          <w:p>
            <w:pPr>
              <w:jc w:val="right"/>
              <w:ind w:right="120"/>
              <w:spacing w:after="0"/>
              <w:rPr>
                <w:sz w:val="20"/>
                <w:szCs w:val="20"/>
                <w:color w:val="auto"/>
              </w:rPr>
            </w:pPr>
            <w:r>
              <w:rPr>
                <w:rFonts w:ascii="Arial" w:cs="Arial" w:eastAsia="Arial" w:hAnsi="Arial"/>
                <w:sz w:val="18"/>
                <w:szCs w:val="18"/>
                <w:color w:val="auto"/>
              </w:rPr>
              <w:t>170,207</w:t>
            </w:r>
          </w:p>
        </w:tc>
        <w:tc>
          <w:tcPr>
            <w:tcW w:w="0" w:type="dxa"/>
            <w:vAlign w:val="bottom"/>
          </w:tcPr>
          <w:p>
            <w:pPr>
              <w:spacing w:after="0"/>
              <w:rPr>
                <w:sz w:val="1"/>
                <w:szCs w:val="1"/>
                <w:color w:val="auto"/>
              </w:rPr>
            </w:pPr>
          </w:p>
        </w:tc>
      </w:tr>
      <w:tr>
        <w:trPr>
          <w:trHeight w:val="202"/>
        </w:trPr>
        <w:tc>
          <w:tcPr>
            <w:tcW w:w="4100" w:type="dxa"/>
            <w:vAlign w:val="bottom"/>
            <w:shd w:val="clear" w:color="auto" w:fill="CCEEFF"/>
          </w:tcPr>
          <w:p>
            <w:pPr>
              <w:ind w:left="360"/>
              <w:spacing w:after="0" w:line="201" w:lineRule="exact"/>
              <w:rPr>
                <w:sz w:val="20"/>
                <w:szCs w:val="20"/>
                <w:color w:val="auto"/>
              </w:rPr>
            </w:pPr>
            <w:r>
              <w:rPr>
                <w:rFonts w:ascii="Arial" w:cs="Arial" w:eastAsia="Arial" w:hAnsi="Arial"/>
                <w:sz w:val="18"/>
                <w:szCs w:val="18"/>
                <w:color w:val="auto"/>
              </w:rPr>
              <w:t>Sale of common shares to related parties and</w:t>
            </w:r>
          </w:p>
        </w:tc>
        <w:tc>
          <w:tcPr>
            <w:tcW w:w="7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exercise of common stock options, net of</w:t>
            </w: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1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transaction costs</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11,080</w:t>
            </w:r>
          </w:p>
        </w:tc>
        <w:tc>
          <w:tcPr>
            <w:tcW w:w="140" w:type="dxa"/>
            <w:vAlign w:val="bottom"/>
            <w:shd w:val="clear" w:color="auto" w:fill="CCEEFF"/>
          </w:tcPr>
          <w:p>
            <w:pPr>
              <w:spacing w:after="0"/>
              <w:rPr>
                <w:sz w:val="20"/>
                <w:szCs w:val="20"/>
                <w:color w:val="auto"/>
              </w:rPr>
            </w:pPr>
          </w:p>
        </w:tc>
        <w:tc>
          <w:tcPr>
            <w:tcW w:w="46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1,030</w:t>
            </w:r>
          </w:p>
        </w:tc>
        <w:tc>
          <w:tcPr>
            <w:tcW w:w="180" w:type="dxa"/>
            <w:vAlign w:val="bottom"/>
            <w:shd w:val="clear" w:color="auto" w:fill="CCEEFF"/>
          </w:tcPr>
          <w:p>
            <w:pPr>
              <w:spacing w:after="0"/>
              <w:rPr>
                <w:sz w:val="20"/>
                <w:szCs w:val="20"/>
                <w:color w:val="auto"/>
              </w:rPr>
            </w:pPr>
          </w:p>
        </w:tc>
        <w:tc>
          <w:tcPr>
            <w:tcW w:w="7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161"/>
              <w:spacing w:after="0"/>
              <w:rPr>
                <w:sz w:val="20"/>
                <w:szCs w:val="20"/>
                <w:color w:val="auto"/>
              </w:rPr>
            </w:pPr>
            <w:r>
              <w:rPr>
                <w:rFonts w:ascii="Arial" w:cs="Arial" w:eastAsia="Arial" w:hAnsi="Arial"/>
                <w:sz w:val="18"/>
                <w:szCs w:val="18"/>
                <w:color w:val="auto"/>
              </w:rPr>
              <w:t>—</w:t>
            </w:r>
          </w:p>
        </w:tc>
        <w:tc>
          <w:tcPr>
            <w:tcW w:w="9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1,030</w:t>
            </w:r>
          </w:p>
        </w:tc>
        <w:tc>
          <w:tcPr>
            <w:tcW w:w="0" w:type="dxa"/>
            <w:vAlign w:val="bottom"/>
          </w:tcPr>
          <w:p>
            <w:pPr>
              <w:spacing w:after="0"/>
              <w:rPr>
                <w:sz w:val="1"/>
                <w:szCs w:val="1"/>
                <w:color w:val="auto"/>
              </w:rPr>
            </w:pPr>
          </w:p>
        </w:tc>
      </w:tr>
      <w:tr>
        <w:trPr>
          <w:trHeight w:val="202"/>
        </w:trPr>
        <w:tc>
          <w:tcPr>
            <w:tcW w:w="4100" w:type="dxa"/>
            <w:vAlign w:val="bottom"/>
          </w:tcPr>
          <w:p>
            <w:pPr>
              <w:ind w:left="360"/>
              <w:spacing w:after="0" w:line="201" w:lineRule="exact"/>
              <w:rPr>
                <w:sz w:val="20"/>
                <w:szCs w:val="20"/>
                <w:color w:val="auto"/>
              </w:rPr>
            </w:pPr>
            <w:r>
              <w:rPr>
                <w:rFonts w:ascii="Arial" w:cs="Arial" w:eastAsia="Arial" w:hAnsi="Arial"/>
                <w:sz w:val="18"/>
                <w:szCs w:val="18"/>
                <w:color w:val="auto"/>
                <w:w w:val="91"/>
              </w:rPr>
              <w:t>Compensation expense related to stock options for</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100" w:type="dxa"/>
            <w:vAlign w:val="bottom"/>
          </w:tcPr>
          <w:p>
            <w:pPr>
              <w:ind w:left="540"/>
              <w:spacing w:after="0"/>
              <w:rPr>
                <w:sz w:val="20"/>
                <w:szCs w:val="20"/>
                <w:color w:val="auto"/>
              </w:rPr>
            </w:pPr>
            <w:r>
              <w:rPr>
                <w:rFonts w:ascii="Arial" w:cs="Arial" w:eastAsia="Arial" w:hAnsi="Arial"/>
                <w:sz w:val="18"/>
                <w:szCs w:val="18"/>
                <w:color w:val="auto"/>
              </w:rPr>
              <w:t>services</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46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26,873</w:t>
            </w:r>
          </w:p>
        </w:tc>
        <w:tc>
          <w:tcPr>
            <w:tcW w:w="180" w:type="dxa"/>
            <w:vAlign w:val="bottom"/>
          </w:tcPr>
          <w:p>
            <w:pPr>
              <w:spacing w:after="0"/>
              <w:rPr>
                <w:sz w:val="20"/>
                <w:szCs w:val="20"/>
                <w:color w:val="auto"/>
              </w:rPr>
            </w:pPr>
          </w:p>
        </w:tc>
        <w:tc>
          <w:tcPr>
            <w:tcW w:w="76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880" w:type="dxa"/>
            <w:vAlign w:val="bottom"/>
            <w:gridSpan w:val="2"/>
          </w:tcPr>
          <w:p>
            <w:pPr>
              <w:jc w:val="right"/>
              <w:ind w:right="161"/>
              <w:spacing w:after="0"/>
              <w:rPr>
                <w:sz w:val="20"/>
                <w:szCs w:val="20"/>
                <w:color w:val="auto"/>
              </w:rPr>
            </w:pPr>
            <w:r>
              <w:rPr>
                <w:rFonts w:ascii="Arial" w:cs="Arial" w:eastAsia="Arial" w:hAnsi="Arial"/>
                <w:sz w:val="18"/>
                <w:szCs w:val="18"/>
                <w:color w:val="auto"/>
              </w:rPr>
              <w:t>—</w:t>
            </w:r>
          </w:p>
        </w:tc>
        <w:tc>
          <w:tcPr>
            <w:tcW w:w="920" w:type="dxa"/>
            <w:vAlign w:val="bottom"/>
            <w:gridSpan w:val="3"/>
          </w:tcPr>
          <w:p>
            <w:pPr>
              <w:jc w:val="right"/>
              <w:ind w:right="120"/>
              <w:spacing w:after="0"/>
              <w:rPr>
                <w:sz w:val="20"/>
                <w:szCs w:val="20"/>
                <w:color w:val="auto"/>
              </w:rPr>
            </w:pPr>
            <w:r>
              <w:rPr>
                <w:rFonts w:ascii="Arial" w:cs="Arial" w:eastAsia="Arial" w:hAnsi="Arial"/>
                <w:sz w:val="18"/>
                <w:szCs w:val="18"/>
                <w:color w:val="auto"/>
              </w:rPr>
              <w:t>26,873</w:t>
            </w: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Unrealized loss on marketable securities</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46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(127)</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1"/>
              <w:spacing w:after="0"/>
              <w:rPr>
                <w:sz w:val="20"/>
                <w:szCs w:val="20"/>
                <w:color w:val="auto"/>
              </w:rPr>
            </w:pPr>
            <w:r>
              <w:rPr>
                <w:rFonts w:ascii="Arial" w:cs="Arial" w:eastAsia="Arial" w:hAnsi="Arial"/>
                <w:sz w:val="18"/>
                <w:szCs w:val="18"/>
                <w:color w:val="auto"/>
              </w:rPr>
              <w:t>—</w:t>
            </w:r>
          </w:p>
        </w:tc>
        <w:tc>
          <w:tcPr>
            <w:tcW w:w="9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(127)</w:t>
            </w:r>
          </w:p>
        </w:tc>
        <w:tc>
          <w:tcPr>
            <w:tcW w:w="0" w:type="dxa"/>
            <w:vAlign w:val="bottom"/>
          </w:tcPr>
          <w:p>
            <w:pPr>
              <w:spacing w:after="0"/>
              <w:rPr>
                <w:sz w:val="1"/>
                <w:szCs w:val="1"/>
                <w:color w:val="auto"/>
              </w:rPr>
            </w:pPr>
          </w:p>
        </w:tc>
      </w:tr>
      <w:tr>
        <w:trPr>
          <w:trHeight w:val="216"/>
        </w:trPr>
        <w:tc>
          <w:tcPr>
            <w:tcW w:w="4100" w:type="dxa"/>
            <w:vAlign w:val="bottom"/>
          </w:tcPr>
          <w:p>
            <w:pPr>
              <w:ind w:left="360"/>
              <w:spacing w:after="0"/>
              <w:rPr>
                <w:sz w:val="20"/>
                <w:szCs w:val="20"/>
                <w:color w:val="auto"/>
              </w:rPr>
            </w:pPr>
            <w:r>
              <w:rPr>
                <w:rFonts w:ascii="Arial" w:cs="Arial" w:eastAsia="Arial" w:hAnsi="Arial"/>
                <w:sz w:val="18"/>
                <w:szCs w:val="18"/>
                <w:color w:val="auto"/>
              </w:rPr>
              <w:t>Net loss</w:t>
            </w: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Pr>
          <w:p>
            <w:pPr>
              <w:ind w:left="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ind w:left="4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ind w:left="3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2"/>
          </w:tcPr>
          <w:p>
            <w:pPr>
              <w:jc w:val="right"/>
              <w:ind w:right="1"/>
              <w:spacing w:after="0"/>
              <w:rPr>
                <w:sz w:val="20"/>
                <w:szCs w:val="20"/>
                <w:color w:val="auto"/>
              </w:rPr>
            </w:pPr>
            <w:r>
              <w:rPr>
                <w:rFonts w:ascii="Arial" w:cs="Arial" w:eastAsia="Arial" w:hAnsi="Arial"/>
                <w:sz w:val="18"/>
                <w:szCs w:val="18"/>
                <w:color w:val="auto"/>
              </w:rPr>
              <w:t>(241,846)</w:t>
            </w:r>
          </w:p>
        </w:tc>
        <w:tc>
          <w:tcPr>
            <w:tcW w:w="920" w:type="dxa"/>
            <w:vAlign w:val="bottom"/>
            <w:gridSpan w:val="3"/>
          </w:tcPr>
          <w:p>
            <w:pPr>
              <w:jc w:val="right"/>
              <w:ind w:right="60"/>
              <w:spacing w:after="0"/>
              <w:rPr>
                <w:sz w:val="20"/>
                <w:szCs w:val="20"/>
                <w:color w:val="auto"/>
              </w:rPr>
            </w:pPr>
            <w:r>
              <w:rPr>
                <w:rFonts w:ascii="Arial" w:cs="Arial" w:eastAsia="Arial" w:hAnsi="Arial"/>
                <w:sz w:val="18"/>
                <w:szCs w:val="18"/>
                <w:color w:val="auto"/>
              </w:rPr>
              <w:t>(241,846)</w:t>
            </w:r>
          </w:p>
        </w:tc>
        <w:tc>
          <w:tcPr>
            <w:tcW w:w="0" w:type="dxa"/>
            <w:vAlign w:val="bottom"/>
          </w:tcPr>
          <w:p>
            <w:pPr>
              <w:spacing w:after="0"/>
              <w:rPr>
                <w:sz w:val="1"/>
                <w:szCs w:val="1"/>
                <w:color w:val="auto"/>
              </w:rPr>
            </w:pPr>
          </w:p>
        </w:tc>
      </w:tr>
      <w:tr>
        <w:trPr>
          <w:trHeight w:val="27"/>
        </w:trPr>
        <w:tc>
          <w:tcPr>
            <w:tcW w:w="410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2021</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1,969,797</w:t>
            </w:r>
          </w:p>
        </w:tc>
        <w:tc>
          <w:tcPr>
            <w:tcW w:w="2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17,103,395</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2</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863,495</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(80)</w:t>
            </w:r>
          </w:p>
        </w:tc>
        <w:tc>
          <w:tcPr>
            <w:tcW w:w="960" w:type="dxa"/>
            <w:vAlign w:val="bottom"/>
            <w:gridSpan w:val="3"/>
            <w:shd w:val="clear" w:color="auto" w:fill="CCEEFF"/>
          </w:tcPr>
          <w:p>
            <w:pPr>
              <w:jc w:val="right"/>
              <w:ind w:right="1"/>
              <w:spacing w:after="0"/>
              <w:rPr>
                <w:sz w:val="20"/>
                <w:szCs w:val="20"/>
                <w:color w:val="auto"/>
              </w:rPr>
            </w:pPr>
            <w:r>
              <w:rPr>
                <w:rFonts w:ascii="Arial" w:cs="Arial" w:eastAsia="Arial" w:hAnsi="Arial"/>
                <w:sz w:val="18"/>
                <w:szCs w:val="18"/>
                <w:color w:val="auto"/>
                <w:w w:val="98"/>
              </w:rPr>
              <w:t>$(667,310)</w:t>
            </w:r>
          </w:p>
        </w:tc>
        <w:tc>
          <w:tcPr>
            <w:tcW w:w="9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w w:val="97"/>
              </w:rPr>
              <w:t>$ 196,107</w:t>
            </w:r>
          </w:p>
        </w:tc>
        <w:tc>
          <w:tcPr>
            <w:tcW w:w="0" w:type="dxa"/>
            <w:vAlign w:val="bottom"/>
          </w:tcPr>
          <w:p>
            <w:pPr>
              <w:spacing w:after="0"/>
              <w:rPr>
                <w:sz w:val="1"/>
                <w:szCs w:val="1"/>
                <w:color w:val="auto"/>
              </w:rPr>
            </w:pPr>
          </w:p>
        </w:tc>
      </w:tr>
      <w:tr>
        <w:trPr>
          <w:trHeight w:val="202"/>
        </w:trPr>
        <w:tc>
          <w:tcPr>
            <w:tcW w:w="4100" w:type="dxa"/>
            <w:vAlign w:val="bottom"/>
          </w:tcPr>
          <w:p>
            <w:pPr>
              <w:ind w:left="360"/>
              <w:spacing w:after="0" w:line="201" w:lineRule="exact"/>
              <w:rPr>
                <w:sz w:val="20"/>
                <w:szCs w:val="20"/>
                <w:color w:val="auto"/>
              </w:rPr>
            </w:pPr>
            <w:r>
              <w:rPr>
                <w:rFonts w:ascii="Arial" w:cs="Arial" w:eastAsia="Arial" w:hAnsi="Arial"/>
                <w:sz w:val="18"/>
                <w:szCs w:val="18"/>
                <w:color w:val="auto"/>
              </w:rPr>
              <w:t>Issuance of common and preferred shares in</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100" w:type="dxa"/>
            <w:vAlign w:val="bottom"/>
          </w:tcPr>
          <w:p>
            <w:pPr>
              <w:ind w:left="540"/>
              <w:spacing w:after="0"/>
              <w:rPr>
                <w:sz w:val="20"/>
                <w:szCs w:val="20"/>
                <w:color w:val="auto"/>
              </w:rPr>
            </w:pPr>
            <w:r>
              <w:rPr>
                <w:rFonts w:ascii="Arial" w:cs="Arial" w:eastAsia="Arial" w:hAnsi="Arial"/>
                <w:sz w:val="18"/>
                <w:szCs w:val="18"/>
                <w:color w:val="auto"/>
              </w:rPr>
              <w:t>equity offerings, excluding to related parties,</w:t>
            </w: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100" w:type="dxa"/>
            <w:vAlign w:val="bottom"/>
          </w:tcPr>
          <w:p>
            <w:pPr>
              <w:ind w:left="540"/>
              <w:spacing w:after="0"/>
              <w:rPr>
                <w:sz w:val="20"/>
                <w:szCs w:val="20"/>
                <w:color w:val="auto"/>
              </w:rPr>
            </w:pPr>
            <w:r>
              <w:rPr>
                <w:rFonts w:ascii="Arial" w:cs="Arial" w:eastAsia="Arial" w:hAnsi="Arial"/>
                <w:sz w:val="18"/>
                <w:szCs w:val="18"/>
                <w:color w:val="auto"/>
              </w:rPr>
              <w:t>net of transaction costs</w:t>
            </w: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400,000</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r>
              <w:rPr>
                <w:rFonts w:ascii="Arial" w:cs="Arial" w:eastAsia="Arial" w:hAnsi="Arial"/>
                <w:sz w:val="18"/>
                <w:szCs w:val="18"/>
                <w:color w:val="auto"/>
              </w:rPr>
              <w:t>—</w:t>
            </w:r>
          </w:p>
        </w:tc>
        <w:tc>
          <w:tcPr>
            <w:tcW w:w="1160" w:type="dxa"/>
            <w:vAlign w:val="bottom"/>
            <w:gridSpan w:val="3"/>
          </w:tcPr>
          <w:p>
            <w:pPr>
              <w:jc w:val="right"/>
              <w:ind w:right="160"/>
              <w:spacing w:after="0"/>
              <w:rPr>
                <w:sz w:val="20"/>
                <w:szCs w:val="20"/>
                <w:color w:val="auto"/>
              </w:rPr>
            </w:pPr>
            <w:r>
              <w:rPr>
                <w:rFonts w:ascii="Arial" w:cs="Arial" w:eastAsia="Arial" w:hAnsi="Arial"/>
                <w:sz w:val="18"/>
                <w:szCs w:val="18"/>
                <w:color w:val="auto"/>
              </w:rPr>
              <w:t>783,344</w:t>
            </w:r>
          </w:p>
        </w:tc>
        <w:tc>
          <w:tcPr>
            <w:tcW w:w="140" w:type="dxa"/>
            <w:vAlign w:val="bottom"/>
          </w:tcPr>
          <w:p>
            <w:pPr>
              <w:spacing w:after="0"/>
              <w:rPr>
                <w:sz w:val="20"/>
                <w:szCs w:val="20"/>
                <w:color w:val="auto"/>
              </w:rPr>
            </w:pPr>
          </w:p>
        </w:tc>
        <w:tc>
          <w:tcPr>
            <w:tcW w:w="46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255,382</w:t>
            </w:r>
          </w:p>
        </w:tc>
        <w:tc>
          <w:tcPr>
            <w:tcW w:w="180" w:type="dxa"/>
            <w:vAlign w:val="bottom"/>
          </w:tcPr>
          <w:p>
            <w:pPr>
              <w:spacing w:after="0"/>
              <w:rPr>
                <w:sz w:val="20"/>
                <w:szCs w:val="20"/>
                <w:color w:val="auto"/>
              </w:rPr>
            </w:pPr>
          </w:p>
        </w:tc>
        <w:tc>
          <w:tcPr>
            <w:tcW w:w="76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880" w:type="dxa"/>
            <w:vAlign w:val="bottom"/>
            <w:gridSpan w:val="2"/>
          </w:tcPr>
          <w:p>
            <w:pPr>
              <w:jc w:val="right"/>
              <w:ind w:right="161"/>
              <w:spacing w:after="0"/>
              <w:rPr>
                <w:sz w:val="20"/>
                <w:szCs w:val="20"/>
                <w:color w:val="auto"/>
              </w:rPr>
            </w:pPr>
            <w:r>
              <w:rPr>
                <w:rFonts w:ascii="Arial" w:cs="Arial" w:eastAsia="Arial" w:hAnsi="Arial"/>
                <w:sz w:val="18"/>
                <w:szCs w:val="18"/>
                <w:color w:val="auto"/>
              </w:rPr>
              <w:t>—</w:t>
            </w:r>
          </w:p>
        </w:tc>
        <w:tc>
          <w:tcPr>
            <w:tcW w:w="920" w:type="dxa"/>
            <w:vAlign w:val="bottom"/>
            <w:gridSpan w:val="3"/>
          </w:tcPr>
          <w:p>
            <w:pPr>
              <w:jc w:val="right"/>
              <w:ind w:right="120"/>
              <w:spacing w:after="0"/>
              <w:rPr>
                <w:sz w:val="20"/>
                <w:szCs w:val="20"/>
                <w:color w:val="auto"/>
              </w:rPr>
            </w:pPr>
            <w:r>
              <w:rPr>
                <w:rFonts w:ascii="Arial" w:cs="Arial" w:eastAsia="Arial" w:hAnsi="Arial"/>
                <w:sz w:val="18"/>
                <w:szCs w:val="18"/>
                <w:color w:val="auto"/>
              </w:rPr>
              <w:t>255,382</w:t>
            </w:r>
          </w:p>
        </w:tc>
        <w:tc>
          <w:tcPr>
            <w:tcW w:w="0" w:type="dxa"/>
            <w:vAlign w:val="bottom"/>
          </w:tcPr>
          <w:p>
            <w:pPr>
              <w:spacing w:after="0"/>
              <w:rPr>
                <w:sz w:val="1"/>
                <w:szCs w:val="1"/>
                <w:color w:val="auto"/>
              </w:rPr>
            </w:pPr>
          </w:p>
        </w:tc>
      </w:tr>
      <w:tr>
        <w:trPr>
          <w:trHeight w:val="202"/>
        </w:trPr>
        <w:tc>
          <w:tcPr>
            <w:tcW w:w="4100" w:type="dxa"/>
            <w:vAlign w:val="bottom"/>
            <w:shd w:val="clear" w:color="auto" w:fill="CCEEFF"/>
          </w:tcPr>
          <w:p>
            <w:pPr>
              <w:ind w:left="360"/>
              <w:spacing w:after="0" w:line="201" w:lineRule="exact"/>
              <w:rPr>
                <w:sz w:val="20"/>
                <w:szCs w:val="20"/>
                <w:color w:val="auto"/>
              </w:rPr>
            </w:pPr>
            <w:r>
              <w:rPr>
                <w:rFonts w:ascii="Arial" w:cs="Arial" w:eastAsia="Arial" w:hAnsi="Arial"/>
                <w:sz w:val="18"/>
                <w:szCs w:val="18"/>
                <w:color w:val="auto"/>
              </w:rPr>
              <w:t>Sale of common shares to related parties and</w:t>
            </w:r>
          </w:p>
        </w:tc>
        <w:tc>
          <w:tcPr>
            <w:tcW w:w="7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exercise of common stock options, net of</w:t>
            </w: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1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transaction costs</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6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215,784</w:t>
            </w:r>
          </w:p>
        </w:tc>
        <w:tc>
          <w:tcPr>
            <w:tcW w:w="140" w:type="dxa"/>
            <w:vAlign w:val="bottom"/>
            <w:shd w:val="clear" w:color="auto" w:fill="CCEEFF"/>
          </w:tcPr>
          <w:p>
            <w:pPr>
              <w:spacing w:after="0"/>
              <w:rPr>
                <w:sz w:val="20"/>
                <w:szCs w:val="20"/>
                <w:color w:val="auto"/>
              </w:rPr>
            </w:pPr>
          </w:p>
        </w:tc>
        <w:tc>
          <w:tcPr>
            <w:tcW w:w="46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8,955</w:t>
            </w:r>
          </w:p>
        </w:tc>
        <w:tc>
          <w:tcPr>
            <w:tcW w:w="180" w:type="dxa"/>
            <w:vAlign w:val="bottom"/>
            <w:shd w:val="clear" w:color="auto" w:fill="CCEEFF"/>
          </w:tcPr>
          <w:p>
            <w:pPr>
              <w:spacing w:after="0"/>
              <w:rPr>
                <w:sz w:val="20"/>
                <w:szCs w:val="20"/>
                <w:color w:val="auto"/>
              </w:rPr>
            </w:pPr>
          </w:p>
        </w:tc>
        <w:tc>
          <w:tcPr>
            <w:tcW w:w="7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161"/>
              <w:spacing w:after="0"/>
              <w:rPr>
                <w:sz w:val="20"/>
                <w:szCs w:val="20"/>
                <w:color w:val="auto"/>
              </w:rPr>
            </w:pPr>
            <w:r>
              <w:rPr>
                <w:rFonts w:ascii="Arial" w:cs="Arial" w:eastAsia="Arial" w:hAnsi="Arial"/>
                <w:sz w:val="18"/>
                <w:szCs w:val="18"/>
                <w:color w:val="auto"/>
              </w:rPr>
              <w:t>—</w:t>
            </w:r>
          </w:p>
        </w:tc>
        <w:tc>
          <w:tcPr>
            <w:tcW w:w="9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8,955</w:t>
            </w:r>
          </w:p>
        </w:tc>
        <w:tc>
          <w:tcPr>
            <w:tcW w:w="0" w:type="dxa"/>
            <w:vAlign w:val="bottom"/>
          </w:tcPr>
          <w:p>
            <w:pPr>
              <w:spacing w:after="0"/>
              <w:rPr>
                <w:sz w:val="1"/>
                <w:szCs w:val="1"/>
                <w:color w:val="auto"/>
              </w:rPr>
            </w:pPr>
          </w:p>
        </w:tc>
      </w:tr>
      <w:tr>
        <w:trPr>
          <w:trHeight w:val="202"/>
        </w:trPr>
        <w:tc>
          <w:tcPr>
            <w:tcW w:w="4100" w:type="dxa"/>
            <w:vAlign w:val="bottom"/>
          </w:tcPr>
          <w:p>
            <w:pPr>
              <w:ind w:left="360"/>
              <w:spacing w:after="0" w:line="201" w:lineRule="exact"/>
              <w:rPr>
                <w:sz w:val="20"/>
                <w:szCs w:val="20"/>
                <w:color w:val="auto"/>
              </w:rPr>
            </w:pPr>
            <w:r>
              <w:rPr>
                <w:rFonts w:ascii="Arial" w:cs="Arial" w:eastAsia="Arial" w:hAnsi="Arial"/>
                <w:sz w:val="18"/>
                <w:szCs w:val="18"/>
                <w:color w:val="auto"/>
                <w:w w:val="91"/>
              </w:rPr>
              <w:t>Compensation expense related to stock options for</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100" w:type="dxa"/>
            <w:vAlign w:val="bottom"/>
          </w:tcPr>
          <w:p>
            <w:pPr>
              <w:ind w:left="540"/>
              <w:spacing w:after="0"/>
              <w:rPr>
                <w:sz w:val="20"/>
                <w:szCs w:val="20"/>
                <w:color w:val="auto"/>
              </w:rPr>
            </w:pPr>
            <w:r>
              <w:rPr>
                <w:rFonts w:ascii="Arial" w:cs="Arial" w:eastAsia="Arial" w:hAnsi="Arial"/>
                <w:sz w:val="18"/>
                <w:szCs w:val="18"/>
                <w:color w:val="auto"/>
              </w:rPr>
              <w:t>services</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46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31,625</w:t>
            </w:r>
          </w:p>
        </w:tc>
        <w:tc>
          <w:tcPr>
            <w:tcW w:w="180" w:type="dxa"/>
            <w:vAlign w:val="bottom"/>
          </w:tcPr>
          <w:p>
            <w:pPr>
              <w:spacing w:after="0"/>
              <w:rPr>
                <w:sz w:val="20"/>
                <w:szCs w:val="20"/>
                <w:color w:val="auto"/>
              </w:rPr>
            </w:pPr>
          </w:p>
        </w:tc>
        <w:tc>
          <w:tcPr>
            <w:tcW w:w="76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880" w:type="dxa"/>
            <w:vAlign w:val="bottom"/>
            <w:gridSpan w:val="2"/>
          </w:tcPr>
          <w:p>
            <w:pPr>
              <w:jc w:val="right"/>
              <w:ind w:right="161"/>
              <w:spacing w:after="0"/>
              <w:rPr>
                <w:sz w:val="20"/>
                <w:szCs w:val="20"/>
                <w:color w:val="auto"/>
              </w:rPr>
            </w:pPr>
            <w:r>
              <w:rPr>
                <w:rFonts w:ascii="Arial" w:cs="Arial" w:eastAsia="Arial" w:hAnsi="Arial"/>
                <w:sz w:val="18"/>
                <w:szCs w:val="18"/>
                <w:color w:val="auto"/>
              </w:rPr>
              <w:t>—</w:t>
            </w:r>
          </w:p>
        </w:tc>
        <w:tc>
          <w:tcPr>
            <w:tcW w:w="920" w:type="dxa"/>
            <w:vAlign w:val="bottom"/>
            <w:gridSpan w:val="3"/>
          </w:tcPr>
          <w:p>
            <w:pPr>
              <w:jc w:val="right"/>
              <w:ind w:right="120"/>
              <w:spacing w:after="0"/>
              <w:rPr>
                <w:sz w:val="20"/>
                <w:szCs w:val="20"/>
                <w:color w:val="auto"/>
              </w:rPr>
            </w:pPr>
            <w:r>
              <w:rPr>
                <w:rFonts w:ascii="Arial" w:cs="Arial" w:eastAsia="Arial" w:hAnsi="Arial"/>
                <w:sz w:val="18"/>
                <w:szCs w:val="18"/>
                <w:color w:val="auto"/>
              </w:rPr>
              <w:t>31,625</w:t>
            </w: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Unrealized loss on marketable securities</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46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48</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1"/>
              <w:spacing w:after="0"/>
              <w:rPr>
                <w:sz w:val="20"/>
                <w:szCs w:val="20"/>
                <w:color w:val="auto"/>
              </w:rPr>
            </w:pPr>
            <w:r>
              <w:rPr>
                <w:rFonts w:ascii="Arial" w:cs="Arial" w:eastAsia="Arial" w:hAnsi="Arial"/>
                <w:sz w:val="18"/>
                <w:szCs w:val="18"/>
                <w:color w:val="auto"/>
              </w:rPr>
              <w:t>—</w:t>
            </w:r>
          </w:p>
        </w:tc>
        <w:tc>
          <w:tcPr>
            <w:tcW w:w="9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6"/>
        </w:trPr>
        <w:tc>
          <w:tcPr>
            <w:tcW w:w="4100" w:type="dxa"/>
            <w:vAlign w:val="bottom"/>
          </w:tcPr>
          <w:p>
            <w:pPr>
              <w:ind w:left="360"/>
              <w:spacing w:after="0"/>
              <w:rPr>
                <w:sz w:val="20"/>
                <w:szCs w:val="20"/>
                <w:color w:val="auto"/>
              </w:rPr>
            </w:pPr>
            <w:r>
              <w:rPr>
                <w:rFonts w:ascii="Arial" w:cs="Arial" w:eastAsia="Arial" w:hAnsi="Arial"/>
                <w:sz w:val="18"/>
                <w:szCs w:val="18"/>
                <w:color w:val="auto"/>
              </w:rPr>
              <w:t>Hercules warrant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46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622</w:t>
            </w:r>
          </w:p>
        </w:tc>
        <w:tc>
          <w:tcPr>
            <w:tcW w:w="180" w:type="dxa"/>
            <w:vAlign w:val="bottom"/>
          </w:tcPr>
          <w:p>
            <w:pPr>
              <w:spacing w:after="0"/>
              <w:rPr>
                <w:sz w:val="18"/>
                <w:szCs w:val="18"/>
                <w:color w:val="auto"/>
              </w:rPr>
            </w:pPr>
          </w:p>
        </w:tc>
        <w:tc>
          <w:tcPr>
            <w:tcW w:w="76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80" w:type="dxa"/>
            <w:vAlign w:val="bottom"/>
            <w:gridSpan w:val="2"/>
          </w:tcPr>
          <w:p>
            <w:pPr>
              <w:jc w:val="right"/>
              <w:ind w:right="161"/>
              <w:spacing w:after="0"/>
              <w:rPr>
                <w:sz w:val="20"/>
                <w:szCs w:val="20"/>
                <w:color w:val="auto"/>
              </w:rPr>
            </w:pPr>
            <w:r>
              <w:rPr>
                <w:rFonts w:ascii="Arial" w:cs="Arial" w:eastAsia="Arial" w:hAnsi="Arial"/>
                <w:sz w:val="18"/>
                <w:szCs w:val="18"/>
                <w:color w:val="auto"/>
              </w:rPr>
              <w:t>—</w:t>
            </w:r>
          </w:p>
        </w:tc>
        <w:tc>
          <w:tcPr>
            <w:tcW w:w="920" w:type="dxa"/>
            <w:vAlign w:val="bottom"/>
            <w:gridSpan w:val="3"/>
          </w:tcPr>
          <w:p>
            <w:pPr>
              <w:jc w:val="right"/>
              <w:ind w:right="120"/>
              <w:spacing w:after="0"/>
              <w:rPr>
                <w:sz w:val="20"/>
                <w:szCs w:val="20"/>
                <w:color w:val="auto"/>
              </w:rPr>
            </w:pPr>
            <w:r>
              <w:rPr>
                <w:rFonts w:ascii="Arial" w:cs="Arial" w:eastAsia="Arial" w:hAnsi="Arial"/>
                <w:sz w:val="18"/>
                <w:szCs w:val="18"/>
                <w:color w:val="auto"/>
              </w:rPr>
              <w:t>622</w:t>
            </w: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Net loss</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46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960" w:type="dxa"/>
            <w:vAlign w:val="bottom"/>
            <w:gridSpan w:val="3"/>
            <w:shd w:val="clear" w:color="auto" w:fill="CCEEFF"/>
          </w:tcPr>
          <w:p>
            <w:pPr>
              <w:jc w:val="right"/>
              <w:ind w:right="1"/>
              <w:spacing w:after="0"/>
              <w:rPr>
                <w:sz w:val="20"/>
                <w:szCs w:val="20"/>
                <w:color w:val="auto"/>
              </w:rPr>
            </w:pPr>
            <w:r>
              <w:rPr>
                <w:rFonts w:ascii="Arial" w:cs="Arial" w:eastAsia="Arial" w:hAnsi="Arial"/>
                <w:sz w:val="18"/>
                <w:szCs w:val="18"/>
                <w:color w:val="auto"/>
              </w:rPr>
              <w:t>(295,350)</w:t>
            </w:r>
          </w:p>
        </w:tc>
        <w:tc>
          <w:tcPr>
            <w:tcW w:w="9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(295,350)</w:t>
            </w:r>
          </w:p>
        </w:tc>
        <w:tc>
          <w:tcPr>
            <w:tcW w:w="0" w:type="dxa"/>
            <w:vAlign w:val="bottom"/>
          </w:tcPr>
          <w:p>
            <w:pPr>
              <w:spacing w:after="0"/>
              <w:rPr>
                <w:sz w:val="1"/>
                <w:szCs w:val="1"/>
                <w:color w:val="auto"/>
              </w:rPr>
            </w:pPr>
          </w:p>
        </w:tc>
      </w:tr>
      <w:tr>
        <w:trPr>
          <w:trHeight w:val="223"/>
        </w:trPr>
        <w:tc>
          <w:tcPr>
            <w:tcW w:w="4100" w:type="dxa"/>
            <w:vAlign w:val="bottom"/>
          </w:tcPr>
          <w:p>
            <w:pPr>
              <w:spacing w:after="0"/>
              <w:rPr>
                <w:sz w:val="20"/>
                <w:szCs w:val="20"/>
                <w:color w:val="auto"/>
              </w:rPr>
            </w:pPr>
            <w:r>
              <w:rPr>
                <w:rFonts w:ascii="Arial" w:cs="Arial" w:eastAsia="Arial" w:hAnsi="Arial"/>
                <w:sz w:val="18"/>
                <w:szCs w:val="18"/>
                <w:color w:val="auto"/>
              </w:rPr>
              <w:t>Balance at December 31, 2022</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2,369,797</w:t>
            </w:r>
          </w:p>
        </w:tc>
        <w:tc>
          <w:tcPr>
            <w:tcW w:w="20" w:type="dxa"/>
            <w:vAlign w:val="bottom"/>
            <w:tcBorders>
              <w:bottom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5"/>
                <w:szCs w:val="15"/>
                <w:color w:val="auto"/>
                <w:w w:val="71"/>
              </w:rPr>
              <w:t>$</w:t>
            </w:r>
          </w:p>
        </w:tc>
        <w:tc>
          <w:tcPr>
            <w:tcW w:w="2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3"/>
              </w:rPr>
              <w:t>18,102,523</w:t>
            </w:r>
          </w:p>
        </w:tc>
        <w:tc>
          <w:tcPr>
            <w:tcW w:w="16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5"/>
                <w:szCs w:val="15"/>
                <w:color w:val="auto"/>
                <w:w w:val="71"/>
              </w:rPr>
              <w:t>2</w:t>
            </w:r>
          </w:p>
        </w:tc>
        <w:tc>
          <w:tcPr>
            <w:tcW w:w="16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1,160,079</w:t>
            </w:r>
          </w:p>
        </w:tc>
        <w:tc>
          <w:tcPr>
            <w:tcW w:w="14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(962,660</w:t>
            </w:r>
          </w:p>
        </w:tc>
        <w:tc>
          <w:tcPr>
            <w:tcW w:w="140" w:type="dxa"/>
            <w:vAlign w:val="bottom"/>
          </w:tcPr>
          <w:p>
            <w:pPr>
              <w:jc w:val="right"/>
              <w:ind w:right="1"/>
              <w:spacing w:after="0"/>
              <w:rPr>
                <w:sz w:val="20"/>
                <w:szCs w:val="20"/>
                <w:color w:val="auto"/>
              </w:rPr>
            </w:pPr>
            <w:r>
              <w:rPr>
                <w:rFonts w:ascii="Arial" w:cs="Arial" w:eastAsia="Arial" w:hAnsi="Arial"/>
                <w:sz w:val="16"/>
                <w:szCs w:val="16"/>
                <w:color w:val="auto"/>
                <w:w w:val="74"/>
              </w:rPr>
              <w:t>)</w:t>
            </w:r>
          </w:p>
        </w:tc>
        <w:tc>
          <w:tcPr>
            <w:tcW w:w="60" w:type="dxa"/>
            <w:vAlign w:val="bottom"/>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$ 197,389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10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jc w:val="center"/>
        <w:ind w:right="-99"/>
        <w:spacing w:after="0"/>
        <w:rPr>
          <w:sz w:val="20"/>
          <w:szCs w:val="20"/>
          <w:color w:val="auto"/>
        </w:rPr>
      </w:pPr>
      <w:r>
        <w:rPr>
          <w:rFonts w:ascii="Arial" w:cs="Arial" w:eastAsia="Arial" w:hAnsi="Arial"/>
          <w:sz w:val="14"/>
          <w:szCs w:val="14"/>
          <w:color w:val="auto"/>
        </w:rPr>
        <w:t>See accompanying notes to consolidated financial statements.</w:t>
      </w:r>
    </w:p>
    <w:p>
      <w:pPr>
        <w:spacing w:after="0" w:line="140"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F-8</w:t>
      </w:r>
    </w:p>
    <w:p>
      <w:pPr>
        <w:sectPr>
          <w:pgSz w:w="11900" w:h="16838" w:orient="portrait"/>
          <w:cols w:equalWidth="0" w:num="1">
            <w:col w:w="11140"/>
          </w:cols>
          <w:pgMar w:left="320" w:top="486" w:right="43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2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48" w:lineRule="exact"/>
        <w:rPr>
          <w:sz w:val="20"/>
          <w:szCs w:val="20"/>
          <w:color w:val="auto"/>
        </w:rPr>
      </w:pPr>
    </w:p>
    <w:tbl>
      <w:tblPr>
        <w:tblLayout w:type="fixed"/>
        <w:tblInd w:w="120" w:type="dxa"/>
        <w:tblCellMar>
          <w:top w:w="0" w:type="dxa"/>
          <w:left w:w="0" w:type="dxa"/>
          <w:bottom w:w="0" w:type="dxa"/>
          <w:right w:w="0" w:type="dxa"/>
        </w:tblCellMar>
      </w:tblPr>
      <w:tr>
        <w:trPr>
          <w:trHeight w:val="171"/>
        </w:trPr>
        <w:tc>
          <w:tcPr>
            <w:tcW w:w="79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740" w:type="dxa"/>
            <w:vAlign w:val="bottom"/>
            <w:gridSpan w:val="9"/>
          </w:tcPr>
          <w:p>
            <w:pPr>
              <w:jc w:val="right"/>
              <w:ind w:right="680"/>
              <w:spacing w:after="0"/>
              <w:rPr>
                <w:sz w:val="20"/>
                <w:szCs w:val="20"/>
                <w:color w:val="auto"/>
              </w:rPr>
            </w:pPr>
            <w:r>
              <w:rPr>
                <w:rFonts w:ascii="Arial" w:cs="Arial" w:eastAsia="Arial" w:hAnsi="Arial"/>
                <w:sz w:val="14"/>
                <w:szCs w:val="14"/>
                <w:b w:val="1"/>
                <w:bCs w:val="1"/>
                <w:color w:val="auto"/>
              </w:rPr>
              <w:t>Year Ended December 31,</w:t>
            </w:r>
          </w:p>
        </w:tc>
      </w:tr>
      <w:tr>
        <w:trPr>
          <w:trHeight w:val="142"/>
        </w:trPr>
        <w:tc>
          <w:tcPr>
            <w:tcW w:w="7920" w:type="dxa"/>
            <w:vAlign w:val="bottom"/>
            <w:tcBorders>
              <w:bottom w:val="single" w:sz="8" w:color="CCEEFF"/>
            </w:tcBorders>
          </w:tcPr>
          <w:p>
            <w:pPr>
              <w:spacing w:after="0"/>
              <w:rPr>
                <w:sz w:val="12"/>
                <w:szCs w:val="12"/>
                <w:color w:val="auto"/>
              </w:rPr>
            </w:pPr>
          </w:p>
        </w:tc>
        <w:tc>
          <w:tcPr>
            <w:tcW w:w="22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rPr>
              <w:t>2022</w:t>
            </w:r>
          </w:p>
        </w:tc>
        <w:tc>
          <w:tcPr>
            <w:tcW w:w="140" w:type="dxa"/>
            <w:vAlign w:val="bottom"/>
            <w:tcBorders>
              <w:top w:val="single" w:sz="8" w:color="auto"/>
              <w:bottom w:val="single" w:sz="8" w:color="CCEEFF"/>
            </w:tcBorders>
          </w:tcPr>
          <w:p>
            <w:pPr>
              <w:spacing w:after="0"/>
              <w:rPr>
                <w:sz w:val="12"/>
                <w:szCs w:val="12"/>
                <w:color w:val="auto"/>
              </w:rPr>
            </w:pPr>
          </w:p>
        </w:tc>
        <w:tc>
          <w:tcPr>
            <w:tcW w:w="6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51"/>
              <w:spacing w:after="0" w:line="142" w:lineRule="exact"/>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71"/>
              <w:spacing w:after="0" w:line="142" w:lineRule="exact"/>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2"/>
                <w:szCs w:val="12"/>
                <w:color w:val="auto"/>
              </w:rPr>
            </w:pPr>
          </w:p>
        </w:tc>
      </w:tr>
      <w:tr>
        <w:trPr>
          <w:trHeight w:val="209"/>
        </w:trPr>
        <w:tc>
          <w:tcPr>
            <w:tcW w:w="792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operating activities: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920" w:type="dxa"/>
            <w:vAlign w:val="bottom"/>
          </w:tcPr>
          <w:p>
            <w:pPr>
              <w:ind w:left="180"/>
              <w:spacing w:after="0"/>
              <w:rPr>
                <w:sz w:val="20"/>
                <w:szCs w:val="20"/>
                <w:color w:val="auto"/>
              </w:rPr>
            </w:pPr>
            <w:r>
              <w:rPr>
                <w:rFonts w:ascii="Arial" w:cs="Arial" w:eastAsia="Arial" w:hAnsi="Arial"/>
                <w:sz w:val="18"/>
                <w:szCs w:val="18"/>
                <w:color w:val="auto"/>
              </w:rPr>
              <w:t>Net loss</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w w:val="90"/>
              </w:rPr>
              <w:t>(295,350)</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w w:val="90"/>
              </w:rPr>
              <w:t>(241,846)</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w w:val="93"/>
              </w:rPr>
              <w:t>(202,244)</w:t>
            </w:r>
          </w:p>
        </w:tc>
      </w:tr>
      <w:tr>
        <w:trPr>
          <w:trHeight w:val="216"/>
        </w:trPr>
        <w:tc>
          <w:tcPr>
            <w:tcW w:w="79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920" w:type="dxa"/>
            <w:vAlign w:val="bottom"/>
          </w:tcPr>
          <w:p>
            <w:pPr>
              <w:ind w:left="360"/>
              <w:spacing w:after="0"/>
              <w:rPr>
                <w:sz w:val="20"/>
                <w:szCs w:val="20"/>
                <w:color w:val="auto"/>
              </w:rPr>
            </w:pPr>
            <w:r>
              <w:rPr>
                <w:rFonts w:ascii="Arial" w:cs="Arial" w:eastAsia="Arial" w:hAnsi="Arial"/>
                <w:sz w:val="18"/>
                <w:szCs w:val="18"/>
                <w:color w:val="auto"/>
              </w:rPr>
              <w:t>Stock-based compensation expense</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31,625</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26,873</w:t>
            </w:r>
          </w:p>
        </w:tc>
        <w:tc>
          <w:tcPr>
            <w:tcW w:w="10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20,730</w:t>
            </w:r>
          </w:p>
        </w:tc>
      </w:tr>
      <w:tr>
        <w:trPr>
          <w:trHeight w:val="216"/>
        </w:trPr>
        <w:tc>
          <w:tcPr>
            <w:tcW w:w="79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Depreciation and amortization expense</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467</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405</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471</w:t>
            </w:r>
          </w:p>
        </w:tc>
      </w:tr>
      <w:tr>
        <w:trPr>
          <w:trHeight w:val="216"/>
        </w:trPr>
        <w:tc>
          <w:tcPr>
            <w:tcW w:w="7920" w:type="dxa"/>
            <w:vAlign w:val="bottom"/>
          </w:tcPr>
          <w:p>
            <w:pPr>
              <w:ind w:left="360"/>
              <w:spacing w:after="0"/>
              <w:rPr>
                <w:sz w:val="20"/>
                <w:szCs w:val="20"/>
                <w:color w:val="auto"/>
              </w:rPr>
            </w:pPr>
            <w:r>
              <w:rPr>
                <w:rFonts w:ascii="Arial" w:cs="Arial" w:eastAsia="Arial" w:hAnsi="Arial"/>
                <w:sz w:val="18"/>
                <w:szCs w:val="18"/>
                <w:color w:val="auto"/>
              </w:rPr>
              <w:t>Amortization of debt issuance costs and discount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797</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79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Changes in operating assets and liabilities: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920" w:type="dxa"/>
            <w:vAlign w:val="bottom"/>
          </w:tcPr>
          <w:p>
            <w:pPr>
              <w:ind w:left="540"/>
              <w:spacing w:after="0"/>
              <w:rPr>
                <w:sz w:val="20"/>
                <w:szCs w:val="20"/>
                <w:color w:val="auto"/>
              </w:rPr>
            </w:pPr>
            <w:r>
              <w:rPr>
                <w:rFonts w:ascii="Arial" w:cs="Arial" w:eastAsia="Arial" w:hAnsi="Arial"/>
                <w:sz w:val="18"/>
                <w:szCs w:val="18"/>
                <w:color w:val="auto"/>
              </w:rPr>
              <w:t>Prepaid expenses and other current assets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(1,257)</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(325)</w:t>
            </w:r>
          </w:p>
        </w:tc>
        <w:tc>
          <w:tcPr>
            <w:tcW w:w="10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138</w:t>
            </w:r>
          </w:p>
        </w:tc>
      </w:tr>
      <w:tr>
        <w:trPr>
          <w:trHeight w:val="216"/>
        </w:trPr>
        <w:tc>
          <w:tcPr>
            <w:tcW w:w="79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Accounts payable</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2,451</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20,363</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(161)</w:t>
            </w:r>
          </w:p>
        </w:tc>
      </w:tr>
      <w:tr>
        <w:trPr>
          <w:trHeight w:val="216"/>
        </w:trPr>
        <w:tc>
          <w:tcPr>
            <w:tcW w:w="7920" w:type="dxa"/>
            <w:vAlign w:val="bottom"/>
          </w:tcPr>
          <w:p>
            <w:pPr>
              <w:ind w:left="540"/>
              <w:spacing w:after="0"/>
              <w:rPr>
                <w:sz w:val="20"/>
                <w:szCs w:val="20"/>
                <w:color w:val="auto"/>
              </w:rPr>
            </w:pPr>
            <w:r>
              <w:rPr>
                <w:rFonts w:ascii="Arial" w:cs="Arial" w:eastAsia="Arial" w:hAnsi="Arial"/>
                <w:sz w:val="18"/>
                <w:szCs w:val="18"/>
                <w:color w:val="auto"/>
              </w:rPr>
              <w:t>Accrued expense</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36,413</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9,826</w:t>
            </w:r>
          </w:p>
        </w:tc>
        <w:tc>
          <w:tcPr>
            <w:tcW w:w="10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21,585</w:t>
            </w:r>
          </w:p>
        </w:tc>
      </w:tr>
      <w:tr>
        <w:trPr>
          <w:trHeight w:val="216"/>
        </w:trPr>
        <w:tc>
          <w:tcPr>
            <w:tcW w:w="79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Accrued interest, net of interest received on maturity of investments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787</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1,920</w:t>
            </w:r>
          </w:p>
        </w:tc>
      </w:tr>
      <w:tr>
        <w:trPr>
          <w:trHeight w:val="230"/>
        </w:trPr>
        <w:tc>
          <w:tcPr>
            <w:tcW w:w="7920" w:type="dxa"/>
            <w:vAlign w:val="bottom"/>
          </w:tcPr>
          <w:p>
            <w:pPr>
              <w:ind w:left="720"/>
              <w:spacing w:after="0"/>
              <w:rPr>
                <w:sz w:val="20"/>
                <w:szCs w:val="20"/>
                <w:color w:val="auto"/>
              </w:rPr>
            </w:pPr>
            <w:r>
              <w:rPr>
                <w:rFonts w:ascii="Arial" w:cs="Arial" w:eastAsia="Arial" w:hAnsi="Arial"/>
                <w:sz w:val="18"/>
                <w:szCs w:val="18"/>
                <w:color w:val="auto"/>
              </w:rPr>
              <w:t>Net cash used in operating activities</w:t>
            </w:r>
          </w:p>
        </w:tc>
        <w:tc>
          <w:tcPr>
            <w:tcW w:w="2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3"/>
              </w:rPr>
              <w:t>(224,857)</w:t>
            </w: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3"/>
              </w:rPr>
              <w:t>(183,917)</w:t>
            </w:r>
          </w:p>
        </w:tc>
        <w:tc>
          <w:tcPr>
            <w:tcW w:w="2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5"/>
              </w:rPr>
              <w:t>(157,561)</w:t>
            </w:r>
          </w:p>
        </w:tc>
        <w:tc>
          <w:tcPr>
            <w:tcW w:w="100" w:type="dxa"/>
            <w:vAlign w:val="bottom"/>
          </w:tcPr>
          <w:p>
            <w:pPr>
              <w:spacing w:after="0"/>
              <w:rPr>
                <w:sz w:val="20"/>
                <w:szCs w:val="20"/>
                <w:color w:val="auto"/>
              </w:rPr>
            </w:pPr>
          </w:p>
        </w:tc>
      </w:tr>
      <w:tr>
        <w:trPr>
          <w:trHeight w:val="216"/>
        </w:trPr>
        <w:tc>
          <w:tcPr>
            <w:tcW w:w="792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investing activities: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920" w:type="dxa"/>
            <w:vAlign w:val="bottom"/>
          </w:tcPr>
          <w:p>
            <w:pPr>
              <w:ind w:left="360"/>
              <w:spacing w:after="0"/>
              <w:rPr>
                <w:sz w:val="20"/>
                <w:szCs w:val="20"/>
                <w:color w:val="auto"/>
              </w:rPr>
            </w:pPr>
            <w:r>
              <w:rPr>
                <w:rFonts w:ascii="Arial" w:cs="Arial" w:eastAsia="Arial" w:hAnsi="Arial"/>
                <w:sz w:val="18"/>
                <w:szCs w:val="18"/>
                <w:color w:val="auto"/>
              </w:rPr>
              <w:t>Purchases of marketable securities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w w:val="90"/>
              </w:rPr>
              <w:t>(143,478)</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w w:val="90"/>
              </w:rPr>
              <w:t>(394,120)</w:t>
            </w:r>
          </w:p>
        </w:tc>
        <w:tc>
          <w:tcPr>
            <w:tcW w:w="100" w:type="dxa"/>
            <w:vAlign w:val="bottom"/>
          </w:tcPr>
          <w:p>
            <w:pPr>
              <w:spacing w:after="0"/>
              <w:rPr>
                <w:sz w:val="18"/>
                <w:szCs w:val="18"/>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w w:val="93"/>
              </w:rPr>
              <w:t>(329,342)</w:t>
            </w:r>
          </w:p>
        </w:tc>
      </w:tr>
      <w:tr>
        <w:trPr>
          <w:trHeight w:val="216"/>
        </w:trPr>
        <w:tc>
          <w:tcPr>
            <w:tcW w:w="79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Sales and maturities of marketable securities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8"/>
              </w:rPr>
              <w:t>350,381</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8"/>
              </w:rPr>
              <w:t>389,274</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489,456</w:t>
            </w:r>
          </w:p>
        </w:tc>
      </w:tr>
      <w:tr>
        <w:trPr>
          <w:trHeight w:val="216"/>
        </w:trPr>
        <w:tc>
          <w:tcPr>
            <w:tcW w:w="7920" w:type="dxa"/>
            <w:vAlign w:val="bottom"/>
          </w:tcPr>
          <w:p>
            <w:pPr>
              <w:ind w:left="360"/>
              <w:spacing w:after="0"/>
              <w:rPr>
                <w:sz w:val="20"/>
                <w:szCs w:val="20"/>
                <w:color w:val="auto"/>
              </w:rPr>
            </w:pPr>
            <w:r>
              <w:rPr>
                <w:rFonts w:ascii="Arial" w:cs="Arial" w:eastAsia="Arial" w:hAnsi="Arial"/>
                <w:sz w:val="18"/>
                <w:szCs w:val="18"/>
                <w:color w:val="auto"/>
              </w:rPr>
              <w:t>Purchases of property and equipment, net of disposals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(217)</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(209)</w:t>
            </w:r>
          </w:p>
        </w:tc>
        <w:tc>
          <w:tcPr>
            <w:tcW w:w="100" w:type="dxa"/>
            <w:vAlign w:val="bottom"/>
          </w:tcPr>
          <w:p>
            <w:pPr>
              <w:spacing w:after="0"/>
              <w:rPr>
                <w:sz w:val="18"/>
                <w:szCs w:val="18"/>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rPr>
              <w:t>(334)</w:t>
            </w:r>
          </w:p>
        </w:tc>
      </w:tr>
      <w:tr>
        <w:trPr>
          <w:trHeight w:val="27"/>
        </w:trPr>
        <w:tc>
          <w:tcPr>
            <w:tcW w:w="79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7920" w:type="dxa"/>
            <w:vAlign w:val="bottom"/>
            <w:shd w:val="clear" w:color="auto" w:fill="CCEEFF"/>
          </w:tcPr>
          <w:p>
            <w:pPr>
              <w:ind w:left="900"/>
              <w:spacing w:after="0"/>
              <w:rPr>
                <w:sz w:val="20"/>
                <w:szCs w:val="20"/>
                <w:color w:val="auto"/>
              </w:rPr>
            </w:pPr>
            <w:r>
              <w:rPr>
                <w:rFonts w:ascii="Arial" w:cs="Arial" w:eastAsia="Arial" w:hAnsi="Arial"/>
                <w:sz w:val="18"/>
                <w:szCs w:val="18"/>
                <w:color w:val="auto"/>
              </w:rPr>
              <w:t>Net cash provided by (used in) investing activities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206,686</w:t>
            </w: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(5,055)</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159,780</w:t>
            </w:r>
          </w:p>
        </w:tc>
      </w:tr>
      <w:tr>
        <w:trPr>
          <w:trHeight w:val="223"/>
        </w:trPr>
        <w:tc>
          <w:tcPr>
            <w:tcW w:w="7920" w:type="dxa"/>
            <w:vAlign w:val="bottom"/>
          </w:tcPr>
          <w:p>
            <w:pPr>
              <w:spacing w:after="0"/>
              <w:rPr>
                <w:sz w:val="20"/>
                <w:szCs w:val="20"/>
                <w:color w:val="auto"/>
              </w:rPr>
            </w:pPr>
            <w:r>
              <w:rPr>
                <w:rFonts w:ascii="Arial" w:cs="Arial" w:eastAsia="Arial" w:hAnsi="Arial"/>
                <w:sz w:val="18"/>
                <w:szCs w:val="18"/>
                <w:color w:val="auto"/>
              </w:rPr>
              <w:t>Cash flows from financing activities:</w:t>
            </w:r>
          </w:p>
        </w:tc>
        <w:tc>
          <w:tcPr>
            <w:tcW w:w="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6"/>
        </w:trPr>
        <w:tc>
          <w:tcPr>
            <w:tcW w:w="79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Proceeds from issuances of stock, excluding related parties, net of transaction costs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8"/>
              </w:rPr>
              <w:t>255,382</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8"/>
              </w:rPr>
              <w:t>170,207</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4,421</w:t>
            </w:r>
          </w:p>
        </w:tc>
      </w:tr>
      <w:tr>
        <w:trPr>
          <w:trHeight w:val="202"/>
        </w:trPr>
        <w:tc>
          <w:tcPr>
            <w:tcW w:w="7920" w:type="dxa"/>
            <w:vAlign w:val="bottom"/>
          </w:tcPr>
          <w:p>
            <w:pPr>
              <w:ind w:left="360"/>
              <w:spacing w:after="0" w:line="201" w:lineRule="exact"/>
              <w:rPr>
                <w:sz w:val="20"/>
                <w:szCs w:val="20"/>
                <w:color w:val="auto"/>
              </w:rPr>
            </w:pPr>
            <w:r>
              <w:rPr>
                <w:rFonts w:ascii="Arial" w:cs="Arial" w:eastAsia="Arial" w:hAnsi="Arial"/>
                <w:sz w:val="18"/>
                <w:szCs w:val="18"/>
                <w:color w:val="auto"/>
                <w:w w:val="92"/>
              </w:rPr>
              <w:t>Proceeds from the sale of related party stock and exercise of common stock options, net of transaction</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7920" w:type="dxa"/>
            <w:vAlign w:val="bottom"/>
          </w:tcPr>
          <w:p>
            <w:pPr>
              <w:ind w:left="540"/>
              <w:spacing w:after="0"/>
              <w:rPr>
                <w:sz w:val="20"/>
                <w:szCs w:val="20"/>
                <w:color w:val="auto"/>
              </w:rPr>
            </w:pPr>
            <w:r>
              <w:rPr>
                <w:rFonts w:ascii="Arial" w:cs="Arial" w:eastAsia="Arial" w:hAnsi="Arial"/>
                <w:sz w:val="18"/>
                <w:szCs w:val="18"/>
                <w:color w:val="auto"/>
              </w:rPr>
              <w:t>costs</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8,955</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1,030</w:t>
            </w:r>
          </w:p>
        </w:tc>
        <w:tc>
          <w:tcPr>
            <w:tcW w:w="100" w:type="dxa"/>
            <w:vAlign w:val="bottom"/>
          </w:tcPr>
          <w:p>
            <w:pPr>
              <w:spacing w:after="0"/>
              <w:rPr>
                <w:sz w:val="20"/>
                <w:szCs w:val="20"/>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667</w:t>
            </w:r>
          </w:p>
        </w:tc>
      </w:tr>
      <w:tr>
        <w:trPr>
          <w:trHeight w:val="216"/>
        </w:trPr>
        <w:tc>
          <w:tcPr>
            <w:tcW w:w="79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Proceeds from issuance of loan payable</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50,000</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r>
        <w:trPr>
          <w:trHeight w:val="223"/>
        </w:trPr>
        <w:tc>
          <w:tcPr>
            <w:tcW w:w="7920" w:type="dxa"/>
            <w:vAlign w:val="bottom"/>
          </w:tcPr>
          <w:p>
            <w:pPr>
              <w:ind w:left="360"/>
              <w:spacing w:after="0"/>
              <w:rPr>
                <w:sz w:val="20"/>
                <w:szCs w:val="20"/>
                <w:color w:val="auto"/>
              </w:rPr>
            </w:pPr>
            <w:r>
              <w:rPr>
                <w:rFonts w:ascii="Arial" w:cs="Arial" w:eastAsia="Arial" w:hAnsi="Arial"/>
                <w:sz w:val="18"/>
                <w:szCs w:val="18"/>
                <w:color w:val="auto"/>
              </w:rPr>
              <w:t>Payment of debt issuance costs</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(886)</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7920" w:type="dxa"/>
            <w:vAlign w:val="bottom"/>
            <w:shd w:val="clear" w:color="auto" w:fill="CCEEFF"/>
          </w:tcPr>
          <w:p>
            <w:pPr>
              <w:ind w:left="900"/>
              <w:spacing w:after="0"/>
              <w:rPr>
                <w:sz w:val="20"/>
                <w:szCs w:val="20"/>
                <w:color w:val="auto"/>
              </w:rPr>
            </w:pPr>
            <w:r>
              <w:rPr>
                <w:rFonts w:ascii="Arial" w:cs="Arial" w:eastAsia="Arial" w:hAnsi="Arial"/>
                <w:sz w:val="18"/>
                <w:szCs w:val="18"/>
                <w:color w:val="auto"/>
              </w:rPr>
              <w:t>Net cash provided by financing activities</w:t>
            </w:r>
          </w:p>
        </w:tc>
        <w:tc>
          <w:tcPr>
            <w:tcW w:w="22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313,451</w:t>
            </w: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171,237</w:t>
            </w:r>
          </w:p>
        </w:tc>
        <w:tc>
          <w:tcPr>
            <w:tcW w:w="22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5,088</w:t>
            </w:r>
          </w:p>
        </w:tc>
        <w:tc>
          <w:tcPr>
            <w:tcW w:w="100" w:type="dxa"/>
            <w:vAlign w:val="bottom"/>
            <w:shd w:val="clear" w:color="auto" w:fill="CCEEFF"/>
          </w:tcPr>
          <w:p>
            <w:pPr>
              <w:spacing w:after="0"/>
              <w:rPr>
                <w:sz w:val="18"/>
                <w:szCs w:val="18"/>
                <w:color w:val="auto"/>
              </w:rPr>
            </w:pPr>
          </w:p>
        </w:tc>
      </w:tr>
      <w:tr>
        <w:trPr>
          <w:trHeight w:val="223"/>
        </w:trPr>
        <w:tc>
          <w:tcPr>
            <w:tcW w:w="7920" w:type="dxa"/>
            <w:vAlign w:val="bottom"/>
          </w:tcPr>
          <w:p>
            <w:pPr>
              <w:ind w:left="900"/>
              <w:spacing w:after="0"/>
              <w:rPr>
                <w:sz w:val="20"/>
                <w:szCs w:val="20"/>
                <w:color w:val="auto"/>
              </w:rPr>
            </w:pPr>
            <w:r>
              <w:rPr>
                <w:rFonts w:ascii="Arial" w:cs="Arial" w:eastAsia="Arial" w:hAnsi="Arial"/>
                <w:sz w:val="18"/>
                <w:szCs w:val="18"/>
                <w:color w:val="auto"/>
              </w:rPr>
              <w:t>Net increase (decrease) in cash and cash equivalents</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8"/>
              </w:rPr>
              <w:t>295,280</w:t>
            </w: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5"/>
              </w:rPr>
              <w:t>(17,735)</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7,307</w:t>
            </w:r>
          </w:p>
        </w:tc>
        <w:tc>
          <w:tcPr>
            <w:tcW w:w="100" w:type="dxa"/>
            <w:vAlign w:val="bottom"/>
          </w:tcPr>
          <w:p>
            <w:pPr>
              <w:spacing w:after="0"/>
              <w:rPr>
                <w:sz w:val="19"/>
                <w:szCs w:val="19"/>
                <w:color w:val="auto"/>
              </w:rPr>
            </w:pPr>
          </w:p>
        </w:tc>
      </w:tr>
      <w:tr>
        <w:trPr>
          <w:trHeight w:val="216"/>
        </w:trPr>
        <w:tc>
          <w:tcPr>
            <w:tcW w:w="79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beginning of period</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36,269</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54,004</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46,697</w:t>
            </w:r>
          </w:p>
        </w:tc>
      </w:tr>
      <w:tr>
        <w:trPr>
          <w:trHeight w:val="223"/>
        </w:trPr>
        <w:tc>
          <w:tcPr>
            <w:tcW w:w="792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331,549</w:t>
            </w: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36,269</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54,004</w:t>
            </w:r>
          </w:p>
        </w:tc>
        <w:tc>
          <w:tcPr>
            <w:tcW w:w="100" w:type="dxa"/>
            <w:vAlign w:val="bottom"/>
          </w:tcPr>
          <w:p>
            <w:pPr>
              <w:spacing w:after="0"/>
              <w:rPr>
                <w:sz w:val="19"/>
                <w:szCs w:val="19"/>
                <w:color w:val="auto"/>
              </w:rPr>
            </w:pPr>
          </w:p>
        </w:tc>
      </w:tr>
      <w:tr>
        <w:trPr>
          <w:trHeight w:val="20"/>
        </w:trPr>
        <w:tc>
          <w:tcPr>
            <w:tcW w:w="79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7920" w:type="dxa"/>
            <w:vAlign w:val="bottom"/>
            <w:shd w:val="clear" w:color="auto" w:fill="CCEEFF"/>
          </w:tcPr>
          <w:p>
            <w:pPr>
              <w:spacing w:after="0"/>
              <w:rPr>
                <w:sz w:val="20"/>
                <w:szCs w:val="20"/>
                <w:color w:val="auto"/>
              </w:rPr>
            </w:pPr>
            <w:r>
              <w:rPr>
                <w:rFonts w:ascii="Arial" w:cs="Arial" w:eastAsia="Arial" w:hAnsi="Arial"/>
                <w:sz w:val="18"/>
                <w:szCs w:val="18"/>
                <w:color w:val="auto"/>
              </w:rPr>
              <w:t>Supplemental disclosure of cash flow information:</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30"/>
        </w:trPr>
        <w:tc>
          <w:tcPr>
            <w:tcW w:w="7920" w:type="dxa"/>
            <w:vAlign w:val="bottom"/>
          </w:tcPr>
          <w:p>
            <w:pPr>
              <w:ind w:left="360"/>
              <w:spacing w:after="0"/>
              <w:rPr>
                <w:sz w:val="20"/>
                <w:szCs w:val="20"/>
                <w:color w:val="auto"/>
              </w:rPr>
            </w:pPr>
            <w:r>
              <w:rPr>
                <w:rFonts w:ascii="Arial" w:cs="Arial" w:eastAsia="Arial" w:hAnsi="Arial"/>
                <w:sz w:val="18"/>
                <w:szCs w:val="18"/>
                <w:color w:val="auto"/>
              </w:rPr>
              <w:t>Obtaining a right-of-use asset in exchange for a lease liability</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583</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376</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451</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F-9</w:t>
      </w:r>
    </w:p>
    <w:p>
      <w:pPr>
        <w:sectPr>
          <w:pgSz w:w="11900" w:h="16838" w:orient="portrait"/>
          <w:cols w:equalWidth="0" w:num="1">
            <w:col w:w="11100"/>
          </w:cols>
          <w:pgMar w:left="320" w:top="486" w:right="47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25" w:lineRule="exact"/>
        <w:rPr>
          <w:sz w:val="20"/>
          <w:szCs w:val="20"/>
          <w:color w:val="auto"/>
        </w:rPr>
      </w:pPr>
    </w:p>
    <w:p>
      <w:pPr>
        <w:ind w:left="120" w:right="7060" w:hanging="4"/>
        <w:spacing w:after="0" w:line="378" w:lineRule="auto"/>
        <w:tabs>
          <w:tab w:leader="none" w:pos="30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Organization, Business and Basis of Presentation Organization and Business</w:t>
      </w:r>
    </w:p>
    <w:p>
      <w:pPr>
        <w:ind w:left="120" w:firstLine="440"/>
        <w:spacing w:after="0" w:line="273" w:lineRule="auto"/>
        <w:rPr>
          <w:sz w:val="20"/>
          <w:szCs w:val="20"/>
          <w:color w:val="auto"/>
        </w:rPr>
      </w:pPr>
      <w:r>
        <w:rPr>
          <w:rFonts w:ascii="Arial" w:cs="Arial" w:eastAsia="Arial" w:hAnsi="Arial"/>
          <w:sz w:val="17"/>
          <w:szCs w:val="17"/>
          <w:color w:val="auto"/>
        </w:rPr>
        <w:t>Madrigal Pharmaceuticals, Inc. (the “Company” or “Madrigal”) is a clinical-stage pharmaceutical company developing novel, high-quality, small-molecule drugs addressing major unmet needs in cardiovascular, metabolic, and liver diseases. The Company’s lead compound, resmetirom, is being advanced for non-alcoholic steatohepatitis (“NASH”), a liver disease that commonly affects people with metabolic diseases such as obesity and diabetes, and non-alcoholic fatty liver disease (“NAFLD”). The Company initiated two Phase 3 studies of resmetirom in NASH in 2019 that are ongoing. The Company announced certain topline results from the MAESTRO-NAFLD-1 safety study of resmetirom in January 2022 and the MAESTRO-NASH study in December 2022. In August 2022, Madrigal initiated a third study, MAESTRO-NASH-OUTCOMES.</w:t>
      </w:r>
    </w:p>
    <w:p>
      <w:pPr>
        <w:spacing w:after="0" w:line="178" w:lineRule="exact"/>
        <w:rPr>
          <w:sz w:val="20"/>
          <w:szCs w:val="20"/>
          <w:color w:val="auto"/>
        </w:rPr>
      </w:pPr>
    </w:p>
    <w:p>
      <w:pPr>
        <w:ind w:left="560"/>
        <w:spacing w:after="0"/>
        <w:rPr>
          <w:sz w:val="20"/>
          <w:szCs w:val="20"/>
          <w:color w:val="auto"/>
        </w:rPr>
      </w:pPr>
      <w:r>
        <w:rPr>
          <w:rFonts w:ascii="Arial" w:cs="Arial" w:eastAsia="Arial" w:hAnsi="Arial"/>
          <w:sz w:val="18"/>
          <w:szCs w:val="18"/>
          <w:color w:val="auto"/>
        </w:rPr>
        <w:t>Certain prior period amounts have been reclassified to align with current period presentation.</w:t>
      </w:r>
    </w:p>
    <w:p>
      <w:pPr>
        <w:spacing w:after="0" w:line="329" w:lineRule="exact"/>
        <w:rPr>
          <w:sz w:val="20"/>
          <w:szCs w:val="20"/>
          <w:color w:val="auto"/>
        </w:rPr>
      </w:pPr>
    </w:p>
    <w:p>
      <w:pPr>
        <w:ind w:left="120" w:right="7440" w:hanging="4"/>
        <w:spacing w:after="0" w:line="377" w:lineRule="auto"/>
        <w:tabs>
          <w:tab w:leader="none" w:pos="30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Principle of Consolidation</w:t>
      </w:r>
    </w:p>
    <w:p>
      <w:pPr>
        <w:spacing w:after="0" w:line="2" w:lineRule="exact"/>
        <w:rPr>
          <w:sz w:val="20"/>
          <w:szCs w:val="20"/>
          <w:color w:val="auto"/>
        </w:rPr>
      </w:pPr>
    </w:p>
    <w:p>
      <w:pPr>
        <w:ind w:left="120" w:right="720" w:firstLine="440"/>
        <w:spacing w:after="0" w:line="277" w:lineRule="auto"/>
        <w:rPr>
          <w:sz w:val="20"/>
          <w:szCs w:val="20"/>
          <w:color w:val="auto"/>
        </w:rPr>
      </w:pPr>
      <w:r>
        <w:rPr>
          <w:rFonts w:ascii="Arial" w:cs="Arial" w:eastAsia="Arial" w:hAnsi="Arial"/>
          <w:sz w:val="18"/>
          <w:szCs w:val="18"/>
          <w:color w:val="auto"/>
        </w:rPr>
        <w:t>The consolidated financial statements include the financial statements of the Company and its wholly owned subsidiaries. All significant intercompany balances and transactions have been eliminated in consolidation.</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Use of Estimates</w:t>
      </w:r>
    </w:p>
    <w:p>
      <w:pPr>
        <w:spacing w:after="0" w:line="121" w:lineRule="exact"/>
        <w:rPr>
          <w:sz w:val="20"/>
          <w:szCs w:val="20"/>
          <w:color w:val="auto"/>
        </w:rPr>
      </w:pPr>
    </w:p>
    <w:p>
      <w:pPr>
        <w:ind w:left="120" w:right="360" w:firstLine="440"/>
        <w:spacing w:after="0" w:line="301" w:lineRule="auto"/>
        <w:rPr>
          <w:sz w:val="20"/>
          <w:szCs w:val="20"/>
          <w:color w:val="auto"/>
        </w:rPr>
      </w:pPr>
      <w:r>
        <w:rPr>
          <w:rFonts w:ascii="Arial" w:cs="Arial" w:eastAsia="Arial" w:hAnsi="Arial"/>
          <w:sz w:val="16"/>
          <w:szCs w:val="16"/>
          <w:color w:val="auto"/>
        </w:rPr>
        <w:t>The preparation of financial statements in conformity with GAAP requires management to make estimates and assumptions that affect certain reported amounts of assets and liabilities, and the reported amounts of revenues and expenses during the reporting periods. The Company bases its estimates on historical experience and various other assumptions that management believes to be reasonable under the circumstances. Changes in estimates are recorded in the period in which they become known. Actual results could differ from those estimates.</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Cash and Cash Equivalents</w:t>
      </w:r>
    </w:p>
    <w:p>
      <w:pPr>
        <w:spacing w:after="0" w:line="121" w:lineRule="exact"/>
        <w:rPr>
          <w:sz w:val="20"/>
          <w:szCs w:val="20"/>
          <w:color w:val="auto"/>
        </w:rPr>
      </w:pPr>
    </w:p>
    <w:p>
      <w:pPr>
        <w:ind w:left="120" w:right="180" w:firstLine="440"/>
        <w:spacing w:after="0" w:line="263" w:lineRule="auto"/>
        <w:rPr>
          <w:sz w:val="20"/>
          <w:szCs w:val="20"/>
          <w:color w:val="auto"/>
        </w:rPr>
      </w:pPr>
      <w:r>
        <w:rPr>
          <w:rFonts w:ascii="Arial" w:cs="Arial" w:eastAsia="Arial" w:hAnsi="Arial"/>
          <w:sz w:val="18"/>
          <w:szCs w:val="18"/>
          <w:color w:val="auto"/>
        </w:rPr>
        <w:t>The Company considers all highly liquid investments with original maturities of three months or less at the date of purchase to be cash equivalents. The Company maintains its cash in bank accounts, the balance of which, at times, exceeds Federal Deposit Insurance Corporation insured limits.</w:t>
      </w:r>
    </w:p>
    <w:p>
      <w:pPr>
        <w:spacing w:after="0" w:line="184" w:lineRule="exact"/>
        <w:rPr>
          <w:sz w:val="20"/>
          <w:szCs w:val="20"/>
          <w:color w:val="auto"/>
        </w:rPr>
      </w:pPr>
    </w:p>
    <w:p>
      <w:pPr>
        <w:ind w:left="120" w:right="60" w:firstLine="440"/>
        <w:spacing w:after="0" w:line="259" w:lineRule="auto"/>
        <w:rPr>
          <w:sz w:val="20"/>
          <w:szCs w:val="20"/>
          <w:color w:val="auto"/>
        </w:rPr>
      </w:pPr>
      <w:r>
        <w:rPr>
          <w:rFonts w:ascii="Arial" w:cs="Arial" w:eastAsia="Arial" w:hAnsi="Arial"/>
          <w:sz w:val="18"/>
          <w:szCs w:val="18"/>
          <w:color w:val="auto"/>
        </w:rPr>
        <w:t>The primary objective of the Company’s investment activities is to preserve its capital for the purpose of funding operations and the Company does not enter into investments for trading or speculative purposes. The Company’s cash is deposited in highly rated financial institutions in the United States. The Company invests in money market funds and high-grade, commercial paper and corporate bonds, which management believes are subject to minimal credit and market risk.</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Marketable Securities</w:t>
      </w:r>
    </w:p>
    <w:p>
      <w:pPr>
        <w:spacing w:after="0" w:line="121" w:lineRule="exact"/>
        <w:rPr>
          <w:sz w:val="20"/>
          <w:szCs w:val="20"/>
          <w:color w:val="auto"/>
        </w:rPr>
      </w:pPr>
    </w:p>
    <w:p>
      <w:pPr>
        <w:jc w:val="both"/>
        <w:ind w:left="120" w:right="340" w:firstLine="440"/>
        <w:spacing w:after="0" w:line="263" w:lineRule="auto"/>
        <w:rPr>
          <w:sz w:val="20"/>
          <w:szCs w:val="20"/>
          <w:color w:val="auto"/>
        </w:rPr>
      </w:pPr>
      <w:r>
        <w:rPr>
          <w:rFonts w:ascii="Arial" w:cs="Arial" w:eastAsia="Arial" w:hAnsi="Arial"/>
          <w:sz w:val="18"/>
          <w:szCs w:val="18"/>
          <w:color w:val="auto"/>
        </w:rPr>
        <w:t>Marketable securities consist of investments in high-grade corporate obligations, and government and government agency obligations that are classified as available-for-sale. Since these securities are available to fund current operations they are classified as current assets on the consolidated balance sheets.</w:t>
      </w:r>
    </w:p>
    <w:p>
      <w:pPr>
        <w:spacing w:after="0" w:line="11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F-10</w:t>
      </w:r>
    </w:p>
    <w:p>
      <w:pPr>
        <w:sectPr>
          <w:pgSz w:w="11900" w:h="16838" w:orient="portrait"/>
          <w:cols w:equalWidth="0" w:num="1">
            <w:col w:w="11120"/>
          </w:cols>
          <w:pgMar w:left="320" w:top="486" w:right="45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9" w:lineRule="exact"/>
        <w:rPr>
          <w:sz w:val="20"/>
          <w:szCs w:val="20"/>
          <w:color w:val="auto"/>
        </w:rPr>
      </w:pPr>
    </w:p>
    <w:p>
      <w:pPr>
        <w:ind w:left="120" w:right="40" w:firstLine="440"/>
        <w:spacing w:after="0" w:line="291" w:lineRule="auto"/>
        <w:rPr>
          <w:sz w:val="20"/>
          <w:szCs w:val="20"/>
          <w:color w:val="auto"/>
        </w:rPr>
      </w:pPr>
      <w:r>
        <w:rPr>
          <w:rFonts w:ascii="Arial" w:cs="Arial" w:eastAsia="Arial" w:hAnsi="Arial"/>
          <w:sz w:val="16"/>
          <w:szCs w:val="16"/>
          <w:color w:val="auto"/>
        </w:rPr>
        <w:t>The Company adjusts the cost of available-for-sale debt securities for amortization of premiums and accretion of discounts to maturity. The Company includes such amortization and accretion as a component of interest income, net. Realized gains and losses and declines in value, if any, that the Company judges to be the result of impairment or as a result of recognizing an allowance for credit losses on available-for-sale securities are reported as a component of interest income. To determine whether an impairment exists, the Company considers whether it intends to sell the debt security and, if the Company does not intend to sell the debt security, it considers available evidence to assess whether it is more likely than not that it will be required to sell the security before the recovery of its amortized cost basis. During the years ended December 31, 2022, 2021 and 2020, the Company determined it did not have any securities that were impaired or that required an allowance for credit losses.</w:t>
      </w:r>
    </w:p>
    <w:p>
      <w:pPr>
        <w:spacing w:after="0" w:line="166" w:lineRule="exact"/>
        <w:rPr>
          <w:sz w:val="20"/>
          <w:szCs w:val="20"/>
          <w:color w:val="auto"/>
        </w:rPr>
      </w:pPr>
    </w:p>
    <w:p>
      <w:pPr>
        <w:ind w:left="120" w:right="60" w:firstLine="440"/>
        <w:spacing w:after="0" w:line="301" w:lineRule="auto"/>
        <w:rPr>
          <w:sz w:val="20"/>
          <w:szCs w:val="20"/>
          <w:color w:val="auto"/>
        </w:rPr>
      </w:pPr>
      <w:r>
        <w:rPr>
          <w:rFonts w:ascii="Arial" w:cs="Arial" w:eastAsia="Arial" w:hAnsi="Arial"/>
          <w:sz w:val="16"/>
          <w:szCs w:val="16"/>
          <w:color w:val="auto"/>
        </w:rPr>
        <w:t>Marketable securities are stated at fair value, including accrued interest, with their unrealized gains and losses included as a component of accumulated other comprehensive income or loss, which is a separate component of stockholders’ equity. The fair value of these securities is based on quoted prices and observable inputs on a recurring basis. Realized gains and losses are determined on the specific identification method. During the years ended December 31, 2022, 2021 and 2020, the Company did not have any realized gains or losses on marketable securities.</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Fair Value of Financial Instruments</w:t>
      </w:r>
    </w:p>
    <w:p>
      <w:pPr>
        <w:spacing w:after="0" w:line="121" w:lineRule="exact"/>
        <w:rPr>
          <w:sz w:val="20"/>
          <w:szCs w:val="20"/>
          <w:color w:val="auto"/>
        </w:rPr>
      </w:pPr>
    </w:p>
    <w:p>
      <w:pPr>
        <w:ind w:left="120" w:right="80" w:firstLine="440"/>
        <w:spacing w:after="0" w:line="311" w:lineRule="auto"/>
        <w:rPr>
          <w:sz w:val="20"/>
          <w:szCs w:val="20"/>
          <w:color w:val="auto"/>
        </w:rPr>
      </w:pPr>
      <w:r>
        <w:rPr>
          <w:rFonts w:ascii="Arial" w:cs="Arial" w:eastAsia="Arial" w:hAnsi="Arial"/>
          <w:sz w:val="16"/>
          <w:szCs w:val="16"/>
          <w:color w:val="auto"/>
        </w:rPr>
        <w:t>The carrying amounts of the Company’s financial instruments, which include cash equivalents, and marketable securities, approximate their fair values. The fair value of the Company’s financial instruments reflects the amounts that would be received upon sale of an asset or paid to transfer a liability in an orderly transaction between market participants at the measurement date. The fair value hierarchy has the following three levels:</w:t>
      </w:r>
    </w:p>
    <w:p>
      <w:pPr>
        <w:spacing w:after="0" w:line="149" w:lineRule="exact"/>
        <w:rPr>
          <w:sz w:val="20"/>
          <w:szCs w:val="20"/>
          <w:color w:val="auto"/>
        </w:rPr>
      </w:pPr>
    </w:p>
    <w:p>
      <w:pPr>
        <w:ind w:left="560"/>
        <w:spacing w:after="0"/>
        <w:rPr>
          <w:sz w:val="20"/>
          <w:szCs w:val="20"/>
          <w:color w:val="auto"/>
        </w:rPr>
      </w:pPr>
      <w:r>
        <w:rPr>
          <w:rFonts w:ascii="Arial" w:cs="Arial" w:eastAsia="Arial" w:hAnsi="Arial"/>
          <w:sz w:val="18"/>
          <w:szCs w:val="18"/>
          <w:color w:val="auto"/>
        </w:rPr>
        <w:t>Level 1—quoted prices in active markets for identical assets and liabilities.</w:t>
      </w:r>
    </w:p>
    <w:p>
      <w:pPr>
        <w:spacing w:after="0" w:line="225" w:lineRule="exact"/>
        <w:rPr>
          <w:sz w:val="20"/>
          <w:szCs w:val="20"/>
          <w:color w:val="auto"/>
        </w:rPr>
      </w:pPr>
    </w:p>
    <w:p>
      <w:pPr>
        <w:ind w:left="120" w:right="220" w:firstLine="440"/>
        <w:spacing w:after="0" w:line="277" w:lineRule="auto"/>
        <w:rPr>
          <w:sz w:val="20"/>
          <w:szCs w:val="20"/>
          <w:color w:val="auto"/>
        </w:rPr>
      </w:pPr>
      <w:r>
        <w:rPr>
          <w:rFonts w:ascii="Arial" w:cs="Arial" w:eastAsia="Arial" w:hAnsi="Arial"/>
          <w:sz w:val="18"/>
          <w:szCs w:val="18"/>
          <w:color w:val="auto"/>
        </w:rPr>
        <w:t>Level 2—observable inputs other than Level 1 inputs. Examples of Level 2 inputs include quoted prices in active markets for similar assets or liabilities and quoted prices for identical assets or liabilities in markets that are not active.</w:t>
      </w:r>
    </w:p>
    <w:p>
      <w:pPr>
        <w:spacing w:after="0" w:line="170" w:lineRule="exact"/>
        <w:rPr>
          <w:sz w:val="20"/>
          <w:szCs w:val="20"/>
          <w:color w:val="auto"/>
        </w:rPr>
      </w:pPr>
    </w:p>
    <w:p>
      <w:pPr>
        <w:ind w:left="120" w:right="180" w:firstLine="440"/>
        <w:spacing w:after="0" w:line="277" w:lineRule="auto"/>
        <w:rPr>
          <w:sz w:val="20"/>
          <w:szCs w:val="20"/>
          <w:color w:val="auto"/>
        </w:rPr>
      </w:pPr>
      <w:r>
        <w:rPr>
          <w:rFonts w:ascii="Arial" w:cs="Arial" w:eastAsia="Arial" w:hAnsi="Arial"/>
          <w:sz w:val="18"/>
          <w:szCs w:val="18"/>
          <w:color w:val="auto"/>
        </w:rPr>
        <w:t>Level 3—unobservable inputs that reflect the Company’s own assumptions about the assumptions market participants would use in pricing the asset or liability.</w:t>
      </w:r>
    </w:p>
    <w:p>
      <w:pPr>
        <w:spacing w:after="0" w:line="170" w:lineRule="exact"/>
        <w:rPr>
          <w:sz w:val="20"/>
          <w:szCs w:val="20"/>
          <w:color w:val="auto"/>
        </w:rPr>
      </w:pPr>
    </w:p>
    <w:p>
      <w:pPr>
        <w:ind w:left="120" w:firstLine="440"/>
        <w:spacing w:after="0" w:line="296" w:lineRule="auto"/>
        <w:rPr>
          <w:sz w:val="20"/>
          <w:szCs w:val="20"/>
          <w:color w:val="auto"/>
        </w:rPr>
      </w:pPr>
      <w:r>
        <w:rPr>
          <w:rFonts w:ascii="Arial" w:cs="Arial" w:eastAsia="Arial" w:hAnsi="Arial"/>
          <w:sz w:val="16"/>
          <w:szCs w:val="16"/>
          <w:color w:val="auto"/>
        </w:rPr>
        <w:t>Financial assets and liabilities are classified in their entirety within the fair value hierarchy based on the lowest level of input that is significant to the fair value measurement. The Company measures the fair value of its marketable securities by taking into consideration valuations obtained from third-party pricing sources. The pricing services utilize industry standard valuation models, including both income and market-based approaches, for which all significant inputs are observable, either directly or indirectly, to estimate fair value. These inputs include reported trades of and broker-dealer quotes on the same or similar securities, issuer credit spreads, benchmark securities and other observable inputs.</w:t>
      </w:r>
    </w:p>
    <w:p>
      <w:pPr>
        <w:spacing w:after="0" w:line="161" w:lineRule="exact"/>
        <w:rPr>
          <w:sz w:val="20"/>
          <w:szCs w:val="20"/>
          <w:color w:val="auto"/>
        </w:rPr>
      </w:pPr>
    </w:p>
    <w:p>
      <w:pPr>
        <w:ind w:left="120" w:right="100" w:firstLine="440"/>
        <w:spacing w:after="0" w:line="257" w:lineRule="auto"/>
        <w:rPr>
          <w:sz w:val="20"/>
          <w:szCs w:val="20"/>
          <w:color w:val="auto"/>
        </w:rPr>
      </w:pPr>
      <w:r>
        <w:rPr>
          <w:rFonts w:ascii="Arial" w:cs="Arial" w:eastAsia="Arial" w:hAnsi="Arial"/>
          <w:sz w:val="18"/>
          <w:szCs w:val="18"/>
          <w:color w:val="auto"/>
        </w:rPr>
        <w:t>As of December 31, 2022 and 2021, the Company’s financial assets valued based on Level 1 inputs consisted of cash and cash equivalents in a money market fund and its financial assets valued based on Level 2 inputs consisted of high-grade corporate bonds and commercial paper. During the years ended December 31, 2022, 2021 and 2020, the Company did not have any transfers of financials assets between Levels 1 and 2. As of December 31, 2022 and 2021, the Company did not have any financial liabilities that were recorded at fair value on a recurring basis on the balance sheet.</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Research and Development Costs</w:t>
      </w:r>
    </w:p>
    <w:p>
      <w:pPr>
        <w:spacing w:after="0" w:line="121" w:lineRule="exact"/>
        <w:rPr>
          <w:sz w:val="20"/>
          <w:szCs w:val="20"/>
          <w:color w:val="auto"/>
        </w:rPr>
      </w:pPr>
    </w:p>
    <w:p>
      <w:pPr>
        <w:ind w:left="120" w:right="500" w:firstLine="440"/>
        <w:spacing w:after="0" w:line="277" w:lineRule="auto"/>
        <w:rPr>
          <w:sz w:val="20"/>
          <w:szCs w:val="20"/>
          <w:color w:val="auto"/>
        </w:rPr>
      </w:pPr>
      <w:r>
        <w:rPr>
          <w:rFonts w:ascii="Arial" w:cs="Arial" w:eastAsia="Arial" w:hAnsi="Arial"/>
          <w:sz w:val="18"/>
          <w:szCs w:val="18"/>
          <w:color w:val="auto"/>
        </w:rPr>
        <w:t>Research and development costs are expensed as incurred. Research and development costs are comprised of costs incurred in performing research and development activities, including internal costs (including</w:t>
      </w:r>
    </w:p>
    <w:p>
      <w:pPr>
        <w:spacing w:after="0" w:line="10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F-11</w:t>
      </w:r>
    </w:p>
    <w:p>
      <w:pPr>
        <w:sectPr>
          <w:pgSz w:w="11900" w:h="16838" w:orient="portrait"/>
          <w:cols w:equalWidth="0" w:num="1">
            <w:col w:w="11000"/>
          </w:cols>
          <w:pgMar w:left="320" w:top="486" w:right="57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9" w:lineRule="exact"/>
        <w:rPr>
          <w:sz w:val="20"/>
          <w:szCs w:val="20"/>
          <w:color w:val="auto"/>
        </w:rPr>
      </w:pPr>
    </w:p>
    <w:p>
      <w:pPr>
        <w:ind w:left="120" w:right="80"/>
        <w:spacing w:after="0" w:line="291" w:lineRule="auto"/>
        <w:rPr>
          <w:sz w:val="20"/>
          <w:szCs w:val="20"/>
          <w:color w:val="auto"/>
        </w:rPr>
      </w:pPr>
      <w:r>
        <w:rPr>
          <w:rFonts w:ascii="Arial" w:cs="Arial" w:eastAsia="Arial" w:hAnsi="Arial"/>
          <w:sz w:val="16"/>
          <w:szCs w:val="16"/>
          <w:color w:val="auto"/>
        </w:rPr>
        <w:t>stock-based compensation), costs for consultants, milestone payments under licensing agreements, and other costs associated with the Company’s preclinical and clinical programs. In particular, the Company has conducted safety studies in animals, optimized and implemented the manufacturing of our drug, and conducted Phase 1-3 clinical trials, all of which are considered research and development expenditures. Management uses significant judgment in estimating the amount of research and development costs recognized in each reporting period. Management analyzes and estimates the progress of its preclinical studies and clinical trials, completion of milestones events per underlying agreements, invoices received and contracted costs when estimating the research and development costs to accrue in each reporting period. Actual results could differ from the Company’s estimates. The Company’s historical estimates for research and development costs have not been materially different from the actual costs.</w:t>
      </w:r>
    </w:p>
    <w:p>
      <w:pPr>
        <w:spacing w:after="0" w:line="27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Patents</w:t>
      </w:r>
    </w:p>
    <w:p>
      <w:pPr>
        <w:spacing w:after="0" w:line="121" w:lineRule="exact"/>
        <w:rPr>
          <w:sz w:val="20"/>
          <w:szCs w:val="20"/>
          <w:color w:val="auto"/>
        </w:rPr>
      </w:pPr>
    </w:p>
    <w:p>
      <w:pPr>
        <w:jc w:val="both"/>
        <w:ind w:left="120" w:right="80" w:firstLine="440"/>
        <w:spacing w:after="0" w:line="263" w:lineRule="auto"/>
        <w:rPr>
          <w:sz w:val="20"/>
          <w:szCs w:val="20"/>
          <w:color w:val="auto"/>
        </w:rPr>
      </w:pPr>
      <w:r>
        <w:rPr>
          <w:rFonts w:ascii="Arial" w:cs="Arial" w:eastAsia="Arial" w:hAnsi="Arial"/>
          <w:sz w:val="18"/>
          <w:szCs w:val="18"/>
          <w:color w:val="auto"/>
        </w:rPr>
        <w:t>Costs to secure and defend patents are expensed as incurred and are classified as general and administrative expense in the Company’s statements of operations. Patent expenses were approximately $0.5 million, $0.5 million and $0.4 million for the years ended December 31, 2022, 2021 and 2020, respectively.</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Stock-Based Compensation</w:t>
      </w:r>
    </w:p>
    <w:p>
      <w:pPr>
        <w:spacing w:after="0" w:line="121" w:lineRule="exact"/>
        <w:rPr>
          <w:sz w:val="20"/>
          <w:szCs w:val="20"/>
          <w:color w:val="auto"/>
        </w:rPr>
      </w:pPr>
    </w:p>
    <w:p>
      <w:pPr>
        <w:ind w:left="120" w:firstLine="440"/>
        <w:spacing w:after="0" w:line="271" w:lineRule="auto"/>
        <w:rPr>
          <w:sz w:val="20"/>
          <w:szCs w:val="20"/>
          <w:color w:val="auto"/>
        </w:rPr>
      </w:pPr>
      <w:r>
        <w:rPr>
          <w:rFonts w:ascii="Arial" w:cs="Arial" w:eastAsia="Arial" w:hAnsi="Arial"/>
          <w:sz w:val="17"/>
          <w:szCs w:val="17"/>
          <w:color w:val="auto"/>
        </w:rPr>
        <w:t>The Company recognizes stock-based compensation expense based on the grant date fair value of stock options granted to employees, officers and directors. The Company uses the Black-Scholes option pricing model to determine the grant date fair value as management believes it is the most appropriate valuation method for its option grants. The Black-Scholes model requires inputs for risk-free interest rate, dividend yield, volatility and expected lives of the options. The expected lives for options granted represent the period of time that options granted are expected to be outstanding. The Company uses the simplified method for determining the expected lives of options. Expected volatility is based upon an industry estimate or blended rate including the Company’s historical trading activity. The risk-free rate for periods within the expected life of the option is based on the U.S. Treasury yield curve in effect at the time of the grant. The Company estimates the forfeiture rate based on historical data. This analysis is re-evaluated at least annually and the forfeiture rate is adjusted as necessary.</w:t>
      </w:r>
    </w:p>
    <w:p>
      <w:pPr>
        <w:spacing w:after="0" w:line="178" w:lineRule="exact"/>
        <w:rPr>
          <w:sz w:val="20"/>
          <w:szCs w:val="20"/>
          <w:color w:val="auto"/>
        </w:rPr>
      </w:pPr>
    </w:p>
    <w:p>
      <w:pPr>
        <w:ind w:left="120" w:right="60" w:firstLine="440"/>
        <w:spacing w:after="0" w:line="254" w:lineRule="auto"/>
        <w:rPr>
          <w:sz w:val="20"/>
          <w:szCs w:val="20"/>
          <w:color w:val="auto"/>
        </w:rPr>
      </w:pPr>
      <w:r>
        <w:rPr>
          <w:rFonts w:ascii="Arial" w:cs="Arial" w:eastAsia="Arial" w:hAnsi="Arial"/>
          <w:sz w:val="18"/>
          <w:szCs w:val="18"/>
          <w:color w:val="auto"/>
        </w:rPr>
        <w:t>Certain of the employee stock options granted by the Company are structured to qualify as incentive stock options (ISOs). Under current tax regulations, the Company does not receive a tax deduction for the issuance, exercise or disposition of ISOs if the employee meets certain holding requirements. If the employee does not meet the holding requirements, a disqualifying disposition occurs, at which time the Company may receive a tax deduction. The Company does not record tax benefits related to ISOs unless and until a disqualifying disposition is reported. In the event of a disqualifying disposition, the entire tax benefit is recorded as a reduction of income tax expense. The Company has not recognized any income tax benefit for its share-based compensation arrangements due to the fact that the Company does not believe it is more likely than not it will realize the related deferred tax assets.</w:t>
      </w:r>
    </w:p>
    <w:p>
      <w:pPr>
        <w:spacing w:after="0" w:line="29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Income Taxes</w:t>
      </w:r>
    </w:p>
    <w:p>
      <w:pPr>
        <w:spacing w:after="0" w:line="121" w:lineRule="exact"/>
        <w:rPr>
          <w:sz w:val="20"/>
          <w:szCs w:val="20"/>
          <w:color w:val="auto"/>
        </w:rPr>
      </w:pPr>
    </w:p>
    <w:p>
      <w:pPr>
        <w:ind w:left="120" w:right="40" w:firstLine="440"/>
        <w:spacing w:after="0" w:line="259" w:lineRule="auto"/>
        <w:rPr>
          <w:sz w:val="20"/>
          <w:szCs w:val="20"/>
          <w:color w:val="auto"/>
        </w:rPr>
      </w:pPr>
      <w:r>
        <w:rPr>
          <w:rFonts w:ascii="Arial" w:cs="Arial" w:eastAsia="Arial" w:hAnsi="Arial"/>
          <w:sz w:val="18"/>
          <w:szCs w:val="18"/>
          <w:color w:val="auto"/>
        </w:rPr>
        <w:t>The Company uses the asset and liability method to account for income taxes. Deferred tax assets and liabilities are determined based on the expected future tax consequences of temporary differences between the Company’s financial statement carrying amounts and the tax basis of assets and liabilities using enacted tax rates expected to be in effect in the years in which the differences are expected to reverse. The Company currently maintains a 100% valuation allowance on its deferred tax assets.</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Comprehensive Loss</w:t>
      </w:r>
    </w:p>
    <w:p>
      <w:pPr>
        <w:spacing w:after="0" w:line="121" w:lineRule="exact"/>
        <w:rPr>
          <w:sz w:val="20"/>
          <w:szCs w:val="20"/>
          <w:color w:val="auto"/>
        </w:rPr>
      </w:pPr>
    </w:p>
    <w:p>
      <w:pPr>
        <w:ind w:left="120" w:right="480" w:firstLine="440"/>
        <w:spacing w:after="0" w:line="263" w:lineRule="auto"/>
        <w:rPr>
          <w:sz w:val="20"/>
          <w:szCs w:val="20"/>
          <w:color w:val="auto"/>
        </w:rPr>
      </w:pPr>
      <w:r>
        <w:rPr>
          <w:rFonts w:ascii="Arial" w:cs="Arial" w:eastAsia="Arial" w:hAnsi="Arial"/>
          <w:sz w:val="18"/>
          <w:szCs w:val="18"/>
          <w:color w:val="auto"/>
        </w:rPr>
        <w:t>Comprehensive loss is defined as the change in equity of a business enterprise during a period from transactions and other events and circumstances from non-owner sources. Changes in unrealized gains and losses on marketable securities represent the only difference between the Company’s net loss and comprehensive loss.</w:t>
      </w:r>
    </w:p>
    <w:p>
      <w:pPr>
        <w:spacing w:after="0" w:line="116"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F-12</w:t>
      </w:r>
    </w:p>
    <w:p>
      <w:pPr>
        <w:sectPr>
          <w:pgSz w:w="11900" w:h="16838" w:orient="portrait"/>
          <w:cols w:equalWidth="0" w:num="1">
            <w:col w:w="11120"/>
          </w:cols>
          <w:pgMar w:left="320" w:top="486" w:right="45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0">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Basic and Diluted Loss Per Common Share</w:t>
      </w:r>
    </w:p>
    <w:p>
      <w:pPr>
        <w:spacing w:after="0" w:line="121" w:lineRule="exact"/>
        <w:rPr>
          <w:sz w:val="20"/>
          <w:szCs w:val="20"/>
          <w:color w:val="auto"/>
        </w:rPr>
      </w:pPr>
    </w:p>
    <w:p>
      <w:pPr>
        <w:ind w:left="120" w:firstLine="440"/>
        <w:spacing w:after="0" w:line="293" w:lineRule="auto"/>
        <w:rPr>
          <w:sz w:val="20"/>
          <w:szCs w:val="20"/>
          <w:color w:val="auto"/>
        </w:rPr>
      </w:pPr>
      <w:r>
        <w:rPr>
          <w:rFonts w:ascii="Arial" w:cs="Arial" w:eastAsia="Arial" w:hAnsi="Arial"/>
          <w:sz w:val="16"/>
          <w:szCs w:val="16"/>
          <w:color w:val="auto"/>
        </w:rPr>
        <w:t>Basic net loss per share is computed using the weighted average number of common shares outstanding during the period, excluding restricted stock that has been issued but is not yet vested. Diluted net loss per common share is computed using the weighted average number of common shares outstanding and the weighted average dilutive potential common shares outstanding using the treasury stock method. However, for the years ended December 31, 2022, 2021 and 2020, diluted net loss per share is the same as basic net loss per share because the inclusion of common stock issuable upon the exercise of stock options or warrants, and common stock issuable upon the conversion of preferred stock would be anti-dilutive. The following table summarizes outstanding securities not included in the computation of diluted net loss per common share as their inclusion would be anti-dilutive:</w:t>
      </w:r>
    </w:p>
    <w:p>
      <w:pPr>
        <w:spacing w:after="0" w:line="183" w:lineRule="exact"/>
        <w:rPr>
          <w:sz w:val="20"/>
          <w:szCs w:val="20"/>
          <w:color w:val="auto"/>
        </w:rPr>
      </w:pPr>
    </w:p>
    <w:tbl>
      <w:tblPr>
        <w:tblLayout w:type="fixed"/>
        <w:tblInd w:w="1000" w:type="dxa"/>
        <w:tblCellMar>
          <w:top w:w="0" w:type="dxa"/>
          <w:left w:w="0" w:type="dxa"/>
          <w:bottom w:w="0" w:type="dxa"/>
          <w:right w:w="0" w:type="dxa"/>
        </w:tblCellMar>
      </w:tblPr>
      <w:tr>
        <w:trPr>
          <w:trHeight w:val="171"/>
        </w:trPr>
        <w:tc>
          <w:tcPr>
            <w:tcW w:w="5820" w:type="dxa"/>
            <w:vAlign w:val="bottom"/>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3"/>
          </w:tcPr>
          <w:p>
            <w:pPr>
              <w:ind w:left="120"/>
              <w:spacing w:after="0"/>
              <w:rPr>
                <w:sz w:val="20"/>
                <w:szCs w:val="20"/>
                <w:color w:val="auto"/>
              </w:rPr>
            </w:pPr>
            <w:r>
              <w:rPr>
                <w:rFonts w:ascii="Arial" w:cs="Arial" w:eastAsia="Arial" w:hAnsi="Arial"/>
                <w:sz w:val="14"/>
                <w:szCs w:val="14"/>
                <w:b w:val="1"/>
                <w:bCs w:val="1"/>
                <w:color w:val="auto"/>
                <w:w w:val="98"/>
              </w:rPr>
              <w:t>As of December 31,</w:t>
            </w:r>
          </w:p>
        </w:tc>
        <w:tc>
          <w:tcPr>
            <w:tcW w:w="98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r>
      <w:tr>
        <w:trPr>
          <w:trHeight w:val="142"/>
        </w:trPr>
        <w:tc>
          <w:tcPr>
            <w:tcW w:w="5820" w:type="dxa"/>
            <w:vAlign w:val="bottom"/>
          </w:tcPr>
          <w:p>
            <w:pPr>
              <w:spacing w:after="0"/>
              <w:rPr>
                <w:sz w:val="12"/>
                <w:szCs w:val="12"/>
                <w:color w:val="auto"/>
              </w:rPr>
            </w:pPr>
          </w:p>
        </w:tc>
        <w:tc>
          <w:tcPr>
            <w:tcW w:w="940" w:type="dxa"/>
            <w:vAlign w:val="bottom"/>
          </w:tcPr>
          <w:p>
            <w:pPr>
              <w:jc w:val="right"/>
              <w:ind w:right="255"/>
              <w:spacing w:after="0" w:line="142" w:lineRule="exact"/>
              <w:rPr>
                <w:sz w:val="20"/>
                <w:szCs w:val="20"/>
                <w:color w:val="auto"/>
              </w:rPr>
            </w:pPr>
            <w:r>
              <w:rPr>
                <w:rFonts w:ascii="Arial" w:cs="Arial" w:eastAsia="Arial" w:hAnsi="Arial"/>
                <w:sz w:val="14"/>
                <w:szCs w:val="14"/>
                <w:b w:val="1"/>
                <w:bCs w:val="1"/>
                <w:color w:val="auto"/>
              </w:rPr>
              <w:t>2022</w:t>
            </w:r>
          </w:p>
        </w:tc>
        <w:tc>
          <w:tcPr>
            <w:tcW w:w="1180" w:type="dxa"/>
            <w:vAlign w:val="bottom"/>
            <w:gridSpan w:val="2"/>
          </w:tcPr>
          <w:p>
            <w:pPr>
              <w:jc w:val="right"/>
              <w:ind w:right="250"/>
              <w:spacing w:after="0" w:line="142" w:lineRule="exact"/>
              <w:rPr>
                <w:sz w:val="20"/>
                <w:szCs w:val="20"/>
                <w:color w:val="auto"/>
              </w:rPr>
            </w:pPr>
            <w:r>
              <w:rPr>
                <w:rFonts w:ascii="Arial" w:cs="Arial" w:eastAsia="Arial" w:hAnsi="Arial"/>
                <w:sz w:val="14"/>
                <w:szCs w:val="14"/>
                <w:b w:val="1"/>
                <w:bCs w:val="1"/>
                <w:color w:val="auto"/>
              </w:rPr>
              <w:t>2021</w:t>
            </w:r>
          </w:p>
        </w:tc>
        <w:tc>
          <w:tcPr>
            <w:tcW w:w="240" w:type="dxa"/>
            <w:vAlign w:val="bottom"/>
          </w:tcPr>
          <w:p>
            <w:pPr>
              <w:spacing w:after="0"/>
              <w:rPr>
                <w:sz w:val="12"/>
                <w:szCs w:val="12"/>
                <w:color w:val="auto"/>
              </w:rPr>
            </w:pPr>
          </w:p>
        </w:tc>
        <w:tc>
          <w:tcPr>
            <w:tcW w:w="980" w:type="dxa"/>
            <w:vAlign w:val="bottom"/>
          </w:tcPr>
          <w:p>
            <w:pPr>
              <w:jc w:val="right"/>
              <w:ind w:right="255"/>
              <w:spacing w:after="0" w:line="142" w:lineRule="exact"/>
              <w:rPr>
                <w:sz w:val="20"/>
                <w:szCs w:val="20"/>
                <w:color w:val="auto"/>
              </w:rPr>
            </w:pPr>
            <w:r>
              <w:rPr>
                <w:rFonts w:ascii="Arial" w:cs="Arial" w:eastAsia="Arial" w:hAnsi="Arial"/>
                <w:sz w:val="14"/>
                <w:szCs w:val="14"/>
                <w:b w:val="1"/>
                <w:bCs w:val="1"/>
                <w:color w:val="auto"/>
              </w:rPr>
              <w:t>2020</w:t>
            </w:r>
          </w:p>
        </w:tc>
        <w:tc>
          <w:tcPr>
            <w:tcW w:w="60" w:type="dxa"/>
            <w:vAlign w:val="bottom"/>
          </w:tcPr>
          <w:p>
            <w:pPr>
              <w:spacing w:after="0"/>
              <w:rPr>
                <w:sz w:val="12"/>
                <w:szCs w:val="12"/>
                <w:color w:val="auto"/>
              </w:rPr>
            </w:pPr>
          </w:p>
        </w:tc>
      </w:tr>
      <w:tr>
        <w:trPr>
          <w:trHeight w:val="209"/>
        </w:trPr>
        <w:tc>
          <w:tcPr>
            <w:tcW w:w="58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Common stock options</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2,857,054</w:t>
            </w:r>
          </w:p>
        </w:tc>
        <w:tc>
          <w:tcPr>
            <w:tcW w:w="22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2,301,574</w:t>
            </w:r>
          </w:p>
        </w:tc>
        <w:tc>
          <w:tcPr>
            <w:tcW w:w="24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1,837,540</w:t>
            </w:r>
          </w:p>
        </w:tc>
        <w:tc>
          <w:tcPr>
            <w:tcW w:w="60" w:type="dxa"/>
            <w:vAlign w:val="bottom"/>
            <w:tcBorders>
              <w:top w:val="single" w:sz="8" w:color="CCEEFF"/>
            </w:tcBorders>
            <w:shd w:val="clear" w:color="auto" w:fill="CCEEFF"/>
          </w:tcPr>
          <w:p>
            <w:pPr>
              <w:spacing w:after="0"/>
              <w:rPr>
                <w:sz w:val="18"/>
                <w:szCs w:val="18"/>
                <w:color w:val="auto"/>
              </w:rPr>
            </w:pPr>
          </w:p>
        </w:tc>
      </w:tr>
      <w:tr>
        <w:trPr>
          <w:trHeight w:val="216"/>
        </w:trPr>
        <w:tc>
          <w:tcPr>
            <w:tcW w:w="5820" w:type="dxa"/>
            <w:vAlign w:val="bottom"/>
          </w:tcPr>
          <w:p>
            <w:pPr>
              <w:spacing w:after="0"/>
              <w:rPr>
                <w:sz w:val="20"/>
                <w:szCs w:val="20"/>
                <w:color w:val="auto"/>
              </w:rPr>
            </w:pPr>
            <w:r>
              <w:rPr>
                <w:rFonts w:ascii="Arial" w:cs="Arial" w:eastAsia="Arial" w:hAnsi="Arial"/>
                <w:sz w:val="18"/>
                <w:szCs w:val="18"/>
                <w:color w:val="auto"/>
              </w:rPr>
              <w:t>Preferred stock</w:t>
            </w:r>
          </w:p>
        </w:tc>
        <w:tc>
          <w:tcPr>
            <w:tcW w:w="940" w:type="dxa"/>
            <w:vAlign w:val="bottom"/>
          </w:tcPr>
          <w:p>
            <w:pPr>
              <w:jc w:val="right"/>
              <w:spacing w:after="0"/>
              <w:rPr>
                <w:sz w:val="20"/>
                <w:szCs w:val="20"/>
                <w:color w:val="auto"/>
              </w:rPr>
            </w:pPr>
            <w:r>
              <w:rPr>
                <w:rFonts w:ascii="Arial" w:cs="Arial" w:eastAsia="Arial" w:hAnsi="Arial"/>
                <w:sz w:val="18"/>
                <w:szCs w:val="18"/>
                <w:color w:val="auto"/>
              </w:rPr>
              <w:t>2,369,797</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1,969,797</w:t>
            </w:r>
          </w:p>
        </w:tc>
        <w:tc>
          <w:tcPr>
            <w:tcW w:w="2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1,969,797</w:t>
            </w:r>
          </w:p>
        </w:tc>
        <w:tc>
          <w:tcPr>
            <w:tcW w:w="60" w:type="dxa"/>
            <w:vAlign w:val="bottom"/>
          </w:tcPr>
          <w:p>
            <w:pPr>
              <w:spacing w:after="0"/>
              <w:rPr>
                <w:sz w:val="18"/>
                <w:szCs w:val="18"/>
                <w:color w:val="auto"/>
              </w:rPr>
            </w:pPr>
          </w:p>
        </w:tc>
      </w:tr>
      <w:tr>
        <w:trPr>
          <w:trHeight w:val="216"/>
        </w:trPr>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Warrants</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14,899</w:t>
            </w:r>
          </w:p>
        </w:tc>
        <w:tc>
          <w:tcPr>
            <w:tcW w:w="2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ind w:left="68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w:t>
            </w:r>
          </w:p>
        </w:tc>
      </w:tr>
    </w:tbl>
    <w:p>
      <w:pPr>
        <w:spacing w:after="0" w:line="30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Recent Accounting Pronouncements</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3. Liquidity and Uncertainties</w:t>
      </w:r>
    </w:p>
    <w:p>
      <w:pPr>
        <w:spacing w:after="0" w:line="121" w:lineRule="exact"/>
        <w:rPr>
          <w:sz w:val="20"/>
          <w:szCs w:val="20"/>
          <w:color w:val="auto"/>
        </w:rPr>
      </w:pPr>
    </w:p>
    <w:p>
      <w:pPr>
        <w:ind w:left="120" w:right="260" w:firstLine="440"/>
        <w:spacing w:after="0" w:line="301" w:lineRule="auto"/>
        <w:rPr>
          <w:sz w:val="20"/>
          <w:szCs w:val="20"/>
          <w:color w:val="auto"/>
        </w:rPr>
      </w:pPr>
      <w:r>
        <w:rPr>
          <w:rFonts w:ascii="Arial" w:cs="Arial" w:eastAsia="Arial" w:hAnsi="Arial"/>
          <w:sz w:val="16"/>
          <w:szCs w:val="16"/>
          <w:color w:val="auto"/>
        </w:rPr>
        <w:t>The Company is subject to risks common to development stage companies in the biopharmaceutical industry including, but not limited to, uncertainty of product development and commercialization, dependence on key personnel, uncertainty of market acceptance of products and product reimbursement, product liability, uncertain protection of proprietary technology, potential inability to raise additional financing necessary for development and commercialization, and compliance with the U.S. Food and Drug Administration and other government regulations.</w:t>
      </w:r>
    </w:p>
    <w:p>
      <w:pPr>
        <w:spacing w:after="0" w:line="157" w:lineRule="exact"/>
        <w:rPr>
          <w:sz w:val="20"/>
          <w:szCs w:val="20"/>
          <w:color w:val="auto"/>
        </w:rPr>
      </w:pPr>
    </w:p>
    <w:p>
      <w:pPr>
        <w:ind w:left="120" w:right="20" w:firstLine="440"/>
        <w:spacing w:after="0" w:line="289" w:lineRule="auto"/>
        <w:rPr>
          <w:sz w:val="20"/>
          <w:szCs w:val="20"/>
          <w:color w:val="auto"/>
        </w:rPr>
      </w:pPr>
      <w:r>
        <w:rPr>
          <w:rFonts w:ascii="Arial" w:cs="Arial" w:eastAsia="Arial" w:hAnsi="Arial"/>
          <w:sz w:val="16"/>
          <w:szCs w:val="16"/>
          <w:color w:val="auto"/>
        </w:rPr>
        <w:t>The Company has incurred losses since inception, including approximately $295.4 million for the year ended December 31, 2022, resulting in an accumulated deficit of approximately $962.7 million and $667.3 million as of December 31, 2022 and 2021, respectively. Management expects to incur losses for the foreseeable future. To date, the Company has funded its operations primarily through proceeds from sales of the Company’s capital stock. The Company believes that its cash, cash equivalents and marketable securities at December 31, 2022 will be sufficient to fund operations past one year from the issuance of these financial statements. To meet its future capital needs, the Company intends to raise additional capital through debt or equity financings, collaborations, partnerships or other strategic transactions. However, there can be no assurance that the Company will be able to complete any such transactions on acceptable terms or otherwise. The inability of the Company to obtain sufficient funds on acceptable terms when needed could have a material adverse effect on the Company’s business, results of operations and financial condition. The Company has the ability to delay certain research activities and related clinical expenses if necessary due to liquidity concerns until a date when those concerns are relieved.</w:t>
      </w:r>
    </w:p>
    <w:p>
      <w:pPr>
        <w:spacing w:after="0" w:line="99"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F-13</w:t>
      </w:r>
    </w:p>
    <w:p>
      <w:pPr>
        <w:sectPr>
          <w:pgSz w:w="11900" w:h="16838" w:orient="portrait"/>
          <w:cols w:equalWidth="0" w:num="1">
            <w:col w:w="11080"/>
          </w:cols>
          <w:pgMar w:left="320" w:top="486" w:right="49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1">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4. Cash, Cash Equivalents and Marketable Securities</w:t>
      </w:r>
    </w:p>
    <w:p>
      <w:pPr>
        <w:spacing w:after="0" w:line="121"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A summary of cash, cash equivalents and available-for-sale marketable securities held by the Company as of December 31, 2022 and 2021 is as follows (in thousands):</w:t>
      </w:r>
    </w:p>
    <w:p>
      <w:pPr>
        <w:spacing w:after="0" w:line="189" w:lineRule="exact"/>
        <w:rPr>
          <w:sz w:val="20"/>
          <w:szCs w:val="20"/>
          <w:color w:val="auto"/>
        </w:rPr>
      </w:pPr>
    </w:p>
    <w:tbl>
      <w:tblPr>
        <w:tblLayout w:type="fixed"/>
        <w:tblInd w:w="5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300" w:type="dxa"/>
            <w:vAlign w:val="bottom"/>
            <w:tcBorders>
              <w:bottom w:val="single" w:sz="8" w:color="auto"/>
            </w:tcBorders>
            <w:gridSpan w:val="5"/>
          </w:tcPr>
          <w:p>
            <w:pPr>
              <w:ind w:left="260"/>
              <w:spacing w:after="0"/>
              <w:rPr>
                <w:sz w:val="20"/>
                <w:szCs w:val="20"/>
                <w:color w:val="auto"/>
              </w:rPr>
            </w:pPr>
            <w:r>
              <w:rPr>
                <w:rFonts w:ascii="Arial" w:cs="Arial" w:eastAsia="Arial" w:hAnsi="Arial"/>
                <w:sz w:val="14"/>
                <w:szCs w:val="14"/>
                <w:b w:val="1"/>
                <w:bCs w:val="1"/>
                <w:color w:val="auto"/>
              </w:rPr>
              <w:t>December 31, 2022</w:t>
            </w: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57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120" w:type="dxa"/>
            <w:vAlign w:val="bottom"/>
            <w:gridSpan w:val="3"/>
            <w:vMerge w:val="restart"/>
          </w:tcPr>
          <w:p>
            <w:pPr>
              <w:ind w:left="120"/>
              <w:spacing w:after="0"/>
              <w:rPr>
                <w:sz w:val="20"/>
                <w:szCs w:val="20"/>
                <w:color w:val="auto"/>
              </w:rPr>
            </w:pPr>
            <w:r>
              <w:rPr>
                <w:rFonts w:ascii="Arial" w:cs="Arial" w:eastAsia="Arial" w:hAnsi="Arial"/>
                <w:sz w:val="14"/>
                <w:szCs w:val="14"/>
                <w:b w:val="1"/>
                <w:bCs w:val="1"/>
                <w:color w:val="auto"/>
              </w:rPr>
              <w:t>Cost</w:t>
            </w:r>
          </w:p>
        </w:tc>
        <w:tc>
          <w:tcPr>
            <w:tcW w:w="118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Unrealized</w:t>
            </w:r>
          </w:p>
        </w:tc>
        <w:tc>
          <w:tcPr>
            <w:tcW w:w="124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Unrealized</w:t>
            </w:r>
          </w:p>
        </w:tc>
        <w:tc>
          <w:tcPr>
            <w:tcW w:w="100" w:type="dxa"/>
            <w:vAlign w:val="bottom"/>
          </w:tcPr>
          <w:p>
            <w:pPr>
              <w:spacing w:after="0"/>
              <w:rPr>
                <w:sz w:val="10"/>
                <w:szCs w:val="10"/>
                <w:color w:val="auto"/>
              </w:rPr>
            </w:pPr>
          </w:p>
        </w:tc>
        <w:tc>
          <w:tcPr>
            <w:tcW w:w="600" w:type="dxa"/>
            <w:vAlign w:val="bottom"/>
          </w:tcPr>
          <w:p>
            <w:pPr>
              <w:jc w:val="center"/>
              <w:ind w:right="16"/>
              <w:spacing w:after="0" w:line="119" w:lineRule="exact"/>
              <w:rPr>
                <w:sz w:val="20"/>
                <w:szCs w:val="20"/>
                <w:color w:val="auto"/>
              </w:rPr>
            </w:pPr>
            <w:r>
              <w:rPr>
                <w:rFonts w:ascii="Arial" w:cs="Arial" w:eastAsia="Arial" w:hAnsi="Arial"/>
                <w:sz w:val="13"/>
                <w:szCs w:val="13"/>
                <w:b w:val="1"/>
                <w:bCs w:val="1"/>
                <w:color w:val="auto"/>
              </w:rPr>
              <w:t>Fair</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20" w:type="dxa"/>
            <w:vAlign w:val="bottom"/>
            <w:gridSpan w:val="3"/>
            <w:vMerge w:val="continue"/>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2"/>
          </w:tcPr>
          <w:p>
            <w:pPr>
              <w:ind w:left="60"/>
              <w:spacing w:after="0"/>
              <w:rPr>
                <w:sz w:val="20"/>
                <w:szCs w:val="20"/>
                <w:color w:val="auto"/>
              </w:rPr>
            </w:pPr>
            <w:r>
              <w:rPr>
                <w:rFonts w:ascii="Arial" w:cs="Arial" w:eastAsia="Arial" w:hAnsi="Arial"/>
                <w:sz w:val="14"/>
                <w:szCs w:val="14"/>
                <w:b w:val="1"/>
                <w:bCs w:val="1"/>
                <w:color w:val="auto"/>
              </w:rPr>
              <w:t>gains</w:t>
            </w:r>
          </w:p>
        </w:tc>
        <w:tc>
          <w:tcPr>
            <w:tcW w:w="120" w:type="dxa"/>
            <w:vAlign w:val="bottom"/>
          </w:tcPr>
          <w:p>
            <w:pPr>
              <w:spacing w:after="0"/>
              <w:rPr>
                <w:sz w:val="14"/>
                <w:szCs w:val="14"/>
                <w:color w:val="auto"/>
              </w:rPr>
            </w:pPr>
          </w:p>
        </w:tc>
        <w:tc>
          <w:tcPr>
            <w:tcW w:w="1120" w:type="dxa"/>
            <w:vAlign w:val="bottom"/>
            <w:gridSpan w:val="2"/>
          </w:tcPr>
          <w:p>
            <w:pPr>
              <w:ind w:left="40"/>
              <w:spacing w:after="0"/>
              <w:rPr>
                <w:sz w:val="20"/>
                <w:szCs w:val="20"/>
                <w:color w:val="auto"/>
              </w:rPr>
            </w:pPr>
            <w:r>
              <w:rPr>
                <w:rFonts w:ascii="Arial" w:cs="Arial" w:eastAsia="Arial" w:hAnsi="Arial"/>
                <w:sz w:val="14"/>
                <w:szCs w:val="14"/>
                <w:b w:val="1"/>
                <w:bCs w:val="1"/>
                <w:color w:val="auto"/>
              </w:rPr>
              <w:t>losses</w:t>
            </w:r>
          </w:p>
        </w:tc>
        <w:tc>
          <w:tcPr>
            <w:tcW w:w="100" w:type="dxa"/>
            <w:vAlign w:val="bottom"/>
          </w:tcPr>
          <w:p>
            <w:pPr>
              <w:spacing w:after="0"/>
              <w:rPr>
                <w:sz w:val="14"/>
                <w:szCs w:val="14"/>
                <w:color w:val="auto"/>
              </w:rPr>
            </w:pPr>
          </w:p>
        </w:tc>
        <w:tc>
          <w:tcPr>
            <w:tcW w:w="6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4"/>
              </w:rPr>
              <w:t>value</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7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2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5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Arial" w:cs="Arial" w:eastAsia="Arial" w:hAnsi="Arial"/>
                <w:sz w:val="18"/>
                <w:szCs w:val="18"/>
                <w:color w:val="auto"/>
              </w:rPr>
              <w:t>Cash (Level 1)</w:t>
            </w:r>
          </w:p>
        </w:tc>
        <w:tc>
          <w:tcPr>
            <w:tcW w:w="8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3"/>
          </w:tcPr>
          <w:p>
            <w:pPr>
              <w:jc w:val="right"/>
              <w:ind w:right="520"/>
              <w:spacing w:after="0"/>
              <w:rPr>
                <w:sz w:val="20"/>
                <w:szCs w:val="20"/>
                <w:color w:val="auto"/>
              </w:rPr>
            </w:pPr>
            <w:r>
              <w:rPr>
                <w:rFonts w:ascii="Arial" w:cs="Arial" w:eastAsia="Arial" w:hAnsi="Arial"/>
                <w:sz w:val="18"/>
                <w:szCs w:val="18"/>
                <w:color w:val="auto"/>
              </w:rPr>
              <w:t>15,100</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060" w:type="dxa"/>
            <w:vAlign w:val="bottom"/>
            <w:gridSpan w:val="2"/>
          </w:tcPr>
          <w:p>
            <w:pPr>
              <w:ind w:lef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120" w:type="dxa"/>
            <w:vAlign w:val="bottom"/>
            <w:gridSpan w:val="2"/>
          </w:tcPr>
          <w:p>
            <w:pPr>
              <w:ind w:left="28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rPr>
              <w:t>15,100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Money market funds (Level 1)</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9"/>
              </w:rPr>
              <w:t>316,449</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9"/>
              </w:rPr>
              <w:t>316,449</w:t>
            </w:r>
          </w:p>
        </w:tc>
        <w:tc>
          <w:tcPr>
            <w:tcW w:w="0" w:type="dxa"/>
            <w:vAlign w:val="bottom"/>
          </w:tcPr>
          <w:p>
            <w:pPr>
              <w:spacing w:after="0"/>
              <w:rPr>
                <w:sz w:val="1"/>
                <w:szCs w:val="1"/>
                <w:color w:val="auto"/>
              </w:rPr>
            </w:pPr>
          </w:p>
        </w:tc>
      </w:tr>
      <w:tr>
        <w:trPr>
          <w:trHeight w:val="223"/>
        </w:trPr>
        <w:tc>
          <w:tcPr>
            <w:tcW w:w="5760" w:type="dxa"/>
            <w:vAlign w:val="bottom"/>
            <w:gridSpan w:val="2"/>
          </w:tcPr>
          <w:p>
            <w:pPr>
              <w:spacing w:after="0"/>
              <w:rPr>
                <w:sz w:val="20"/>
                <w:szCs w:val="20"/>
                <w:color w:val="auto"/>
              </w:rPr>
            </w:pPr>
            <w:r>
              <w:rPr>
                <w:rFonts w:ascii="Arial" w:cs="Arial" w:eastAsia="Arial" w:hAnsi="Arial"/>
                <w:sz w:val="18"/>
                <w:szCs w:val="18"/>
                <w:color w:val="auto"/>
              </w:rPr>
              <w:t>Total cash and cash equivalents</w:t>
            </w:r>
          </w:p>
        </w:tc>
        <w:tc>
          <w:tcPr>
            <w:tcW w:w="20" w:type="dxa"/>
            <w:vAlign w:val="bottom"/>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331,549</w:t>
            </w:r>
          </w:p>
        </w:tc>
        <w:tc>
          <w:tcPr>
            <w:tcW w:w="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ind w:left="28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ind w:left="280"/>
              <w:spacing w:after="0"/>
              <w:rPr>
                <w:sz w:val="20"/>
                <w:szCs w:val="20"/>
                <w:color w:val="auto"/>
              </w:rPr>
            </w:pPr>
            <w:r>
              <w:rPr>
                <w:rFonts w:ascii="Arial" w:cs="Arial" w:eastAsia="Arial" w:hAnsi="Arial"/>
                <w:sz w:val="18"/>
                <w:szCs w:val="18"/>
                <w:color w:val="auto"/>
              </w:rPr>
              <w:t>—</w:t>
            </w:r>
          </w:p>
        </w:tc>
        <w:tc>
          <w:tcPr>
            <w:tcW w:w="5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331,549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Marketable securities: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Arial" w:cs="Arial" w:eastAsia="Arial" w:hAnsi="Arial"/>
                <w:sz w:val="18"/>
                <w:szCs w:val="18"/>
                <w:color w:val="auto"/>
                <w:w w:val="99"/>
              </w:rPr>
              <w:t>Corporate debt securities due within 1 year of date of purchase (Level 2)</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20" w:type="dxa"/>
            <w:vAlign w:val="bottom"/>
            <w:gridSpan w:val="3"/>
          </w:tcPr>
          <w:p>
            <w:pPr>
              <w:jc w:val="right"/>
              <w:ind w:right="520"/>
              <w:spacing w:after="0"/>
              <w:rPr>
                <w:sz w:val="20"/>
                <w:szCs w:val="20"/>
                <w:color w:val="auto"/>
              </w:rPr>
            </w:pPr>
            <w:r>
              <w:rPr>
                <w:rFonts w:ascii="Arial" w:cs="Arial" w:eastAsia="Arial" w:hAnsi="Arial"/>
                <w:sz w:val="18"/>
                <w:szCs w:val="18"/>
                <w:color w:val="auto"/>
              </w:rPr>
              <w:t>27,257</w:t>
            </w:r>
          </w:p>
        </w:tc>
        <w:tc>
          <w:tcPr>
            <w:tcW w:w="120" w:type="dxa"/>
            <w:vAlign w:val="bottom"/>
          </w:tcPr>
          <w:p>
            <w:pPr>
              <w:spacing w:after="0"/>
              <w:rPr>
                <w:sz w:val="18"/>
                <w:szCs w:val="18"/>
                <w:color w:val="auto"/>
              </w:rPr>
            </w:pPr>
          </w:p>
        </w:tc>
        <w:tc>
          <w:tcPr>
            <w:tcW w:w="1060" w:type="dxa"/>
            <w:vAlign w:val="bottom"/>
            <w:gridSpan w:val="2"/>
          </w:tcPr>
          <w:p>
            <w:pPr>
              <w:ind w:left="460"/>
              <w:spacing w:after="0"/>
              <w:rPr>
                <w:sz w:val="20"/>
                <w:szCs w:val="20"/>
                <w:color w:val="auto"/>
              </w:rPr>
            </w:pPr>
            <w:r>
              <w:rPr>
                <w:rFonts w:ascii="Arial" w:cs="Arial" w:eastAsia="Arial" w:hAnsi="Arial"/>
                <w:sz w:val="18"/>
                <w:szCs w:val="18"/>
                <w:color w:val="auto"/>
              </w:rPr>
              <w:t>7</w:t>
            </w:r>
          </w:p>
        </w:tc>
        <w:tc>
          <w:tcPr>
            <w:tcW w:w="120" w:type="dxa"/>
            <w:vAlign w:val="bottom"/>
          </w:tcPr>
          <w:p>
            <w:pPr>
              <w:spacing w:after="0"/>
              <w:rPr>
                <w:sz w:val="18"/>
                <w:szCs w:val="18"/>
                <w:color w:val="auto"/>
              </w:rPr>
            </w:pPr>
          </w:p>
        </w:tc>
        <w:tc>
          <w:tcPr>
            <w:tcW w:w="1120" w:type="dxa"/>
            <w:vAlign w:val="bottom"/>
            <w:gridSpan w:val="2"/>
          </w:tcPr>
          <w:p>
            <w:pPr>
              <w:ind w:left="320"/>
              <w:spacing w:after="0"/>
              <w:rPr>
                <w:sz w:val="20"/>
                <w:szCs w:val="20"/>
                <w:color w:val="auto"/>
              </w:rPr>
            </w:pPr>
            <w:r>
              <w:rPr>
                <w:rFonts w:ascii="Arial" w:cs="Arial" w:eastAsia="Arial" w:hAnsi="Arial"/>
                <w:sz w:val="18"/>
                <w:szCs w:val="18"/>
                <w:color w:val="auto"/>
              </w:rPr>
              <w:t>(39)</w:t>
            </w:r>
          </w:p>
        </w:tc>
        <w:tc>
          <w:tcPr>
            <w:tcW w:w="100" w:type="dxa"/>
            <w:vAlign w:val="bottom"/>
          </w:tcPr>
          <w:p>
            <w:pPr>
              <w:spacing w:after="0"/>
              <w:rPr>
                <w:sz w:val="18"/>
                <w:szCs w:val="18"/>
                <w:color w:val="auto"/>
              </w:rPr>
            </w:pP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rPr>
              <w:t>27,225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7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Total cash, cash equivalents and marketable securities</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9"/>
              </w:rPr>
              <w:t>358,806</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0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7</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1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(39)</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9"/>
              </w:rPr>
              <w:t>358,774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gridSpan w:val="2"/>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6"/>
        </w:trPr>
        <w:tc>
          <w:tcPr>
            <w:tcW w:w="20" w:type="dxa"/>
            <w:vAlign w:val="bottom"/>
          </w:tcPr>
          <w:p>
            <w:pPr>
              <w:spacing w:after="0"/>
              <w:rPr>
                <w:sz w:val="24"/>
                <w:szCs w:val="24"/>
                <w:color w:val="auto"/>
              </w:rPr>
            </w:pPr>
          </w:p>
        </w:tc>
        <w:tc>
          <w:tcPr>
            <w:tcW w:w="5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gridSpan w:val="5"/>
          </w:tcPr>
          <w:p>
            <w:pPr>
              <w:ind w:left="260"/>
              <w:spacing w:after="0"/>
              <w:rPr>
                <w:sz w:val="20"/>
                <w:szCs w:val="20"/>
                <w:color w:val="auto"/>
              </w:rPr>
            </w:pPr>
            <w:r>
              <w:rPr>
                <w:rFonts w:ascii="Arial" w:cs="Arial" w:eastAsia="Arial" w:hAnsi="Arial"/>
                <w:sz w:val="14"/>
                <w:szCs w:val="14"/>
                <w:b w:val="1"/>
                <w:bCs w:val="1"/>
                <w:color w:val="auto"/>
              </w:rPr>
              <w:t>December 31, 2021</w:t>
            </w:r>
          </w:p>
        </w:tc>
        <w:tc>
          <w:tcPr>
            <w:tcW w:w="1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57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120" w:type="dxa"/>
            <w:vAlign w:val="bottom"/>
            <w:gridSpan w:val="3"/>
            <w:vMerge w:val="restart"/>
          </w:tcPr>
          <w:p>
            <w:pPr>
              <w:ind w:left="120"/>
              <w:spacing w:after="0"/>
              <w:rPr>
                <w:sz w:val="20"/>
                <w:szCs w:val="20"/>
                <w:color w:val="auto"/>
              </w:rPr>
            </w:pPr>
            <w:r>
              <w:rPr>
                <w:rFonts w:ascii="Arial" w:cs="Arial" w:eastAsia="Arial" w:hAnsi="Arial"/>
                <w:sz w:val="14"/>
                <w:szCs w:val="14"/>
                <w:b w:val="1"/>
                <w:bCs w:val="1"/>
                <w:color w:val="auto"/>
              </w:rPr>
              <w:t>Cost</w:t>
            </w:r>
          </w:p>
        </w:tc>
        <w:tc>
          <w:tcPr>
            <w:tcW w:w="118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Unrealized</w:t>
            </w:r>
          </w:p>
        </w:tc>
        <w:tc>
          <w:tcPr>
            <w:tcW w:w="124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Unrealized</w:t>
            </w:r>
          </w:p>
        </w:tc>
        <w:tc>
          <w:tcPr>
            <w:tcW w:w="100" w:type="dxa"/>
            <w:vAlign w:val="bottom"/>
          </w:tcPr>
          <w:p>
            <w:pPr>
              <w:spacing w:after="0"/>
              <w:rPr>
                <w:sz w:val="10"/>
                <w:szCs w:val="10"/>
                <w:color w:val="auto"/>
              </w:rPr>
            </w:pPr>
          </w:p>
        </w:tc>
        <w:tc>
          <w:tcPr>
            <w:tcW w:w="600" w:type="dxa"/>
            <w:vAlign w:val="bottom"/>
          </w:tcPr>
          <w:p>
            <w:pPr>
              <w:jc w:val="center"/>
              <w:ind w:right="16"/>
              <w:spacing w:after="0" w:line="119" w:lineRule="exact"/>
              <w:rPr>
                <w:sz w:val="20"/>
                <w:szCs w:val="20"/>
                <w:color w:val="auto"/>
              </w:rPr>
            </w:pPr>
            <w:r>
              <w:rPr>
                <w:rFonts w:ascii="Arial" w:cs="Arial" w:eastAsia="Arial" w:hAnsi="Arial"/>
                <w:sz w:val="13"/>
                <w:szCs w:val="13"/>
                <w:b w:val="1"/>
                <w:bCs w:val="1"/>
                <w:color w:val="auto"/>
              </w:rPr>
              <w:t>Fair</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20" w:type="dxa"/>
            <w:vAlign w:val="bottom"/>
            <w:gridSpan w:val="3"/>
            <w:vMerge w:val="continue"/>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2"/>
          </w:tcPr>
          <w:p>
            <w:pPr>
              <w:ind w:left="60"/>
              <w:spacing w:after="0"/>
              <w:rPr>
                <w:sz w:val="20"/>
                <w:szCs w:val="20"/>
                <w:color w:val="auto"/>
              </w:rPr>
            </w:pPr>
            <w:r>
              <w:rPr>
                <w:rFonts w:ascii="Arial" w:cs="Arial" w:eastAsia="Arial" w:hAnsi="Arial"/>
                <w:sz w:val="14"/>
                <w:szCs w:val="14"/>
                <w:b w:val="1"/>
                <w:bCs w:val="1"/>
                <w:color w:val="auto"/>
              </w:rPr>
              <w:t>gains</w:t>
            </w:r>
          </w:p>
        </w:tc>
        <w:tc>
          <w:tcPr>
            <w:tcW w:w="120" w:type="dxa"/>
            <w:vAlign w:val="bottom"/>
          </w:tcPr>
          <w:p>
            <w:pPr>
              <w:spacing w:after="0"/>
              <w:rPr>
                <w:sz w:val="14"/>
                <w:szCs w:val="14"/>
                <w:color w:val="auto"/>
              </w:rPr>
            </w:pPr>
          </w:p>
        </w:tc>
        <w:tc>
          <w:tcPr>
            <w:tcW w:w="1120" w:type="dxa"/>
            <w:vAlign w:val="bottom"/>
            <w:gridSpan w:val="2"/>
          </w:tcPr>
          <w:p>
            <w:pPr>
              <w:ind w:left="40"/>
              <w:spacing w:after="0"/>
              <w:rPr>
                <w:sz w:val="20"/>
                <w:szCs w:val="20"/>
                <w:color w:val="auto"/>
              </w:rPr>
            </w:pPr>
            <w:r>
              <w:rPr>
                <w:rFonts w:ascii="Arial" w:cs="Arial" w:eastAsia="Arial" w:hAnsi="Arial"/>
                <w:sz w:val="14"/>
                <w:szCs w:val="14"/>
                <w:b w:val="1"/>
                <w:bCs w:val="1"/>
                <w:color w:val="auto"/>
              </w:rPr>
              <w:t>losses</w:t>
            </w:r>
          </w:p>
        </w:tc>
        <w:tc>
          <w:tcPr>
            <w:tcW w:w="100" w:type="dxa"/>
            <w:vAlign w:val="bottom"/>
          </w:tcPr>
          <w:p>
            <w:pPr>
              <w:spacing w:after="0"/>
              <w:rPr>
                <w:sz w:val="14"/>
                <w:szCs w:val="14"/>
                <w:color w:val="auto"/>
              </w:rPr>
            </w:pPr>
          </w:p>
        </w:tc>
        <w:tc>
          <w:tcPr>
            <w:tcW w:w="6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4"/>
              </w:rPr>
              <w:t>value</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7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2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5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Arial" w:cs="Arial" w:eastAsia="Arial" w:hAnsi="Arial"/>
                <w:sz w:val="18"/>
                <w:szCs w:val="18"/>
                <w:color w:val="auto"/>
              </w:rPr>
              <w:t>Cash (Level 1)</w:t>
            </w:r>
          </w:p>
        </w:tc>
        <w:tc>
          <w:tcPr>
            <w:tcW w:w="8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3"/>
          </w:tcPr>
          <w:p>
            <w:pPr>
              <w:jc w:val="right"/>
              <w:ind w:right="520"/>
              <w:spacing w:after="0"/>
              <w:rPr>
                <w:sz w:val="20"/>
                <w:szCs w:val="20"/>
                <w:color w:val="auto"/>
              </w:rPr>
            </w:pPr>
            <w:r>
              <w:rPr>
                <w:rFonts w:ascii="Arial" w:cs="Arial" w:eastAsia="Arial" w:hAnsi="Arial"/>
                <w:sz w:val="18"/>
                <w:szCs w:val="18"/>
                <w:color w:val="auto"/>
              </w:rPr>
              <w:t>18,877</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060" w:type="dxa"/>
            <w:vAlign w:val="bottom"/>
            <w:gridSpan w:val="2"/>
          </w:tcPr>
          <w:p>
            <w:pPr>
              <w:ind w:lef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120" w:type="dxa"/>
            <w:vAlign w:val="bottom"/>
            <w:gridSpan w:val="2"/>
          </w:tcPr>
          <w:p>
            <w:pPr>
              <w:ind w:left="28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rPr>
              <w:t>18,877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Money market funds (Level 1)</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17,392</w:t>
            </w: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17,392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Arial" w:cs="Arial" w:eastAsia="Arial" w:hAnsi="Arial"/>
                <w:sz w:val="18"/>
                <w:szCs w:val="18"/>
                <w:color w:val="auto"/>
              </w:rPr>
              <w:t>Total cash and cash equivalents</w:t>
            </w:r>
          </w:p>
        </w:tc>
        <w:tc>
          <w:tcPr>
            <w:tcW w:w="20" w:type="dxa"/>
            <w:vAlign w:val="bottom"/>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36,269</w:t>
            </w:r>
          </w:p>
        </w:tc>
        <w:tc>
          <w:tcPr>
            <w:tcW w:w="520" w:type="dxa"/>
            <w:vAlign w:val="bottom"/>
            <w:gridSpan w:val="2"/>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ind w:left="28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ind w:left="280"/>
              <w:spacing w:after="0"/>
              <w:rPr>
                <w:sz w:val="20"/>
                <w:szCs w:val="20"/>
                <w:color w:val="auto"/>
              </w:rPr>
            </w:pPr>
            <w:r>
              <w:rPr>
                <w:rFonts w:ascii="Arial" w:cs="Arial" w:eastAsia="Arial" w:hAnsi="Arial"/>
                <w:sz w:val="18"/>
                <w:szCs w:val="18"/>
                <w:color w:val="auto"/>
              </w:rPr>
              <w:t>—</w:t>
            </w:r>
          </w:p>
        </w:tc>
        <w:tc>
          <w:tcPr>
            <w:tcW w:w="5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36,269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Marketable securities: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Arial" w:cs="Arial" w:eastAsia="Arial" w:hAnsi="Arial"/>
                <w:sz w:val="18"/>
                <w:szCs w:val="18"/>
                <w:color w:val="auto"/>
                <w:w w:val="99"/>
              </w:rPr>
              <w:t>Corporate debt securities due within 1 year of date of purchase (Level 2)</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w w:val="89"/>
              </w:rPr>
              <w:t>228,348</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ind w:left="460"/>
              <w:spacing w:after="0"/>
              <w:rPr>
                <w:sz w:val="20"/>
                <w:szCs w:val="20"/>
                <w:color w:val="auto"/>
              </w:rPr>
            </w:pPr>
            <w:r>
              <w:rPr>
                <w:rFonts w:ascii="Arial" w:cs="Arial" w:eastAsia="Arial" w:hAnsi="Arial"/>
                <w:sz w:val="18"/>
                <w:szCs w:val="18"/>
                <w:color w:val="auto"/>
              </w:rPr>
              <w:t>6</w:t>
            </w:r>
          </w:p>
        </w:tc>
        <w:tc>
          <w:tcPr>
            <w:tcW w:w="120" w:type="dxa"/>
            <w:vAlign w:val="bottom"/>
          </w:tcPr>
          <w:p>
            <w:pPr>
              <w:spacing w:after="0"/>
              <w:rPr>
                <w:sz w:val="18"/>
                <w:szCs w:val="18"/>
                <w:color w:val="auto"/>
              </w:rPr>
            </w:pPr>
          </w:p>
        </w:tc>
        <w:tc>
          <w:tcPr>
            <w:tcW w:w="1120" w:type="dxa"/>
            <w:vAlign w:val="bottom"/>
            <w:gridSpan w:val="2"/>
          </w:tcPr>
          <w:p>
            <w:pPr>
              <w:ind w:left="320"/>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18"/>
                <w:szCs w:val="18"/>
                <w:color w:val="auto"/>
              </w:rPr>
            </w:pP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w w:val="89"/>
              </w:rPr>
              <w:t>228,288</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7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Corporate debt securities due within 1 to 2 years of date of purchase</w:t>
            </w: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7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(Level 2)</w:t>
            </w:r>
          </w:p>
        </w:tc>
        <w:tc>
          <w:tcPr>
            <w:tcW w:w="2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5,809</w:t>
            </w:r>
          </w:p>
        </w:tc>
        <w:tc>
          <w:tcPr>
            <w:tcW w:w="5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6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(20)</w:t>
            </w:r>
          </w:p>
        </w:tc>
        <w:tc>
          <w:tcPr>
            <w:tcW w:w="100" w:type="dxa"/>
            <w:vAlign w:val="bottom"/>
            <w:shd w:val="clear" w:color="auto" w:fill="CCEEFF"/>
          </w:tcPr>
          <w:p>
            <w:pPr>
              <w:spacing w:after="0"/>
              <w:rPr>
                <w:sz w:val="20"/>
                <w:szCs w:val="20"/>
                <w:color w:val="auto"/>
              </w:rPr>
            </w:pP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5,789</w:t>
            </w:r>
          </w:p>
        </w:tc>
        <w:tc>
          <w:tcPr>
            <w:tcW w:w="0" w:type="dxa"/>
            <w:vAlign w:val="bottom"/>
          </w:tcPr>
          <w:p>
            <w:pPr>
              <w:spacing w:after="0"/>
              <w:rPr>
                <w:sz w:val="1"/>
                <w:szCs w:val="1"/>
                <w:color w:val="auto"/>
              </w:rPr>
            </w:pPr>
          </w:p>
        </w:tc>
      </w:tr>
      <w:tr>
        <w:trPr>
          <w:trHeight w:val="223"/>
        </w:trPr>
        <w:tc>
          <w:tcPr>
            <w:tcW w:w="5760" w:type="dxa"/>
            <w:vAlign w:val="bottom"/>
            <w:gridSpan w:val="2"/>
          </w:tcPr>
          <w:p>
            <w:pPr>
              <w:spacing w:after="0"/>
              <w:rPr>
                <w:sz w:val="20"/>
                <w:szCs w:val="20"/>
                <w:color w:val="auto"/>
              </w:rPr>
            </w:pPr>
            <w:r>
              <w:rPr>
                <w:rFonts w:ascii="Arial" w:cs="Arial" w:eastAsia="Arial" w:hAnsi="Arial"/>
                <w:sz w:val="18"/>
                <w:szCs w:val="18"/>
                <w:color w:val="auto"/>
              </w:rPr>
              <w:t>Total cash, cash equivalents and marketable securities</w:t>
            </w:r>
          </w:p>
        </w:tc>
        <w:tc>
          <w:tcPr>
            <w:tcW w:w="20" w:type="dxa"/>
            <w:vAlign w:val="bottom"/>
            <w:tcBorders>
              <w:bottom w:val="single" w:sz="8" w:color="auto"/>
            </w:tcBorders>
          </w:tcPr>
          <w:p>
            <w:pPr>
              <w:spacing w:after="0"/>
              <w:rPr>
                <w:sz w:val="19"/>
                <w:szCs w:val="19"/>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u w:val="single" w:color="auto"/>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270,426</w:t>
            </w:r>
          </w:p>
        </w:tc>
        <w:tc>
          <w:tcPr>
            <w:tcW w:w="20" w:type="dxa"/>
            <w:vAlign w:val="bottom"/>
            <w:tcBorders>
              <w:bottom w:val="single" w:sz="8" w:color="auto"/>
            </w:tcBorders>
          </w:tcPr>
          <w:p>
            <w:pPr>
              <w:spacing w:after="0"/>
              <w:rPr>
                <w:sz w:val="19"/>
                <w:szCs w:val="19"/>
                <w:color w:val="auto"/>
              </w:rPr>
            </w:pPr>
          </w:p>
        </w:tc>
        <w:tc>
          <w:tcPr>
            <w:tcW w:w="50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540" w:type="dxa"/>
            <w:vAlign w:val="bottom"/>
            <w:tcBorders>
              <w:top w:val="single" w:sz="8" w:color="auto"/>
              <w:bottom w:val="single" w:sz="8" w:color="auto"/>
            </w:tcBorders>
          </w:tcPr>
          <w:p>
            <w:pPr>
              <w:ind w:left="460"/>
              <w:spacing w:after="0"/>
              <w:rPr>
                <w:sz w:val="20"/>
                <w:szCs w:val="20"/>
                <w:color w:val="auto"/>
              </w:rPr>
            </w:pPr>
            <w:r>
              <w:rPr>
                <w:rFonts w:ascii="Arial" w:cs="Arial" w:eastAsia="Arial" w:hAnsi="Arial"/>
                <w:sz w:val="15"/>
                <w:szCs w:val="15"/>
                <w:color w:val="auto"/>
                <w:w w:val="71"/>
              </w:rPr>
              <w:t>6</w:t>
            </w:r>
          </w:p>
        </w:tc>
        <w:tc>
          <w:tcPr>
            <w:tcW w:w="5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560" w:type="dxa"/>
            <w:vAlign w:val="bottom"/>
            <w:tcBorders>
              <w:top w:val="single" w:sz="8" w:color="auto"/>
              <w:bottom w:val="single" w:sz="8" w:color="auto"/>
            </w:tcBorders>
          </w:tcPr>
          <w:p>
            <w:pPr>
              <w:ind w:left="320"/>
              <w:spacing w:after="0"/>
              <w:rPr>
                <w:sz w:val="20"/>
                <w:szCs w:val="20"/>
                <w:color w:val="auto"/>
              </w:rPr>
            </w:pPr>
            <w:r>
              <w:rPr>
                <w:rFonts w:ascii="Arial" w:cs="Arial" w:eastAsia="Arial" w:hAnsi="Arial"/>
                <w:sz w:val="17"/>
                <w:szCs w:val="17"/>
                <w:color w:val="auto"/>
                <w:w w:val="72"/>
              </w:rPr>
              <w:t>(86)</w:t>
            </w:r>
          </w:p>
        </w:tc>
        <w:tc>
          <w:tcPr>
            <w:tcW w:w="5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270,346</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5. Accrued Liabilities</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Accrued liabilities as of December 31, 2022 and 2021 consisted of the following (in thousands):</w:t>
      </w:r>
    </w:p>
    <w:p>
      <w:pPr>
        <w:spacing w:after="0" w:line="231"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5880" w:type="dxa"/>
            <w:vAlign w:val="bottom"/>
          </w:tcPr>
          <w:p>
            <w:pPr>
              <w:spacing w:after="0"/>
              <w:rPr>
                <w:sz w:val="14"/>
                <w:szCs w:val="14"/>
                <w:color w:val="auto"/>
              </w:rPr>
            </w:pPr>
          </w:p>
        </w:tc>
        <w:tc>
          <w:tcPr>
            <w:tcW w:w="1600" w:type="dxa"/>
            <w:vAlign w:val="bottom"/>
            <w:gridSpan w:val="3"/>
          </w:tcPr>
          <w:p>
            <w:pPr>
              <w:spacing w:after="0"/>
              <w:rPr>
                <w:sz w:val="20"/>
                <w:szCs w:val="20"/>
                <w:color w:val="auto"/>
              </w:rPr>
            </w:pPr>
            <w:r>
              <w:rPr>
                <w:rFonts w:ascii="Arial" w:cs="Arial" w:eastAsia="Arial" w:hAnsi="Arial"/>
                <w:sz w:val="14"/>
                <w:szCs w:val="14"/>
                <w:b w:val="1"/>
                <w:bCs w:val="1"/>
                <w:color w:val="auto"/>
              </w:rPr>
              <w:t>December 31,</w:t>
            </w:r>
          </w:p>
        </w:tc>
        <w:tc>
          <w:tcPr>
            <w:tcW w:w="880" w:type="dxa"/>
            <w:vAlign w:val="bottom"/>
            <w:gridSpan w:val="3"/>
          </w:tcPr>
          <w:p>
            <w:pPr>
              <w:spacing w:after="0"/>
              <w:rPr>
                <w:sz w:val="20"/>
                <w:szCs w:val="20"/>
                <w:color w:val="auto"/>
              </w:rPr>
            </w:pPr>
            <w:r>
              <w:rPr>
                <w:rFonts w:ascii="Arial" w:cs="Arial" w:eastAsia="Arial" w:hAnsi="Arial"/>
                <w:sz w:val="14"/>
                <w:szCs w:val="14"/>
                <w:b w:val="1"/>
                <w:bCs w:val="1"/>
                <w:color w:val="auto"/>
                <w:w w:val="94"/>
              </w:rPr>
              <w:t>December 31,</w:t>
            </w:r>
          </w:p>
        </w:tc>
      </w:tr>
      <w:tr>
        <w:trPr>
          <w:trHeight w:val="171"/>
        </w:trPr>
        <w:tc>
          <w:tcPr>
            <w:tcW w:w="588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2022</w:t>
            </w:r>
          </w:p>
        </w:tc>
        <w:tc>
          <w:tcPr>
            <w:tcW w:w="76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2021</w:t>
            </w:r>
          </w:p>
        </w:tc>
        <w:tc>
          <w:tcPr>
            <w:tcW w:w="40" w:type="dxa"/>
            <w:vAlign w:val="bottom"/>
            <w:tcBorders>
              <w:bottom w:val="single" w:sz="8" w:color="CCEEFF"/>
            </w:tcBorders>
          </w:tcPr>
          <w:p>
            <w:pPr>
              <w:spacing w:after="0"/>
              <w:rPr>
                <w:sz w:val="14"/>
                <w:szCs w:val="14"/>
                <w:color w:val="auto"/>
              </w:rPr>
            </w:pPr>
          </w:p>
        </w:tc>
      </w:tr>
      <w:tr>
        <w:trPr>
          <w:trHeight w:val="210"/>
        </w:trPr>
        <w:tc>
          <w:tcPr>
            <w:tcW w:w="5880" w:type="dxa"/>
            <w:vAlign w:val="bottom"/>
            <w:shd w:val="clear" w:color="auto" w:fill="CCEEFF"/>
          </w:tcPr>
          <w:p>
            <w:pPr>
              <w:spacing w:after="0"/>
              <w:rPr>
                <w:sz w:val="20"/>
                <w:szCs w:val="20"/>
                <w:color w:val="auto"/>
              </w:rPr>
            </w:pPr>
            <w:r>
              <w:rPr>
                <w:rFonts w:ascii="Arial" w:cs="Arial" w:eastAsia="Arial" w:hAnsi="Arial"/>
                <w:sz w:val="18"/>
                <w:szCs w:val="18"/>
                <w:color w:val="auto"/>
              </w:rPr>
              <w:t>Contract research organization costs</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53,119</w:t>
            </w: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38,349</w:t>
            </w:r>
          </w:p>
        </w:tc>
        <w:tc>
          <w:tcPr>
            <w:tcW w:w="40" w:type="dxa"/>
            <w:vAlign w:val="bottom"/>
            <w:shd w:val="clear" w:color="auto" w:fill="CCEEFF"/>
          </w:tcPr>
          <w:p>
            <w:pPr>
              <w:spacing w:after="0"/>
              <w:rPr>
                <w:sz w:val="18"/>
                <w:szCs w:val="18"/>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color w:val="auto"/>
              </w:rPr>
              <w:t>Other clinical study related costs</w:t>
            </w:r>
          </w:p>
        </w:tc>
        <w:tc>
          <w:tcPr>
            <w:tcW w:w="180" w:type="dxa"/>
            <w:vAlign w:val="bottom"/>
          </w:tcPr>
          <w:p>
            <w:pPr>
              <w:spacing w:after="0"/>
              <w:rPr>
                <w:sz w:val="18"/>
                <w:szCs w:val="18"/>
                <w:color w:val="auto"/>
              </w:rPr>
            </w:pPr>
          </w:p>
        </w:tc>
        <w:tc>
          <w:tcPr>
            <w:tcW w:w="1420" w:type="dxa"/>
            <w:vAlign w:val="bottom"/>
            <w:gridSpan w:val="2"/>
          </w:tcPr>
          <w:p>
            <w:pPr>
              <w:jc w:val="right"/>
              <w:ind w:right="760"/>
              <w:spacing w:after="0"/>
              <w:rPr>
                <w:sz w:val="20"/>
                <w:szCs w:val="20"/>
                <w:color w:val="auto"/>
              </w:rPr>
            </w:pPr>
            <w:r>
              <w:rPr>
                <w:rFonts w:ascii="Arial" w:cs="Arial" w:eastAsia="Arial" w:hAnsi="Arial"/>
                <w:sz w:val="18"/>
                <w:szCs w:val="18"/>
                <w:color w:val="auto"/>
              </w:rPr>
              <w:t>6,582</w:t>
            </w:r>
          </w:p>
        </w:tc>
        <w:tc>
          <w:tcPr>
            <w:tcW w:w="18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3,957</w:t>
            </w: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8"/>
                <w:szCs w:val="18"/>
                <w:color w:val="auto"/>
              </w:rPr>
              <w:t>Manufacturing and drug supply</w:t>
            </w:r>
          </w:p>
        </w:tc>
        <w:tc>
          <w:tcPr>
            <w:tcW w:w="1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760"/>
              <w:spacing w:after="0"/>
              <w:rPr>
                <w:sz w:val="20"/>
                <w:szCs w:val="20"/>
                <w:color w:val="auto"/>
              </w:rPr>
            </w:pPr>
            <w:r>
              <w:rPr>
                <w:rFonts w:ascii="Arial" w:cs="Arial" w:eastAsia="Arial" w:hAnsi="Arial"/>
                <w:sz w:val="18"/>
                <w:szCs w:val="18"/>
                <w:color w:val="auto"/>
              </w:rPr>
              <w:t>11,262</w:t>
            </w: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3,239</w:t>
            </w:r>
          </w:p>
        </w:tc>
      </w:tr>
      <w:tr>
        <w:trPr>
          <w:trHeight w:val="216"/>
        </w:trPr>
        <w:tc>
          <w:tcPr>
            <w:tcW w:w="5880" w:type="dxa"/>
            <w:vAlign w:val="bottom"/>
          </w:tcPr>
          <w:p>
            <w:pPr>
              <w:spacing w:after="0"/>
              <w:rPr>
                <w:sz w:val="20"/>
                <w:szCs w:val="20"/>
                <w:color w:val="auto"/>
              </w:rPr>
            </w:pPr>
            <w:r>
              <w:rPr>
                <w:rFonts w:ascii="Arial" w:cs="Arial" w:eastAsia="Arial" w:hAnsi="Arial"/>
                <w:sz w:val="18"/>
                <w:szCs w:val="18"/>
                <w:color w:val="auto"/>
              </w:rPr>
              <w:t>Compensation and benefits</w:t>
            </w:r>
          </w:p>
        </w:tc>
        <w:tc>
          <w:tcPr>
            <w:tcW w:w="180" w:type="dxa"/>
            <w:vAlign w:val="bottom"/>
          </w:tcPr>
          <w:p>
            <w:pPr>
              <w:spacing w:after="0"/>
              <w:rPr>
                <w:sz w:val="18"/>
                <w:szCs w:val="18"/>
                <w:color w:val="auto"/>
              </w:rPr>
            </w:pPr>
          </w:p>
        </w:tc>
        <w:tc>
          <w:tcPr>
            <w:tcW w:w="1420" w:type="dxa"/>
            <w:vAlign w:val="bottom"/>
            <w:gridSpan w:val="2"/>
          </w:tcPr>
          <w:p>
            <w:pPr>
              <w:jc w:val="right"/>
              <w:ind w:right="760"/>
              <w:spacing w:after="0"/>
              <w:rPr>
                <w:sz w:val="20"/>
                <w:szCs w:val="20"/>
                <w:color w:val="auto"/>
              </w:rPr>
            </w:pPr>
            <w:r>
              <w:rPr>
                <w:rFonts w:ascii="Arial" w:cs="Arial" w:eastAsia="Arial" w:hAnsi="Arial"/>
                <w:sz w:val="18"/>
                <w:szCs w:val="18"/>
                <w:color w:val="auto"/>
              </w:rPr>
              <w:t>14,864</w:t>
            </w:r>
          </w:p>
        </w:tc>
        <w:tc>
          <w:tcPr>
            <w:tcW w:w="18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6,769</w:t>
            </w: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8"/>
                <w:szCs w:val="18"/>
                <w:color w:val="auto"/>
              </w:rPr>
              <w:t>Professional fees</w:t>
            </w:r>
          </w:p>
        </w:tc>
        <w:tc>
          <w:tcPr>
            <w:tcW w:w="1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760"/>
              <w:spacing w:after="0"/>
              <w:rPr>
                <w:sz w:val="20"/>
                <w:szCs w:val="20"/>
                <w:color w:val="auto"/>
              </w:rPr>
            </w:pPr>
            <w:r>
              <w:rPr>
                <w:rFonts w:ascii="Arial" w:cs="Arial" w:eastAsia="Arial" w:hAnsi="Arial"/>
                <w:sz w:val="18"/>
                <w:szCs w:val="18"/>
                <w:color w:val="auto"/>
              </w:rPr>
              <w:t>4,867</w:t>
            </w: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2,455</w:t>
            </w:r>
          </w:p>
        </w:tc>
      </w:tr>
      <w:tr>
        <w:trPr>
          <w:trHeight w:val="216"/>
        </w:trPr>
        <w:tc>
          <w:tcPr>
            <w:tcW w:w="5880" w:type="dxa"/>
            <w:vAlign w:val="bottom"/>
          </w:tcPr>
          <w:p>
            <w:pPr>
              <w:spacing w:after="0"/>
              <w:rPr>
                <w:sz w:val="20"/>
                <w:szCs w:val="20"/>
                <w:color w:val="auto"/>
              </w:rPr>
            </w:pPr>
            <w:r>
              <w:rPr>
                <w:rFonts w:ascii="Arial" w:cs="Arial" w:eastAsia="Arial" w:hAnsi="Arial"/>
                <w:sz w:val="18"/>
                <w:szCs w:val="18"/>
                <w:color w:val="auto"/>
              </w:rPr>
              <w:t>Other</w:t>
            </w:r>
          </w:p>
        </w:tc>
        <w:tc>
          <w:tcPr>
            <w:tcW w:w="180" w:type="dxa"/>
            <w:vAlign w:val="bottom"/>
          </w:tcPr>
          <w:p>
            <w:pPr>
              <w:spacing w:after="0"/>
              <w:rPr>
                <w:sz w:val="18"/>
                <w:szCs w:val="18"/>
                <w:color w:val="auto"/>
              </w:rPr>
            </w:pPr>
          </w:p>
        </w:tc>
        <w:tc>
          <w:tcPr>
            <w:tcW w:w="1420" w:type="dxa"/>
            <w:vAlign w:val="bottom"/>
            <w:gridSpan w:val="2"/>
          </w:tcPr>
          <w:p>
            <w:pPr>
              <w:jc w:val="right"/>
              <w:ind w:right="760"/>
              <w:spacing w:after="0"/>
              <w:rPr>
                <w:sz w:val="20"/>
                <w:szCs w:val="20"/>
                <w:color w:val="auto"/>
              </w:rPr>
            </w:pPr>
            <w:r>
              <w:rPr>
                <w:rFonts w:ascii="Arial" w:cs="Arial" w:eastAsia="Arial" w:hAnsi="Arial"/>
                <w:sz w:val="18"/>
                <w:szCs w:val="18"/>
                <w:color w:val="auto"/>
              </w:rPr>
              <w:t>767</w:t>
            </w:r>
          </w:p>
        </w:tc>
        <w:tc>
          <w:tcPr>
            <w:tcW w:w="18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279</w:t>
            </w:r>
          </w:p>
        </w:tc>
      </w:tr>
      <w:tr>
        <w:trPr>
          <w:trHeight w:val="27"/>
        </w:trPr>
        <w:tc>
          <w:tcPr>
            <w:tcW w:w="58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7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8"/>
                <w:szCs w:val="18"/>
                <w:color w:val="auto"/>
              </w:rPr>
              <w:t>Total accrued liabilities</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760"/>
              <w:spacing w:after="0"/>
              <w:rPr>
                <w:sz w:val="20"/>
                <w:szCs w:val="20"/>
                <w:color w:val="auto"/>
              </w:rPr>
            </w:pPr>
            <w:r>
              <w:rPr>
                <w:rFonts w:ascii="Arial" w:cs="Arial" w:eastAsia="Arial" w:hAnsi="Arial"/>
                <w:sz w:val="18"/>
                <w:szCs w:val="18"/>
                <w:color w:val="auto"/>
              </w:rPr>
              <w:t>91,461</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55,048</w:t>
            </w:r>
          </w:p>
        </w:tc>
      </w:tr>
      <w:tr>
        <w:trPr>
          <w:trHeight w:val="20"/>
        </w:trPr>
        <w:tc>
          <w:tcPr>
            <w:tcW w:w="58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31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6. Long Term Debt</w:t>
      </w:r>
    </w:p>
    <w:p>
      <w:pPr>
        <w:spacing w:after="0" w:line="121" w:lineRule="exact"/>
        <w:rPr>
          <w:sz w:val="20"/>
          <w:szCs w:val="20"/>
          <w:color w:val="auto"/>
        </w:rPr>
      </w:pPr>
    </w:p>
    <w:p>
      <w:pPr>
        <w:ind w:left="120" w:right="120" w:firstLine="440"/>
        <w:spacing w:after="0" w:line="263" w:lineRule="auto"/>
        <w:rPr>
          <w:sz w:val="20"/>
          <w:szCs w:val="20"/>
          <w:color w:val="auto"/>
        </w:rPr>
      </w:pPr>
      <w:r>
        <w:rPr>
          <w:rFonts w:ascii="Arial" w:cs="Arial" w:eastAsia="Arial" w:hAnsi="Arial"/>
          <w:sz w:val="18"/>
          <w:szCs w:val="18"/>
          <w:color w:val="auto"/>
        </w:rPr>
        <w:t>In May 2022 the Company and its wholly-owned subsidiary, Canticle Pharmaceuticals, Inc., entered into the $250.0 million Loan Facility (the “Loan Facility”) with the several banks and other financial institutions or entities party thereto (each, a “Lender” and collectively referred to as the “Lenders”), and Hercules Capital, Inc.</w:t>
      </w:r>
    </w:p>
    <w:p>
      <w:pPr>
        <w:spacing w:after="0" w:line="116" w:lineRule="exact"/>
        <w:rPr>
          <w:sz w:val="20"/>
          <w:szCs w:val="20"/>
          <w:color w:val="auto"/>
        </w:rPr>
      </w:pPr>
    </w:p>
    <w:p>
      <w:pPr>
        <w:jc w:val="center"/>
        <w:ind w:right="-339"/>
        <w:spacing w:after="0"/>
        <w:rPr>
          <w:sz w:val="20"/>
          <w:szCs w:val="20"/>
          <w:color w:val="auto"/>
        </w:rPr>
      </w:pPr>
      <w:r>
        <w:rPr>
          <w:rFonts w:ascii="Arial" w:cs="Arial" w:eastAsia="Arial" w:hAnsi="Arial"/>
          <w:sz w:val="18"/>
          <w:szCs w:val="18"/>
          <w:color w:val="auto"/>
        </w:rPr>
        <w:t>F-14</w:t>
      </w:r>
    </w:p>
    <w:p>
      <w:pPr>
        <w:sectPr>
          <w:pgSz w:w="11900" w:h="16838" w:orient="portrait"/>
          <w:cols w:equalWidth="0" w:num="1">
            <w:col w:w="10920"/>
          </w:cols>
          <w:pgMar w:left="320" w:top="486" w:right="65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2">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9" w:lineRule="exact"/>
        <w:rPr>
          <w:sz w:val="20"/>
          <w:szCs w:val="20"/>
          <w:color w:val="auto"/>
        </w:rPr>
      </w:pPr>
    </w:p>
    <w:p>
      <w:pPr>
        <w:ind w:left="120" w:right="200"/>
        <w:spacing w:after="0" w:line="259" w:lineRule="auto"/>
        <w:rPr>
          <w:sz w:val="20"/>
          <w:szCs w:val="20"/>
          <w:color w:val="auto"/>
        </w:rPr>
      </w:pPr>
      <w:r>
        <w:rPr>
          <w:rFonts w:ascii="Arial" w:cs="Arial" w:eastAsia="Arial" w:hAnsi="Arial"/>
          <w:sz w:val="18"/>
          <w:szCs w:val="18"/>
          <w:color w:val="auto"/>
        </w:rPr>
        <w:t>(“Hercules”), in its capacity as administrative agent and collateral agent for itself and the Lenders. Under the terms of the Loan Facility, the first $50.0 million tranche was drawn at closing. The Company may also draw up to an additional $125.0 million in two separate tranches upon achievement of certain resmetirom clinical and regulatory milestones. A fourth tranche of $75.0 million may be drawn by the Company, subject to the approval of Hercules.</w:t>
      </w:r>
    </w:p>
    <w:p>
      <w:pPr>
        <w:spacing w:after="0" w:line="187" w:lineRule="exact"/>
        <w:rPr>
          <w:sz w:val="20"/>
          <w:szCs w:val="20"/>
          <w:color w:val="auto"/>
        </w:rPr>
      </w:pPr>
    </w:p>
    <w:p>
      <w:pPr>
        <w:ind w:left="120" w:firstLine="440"/>
        <w:spacing w:after="0" w:line="291" w:lineRule="auto"/>
        <w:rPr>
          <w:sz w:val="20"/>
          <w:szCs w:val="20"/>
          <w:color w:val="auto"/>
        </w:rPr>
      </w:pPr>
      <w:r>
        <w:rPr>
          <w:rFonts w:ascii="Arial" w:cs="Arial" w:eastAsia="Arial" w:hAnsi="Arial"/>
          <w:sz w:val="16"/>
          <w:szCs w:val="16"/>
          <w:color w:val="auto"/>
        </w:rPr>
        <w:t>The Loan Facility had a minimum interest rate of 7.45% and adjusted with changes in the prime rate. The Company will pay interest-only monthly payments of accrued interest under the Loan Facility through May 1, 2025, for a period of 36 months, which period may be extended to May 1, 2026 and May 3, 2027, upon the achievement of regulatory approval milestones and future revenue covenants, subject to compliance with applicable covenants. The Loan Facility matures in May 2026 and may be extended an additional year upon the achievement of certain regulatory milestones. The Loan Facility is secured by a security interest in substantially all of the Company’s assets, other than intellectual property. It includes an end of term charge of 5.35% of the aggregate principal amount, which is accounted for in the loan discount. In connection with the first tranche drawn at closing, the Company issued Hercules a warrant to purchase 14,899 shares of Company common stock, which had a Black-Scholes value of $0.6 million.</w:t>
      </w:r>
    </w:p>
    <w:p>
      <w:pPr>
        <w:spacing w:after="0" w:line="166" w:lineRule="exact"/>
        <w:rPr>
          <w:sz w:val="20"/>
          <w:szCs w:val="20"/>
          <w:color w:val="auto"/>
        </w:rPr>
      </w:pPr>
    </w:p>
    <w:p>
      <w:pPr>
        <w:ind w:left="120" w:right="20" w:firstLine="440"/>
        <w:spacing w:after="0" w:line="287" w:lineRule="auto"/>
        <w:rPr>
          <w:sz w:val="20"/>
          <w:szCs w:val="20"/>
          <w:color w:val="auto"/>
        </w:rPr>
      </w:pPr>
      <w:r>
        <w:rPr>
          <w:rFonts w:ascii="Arial" w:cs="Arial" w:eastAsia="Arial" w:hAnsi="Arial"/>
          <w:sz w:val="16"/>
          <w:szCs w:val="16"/>
          <w:color w:val="auto"/>
        </w:rPr>
        <w:t>The Loan Facility includes affirmative and restrictive financial covenants commencing on January 1, 2023, including maintenance of a minimum cash, cash equivalents and liquid funds covenant of $35.0 million, which may decrease in certain circumstances if the Company achieves certain clinical milestones and a revenue milestone, and a revenue-based covenant that could apply commencing at or after the time that financial reporting is due for the quarter ending September 30, 2024. The Loan Facility contains event of default provisions for: the Company’s failure to make required payments or maintain compliance with covenants under the Loan Facility; the Company’s breach of certain representations or default under certain obligations outside the Loan Facility; insolvency, attachment or judgment events affecting the Company; and any circumstance which has occurred or could reasonably be expected to have a material adverse effect on the Company, provided that, any failure to achieve approval or certain other milestones under the Loan Facility shall not in and of itself constitute a material adverse effect. The Loan Facility also includes customary covenants associated with a secured loan facility, including covenants concerning financial reporting obligations, and certain limitations on indebtedness, liens (including a negative pledge on intellectual property and other assets), investments, distributions (including dividends), collateral, investments, distributions, transfers, mergers or acquisitions, taxes, corporate changes, and deposit accounts.</w:t>
      </w:r>
    </w:p>
    <w:p>
      <w:pPr>
        <w:spacing w:after="0" w:line="172" w:lineRule="exact"/>
        <w:rPr>
          <w:sz w:val="20"/>
          <w:szCs w:val="20"/>
          <w:color w:val="auto"/>
        </w:rPr>
      </w:pPr>
    </w:p>
    <w:p>
      <w:pPr>
        <w:ind w:left="120" w:right="340" w:firstLine="440"/>
        <w:spacing w:after="0" w:line="277" w:lineRule="auto"/>
        <w:rPr>
          <w:sz w:val="20"/>
          <w:szCs w:val="20"/>
          <w:color w:val="auto"/>
        </w:rPr>
      </w:pPr>
      <w:r>
        <w:rPr>
          <w:rFonts w:ascii="Arial" w:cs="Arial" w:eastAsia="Arial" w:hAnsi="Arial"/>
          <w:sz w:val="18"/>
          <w:szCs w:val="18"/>
          <w:color w:val="auto"/>
        </w:rPr>
        <w:t>As of December 31, 2022, the outstanding principal under the Loan Facility was $50.0 million. The interest rate as of December 31, 2022 was 11.45%. As of December 31, 2022, the Company was in compliance with all loan covenants and provisions.</w:t>
      </w:r>
    </w:p>
    <w:p>
      <w:pPr>
        <w:spacing w:after="0" w:line="170" w:lineRule="exact"/>
        <w:rPr>
          <w:sz w:val="20"/>
          <w:szCs w:val="20"/>
          <w:color w:val="auto"/>
        </w:rPr>
      </w:pPr>
    </w:p>
    <w:p>
      <w:pPr>
        <w:ind w:left="120" w:right="460" w:firstLine="440"/>
        <w:spacing w:after="0" w:line="277" w:lineRule="auto"/>
        <w:rPr>
          <w:sz w:val="20"/>
          <w:szCs w:val="20"/>
          <w:color w:val="auto"/>
        </w:rPr>
      </w:pPr>
      <w:r>
        <w:rPr>
          <w:rFonts w:ascii="Arial" w:cs="Arial" w:eastAsia="Arial" w:hAnsi="Arial"/>
          <w:sz w:val="18"/>
          <w:szCs w:val="18"/>
          <w:color w:val="auto"/>
        </w:rPr>
        <w:t>Future minimum payments, including interest and principal, under the loans payable outstanding as of December 31, 2022 are as follows (in thousands):</w:t>
      </w:r>
    </w:p>
    <w:p>
      <w:pPr>
        <w:spacing w:after="0" w:line="189" w:lineRule="exact"/>
        <w:rPr>
          <w:sz w:val="20"/>
          <w:szCs w:val="20"/>
          <w:color w:val="auto"/>
        </w:rPr>
      </w:pPr>
    </w:p>
    <w:tbl>
      <w:tblPr>
        <w:tblLayout w:type="fixed"/>
        <w:tblInd w:w="1880" w:type="dxa"/>
        <w:tblCellMar>
          <w:top w:w="0" w:type="dxa"/>
          <w:left w:w="0" w:type="dxa"/>
          <w:bottom w:w="0" w:type="dxa"/>
          <w:right w:w="0" w:type="dxa"/>
        </w:tblCellMar>
      </w:tblPr>
      <w:tr>
        <w:trPr>
          <w:trHeight w:val="191"/>
        </w:trPr>
        <w:tc>
          <w:tcPr>
            <w:tcW w:w="6720" w:type="dxa"/>
            <w:vAlign w:val="bottom"/>
            <w:gridSpan w:val="2"/>
          </w:tcPr>
          <w:p>
            <w:pPr>
              <w:spacing w:after="0"/>
              <w:rPr>
                <w:sz w:val="20"/>
                <w:szCs w:val="20"/>
                <w:color w:val="auto"/>
              </w:rPr>
            </w:pPr>
            <w:r>
              <w:rPr>
                <w:rFonts w:ascii="Arial" w:cs="Arial" w:eastAsia="Arial" w:hAnsi="Arial"/>
                <w:sz w:val="14"/>
                <w:szCs w:val="14"/>
                <w:b w:val="1"/>
                <w:bCs w:val="1"/>
                <w:color w:val="auto"/>
              </w:rPr>
              <w:t>Period Ending December 31, 2022:</w:t>
            </w:r>
          </w:p>
        </w:tc>
        <w:tc>
          <w:tcPr>
            <w:tcW w:w="760" w:type="dxa"/>
            <w:vAlign w:val="bottom"/>
            <w:gridSpan w:val="4"/>
          </w:tcPr>
          <w:p>
            <w:pPr>
              <w:jc w:val="right"/>
              <w:ind w:right="180"/>
              <w:spacing w:after="0"/>
              <w:rPr>
                <w:sz w:val="20"/>
                <w:szCs w:val="20"/>
                <w:color w:val="auto"/>
              </w:rPr>
            </w:pPr>
            <w:r>
              <w:rPr>
                <w:rFonts w:ascii="Arial" w:cs="Arial" w:eastAsia="Arial" w:hAnsi="Arial"/>
                <w:sz w:val="14"/>
                <w:szCs w:val="14"/>
                <w:b w:val="1"/>
                <w:bCs w:val="1"/>
                <w:color w:val="auto"/>
              </w:rPr>
              <w:t>Amount</w:t>
            </w:r>
          </w:p>
        </w:tc>
      </w:tr>
      <w:tr>
        <w:trPr>
          <w:trHeight w:val="203"/>
        </w:trPr>
        <w:tc>
          <w:tcPr>
            <w:tcW w:w="2160" w:type="dxa"/>
            <w:vAlign w:val="bottom"/>
            <w:tcBorders>
              <w:top w:val="single" w:sz="8" w:color="auto"/>
            </w:tcBorders>
            <w:shd w:val="clear" w:color="auto" w:fill="CCEEFF"/>
          </w:tcPr>
          <w:p>
            <w:pPr>
              <w:ind w:left="360"/>
              <w:spacing w:after="0" w:line="203" w:lineRule="exact"/>
              <w:rPr>
                <w:sz w:val="20"/>
                <w:szCs w:val="20"/>
                <w:color w:val="auto"/>
              </w:rPr>
            </w:pPr>
            <w:r>
              <w:rPr>
                <w:rFonts w:ascii="Arial" w:cs="Arial" w:eastAsia="Arial" w:hAnsi="Arial"/>
                <w:sz w:val="18"/>
                <w:szCs w:val="18"/>
                <w:color w:val="auto"/>
              </w:rPr>
              <w:t>2023</w:t>
            </w:r>
          </w:p>
        </w:tc>
        <w:tc>
          <w:tcPr>
            <w:tcW w:w="45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5,795</w:t>
            </w:r>
          </w:p>
        </w:tc>
        <w:tc>
          <w:tcPr>
            <w:tcW w:w="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r>
      <w:tr>
        <w:trPr>
          <w:trHeight w:val="216"/>
        </w:trPr>
        <w:tc>
          <w:tcPr>
            <w:tcW w:w="2160" w:type="dxa"/>
            <w:vAlign w:val="bottom"/>
          </w:tcPr>
          <w:p>
            <w:pPr>
              <w:ind w:left="360"/>
              <w:spacing w:after="0"/>
              <w:rPr>
                <w:sz w:val="20"/>
                <w:szCs w:val="20"/>
                <w:color w:val="auto"/>
              </w:rPr>
            </w:pPr>
            <w:r>
              <w:rPr>
                <w:rFonts w:ascii="Arial" w:cs="Arial" w:eastAsia="Arial" w:hAnsi="Arial"/>
                <w:sz w:val="18"/>
                <w:szCs w:val="18"/>
                <w:color w:val="auto"/>
              </w:rPr>
              <w:t>2024</w:t>
            </w:r>
          </w:p>
        </w:tc>
        <w:tc>
          <w:tcPr>
            <w:tcW w:w="4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5,820</w:t>
            </w:r>
          </w:p>
        </w:tc>
        <w:tc>
          <w:tcPr>
            <w:tcW w:w="80" w:type="dxa"/>
            <w:vAlign w:val="bottom"/>
          </w:tcPr>
          <w:p>
            <w:pPr>
              <w:spacing w:after="0"/>
              <w:rPr>
                <w:sz w:val="18"/>
                <w:szCs w:val="18"/>
                <w:color w:val="auto"/>
              </w:rPr>
            </w:pPr>
          </w:p>
        </w:tc>
      </w:tr>
      <w:tr>
        <w:trPr>
          <w:trHeight w:val="216"/>
        </w:trPr>
        <w:tc>
          <w:tcPr>
            <w:tcW w:w="21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2025</w:t>
            </w:r>
          </w:p>
        </w:tc>
        <w:tc>
          <w:tcPr>
            <w:tcW w:w="4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8"/>
              </w:rPr>
              <w:t>34,788</w:t>
            </w:r>
          </w:p>
        </w:tc>
        <w:tc>
          <w:tcPr>
            <w:tcW w:w="80" w:type="dxa"/>
            <w:vAlign w:val="bottom"/>
            <w:shd w:val="clear" w:color="auto" w:fill="CCEEFF"/>
          </w:tcPr>
          <w:p>
            <w:pPr>
              <w:spacing w:after="0"/>
              <w:rPr>
                <w:sz w:val="18"/>
                <w:szCs w:val="18"/>
                <w:color w:val="auto"/>
              </w:rPr>
            </w:pPr>
          </w:p>
        </w:tc>
      </w:tr>
      <w:tr>
        <w:trPr>
          <w:trHeight w:val="223"/>
        </w:trPr>
        <w:tc>
          <w:tcPr>
            <w:tcW w:w="6720" w:type="dxa"/>
            <w:vAlign w:val="bottom"/>
            <w:gridSpan w:val="2"/>
          </w:tcPr>
          <w:p>
            <w:pPr>
              <w:ind w:left="360"/>
              <w:spacing w:after="0"/>
              <w:rPr>
                <w:sz w:val="20"/>
                <w:szCs w:val="20"/>
                <w:color w:val="auto"/>
              </w:rPr>
            </w:pPr>
            <w:r>
              <w:rPr>
                <w:rFonts w:ascii="Arial" w:cs="Arial" w:eastAsia="Arial" w:hAnsi="Arial"/>
                <w:sz w:val="18"/>
                <w:szCs w:val="18"/>
                <w:color w:val="auto"/>
              </w:rPr>
              <w:t>Thereafter</w:t>
            </w:r>
          </w:p>
        </w:tc>
        <w:tc>
          <w:tcPr>
            <w:tcW w:w="10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23,272</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r>
      <w:tr>
        <w:trPr>
          <w:trHeight w:val="216"/>
        </w:trPr>
        <w:tc>
          <w:tcPr>
            <w:tcW w:w="2160" w:type="dxa"/>
            <w:vAlign w:val="bottom"/>
            <w:shd w:val="clear" w:color="auto" w:fill="CCEEFF"/>
          </w:tcPr>
          <w:p>
            <w:pPr>
              <w:spacing w:after="0"/>
              <w:rPr>
                <w:sz w:val="18"/>
                <w:szCs w:val="18"/>
                <w:color w:val="auto"/>
              </w:rPr>
            </w:pPr>
          </w:p>
        </w:tc>
        <w:tc>
          <w:tcPr>
            <w:tcW w:w="45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8"/>
              </w:rPr>
              <w:t>69,675</w:t>
            </w:r>
          </w:p>
        </w:tc>
        <w:tc>
          <w:tcPr>
            <w:tcW w:w="80" w:type="dxa"/>
            <w:vAlign w:val="bottom"/>
            <w:shd w:val="clear" w:color="auto" w:fill="CCEEFF"/>
          </w:tcPr>
          <w:p>
            <w:pPr>
              <w:spacing w:after="0"/>
              <w:rPr>
                <w:sz w:val="18"/>
                <w:szCs w:val="18"/>
                <w:color w:val="auto"/>
              </w:rPr>
            </w:pPr>
          </w:p>
        </w:tc>
      </w:tr>
      <w:tr>
        <w:trPr>
          <w:trHeight w:val="216"/>
        </w:trPr>
        <w:tc>
          <w:tcPr>
            <w:tcW w:w="6720" w:type="dxa"/>
            <w:vAlign w:val="bottom"/>
            <w:gridSpan w:val="2"/>
          </w:tcPr>
          <w:p>
            <w:pPr>
              <w:ind w:left="360"/>
              <w:spacing w:after="0"/>
              <w:rPr>
                <w:sz w:val="20"/>
                <w:szCs w:val="20"/>
                <w:color w:val="auto"/>
              </w:rPr>
            </w:pPr>
            <w:r>
              <w:rPr>
                <w:rFonts w:ascii="Arial" w:cs="Arial" w:eastAsia="Arial" w:hAnsi="Arial"/>
                <w:sz w:val="18"/>
                <w:szCs w:val="18"/>
                <w:color w:val="auto"/>
              </w:rPr>
              <w:t>Less amount representing interest</w:t>
            </w:r>
          </w:p>
        </w:tc>
        <w:tc>
          <w:tcPr>
            <w:tcW w:w="100" w:type="dxa"/>
            <w:vAlign w:val="bottom"/>
          </w:tcPr>
          <w:p>
            <w:pPr>
              <w:spacing w:after="0"/>
              <w:rPr>
                <w:sz w:val="18"/>
                <w:szCs w:val="18"/>
                <w:color w:val="auto"/>
              </w:rPr>
            </w:pPr>
          </w:p>
        </w:tc>
        <w:tc>
          <w:tcPr>
            <w:tcW w:w="660" w:type="dxa"/>
            <w:vAlign w:val="bottom"/>
            <w:gridSpan w:val="3"/>
          </w:tcPr>
          <w:p>
            <w:pPr>
              <w:jc w:val="right"/>
              <w:ind w:right="40"/>
              <w:spacing w:after="0"/>
              <w:rPr>
                <w:sz w:val="20"/>
                <w:szCs w:val="20"/>
                <w:color w:val="auto"/>
              </w:rPr>
            </w:pPr>
            <w:r>
              <w:rPr>
                <w:rFonts w:ascii="Arial" w:cs="Arial" w:eastAsia="Arial" w:hAnsi="Arial"/>
                <w:sz w:val="18"/>
                <w:szCs w:val="18"/>
                <w:color w:val="auto"/>
                <w:w w:val="89"/>
              </w:rPr>
              <w:t>(17,000)</w:t>
            </w:r>
          </w:p>
        </w:tc>
      </w:tr>
      <w:tr>
        <w:trPr>
          <w:trHeight w:val="216"/>
        </w:trPr>
        <w:tc>
          <w:tcPr>
            <w:tcW w:w="67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Less unamortized discount</w:t>
            </w:r>
          </w:p>
        </w:tc>
        <w:tc>
          <w:tcPr>
            <w:tcW w:w="100" w:type="dxa"/>
            <w:vAlign w:val="bottom"/>
            <w:shd w:val="clear" w:color="auto" w:fill="CCEEFF"/>
          </w:tcPr>
          <w:p>
            <w:pPr>
              <w:spacing w:after="0"/>
              <w:rPr>
                <w:sz w:val="18"/>
                <w:szCs w:val="18"/>
                <w:color w:val="auto"/>
              </w:rPr>
            </w:pPr>
          </w:p>
        </w:tc>
        <w:tc>
          <w:tcPr>
            <w:tcW w:w="6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(3,386)</w:t>
            </w:r>
          </w:p>
        </w:tc>
      </w:tr>
      <w:tr>
        <w:trPr>
          <w:trHeight w:val="223"/>
        </w:trPr>
        <w:tc>
          <w:tcPr>
            <w:tcW w:w="6720" w:type="dxa"/>
            <w:vAlign w:val="bottom"/>
            <w:gridSpan w:val="2"/>
          </w:tcPr>
          <w:p>
            <w:pPr>
              <w:spacing w:after="0"/>
              <w:rPr>
                <w:sz w:val="20"/>
                <w:szCs w:val="20"/>
                <w:color w:val="auto"/>
              </w:rPr>
            </w:pPr>
            <w:r>
              <w:rPr>
                <w:rFonts w:ascii="Arial" w:cs="Arial" w:eastAsia="Arial" w:hAnsi="Arial"/>
                <w:sz w:val="18"/>
                <w:szCs w:val="18"/>
                <w:color w:val="auto"/>
              </w:rPr>
              <w:t>Loans payable, net of discount</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49,289</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216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15" w:lineRule="exact"/>
        <w:rPr>
          <w:sz w:val="20"/>
          <w:szCs w:val="20"/>
          <w:color w:val="auto"/>
        </w:rPr>
      </w:pPr>
    </w:p>
    <w:p>
      <w:pPr>
        <w:ind w:left="120" w:right="140" w:firstLine="441"/>
        <w:spacing w:after="0" w:line="277" w:lineRule="auto"/>
        <w:rPr>
          <w:sz w:val="20"/>
          <w:szCs w:val="20"/>
          <w:color w:val="auto"/>
        </w:rPr>
      </w:pPr>
      <w:r>
        <w:rPr>
          <w:rFonts w:ascii="Arial" w:cs="Arial" w:eastAsia="Arial" w:hAnsi="Arial"/>
          <w:sz w:val="18"/>
          <w:szCs w:val="18"/>
          <w:color w:val="auto"/>
        </w:rPr>
        <w:t>See Footnote 13 for a description of certain amended terms set forth in the First Amendment to this Loan Facility, which was entered into during the first quarter of 2023.</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F-15</w:t>
      </w:r>
    </w:p>
    <w:p>
      <w:pPr>
        <w:sectPr>
          <w:pgSz w:w="11900" w:h="16838" w:orient="portrait"/>
          <w:cols w:equalWidth="0" w:num="1">
            <w:col w:w="11120"/>
          </w:cols>
          <w:pgMar w:left="320" w:top="486" w:right="45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5" w:lineRule="exact"/>
        <w:rPr>
          <w:sz w:val="20"/>
          <w:szCs w:val="20"/>
          <w:color w:val="auto"/>
        </w:rPr>
      </w:pPr>
    </w:p>
    <w:p>
      <w:pPr>
        <w:ind w:left="120" w:right="9200" w:hanging="4"/>
        <w:spacing w:after="0" w:line="425" w:lineRule="auto"/>
        <w:tabs>
          <w:tab w:leader="none" w:pos="300" w:val="left"/>
        </w:tabs>
        <w:numPr>
          <w:ilvl w:val="0"/>
          <w:numId w:val="8"/>
        </w:numPr>
        <w:rPr>
          <w:rFonts w:ascii="Arial" w:cs="Arial" w:eastAsia="Arial" w:hAnsi="Arial"/>
          <w:sz w:val="16"/>
          <w:szCs w:val="16"/>
          <w:b w:val="1"/>
          <w:bCs w:val="1"/>
          <w:color w:val="auto"/>
        </w:rPr>
      </w:pPr>
      <w:r>
        <w:rPr>
          <w:rFonts w:ascii="Arial" w:cs="Arial" w:eastAsia="Arial" w:hAnsi="Arial"/>
          <w:sz w:val="16"/>
          <w:szCs w:val="16"/>
          <w:b w:val="1"/>
          <w:bCs w:val="1"/>
          <w:color w:val="auto"/>
        </w:rPr>
        <w:t>Stockholders’ Equity Common Stock</w:t>
      </w:r>
    </w:p>
    <w:p>
      <w:pPr>
        <w:jc w:val="both"/>
        <w:ind w:left="120" w:right="20" w:firstLine="440"/>
        <w:spacing w:after="0" w:line="263" w:lineRule="auto"/>
        <w:rPr>
          <w:sz w:val="20"/>
          <w:szCs w:val="20"/>
          <w:color w:val="auto"/>
        </w:rPr>
      </w:pPr>
      <w:r>
        <w:rPr>
          <w:rFonts w:ascii="Arial" w:cs="Arial" w:eastAsia="Arial" w:hAnsi="Arial"/>
          <w:sz w:val="18"/>
          <w:szCs w:val="18"/>
          <w:color w:val="auto"/>
        </w:rPr>
        <w:t>Each common stockholder is entitled to one vote for each share of common stock held. The common stock will vote together with all other classes and series of stock of the Company as a single class on all actions to be taken by the Company’s stockholders. Each share of common stock is entitled to receive dividends, as and when declared by the Company’s board of directors.</w:t>
      </w:r>
    </w:p>
    <w:p>
      <w:pPr>
        <w:spacing w:after="0" w:line="184"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Company has never declared cash dividends on its common stock and does not expect to do so in the foreseeable future.</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Preferred Stock</w:t>
      </w:r>
    </w:p>
    <w:p>
      <w:pPr>
        <w:spacing w:after="0" w:line="121" w:lineRule="exact"/>
        <w:rPr>
          <w:sz w:val="20"/>
          <w:szCs w:val="20"/>
          <w:color w:val="auto"/>
        </w:rPr>
      </w:pPr>
    </w:p>
    <w:p>
      <w:pPr>
        <w:ind w:left="120" w:firstLine="440"/>
        <w:spacing w:after="0" w:line="287" w:lineRule="auto"/>
        <w:rPr>
          <w:sz w:val="20"/>
          <w:szCs w:val="20"/>
          <w:color w:val="auto"/>
        </w:rPr>
      </w:pPr>
      <w:r>
        <w:rPr>
          <w:rFonts w:ascii="Arial" w:cs="Arial" w:eastAsia="Arial" w:hAnsi="Arial"/>
          <w:sz w:val="16"/>
          <w:szCs w:val="16"/>
          <w:color w:val="auto"/>
        </w:rPr>
        <w:t>The Series A and B Preferred Stock have a par value of $0.0001 per share and are convertible into shares of the common stock at a one-to-one ratio, subject to adjustment as provided in the Certificates of Designation of Preferences, Rights and Limitations of Series A Preferred Stock and Series B Preferred Stock that the Company filed with the Secretary of State of the State of Delaware on June 21, 2017 and December 22, 2022, respectively. The terms of the Series A and B Preferred Stock are set forth in such Certificates of Designation. Each share of the Series A and B Preferred Stock is convertible into shares of Common Stock following notice that may be given at the holder’s option. Upon any liquidation, dissolution or winding-up of the Company, whether voluntary or involuntary, after the satisfaction in full of the debts of the Company and the payment of any liquidation preference owed to the holders of shares of capital stock of the Company ranking prior to the Series A and B Preferred Stock upon liquidation, the holders of the Series A and B Preferred Stock shall participate pari passu with the holders of the Common Stock (on an as-if-converted-to-Common-Stock basis) in the net assets of the Company. Shares of the Series A and B Preferred Stock will generally have no voting rights, except as required by law. Shares of the Series A and B Preferred Stock will be entitled to receive dividends before shares of any other class or series of capital stock of the Company (other than dividends in the form of the Common Stock) equal to the dividend payable on each share of the Common Stock, on an as-converted basis.</w:t>
      </w:r>
    </w:p>
    <w:p>
      <w:pPr>
        <w:spacing w:after="0" w:line="28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December 2022 Registered Direct Offering</w:t>
      </w:r>
    </w:p>
    <w:p>
      <w:pPr>
        <w:spacing w:after="0" w:line="117" w:lineRule="exact"/>
        <w:rPr>
          <w:sz w:val="20"/>
          <w:szCs w:val="20"/>
          <w:color w:val="auto"/>
        </w:rPr>
      </w:pPr>
    </w:p>
    <w:p>
      <w:pPr>
        <w:ind w:left="120" w:firstLine="440"/>
        <w:spacing w:after="0" w:line="285" w:lineRule="auto"/>
        <w:rPr>
          <w:sz w:val="20"/>
          <w:szCs w:val="20"/>
          <w:color w:val="auto"/>
        </w:rPr>
      </w:pPr>
      <w:r>
        <w:rPr>
          <w:rFonts w:ascii="Arial" w:cs="Arial" w:eastAsia="Arial" w:hAnsi="Arial"/>
          <w:sz w:val="16"/>
          <w:szCs w:val="16"/>
          <w:color w:val="auto"/>
        </w:rPr>
        <w:t>In December 2022, the Company entered into a Securities Purchase Agreement (the “Purchase Agreement”) with a group of institutional accredited investors, who were existing, non-controlling stockholders of the Company, pursuant to which the Company sold securities to the Investors in an offering that was registered under the Company’s existing shelf registration statement (the “2022 Registered Direct Offering”). Under the terms of the Purchase Agreement, the Company sold 44,444 shares of its common stock at a price of $225 per share, and 400,000 shares of its Series B Convertible Preferred Stock at a price of $225 per share. The 2022 Registered Direct Offering resulted in gross proceeds to the Company of approximately</w:t>
      </w:r>
    </w:p>
    <w:p>
      <w:pPr>
        <w:spacing w:after="0" w:line="2" w:lineRule="exact"/>
        <w:rPr>
          <w:sz w:val="20"/>
          <w:szCs w:val="20"/>
          <w:color w:val="auto"/>
        </w:rPr>
      </w:pPr>
    </w:p>
    <w:p>
      <w:pPr>
        <w:ind w:left="120"/>
        <w:spacing w:after="0"/>
        <w:rPr>
          <w:sz w:val="20"/>
          <w:szCs w:val="20"/>
          <w:color w:val="auto"/>
        </w:rPr>
      </w:pPr>
      <w:r>
        <w:rPr>
          <w:rFonts w:ascii="Arial" w:cs="Arial" w:eastAsia="Arial" w:hAnsi="Arial"/>
          <w:sz w:val="16"/>
          <w:szCs w:val="16"/>
          <w:color w:val="auto"/>
        </w:rPr>
        <w:t>$100.0 million, and net proceeds to the Company of approximately $99.5 million. The 2022 Registered Direct Offering closed on December 23, 2022.</w:t>
      </w:r>
    </w:p>
    <w:p>
      <w:pPr>
        <w:spacing w:after="0" w:line="34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At-The-Market Issuance Sales Agreement</w:t>
      </w:r>
    </w:p>
    <w:p>
      <w:pPr>
        <w:spacing w:after="0" w:line="117" w:lineRule="exact"/>
        <w:rPr>
          <w:sz w:val="20"/>
          <w:szCs w:val="20"/>
          <w:color w:val="auto"/>
        </w:rPr>
      </w:pPr>
    </w:p>
    <w:p>
      <w:pPr>
        <w:ind w:left="120" w:firstLine="440"/>
        <w:spacing w:after="0" w:line="293" w:lineRule="auto"/>
        <w:rPr>
          <w:sz w:val="20"/>
          <w:szCs w:val="20"/>
          <w:color w:val="auto"/>
        </w:rPr>
      </w:pPr>
      <w:r>
        <w:rPr>
          <w:rFonts w:ascii="Arial" w:cs="Arial" w:eastAsia="Arial" w:hAnsi="Arial"/>
          <w:sz w:val="16"/>
          <w:szCs w:val="16"/>
          <w:color w:val="auto"/>
        </w:rPr>
        <w:t>In November 2020, the Company entered into an at-the-market sales agreement (the “2020 Sales Agreement”), with Cowen and Company, LLC (“Cowen”), pursuant to which the Company could, from time to time, issue and sell shares of its common stock. The 2020 Sales Agreement authorized an aggregate offering of up to $200 million in shares of our common stock, at the Company’s option, through Cowen as its sales agent. Sales of common stock through Cowen could be made by any method that is deemed an “at-the-market” offering as defined in Rule 415 promulgated under the Securities Act of 1933, as amended, including by means of ordinary brokers’ transactions at market prices, in block transactions or as otherwise agreed by the Company and Cowen. The 2020 Sales Agreement was terminated in June 2021 when the Company filed a new shelf registration statement.</w:t>
      </w:r>
    </w:p>
    <w:p>
      <w:pPr>
        <w:spacing w:after="0" w:line="9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F-16</w:t>
      </w:r>
    </w:p>
    <w:p>
      <w:pPr>
        <w:sectPr>
          <w:pgSz w:w="11900" w:h="16838" w:orient="portrait"/>
          <w:cols w:equalWidth="0" w:num="1">
            <w:col w:w="11120"/>
          </w:cols>
          <w:pgMar w:left="320" w:top="486" w:right="45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9" w:lineRule="exact"/>
        <w:rPr>
          <w:sz w:val="20"/>
          <w:szCs w:val="20"/>
          <w:color w:val="auto"/>
        </w:rPr>
      </w:pPr>
    </w:p>
    <w:p>
      <w:pPr>
        <w:ind w:left="120" w:firstLine="440"/>
        <w:spacing w:after="0" w:line="263" w:lineRule="auto"/>
        <w:rPr>
          <w:sz w:val="20"/>
          <w:szCs w:val="20"/>
          <w:color w:val="auto"/>
        </w:rPr>
      </w:pPr>
      <w:r>
        <w:rPr>
          <w:rFonts w:ascii="Arial" w:cs="Arial" w:eastAsia="Arial" w:hAnsi="Arial"/>
          <w:sz w:val="18"/>
          <w:szCs w:val="18"/>
          <w:color w:val="auto"/>
        </w:rPr>
        <w:t>Under the 2020 Sales Agreement the Company sold 1,126,733 shares for an aggregate of approximately $137.4 million in gross proceeds, with net proceeds to the Company of approximately $134.8 million after deducting commissions and other transaction costs. Of those shares sold, 1,087,126 were sold in 2021, and 39,607 were sold in 2020.</w:t>
      </w:r>
    </w:p>
    <w:p>
      <w:pPr>
        <w:spacing w:after="0" w:line="184" w:lineRule="exact"/>
        <w:rPr>
          <w:sz w:val="20"/>
          <w:szCs w:val="20"/>
          <w:color w:val="auto"/>
        </w:rPr>
      </w:pPr>
    </w:p>
    <w:p>
      <w:pPr>
        <w:ind w:left="120" w:firstLine="440"/>
        <w:spacing w:after="0" w:line="290" w:lineRule="auto"/>
        <w:rPr>
          <w:sz w:val="20"/>
          <w:szCs w:val="20"/>
          <w:color w:val="auto"/>
        </w:rPr>
      </w:pPr>
      <w:r>
        <w:rPr>
          <w:rFonts w:ascii="Arial" w:cs="Arial" w:eastAsia="Arial" w:hAnsi="Arial"/>
          <w:sz w:val="16"/>
          <w:szCs w:val="16"/>
          <w:color w:val="auto"/>
        </w:rPr>
        <w:t>In June 2021, the Company entered into an at-the-market sales agreement (the “2021 Sales Agreement”) with Cowen and Company, LLC (“Cowen”), pursuant to which the Company could, from time to time, issue and sell shares of its common stock. The 2021 Sales Agreement authorized an aggregate offering of up to $200 million in shares of our common stock, at the Company’s option, through Cowen as its sales agent. Sales of common stock through Cowen could be made by any method that is deemed an “at-the-market” offering as defined in Rule 415 promulgated under the Securities Act of 1933, as amended, including by means of ordinary brokers’ transactions at market prices, in block transactions or as otherwise agreed by the Company and Cowen. Subject to the terms and conditions of the 2021 Sales Agreement, Cowen would use commercially reasonable efforts consistent with its normal trading and sales practices to sell the common stock based upon the Company’s instructions (including any price, time or size limits or other customary parameters or conditions the Company imposed).The 2021 Sales Agreement replaced the 2020 Sales Agreement.</w:t>
      </w:r>
    </w:p>
    <w:p>
      <w:pPr>
        <w:spacing w:after="0" w:line="165" w:lineRule="exact"/>
        <w:rPr>
          <w:sz w:val="20"/>
          <w:szCs w:val="20"/>
          <w:color w:val="auto"/>
        </w:rPr>
      </w:pPr>
    </w:p>
    <w:p>
      <w:pPr>
        <w:ind w:left="120" w:right="100" w:firstLine="440"/>
        <w:spacing w:after="0" w:line="277" w:lineRule="auto"/>
        <w:rPr>
          <w:sz w:val="20"/>
          <w:szCs w:val="20"/>
          <w:color w:val="auto"/>
        </w:rPr>
      </w:pPr>
      <w:r>
        <w:rPr>
          <w:rFonts w:ascii="Arial" w:cs="Arial" w:eastAsia="Arial" w:hAnsi="Arial"/>
          <w:sz w:val="18"/>
          <w:szCs w:val="18"/>
          <w:color w:val="auto"/>
        </w:rPr>
        <w:t>In December 2022, the Company sold 738,900 shares under the 2021 Sales Agreement for an aggregate of $159.1 million in gross proceeds, with net proceeds to the Company of $155.9 million after deducting commissions and other transaction costs.</w:t>
      </w:r>
    </w:p>
    <w:p>
      <w:pPr>
        <w:spacing w:after="0" w:line="170" w:lineRule="exact"/>
        <w:rPr>
          <w:sz w:val="20"/>
          <w:szCs w:val="20"/>
          <w:color w:val="auto"/>
        </w:rPr>
      </w:pPr>
    </w:p>
    <w:p>
      <w:pPr>
        <w:ind w:left="120" w:right="100" w:firstLine="440"/>
        <w:spacing w:after="0" w:line="257" w:lineRule="auto"/>
        <w:rPr>
          <w:sz w:val="20"/>
          <w:szCs w:val="20"/>
          <w:color w:val="auto"/>
        </w:rPr>
      </w:pPr>
      <w:r>
        <w:rPr>
          <w:rFonts w:ascii="Arial" w:cs="Arial" w:eastAsia="Arial" w:hAnsi="Arial"/>
          <w:sz w:val="18"/>
          <w:szCs w:val="18"/>
          <w:color w:val="auto"/>
        </w:rPr>
        <w:t>In total, under the 2021 Sales Agreement the Company sold 1,235,943 shares for an aggregate of $199.9 million in gross proceeds, with net proceeds to the Company of approximately $195.8 million after deducting commissions and other transaction costs. Of those shares sold, 738,900 were sold in 2022, and 497,043 were sold in 2021. All shares were sold pursuant to the Company’s effective shelf registration statement and the prospectus supplement relating thereto. As of December 31, 2022, no amounts remained reserved and available for sale under the 2021 Sales Agreement and the related prospectus supplement.</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8. Stock-based Compensation</w:t>
      </w:r>
    </w:p>
    <w:p>
      <w:pPr>
        <w:spacing w:after="0" w:line="121" w:lineRule="exact"/>
        <w:rPr>
          <w:sz w:val="20"/>
          <w:szCs w:val="20"/>
          <w:color w:val="auto"/>
        </w:rPr>
      </w:pPr>
    </w:p>
    <w:p>
      <w:pPr>
        <w:ind w:left="120" w:firstLine="440"/>
        <w:spacing w:after="0" w:line="271" w:lineRule="auto"/>
        <w:rPr>
          <w:sz w:val="20"/>
          <w:szCs w:val="20"/>
          <w:color w:val="auto"/>
        </w:rPr>
      </w:pPr>
      <w:r>
        <w:rPr>
          <w:rFonts w:ascii="Arial" w:cs="Arial" w:eastAsia="Arial" w:hAnsi="Arial"/>
          <w:sz w:val="17"/>
          <w:szCs w:val="17"/>
          <w:color w:val="auto"/>
        </w:rPr>
        <w:t>The 2015 Stock Plan, as amended, is our primary plan through which equity based grants are awarded. We ceased making new awards under the 2006 Stock Plan upon adoption of the 2015 Stock Plan. The 2015 Stock Plan provides for the grant of incentive stock options, non-statutory stock options, restricted stock and other stock-based compensation awards to employees, officers, directors, and consultants of the Company. The administration of the 2015 Stock Plan is under the general supervision of the Compensation Committee of the Board of Directors. The terms of stock options awarded under the 2015 Stock Plan, in general, are determined by the Compensation Committee, provided the exercise price per share generally shall not be set at less than the fair market value of a share of the common stock on the date of grant and the term shall not be greater than ten years from the date the option is granted. As of December 31, 2022, the Company had options outstanding to purchase 2,857,054 shares of its common stock. As of December 31, 2022, 890,029 shares were available for future issuance.</w:t>
      </w:r>
    </w:p>
    <w:p>
      <w:pPr>
        <w:spacing w:after="0" w:line="178"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following table summarizes stock option activity during the twelve months ended December 31, 2022:</w:t>
      </w:r>
    </w:p>
    <w:p>
      <w:pPr>
        <w:spacing w:after="0" w:line="231" w:lineRule="exact"/>
        <w:rPr>
          <w:sz w:val="20"/>
          <w:szCs w:val="20"/>
          <w:color w:val="auto"/>
        </w:rPr>
      </w:pPr>
    </w:p>
    <w:tbl>
      <w:tblPr>
        <w:tblLayout w:type="fixed"/>
        <w:tblInd w:w="5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4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580" w:type="dxa"/>
            <w:vAlign w:val="bottom"/>
            <w:gridSpan w:val="2"/>
          </w:tcPr>
          <w:p>
            <w:pPr>
              <w:jc w:val="center"/>
              <w:ind w:right="660"/>
              <w:spacing w:after="0"/>
              <w:rPr>
                <w:sz w:val="20"/>
                <w:szCs w:val="20"/>
                <w:color w:val="auto"/>
              </w:rPr>
            </w:pPr>
            <w:r>
              <w:rPr>
                <w:rFonts w:ascii="Arial" w:cs="Arial" w:eastAsia="Arial" w:hAnsi="Arial"/>
                <w:sz w:val="14"/>
                <w:szCs w:val="14"/>
                <w:b w:val="1"/>
                <w:bCs w:val="1"/>
                <w:color w:val="auto"/>
                <w:w w:val="95"/>
              </w:rPr>
              <w:t>Weighted</w:t>
            </w: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4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2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Weighted</w:t>
            </w:r>
          </w:p>
        </w:tc>
        <w:tc>
          <w:tcPr>
            <w:tcW w:w="1580" w:type="dxa"/>
            <w:vAlign w:val="bottom"/>
            <w:gridSpan w:val="2"/>
          </w:tcPr>
          <w:p>
            <w:pPr>
              <w:jc w:val="center"/>
              <w:ind w:right="660"/>
              <w:spacing w:after="0" w:line="149" w:lineRule="exact"/>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2"/>
                <w:szCs w:val="12"/>
                <w:color w:val="auto"/>
              </w:rPr>
            </w:pPr>
          </w:p>
        </w:tc>
        <w:tc>
          <w:tcPr>
            <w:tcW w:w="8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Aggregate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1580" w:type="dxa"/>
            <w:vAlign w:val="bottom"/>
            <w:gridSpan w:val="2"/>
          </w:tcPr>
          <w:p>
            <w:pPr>
              <w:jc w:val="center"/>
              <w:ind w:right="660"/>
              <w:spacing w:after="0" w:line="149" w:lineRule="exact"/>
              <w:rPr>
                <w:sz w:val="20"/>
                <w:szCs w:val="20"/>
                <w:color w:val="auto"/>
              </w:rPr>
            </w:pPr>
            <w:r>
              <w:rPr>
                <w:rFonts w:ascii="Arial" w:cs="Arial" w:eastAsia="Arial" w:hAnsi="Arial"/>
                <w:sz w:val="14"/>
                <w:szCs w:val="14"/>
                <w:b w:val="1"/>
                <w:bCs w:val="1"/>
                <w:color w:val="auto"/>
                <w:w w:val="95"/>
              </w:rPr>
              <w:t>remaining</w:t>
            </w:r>
          </w:p>
        </w:tc>
        <w:tc>
          <w:tcPr>
            <w:tcW w:w="10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440" w:type="dxa"/>
            <w:vAlign w:val="bottom"/>
          </w:tcPr>
          <w:p>
            <w:pPr>
              <w:spacing w:after="0"/>
              <w:rPr>
                <w:sz w:val="12"/>
                <w:szCs w:val="12"/>
                <w:color w:val="auto"/>
              </w:rPr>
            </w:pPr>
          </w:p>
        </w:tc>
        <w:tc>
          <w:tcPr>
            <w:tcW w:w="1500" w:type="dxa"/>
            <w:vAlign w:val="bottom"/>
            <w:gridSpan w:val="2"/>
            <w:vMerge w:val="restart"/>
          </w:tcPr>
          <w:p>
            <w:pPr>
              <w:jc w:val="right"/>
              <w:ind w:right="900"/>
              <w:spacing w:after="0"/>
              <w:rPr>
                <w:sz w:val="20"/>
                <w:szCs w:val="20"/>
                <w:color w:val="auto"/>
              </w:rPr>
            </w:pPr>
            <w:r>
              <w:rPr>
                <w:rFonts w:ascii="Arial" w:cs="Arial" w:eastAsia="Arial" w:hAnsi="Arial"/>
                <w:sz w:val="14"/>
                <w:szCs w:val="14"/>
                <w:b w:val="1"/>
                <w:bCs w:val="1"/>
                <w:color w:val="auto"/>
              </w:rPr>
              <w:t>Shares</w:t>
            </w:r>
          </w:p>
        </w:tc>
        <w:tc>
          <w:tcPr>
            <w:tcW w:w="16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average exercise</w:t>
            </w:r>
          </w:p>
        </w:tc>
        <w:tc>
          <w:tcPr>
            <w:tcW w:w="1580" w:type="dxa"/>
            <w:vAlign w:val="bottom"/>
            <w:gridSpan w:val="2"/>
          </w:tcPr>
          <w:p>
            <w:pPr>
              <w:jc w:val="center"/>
              <w:ind w:right="660"/>
              <w:spacing w:after="0" w:line="149" w:lineRule="exact"/>
              <w:rPr>
                <w:sz w:val="20"/>
                <w:szCs w:val="20"/>
                <w:color w:val="auto"/>
              </w:rPr>
            </w:pPr>
            <w:r>
              <w:rPr>
                <w:rFonts w:ascii="Arial" w:cs="Arial" w:eastAsia="Arial" w:hAnsi="Arial"/>
                <w:sz w:val="14"/>
                <w:szCs w:val="14"/>
                <w:b w:val="1"/>
                <w:bCs w:val="1"/>
                <w:color w:val="auto"/>
                <w:w w:val="92"/>
              </w:rPr>
              <w:t>contractual life</w:t>
            </w:r>
          </w:p>
        </w:tc>
        <w:tc>
          <w:tcPr>
            <w:tcW w:w="92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w w:val="95"/>
              </w:rPr>
              <w:t>intrinsic value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440" w:type="dxa"/>
            <w:vAlign w:val="bottom"/>
          </w:tcPr>
          <w:p>
            <w:pPr>
              <w:spacing w:after="0"/>
              <w:rPr>
                <w:sz w:val="14"/>
                <w:szCs w:val="14"/>
                <w:color w:val="auto"/>
              </w:rPr>
            </w:pPr>
          </w:p>
        </w:tc>
        <w:tc>
          <w:tcPr>
            <w:tcW w:w="150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520" w:type="dxa"/>
            <w:vAlign w:val="bottom"/>
            <w:gridSpan w:val="2"/>
          </w:tcPr>
          <w:p>
            <w:pPr>
              <w:ind w:left="200"/>
              <w:spacing w:after="0"/>
              <w:rPr>
                <w:sz w:val="20"/>
                <w:szCs w:val="20"/>
                <w:color w:val="auto"/>
              </w:rPr>
            </w:pPr>
            <w:r>
              <w:rPr>
                <w:rFonts w:ascii="Arial" w:cs="Arial" w:eastAsia="Arial" w:hAnsi="Arial"/>
                <w:sz w:val="14"/>
                <w:szCs w:val="14"/>
                <w:b w:val="1"/>
                <w:bCs w:val="1"/>
                <w:color w:val="auto"/>
              </w:rPr>
              <w:t>price</w:t>
            </w:r>
          </w:p>
        </w:tc>
        <w:tc>
          <w:tcPr>
            <w:tcW w:w="1580" w:type="dxa"/>
            <w:vAlign w:val="bottom"/>
            <w:gridSpan w:val="2"/>
          </w:tcPr>
          <w:p>
            <w:pPr>
              <w:jc w:val="center"/>
              <w:ind w:right="660"/>
              <w:spacing w:after="0"/>
              <w:rPr>
                <w:sz w:val="20"/>
                <w:szCs w:val="20"/>
                <w:color w:val="auto"/>
              </w:rPr>
            </w:pPr>
            <w:r>
              <w:rPr>
                <w:rFonts w:ascii="Arial" w:cs="Arial" w:eastAsia="Arial" w:hAnsi="Arial"/>
                <w:sz w:val="14"/>
                <w:szCs w:val="14"/>
                <w:b w:val="1"/>
                <w:bCs w:val="1"/>
                <w:color w:val="auto"/>
                <w:w w:val="95"/>
              </w:rPr>
              <w:t>(years)</w:t>
            </w:r>
          </w:p>
        </w:tc>
        <w:tc>
          <w:tcPr>
            <w:tcW w:w="920" w:type="dxa"/>
            <w:vAlign w:val="bottom"/>
            <w:gridSpan w:val="3"/>
          </w:tcPr>
          <w:p>
            <w:pPr>
              <w:spacing w:after="0"/>
              <w:rPr>
                <w:sz w:val="20"/>
                <w:szCs w:val="20"/>
                <w:color w:val="auto"/>
              </w:rPr>
            </w:pPr>
            <w:r>
              <w:rPr>
                <w:rFonts w:ascii="Arial" w:cs="Arial" w:eastAsia="Arial" w:hAnsi="Arial"/>
                <w:sz w:val="14"/>
                <w:szCs w:val="14"/>
                <w:b w:val="1"/>
                <w:bCs w:val="1"/>
                <w:color w:val="auto"/>
                <w:w w:val="93"/>
              </w:rPr>
              <w:t>(in thousands)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Outstanding at January 1, 2022</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2,301,574</w:t>
            </w:r>
          </w:p>
        </w:tc>
        <w:tc>
          <w:tcPr>
            <w:tcW w:w="7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tcBorders>
            <w:shd w:val="clear" w:color="auto" w:fill="CCEEFF"/>
          </w:tcPr>
          <w:p>
            <w:pPr>
              <w:ind w:left="460"/>
              <w:spacing w:after="0"/>
              <w:rPr>
                <w:sz w:val="20"/>
                <w:szCs w:val="20"/>
                <w:color w:val="auto"/>
              </w:rPr>
            </w:pPr>
            <w:r>
              <w:rPr>
                <w:rFonts w:ascii="Arial" w:cs="Arial" w:eastAsia="Arial" w:hAnsi="Arial"/>
                <w:sz w:val="18"/>
                <w:szCs w:val="18"/>
                <w:color w:val="auto"/>
                <w:w w:val="84"/>
              </w:rPr>
              <w:t>78.90</w:t>
            </w:r>
          </w:p>
        </w:tc>
        <w:tc>
          <w:tcPr>
            <w:tcW w:w="66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Options granted</w:t>
            </w:r>
          </w:p>
        </w:tc>
        <w:tc>
          <w:tcPr>
            <w:tcW w:w="1500" w:type="dxa"/>
            <w:vAlign w:val="bottom"/>
            <w:gridSpan w:val="2"/>
          </w:tcPr>
          <w:p>
            <w:pPr>
              <w:jc w:val="right"/>
              <w:ind w:right="700"/>
              <w:spacing w:after="0"/>
              <w:rPr>
                <w:sz w:val="20"/>
                <w:szCs w:val="20"/>
                <w:color w:val="auto"/>
              </w:rPr>
            </w:pPr>
            <w:r>
              <w:rPr>
                <w:rFonts w:ascii="Arial" w:cs="Arial" w:eastAsia="Arial" w:hAnsi="Arial"/>
                <w:sz w:val="18"/>
                <w:szCs w:val="18"/>
                <w:color w:val="auto"/>
              </w:rPr>
              <w:t>860,795</w:t>
            </w:r>
          </w:p>
        </w:tc>
        <w:tc>
          <w:tcPr>
            <w:tcW w:w="140" w:type="dxa"/>
            <w:vAlign w:val="bottom"/>
          </w:tcPr>
          <w:p>
            <w:pPr>
              <w:spacing w:after="0"/>
              <w:rPr>
                <w:sz w:val="18"/>
                <w:szCs w:val="18"/>
                <w:color w:val="auto"/>
              </w:rPr>
            </w:pPr>
          </w:p>
        </w:tc>
        <w:tc>
          <w:tcPr>
            <w:tcW w:w="1520" w:type="dxa"/>
            <w:vAlign w:val="bottom"/>
            <w:gridSpan w:val="2"/>
          </w:tcPr>
          <w:p>
            <w:pPr>
              <w:ind w:left="460"/>
              <w:spacing w:after="0"/>
              <w:rPr>
                <w:sz w:val="20"/>
                <w:szCs w:val="20"/>
                <w:color w:val="auto"/>
              </w:rPr>
            </w:pPr>
            <w:r>
              <w:rPr>
                <w:rFonts w:ascii="Arial" w:cs="Arial" w:eastAsia="Arial" w:hAnsi="Arial"/>
                <w:sz w:val="18"/>
                <w:szCs w:val="18"/>
                <w:color w:val="auto"/>
              </w:rPr>
              <w:t>81.39</w:t>
            </w:r>
          </w:p>
        </w:tc>
        <w:tc>
          <w:tcPr>
            <w:tcW w:w="9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40" w:type="dxa"/>
            <w:vAlign w:val="bottom"/>
            <w:shd w:val="clear" w:color="auto" w:fill="CCEEFF"/>
          </w:tcPr>
          <w:p>
            <w:pPr>
              <w:spacing w:after="0"/>
              <w:rPr>
                <w:sz w:val="20"/>
                <w:szCs w:val="20"/>
                <w:color w:val="auto"/>
              </w:rPr>
            </w:pPr>
            <w:r>
              <w:rPr>
                <w:rFonts w:ascii="Arial" w:cs="Arial" w:eastAsia="Arial" w:hAnsi="Arial"/>
                <w:sz w:val="18"/>
                <w:szCs w:val="18"/>
                <w:color w:val="auto"/>
              </w:rPr>
              <w:t>Options exercised</w:t>
            </w:r>
          </w:p>
        </w:tc>
        <w:tc>
          <w:tcPr>
            <w:tcW w:w="15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(215,784)</w:t>
            </w: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41.50</w:t>
            </w:r>
          </w:p>
        </w:tc>
        <w:tc>
          <w:tcPr>
            <w:tcW w:w="9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Options cancelled</w:t>
            </w:r>
          </w:p>
        </w:tc>
        <w:tc>
          <w:tcPr>
            <w:tcW w:w="1500" w:type="dxa"/>
            <w:vAlign w:val="bottom"/>
            <w:gridSpan w:val="2"/>
          </w:tcPr>
          <w:p>
            <w:pPr>
              <w:jc w:val="right"/>
              <w:ind w:right="640"/>
              <w:spacing w:after="0"/>
              <w:rPr>
                <w:sz w:val="20"/>
                <w:szCs w:val="20"/>
                <w:color w:val="auto"/>
              </w:rPr>
            </w:pPr>
            <w:r>
              <w:rPr>
                <w:rFonts w:ascii="Arial" w:cs="Arial" w:eastAsia="Arial" w:hAnsi="Arial"/>
                <w:sz w:val="18"/>
                <w:szCs w:val="18"/>
                <w:color w:val="auto"/>
              </w:rPr>
              <w:t>(89,531)</w:t>
            </w:r>
          </w:p>
        </w:tc>
        <w:tc>
          <w:tcPr>
            <w:tcW w:w="140" w:type="dxa"/>
            <w:vAlign w:val="bottom"/>
          </w:tcPr>
          <w:p>
            <w:pPr>
              <w:spacing w:after="0"/>
              <w:rPr>
                <w:sz w:val="18"/>
                <w:szCs w:val="18"/>
                <w:color w:val="auto"/>
              </w:rPr>
            </w:pPr>
          </w:p>
        </w:tc>
        <w:tc>
          <w:tcPr>
            <w:tcW w:w="1520" w:type="dxa"/>
            <w:vAlign w:val="bottom"/>
            <w:gridSpan w:val="2"/>
          </w:tcPr>
          <w:p>
            <w:pPr>
              <w:ind w:left="380"/>
              <w:spacing w:after="0"/>
              <w:rPr>
                <w:sz w:val="20"/>
                <w:szCs w:val="20"/>
                <w:color w:val="auto"/>
              </w:rPr>
            </w:pPr>
            <w:r>
              <w:rPr>
                <w:rFonts w:ascii="Arial" w:cs="Arial" w:eastAsia="Arial" w:hAnsi="Arial"/>
                <w:sz w:val="18"/>
                <w:szCs w:val="18"/>
                <w:color w:val="auto"/>
              </w:rPr>
              <w:t>100.71</w:t>
            </w:r>
          </w:p>
        </w:tc>
        <w:tc>
          <w:tcPr>
            <w:tcW w:w="9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44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7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4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December 31, 2022</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2,857,054</w:t>
            </w: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52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81.78</w:t>
            </w:r>
          </w:p>
        </w:tc>
        <w:tc>
          <w:tcPr>
            <w:tcW w:w="158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6.49</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596,279</w:t>
            </w:r>
          </w:p>
        </w:tc>
        <w:tc>
          <w:tcPr>
            <w:tcW w:w="0" w:type="dxa"/>
            <w:vAlign w:val="bottom"/>
          </w:tcPr>
          <w:p>
            <w:pPr>
              <w:spacing w:after="0"/>
              <w:rPr>
                <w:sz w:val="1"/>
                <w:szCs w:val="1"/>
                <w:color w:val="auto"/>
              </w:rPr>
            </w:pPr>
          </w:p>
        </w:tc>
      </w:tr>
      <w:tr>
        <w:trPr>
          <w:trHeight w:val="20"/>
        </w:trPr>
        <w:tc>
          <w:tcPr>
            <w:tcW w:w="4460" w:type="dxa"/>
            <w:vAlign w:val="bottom"/>
            <w:gridSpan w:val="2"/>
            <w:vMerge w:val="restart"/>
          </w:tcPr>
          <w:p>
            <w:pPr>
              <w:spacing w:after="0"/>
              <w:rPr>
                <w:sz w:val="20"/>
                <w:szCs w:val="20"/>
                <w:color w:val="auto"/>
              </w:rPr>
            </w:pPr>
            <w:r>
              <w:rPr>
                <w:rFonts w:ascii="Arial" w:cs="Arial" w:eastAsia="Arial" w:hAnsi="Arial"/>
                <w:sz w:val="18"/>
                <w:szCs w:val="18"/>
                <w:color w:val="auto"/>
              </w:rPr>
              <w:t>Exercisable at December 31, 2022</w:t>
            </w:r>
          </w:p>
        </w:tc>
        <w:tc>
          <w:tcPr>
            <w:tcW w:w="8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4460" w:type="dxa"/>
            <w:vAlign w:val="bottom"/>
            <w:gridSpan w:val="2"/>
            <w:vMerge w:val="continue"/>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1,610,185</w:t>
            </w:r>
          </w:p>
        </w:tc>
        <w:tc>
          <w:tcPr>
            <w:tcW w:w="700" w:type="dxa"/>
            <w:vAlign w:val="bottom"/>
          </w:tcPr>
          <w:p>
            <w:pPr>
              <w:spacing w:after="0"/>
              <w:rPr>
                <w:sz w:val="18"/>
                <w:szCs w:val="18"/>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860" w:type="dxa"/>
            <w:vAlign w:val="bottom"/>
          </w:tcPr>
          <w:p>
            <w:pPr>
              <w:ind w:left="460"/>
              <w:spacing w:after="0"/>
              <w:rPr>
                <w:sz w:val="20"/>
                <w:szCs w:val="20"/>
                <w:color w:val="auto"/>
              </w:rPr>
            </w:pPr>
            <w:r>
              <w:rPr>
                <w:rFonts w:ascii="Arial" w:cs="Arial" w:eastAsia="Arial" w:hAnsi="Arial"/>
                <w:sz w:val="18"/>
                <w:szCs w:val="18"/>
                <w:color w:val="auto"/>
                <w:w w:val="84"/>
              </w:rPr>
              <w:t>76.31</w:t>
            </w:r>
          </w:p>
        </w:tc>
        <w:tc>
          <w:tcPr>
            <w:tcW w:w="660" w:type="dxa"/>
            <w:vAlign w:val="bottom"/>
          </w:tcPr>
          <w:p>
            <w:pPr>
              <w:spacing w:after="0"/>
              <w:rPr>
                <w:sz w:val="18"/>
                <w:szCs w:val="18"/>
                <w:color w:val="auto"/>
              </w:rPr>
            </w:pPr>
          </w:p>
        </w:tc>
        <w:tc>
          <w:tcPr>
            <w:tcW w:w="920" w:type="dxa"/>
            <w:vAlign w:val="bottom"/>
          </w:tcPr>
          <w:p>
            <w:pPr>
              <w:ind w:left="620"/>
              <w:spacing w:after="0"/>
              <w:rPr>
                <w:sz w:val="20"/>
                <w:szCs w:val="20"/>
                <w:color w:val="auto"/>
              </w:rPr>
            </w:pPr>
            <w:r>
              <w:rPr>
                <w:rFonts w:ascii="Arial" w:cs="Arial" w:eastAsia="Arial" w:hAnsi="Arial"/>
                <w:sz w:val="18"/>
                <w:szCs w:val="18"/>
                <w:color w:val="auto"/>
                <w:w w:val="79"/>
              </w:rPr>
              <w:t>4.90</w:t>
            </w:r>
          </w:p>
        </w:tc>
        <w:tc>
          <w:tcPr>
            <w:tcW w:w="66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345,162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64"/>
        </w:trPr>
        <w:tc>
          <w:tcPr>
            <w:tcW w:w="20" w:type="dxa"/>
            <w:vAlign w:val="bottom"/>
          </w:tcPr>
          <w:p>
            <w:pPr>
              <w:spacing w:after="0"/>
              <w:rPr>
                <w:sz w:val="24"/>
                <w:szCs w:val="24"/>
                <w:color w:val="auto"/>
              </w:rPr>
            </w:pPr>
          </w:p>
        </w:tc>
        <w:tc>
          <w:tcPr>
            <w:tcW w:w="4440" w:type="dxa"/>
            <w:vAlign w:val="bottom"/>
          </w:tcPr>
          <w:p>
            <w:pPr>
              <w:spacing w:after="0"/>
              <w:rPr>
                <w:sz w:val="24"/>
                <w:szCs w:val="24"/>
                <w:color w:val="auto"/>
              </w:rPr>
            </w:pPr>
          </w:p>
        </w:tc>
        <w:tc>
          <w:tcPr>
            <w:tcW w:w="1500" w:type="dxa"/>
            <w:vAlign w:val="bottom"/>
            <w:gridSpan w:val="2"/>
          </w:tcPr>
          <w:p>
            <w:pPr>
              <w:jc w:val="right"/>
              <w:ind w:right="720"/>
              <w:spacing w:after="0"/>
              <w:rPr>
                <w:sz w:val="20"/>
                <w:szCs w:val="20"/>
                <w:color w:val="auto"/>
              </w:rPr>
            </w:pPr>
            <w:r>
              <w:rPr>
                <w:rFonts w:ascii="Arial" w:cs="Arial" w:eastAsia="Arial" w:hAnsi="Arial"/>
                <w:sz w:val="18"/>
                <w:szCs w:val="18"/>
                <w:color w:val="auto"/>
              </w:rPr>
              <w:t>F-17</w:t>
            </w: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20"/>
          </w:cols>
          <w:pgMar w:left="320" w:top="486" w:right="45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5">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9" w:lineRule="exact"/>
        <w:rPr>
          <w:sz w:val="20"/>
          <w:szCs w:val="20"/>
          <w:color w:val="auto"/>
        </w:rPr>
      </w:pPr>
    </w:p>
    <w:p>
      <w:pPr>
        <w:jc w:val="both"/>
        <w:ind w:left="120" w:right="140" w:firstLine="440"/>
        <w:spacing w:after="0" w:line="279" w:lineRule="auto"/>
        <w:rPr>
          <w:sz w:val="20"/>
          <w:szCs w:val="20"/>
          <w:color w:val="auto"/>
        </w:rPr>
      </w:pPr>
      <w:r>
        <w:rPr>
          <w:rFonts w:ascii="Arial" w:cs="Arial" w:eastAsia="Arial" w:hAnsi="Arial"/>
          <w:sz w:val="17"/>
          <w:szCs w:val="17"/>
          <w:color w:val="auto"/>
        </w:rPr>
        <w:t>The total cash received by the Company as a result of stock option exercises was $9.0 million, $1.0 million and $0.7 million for the years ended December 31, 2022, 2021, and 2020. The total intrinsic value of options exercised was $47.3 million $0.1 million and $4.1 million for the years ended December 31, 2022, 2021, and 2020. The weighted-average grant date fair values, based on the Black-Scholes option model, of options granted during the year ended December 31, 2022, 2021 and 2020 was $54.68, $73.29, and $68.07, respectively.</w:t>
      </w:r>
    </w:p>
    <w:p>
      <w:pPr>
        <w:spacing w:after="0" w:line="27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Stock-Based Compensation Expense</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Stock-based compensation expense during the years ended December 31, 2022, 2021 and 2020 was as follows (in thousands):</w:t>
      </w:r>
    </w:p>
    <w:p>
      <w:pPr>
        <w:spacing w:after="0" w:line="244" w:lineRule="exact"/>
        <w:rPr>
          <w:sz w:val="20"/>
          <w:szCs w:val="20"/>
          <w:color w:val="auto"/>
        </w:rPr>
      </w:pPr>
    </w:p>
    <w:tbl>
      <w:tblPr>
        <w:tblLayout w:type="fixed"/>
        <w:tblInd w:w="100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4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120" w:type="dxa"/>
            <w:vAlign w:val="bottom"/>
            <w:tcBorders>
              <w:bottom w:val="single" w:sz="8" w:color="auto"/>
            </w:tcBorders>
            <w:gridSpan w:val="5"/>
          </w:tcPr>
          <w:p>
            <w:pPr>
              <w:jc w:val="right"/>
              <w:ind w:right="20"/>
              <w:spacing w:after="0"/>
              <w:rPr>
                <w:sz w:val="20"/>
                <w:szCs w:val="20"/>
                <w:color w:val="auto"/>
              </w:rPr>
            </w:pPr>
            <w:r>
              <w:rPr>
                <w:rFonts w:ascii="Arial" w:cs="Arial" w:eastAsia="Arial" w:hAnsi="Arial"/>
                <w:sz w:val="14"/>
                <w:szCs w:val="14"/>
                <w:b w:val="1"/>
                <w:bCs w:val="1"/>
                <w:color w:val="auto"/>
              </w:rPr>
              <w:t>Year Ended December 31,</w:t>
            </w:r>
          </w:p>
        </w:tc>
        <w:tc>
          <w:tcPr>
            <w:tcW w:w="50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4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580" w:type="dxa"/>
            <w:vAlign w:val="bottom"/>
          </w:tcPr>
          <w:p>
            <w:pPr>
              <w:jc w:val="right"/>
              <w:ind w:right="82"/>
              <w:spacing w:after="0" w:line="142" w:lineRule="exact"/>
              <w:rPr>
                <w:sz w:val="20"/>
                <w:szCs w:val="20"/>
                <w:color w:val="auto"/>
              </w:rPr>
            </w:pPr>
            <w:r>
              <w:rPr>
                <w:rFonts w:ascii="Arial" w:cs="Arial" w:eastAsia="Arial" w:hAnsi="Arial"/>
                <w:sz w:val="14"/>
                <w:szCs w:val="14"/>
                <w:b w:val="1"/>
                <w:bCs w:val="1"/>
                <w:color w:val="auto"/>
              </w:rPr>
              <w:t>2022</w:t>
            </w:r>
          </w:p>
        </w:tc>
        <w:tc>
          <w:tcPr>
            <w:tcW w:w="1020" w:type="dxa"/>
            <w:vAlign w:val="bottom"/>
            <w:gridSpan w:val="2"/>
          </w:tcPr>
          <w:p>
            <w:pPr>
              <w:jc w:val="right"/>
              <w:ind w:right="70"/>
              <w:spacing w:after="0" w:line="142" w:lineRule="exact"/>
              <w:rPr>
                <w:sz w:val="20"/>
                <w:szCs w:val="20"/>
                <w:color w:val="auto"/>
              </w:rPr>
            </w:pPr>
            <w:r>
              <w:rPr>
                <w:rFonts w:ascii="Arial" w:cs="Arial" w:eastAsia="Arial" w:hAnsi="Arial"/>
                <w:sz w:val="14"/>
                <w:szCs w:val="14"/>
                <w:b w:val="1"/>
                <w:bCs w:val="1"/>
                <w:color w:val="auto"/>
              </w:rPr>
              <w:t>2021</w:t>
            </w: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jc w:val="right"/>
              <w:ind w:right="73"/>
              <w:spacing w:after="0" w:line="142" w:lineRule="exact"/>
              <w:rPr>
                <w:sz w:val="20"/>
                <w:szCs w:val="20"/>
                <w:color w:val="auto"/>
              </w:rPr>
            </w:pPr>
            <w:r>
              <w:rPr>
                <w:rFonts w:ascii="Arial" w:cs="Arial" w:eastAsia="Arial" w:hAnsi="Arial"/>
                <w:sz w:val="14"/>
                <w:szCs w:val="14"/>
                <w:b w:val="1"/>
                <w:bCs w:val="1"/>
                <w:color w:val="auto"/>
              </w:rPr>
              <w:t>2020</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Stock-based compensation expense by type of award:</w:t>
            </w:r>
          </w:p>
        </w:tc>
        <w:tc>
          <w:tcPr>
            <w:tcW w:w="110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tcPr>
          <w:p>
            <w:pPr>
              <w:ind w:left="340"/>
              <w:spacing w:after="0"/>
              <w:rPr>
                <w:sz w:val="20"/>
                <w:szCs w:val="20"/>
                <w:color w:val="auto"/>
              </w:rPr>
            </w:pPr>
            <w:r>
              <w:rPr>
                <w:rFonts w:ascii="Arial" w:cs="Arial" w:eastAsia="Arial" w:hAnsi="Arial"/>
                <w:sz w:val="18"/>
                <w:szCs w:val="18"/>
                <w:color w:val="auto"/>
              </w:rPr>
              <w:t>Stock options</w:t>
            </w:r>
          </w:p>
        </w:tc>
        <w:tc>
          <w:tcPr>
            <w:tcW w:w="168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31,625</w:t>
            </w:r>
          </w:p>
        </w:tc>
        <w:tc>
          <w:tcPr>
            <w:tcW w:w="102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26,873</w:t>
            </w:r>
          </w:p>
        </w:tc>
        <w:tc>
          <w:tcPr>
            <w:tcW w:w="52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w w:val="87"/>
              </w:rPr>
              <w:t>20,730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4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40" w:type="dxa"/>
            <w:vAlign w:val="bottom"/>
            <w:shd w:val="clear" w:color="auto" w:fill="CCEEFF"/>
          </w:tcPr>
          <w:p>
            <w:pPr>
              <w:spacing w:after="0"/>
              <w:rPr>
                <w:sz w:val="20"/>
                <w:szCs w:val="20"/>
                <w:color w:val="auto"/>
              </w:rPr>
            </w:pPr>
            <w:r>
              <w:rPr>
                <w:rFonts w:ascii="Arial" w:cs="Arial" w:eastAsia="Arial" w:hAnsi="Arial"/>
                <w:sz w:val="18"/>
                <w:szCs w:val="18"/>
                <w:color w:val="auto"/>
              </w:rPr>
              <w:t>Total stock-based compensation expense</w:t>
            </w:r>
          </w:p>
        </w:tc>
        <w:tc>
          <w:tcPr>
            <w:tcW w:w="16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31,625</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26,873</w:t>
            </w: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20,730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460" w:type="dxa"/>
            <w:vAlign w:val="bottom"/>
            <w:gridSpan w:val="2"/>
            <w:vMerge w:val="restart"/>
          </w:tcPr>
          <w:p>
            <w:pPr>
              <w:spacing w:after="0"/>
              <w:rPr>
                <w:sz w:val="20"/>
                <w:szCs w:val="20"/>
                <w:color w:val="auto"/>
              </w:rPr>
            </w:pPr>
            <w:r>
              <w:rPr>
                <w:rFonts w:ascii="Arial" w:cs="Arial" w:eastAsia="Arial" w:hAnsi="Arial"/>
                <w:sz w:val="18"/>
                <w:szCs w:val="18"/>
                <w:color w:val="auto"/>
              </w:rPr>
              <w:t>Effect of stock-based compensation expense by line item:</w:t>
            </w:r>
          </w:p>
        </w:tc>
        <w:tc>
          <w:tcPr>
            <w:tcW w:w="11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60" w:type="dxa"/>
            <w:vAlign w:val="bottom"/>
            <w:gridSpan w:val="2"/>
            <w:vMerge w:val="continue"/>
          </w:tcPr>
          <w:p>
            <w:pPr>
              <w:spacing w:after="0"/>
              <w:rPr>
                <w:sz w:val="18"/>
                <w:szCs w:val="18"/>
                <w:color w:val="auto"/>
              </w:rPr>
            </w:pPr>
          </w:p>
        </w:tc>
        <w:tc>
          <w:tcPr>
            <w:tcW w:w="1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Research and development</w:t>
            </w:r>
          </w:p>
        </w:tc>
        <w:tc>
          <w:tcPr>
            <w:tcW w:w="1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$13,876</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$10,698</w:t>
            </w: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8,833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440" w:type="dxa"/>
            <w:vAlign w:val="bottom"/>
          </w:tcPr>
          <w:p>
            <w:pPr>
              <w:ind w:left="340"/>
              <w:spacing w:after="0"/>
              <w:rPr>
                <w:sz w:val="20"/>
                <w:szCs w:val="20"/>
                <w:color w:val="auto"/>
              </w:rPr>
            </w:pPr>
            <w:r>
              <w:rPr>
                <w:rFonts w:ascii="Arial" w:cs="Arial" w:eastAsia="Arial" w:hAnsi="Arial"/>
                <w:sz w:val="18"/>
                <w:szCs w:val="18"/>
                <w:color w:val="auto"/>
              </w:rPr>
              <w:t>General and administrative</w:t>
            </w:r>
          </w:p>
        </w:tc>
        <w:tc>
          <w:tcPr>
            <w:tcW w:w="1100" w:type="dxa"/>
            <w:vAlign w:val="bottom"/>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17,749</w:t>
            </w:r>
          </w:p>
        </w:tc>
        <w:tc>
          <w:tcPr>
            <w:tcW w:w="420" w:type="dxa"/>
            <w:vAlign w:val="bottom"/>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16,175</w:t>
            </w:r>
          </w:p>
        </w:tc>
        <w:tc>
          <w:tcPr>
            <w:tcW w:w="4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11,897</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shd w:val="clear" w:color="auto" w:fill="CCEEFF"/>
          </w:tcPr>
          <w:p>
            <w:pPr>
              <w:spacing w:after="0"/>
              <w:rPr>
                <w:sz w:val="20"/>
                <w:szCs w:val="20"/>
                <w:color w:val="auto"/>
              </w:rPr>
            </w:pPr>
            <w:r>
              <w:rPr>
                <w:rFonts w:ascii="Arial" w:cs="Arial" w:eastAsia="Arial" w:hAnsi="Arial"/>
                <w:sz w:val="18"/>
                <w:szCs w:val="18"/>
                <w:color w:val="auto"/>
              </w:rPr>
              <w:t>Total stock-based compensation expense included in net loss</w:t>
            </w:r>
          </w:p>
        </w:tc>
        <w:tc>
          <w:tcPr>
            <w:tcW w:w="16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31,625</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26,873</w:t>
            </w: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20,730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Unrecognized stock-based compensation expense on stock options as of December 31, 2022 was $58.7 million with a weighted average remaining period of 2.57 years.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9. Leases</w:t>
      </w:r>
    </w:p>
    <w:p>
      <w:pPr>
        <w:spacing w:after="0" w:line="121" w:lineRule="exact"/>
        <w:rPr>
          <w:sz w:val="20"/>
          <w:szCs w:val="20"/>
          <w:color w:val="auto"/>
        </w:rPr>
      </w:pPr>
    </w:p>
    <w:p>
      <w:pPr>
        <w:ind w:left="120" w:right="140" w:firstLine="440"/>
        <w:spacing w:after="0" w:line="291" w:lineRule="auto"/>
        <w:rPr>
          <w:sz w:val="20"/>
          <w:szCs w:val="20"/>
          <w:color w:val="auto"/>
        </w:rPr>
      </w:pPr>
      <w:r>
        <w:rPr>
          <w:rFonts w:ascii="Arial" w:cs="Arial" w:eastAsia="Arial" w:hAnsi="Arial"/>
          <w:sz w:val="16"/>
          <w:szCs w:val="16"/>
          <w:color w:val="auto"/>
        </w:rPr>
        <w:t>In 2019, the Company entered into an operating lease for office space, which was renewed and extended in 2020. We adopted ASU 2016-02, “Leases,” on January 1, 2019 requiring, among other changes, operating and finance leases with terms exceeding twelve months to be recognized as a right-of-use asset (or “ROU”) and lease liabilities on the balance sheet. Operating lease ROU assets and operating lease liabilities are recognized based on the present value of the future minimum lease payments over the lease term at the commencement date. The lease term is determined to be the non-cancelable period including any lessee renewal options that are considered reasonably certain of exercise. The interest rate implicit in lease contracts is typically not readily determinable. As such, the Company used judgment to determine an appropriate incremental borrowing rate, which is the rate incurred to borrow on a collateralized basis over a similar term in a similar economic environment.</w:t>
      </w:r>
    </w:p>
    <w:p>
      <w:pPr>
        <w:spacing w:after="0" w:line="166" w:lineRule="exact"/>
        <w:rPr>
          <w:sz w:val="20"/>
          <w:szCs w:val="20"/>
          <w:color w:val="auto"/>
        </w:rPr>
      </w:pPr>
    </w:p>
    <w:p>
      <w:pPr>
        <w:ind w:left="120" w:right="340" w:firstLine="440"/>
        <w:spacing w:after="0" w:line="277" w:lineRule="auto"/>
        <w:rPr>
          <w:sz w:val="20"/>
          <w:szCs w:val="20"/>
          <w:color w:val="auto"/>
        </w:rPr>
      </w:pPr>
      <w:r>
        <w:rPr>
          <w:rFonts w:ascii="Arial" w:cs="Arial" w:eastAsia="Arial" w:hAnsi="Arial"/>
          <w:sz w:val="18"/>
          <w:szCs w:val="18"/>
          <w:color w:val="auto"/>
        </w:rPr>
        <w:t>Future minimum payments under the Company’s operating leases related to the ROU asset and lease liability as of December 31, 2022 was as follows (in thousand):</w:t>
      </w:r>
    </w:p>
    <w:p>
      <w:pPr>
        <w:spacing w:after="0" w:line="176" w:lineRule="exact"/>
        <w:rPr>
          <w:sz w:val="20"/>
          <w:szCs w:val="20"/>
          <w:color w:val="auto"/>
        </w:rPr>
      </w:pPr>
    </w:p>
    <w:tbl>
      <w:tblPr>
        <w:tblLayout w:type="fixed"/>
        <w:tblInd w:w="188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740" w:type="dxa"/>
            <w:vAlign w:val="bottom"/>
          </w:tcPr>
          <w:p>
            <w:pPr>
              <w:spacing w:after="0"/>
              <w:rPr>
                <w:sz w:val="14"/>
                <w:szCs w:val="14"/>
                <w:color w:val="auto"/>
              </w:rPr>
            </w:pPr>
          </w:p>
        </w:tc>
        <w:tc>
          <w:tcPr>
            <w:tcW w:w="700" w:type="dxa"/>
            <w:vAlign w:val="bottom"/>
            <w:gridSpan w:val="3"/>
          </w:tcPr>
          <w:p>
            <w:pPr>
              <w:spacing w:after="0"/>
              <w:rPr>
                <w:sz w:val="20"/>
                <w:szCs w:val="20"/>
                <w:color w:val="auto"/>
              </w:rPr>
            </w:pPr>
            <w:r>
              <w:rPr>
                <w:rFonts w:ascii="Arial" w:cs="Arial" w:eastAsia="Arial" w:hAnsi="Arial"/>
                <w:sz w:val="14"/>
                <w:szCs w:val="14"/>
                <w:b w:val="1"/>
                <w:bCs w:val="1"/>
                <w:color w:val="auto"/>
              </w:rPr>
              <w:t>Operating</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w w:val="84"/>
              </w:rPr>
              <w:t>Leases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2023</w:t>
            </w:r>
          </w:p>
        </w:tc>
        <w:tc>
          <w:tcPr>
            <w:tcW w:w="10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622</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40" w:type="dxa"/>
            <w:vAlign w:val="bottom"/>
          </w:tcPr>
          <w:p>
            <w:pPr>
              <w:spacing w:after="0"/>
              <w:rPr>
                <w:sz w:val="20"/>
                <w:szCs w:val="20"/>
                <w:color w:val="auto"/>
              </w:rPr>
            </w:pPr>
            <w:r>
              <w:rPr>
                <w:rFonts w:ascii="Arial" w:cs="Arial" w:eastAsia="Arial" w:hAnsi="Arial"/>
                <w:sz w:val="18"/>
                <w:szCs w:val="18"/>
                <w:color w:val="auto"/>
              </w:rPr>
              <w:t>Thereafter</w:t>
            </w: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shd w:val="clear" w:color="auto" w:fill="CCEEFF"/>
          </w:tcPr>
          <w:p>
            <w:pPr>
              <w:spacing w:after="0"/>
              <w:rPr>
                <w:sz w:val="20"/>
                <w:szCs w:val="20"/>
                <w:color w:val="auto"/>
              </w:rPr>
            </w:pPr>
            <w:r>
              <w:rPr>
                <w:rFonts w:ascii="Arial" w:cs="Arial" w:eastAsia="Arial" w:hAnsi="Arial"/>
                <w:sz w:val="18"/>
                <w:szCs w:val="18"/>
                <w:color w:val="auto"/>
              </w:rPr>
              <w:t>Total minimum payments</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tcPr>
          <w:p>
            <w:pPr>
              <w:spacing w:after="0"/>
              <w:rPr>
                <w:sz w:val="20"/>
                <w:szCs w:val="20"/>
                <w:color w:val="auto"/>
              </w:rPr>
            </w:pPr>
            <w:r>
              <w:rPr>
                <w:rFonts w:ascii="Arial" w:cs="Arial" w:eastAsia="Arial" w:hAnsi="Arial"/>
                <w:sz w:val="18"/>
                <w:szCs w:val="18"/>
                <w:color w:val="auto"/>
              </w:rPr>
              <w:t>Less: imputed interest</w:t>
            </w:r>
          </w:p>
        </w:tc>
        <w:tc>
          <w:tcPr>
            <w:tcW w:w="100" w:type="dxa"/>
            <w:vAlign w:val="bottom"/>
          </w:tcPr>
          <w:p>
            <w:pPr>
              <w:spacing w:after="0"/>
              <w:rPr>
                <w:sz w:val="18"/>
                <w:szCs w:val="18"/>
                <w:color w:val="auto"/>
              </w:rPr>
            </w:pP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7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40" w:type="dxa"/>
            <w:vAlign w:val="bottom"/>
            <w:shd w:val="clear" w:color="auto" w:fill="CCEEFF"/>
          </w:tcPr>
          <w:p>
            <w:pPr>
              <w:spacing w:after="0"/>
              <w:rPr>
                <w:sz w:val="20"/>
                <w:szCs w:val="20"/>
                <w:color w:val="auto"/>
              </w:rPr>
            </w:pPr>
            <w:r>
              <w:rPr>
                <w:rFonts w:ascii="Arial" w:cs="Arial" w:eastAsia="Arial" w:hAnsi="Arial"/>
                <w:sz w:val="18"/>
                <w:szCs w:val="18"/>
                <w:color w:val="auto"/>
              </w:rPr>
              <w:t>Present value of lease liabilities</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602</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20" w:right="380" w:firstLine="440"/>
        <w:spacing w:after="0" w:line="277" w:lineRule="auto"/>
        <w:rPr>
          <w:sz w:val="20"/>
          <w:szCs w:val="20"/>
          <w:color w:val="auto"/>
        </w:rPr>
      </w:pPr>
      <w:r>
        <w:rPr>
          <w:rFonts w:ascii="Arial" w:cs="Arial" w:eastAsia="Arial" w:hAnsi="Arial"/>
          <w:sz w:val="18"/>
          <w:szCs w:val="18"/>
          <w:color w:val="auto"/>
        </w:rPr>
        <w:t>As of December 31, 2022, the weighted average remaining operating lease term was 0.7 years and the weighted average discount rate used to determine the operating lease liabilities was 6.72%. Cash paid related to</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F-18</w:t>
      </w:r>
    </w:p>
    <w:p>
      <w:pPr>
        <w:sectPr>
          <w:pgSz w:w="11900" w:h="16838" w:orient="portrait"/>
          <w:cols w:equalWidth="0" w:num="1">
            <w:col w:w="11120"/>
          </w:cols>
          <w:pgMar w:left="320" w:top="486" w:right="459" w:bottom="1440" w:gutter="0" w:footer="0" w:header="0"/>
        </w:sectPr>
      </w:pPr>
    </w:p>
    <w:bookmarkStart w:id="26" w:name="page27"/>
    <w:bookmarkEnd w:id="26"/>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6">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9" w:lineRule="exact"/>
        <w:rPr>
          <w:sz w:val="20"/>
          <w:szCs w:val="20"/>
          <w:color w:val="auto"/>
        </w:rPr>
      </w:pPr>
    </w:p>
    <w:p>
      <w:pPr>
        <w:ind w:left="120" w:right="300"/>
        <w:spacing w:after="0" w:line="263" w:lineRule="auto"/>
        <w:rPr>
          <w:sz w:val="20"/>
          <w:szCs w:val="20"/>
          <w:color w:val="auto"/>
        </w:rPr>
      </w:pPr>
      <w:r>
        <w:rPr>
          <w:rFonts w:ascii="Arial" w:cs="Arial" w:eastAsia="Arial" w:hAnsi="Arial"/>
          <w:sz w:val="18"/>
          <w:szCs w:val="18"/>
          <w:color w:val="auto"/>
        </w:rPr>
        <w:t>the lease liability was $0.7 and $0.4 million for years ended December 31, 2022 and 2021 respectively. Operating lease costs were $0.8 and $0.4 million for years ended December 31, 2022 and 2021 respectively. Rent, short term and variable leases costs were immaterial during the years ended December 31, 2022, 2021 and 2020.</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10. Commitments and Contingencies</w:t>
      </w:r>
    </w:p>
    <w:p>
      <w:pPr>
        <w:spacing w:after="0" w:line="121" w:lineRule="exact"/>
        <w:rPr>
          <w:sz w:val="20"/>
          <w:szCs w:val="20"/>
          <w:color w:val="auto"/>
        </w:rPr>
      </w:pPr>
    </w:p>
    <w:p>
      <w:pPr>
        <w:ind w:left="120" w:firstLine="440"/>
        <w:spacing w:after="0" w:line="308" w:lineRule="auto"/>
        <w:rPr>
          <w:sz w:val="20"/>
          <w:szCs w:val="20"/>
          <w:color w:val="auto"/>
        </w:rPr>
      </w:pPr>
      <w:r>
        <w:rPr>
          <w:rFonts w:ascii="Arial" w:cs="Arial" w:eastAsia="Arial" w:hAnsi="Arial"/>
          <w:sz w:val="17"/>
          <w:szCs w:val="17"/>
          <w:color w:val="auto"/>
        </w:rPr>
        <w:t>The Company has a Research, Development and Commercialization Agreement with Hoffmann-La Roche (“Roche”) which grants the Company a sole and exclusive license to develop, use, sell, offer for sale and import any Licensed Product as defined by the agreement.</w:t>
      </w:r>
    </w:p>
    <w:p>
      <w:pPr>
        <w:spacing w:after="0" w:line="146" w:lineRule="exact"/>
        <w:rPr>
          <w:sz w:val="20"/>
          <w:szCs w:val="20"/>
          <w:color w:val="auto"/>
        </w:rPr>
      </w:pPr>
    </w:p>
    <w:p>
      <w:pPr>
        <w:ind w:left="120" w:right="40" w:firstLine="440"/>
        <w:spacing w:after="0" w:line="255" w:lineRule="auto"/>
        <w:rPr>
          <w:sz w:val="20"/>
          <w:szCs w:val="20"/>
          <w:color w:val="auto"/>
        </w:rPr>
      </w:pPr>
      <w:r>
        <w:rPr>
          <w:rFonts w:ascii="Arial" w:cs="Arial" w:eastAsia="Arial" w:hAnsi="Arial"/>
          <w:sz w:val="18"/>
          <w:szCs w:val="18"/>
          <w:color w:val="auto"/>
        </w:rPr>
        <w:t>The agreement requires future milestone payments to Roche. In 2019, the Company commenced a Phase 3 study in Non-Alcoholic Steatohepatitis (NASH), which triggered a $2 million milestone payment under the agreement. Remaining milestones under the agreement total $8 million and are earned by achieving specified objectives related to future regulatory approval in the United States and Europe of a product developed from resmetirom. A single-digit royalty payment range is based on net sales of products developed from resmetirom, subject to certain reductions. Except as described above, the Company has not achieved any additional product development or regulatory milestones and had no Licensed Product sales for the years ended December 31, 2022, 2021 and 2020.</w:t>
      </w:r>
    </w:p>
    <w:p>
      <w:pPr>
        <w:spacing w:after="0" w:line="192" w:lineRule="exact"/>
        <w:rPr>
          <w:sz w:val="20"/>
          <w:szCs w:val="20"/>
          <w:color w:val="auto"/>
        </w:rPr>
      </w:pPr>
    </w:p>
    <w:p>
      <w:pPr>
        <w:ind w:left="560"/>
        <w:spacing w:after="0"/>
        <w:rPr>
          <w:sz w:val="20"/>
          <w:szCs w:val="20"/>
          <w:color w:val="auto"/>
        </w:rPr>
      </w:pPr>
      <w:r>
        <w:rPr>
          <w:rFonts w:ascii="Arial" w:cs="Arial" w:eastAsia="Arial" w:hAnsi="Arial"/>
          <w:sz w:val="16"/>
          <w:szCs w:val="16"/>
          <w:color w:val="auto"/>
        </w:rPr>
        <w:t>The Company has entered into customary contractual arrangements and letters of intent in preparation for and in support of the clinical trials.</w:t>
      </w:r>
    </w:p>
    <w:p>
      <w:pPr>
        <w:spacing w:after="0" w:line="35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11. Income Taxes</w:t>
      </w:r>
    </w:p>
    <w:p>
      <w:pPr>
        <w:spacing w:after="0" w:line="121" w:lineRule="exact"/>
        <w:rPr>
          <w:sz w:val="20"/>
          <w:szCs w:val="20"/>
          <w:color w:val="auto"/>
        </w:rPr>
      </w:pPr>
    </w:p>
    <w:p>
      <w:pPr>
        <w:ind w:left="120" w:right="180" w:firstLine="440"/>
        <w:spacing w:after="0" w:line="279" w:lineRule="auto"/>
        <w:rPr>
          <w:sz w:val="20"/>
          <w:szCs w:val="20"/>
          <w:color w:val="auto"/>
        </w:rPr>
      </w:pPr>
      <w:r>
        <w:rPr>
          <w:rFonts w:ascii="Arial" w:cs="Arial" w:eastAsia="Arial" w:hAnsi="Arial"/>
          <w:sz w:val="17"/>
          <w:szCs w:val="17"/>
          <w:color w:val="auto"/>
        </w:rPr>
        <w:t>At December 31, 2022, the Company had federal net operating loss (“NOL”) carryforwards of approximately $275.5 million available to reduce future taxable income, of which $40.4 million will expire between 2031 and 2037. The Company also has state operating loss carryforwards of approximately $264.2 million, available to reduce future taxable income, which expire between 2031 and 2041. The Company has unused federal research and development carryforwards of approximately $33.1 million which will begin to expire in 2031.</w:t>
      </w:r>
    </w:p>
    <w:p>
      <w:pPr>
        <w:spacing w:after="0" w:line="171" w:lineRule="exact"/>
        <w:rPr>
          <w:sz w:val="20"/>
          <w:szCs w:val="20"/>
          <w:color w:val="auto"/>
        </w:rPr>
      </w:pPr>
    </w:p>
    <w:p>
      <w:pPr>
        <w:ind w:left="120" w:right="80" w:firstLine="440"/>
        <w:spacing w:after="0" w:line="275" w:lineRule="auto"/>
        <w:rPr>
          <w:sz w:val="20"/>
          <w:szCs w:val="20"/>
          <w:color w:val="auto"/>
        </w:rPr>
      </w:pPr>
      <w:r>
        <w:rPr>
          <w:rFonts w:ascii="Arial" w:cs="Arial" w:eastAsia="Arial" w:hAnsi="Arial"/>
          <w:sz w:val="17"/>
          <w:szCs w:val="17"/>
          <w:color w:val="auto"/>
        </w:rPr>
        <w:t>The Internal Revenue Code (“IRC”) limits the amounts of NOL carryforwards that a Company may use in any one year in the event of certain cumulative changes in ownership over a three-year period as described in Section 382 of the IRC. Such change in ownership could limit the Company’s utilization of the NOL, and could be triggered by subsequent sales of securities by the Company or stockholders. The deferred tax asset related to the NOL reflected on the financial statements could be affected by this limitation. Although a formal analysis has not been completed, the Company has determined that an ownership change likely occurred for Madrigal during the year ended December 31, 2017.</w:t>
      </w:r>
    </w:p>
    <w:p>
      <w:pPr>
        <w:spacing w:after="0" w:line="176" w:lineRule="exact"/>
        <w:rPr>
          <w:sz w:val="20"/>
          <w:szCs w:val="20"/>
          <w:color w:val="auto"/>
        </w:rPr>
      </w:pPr>
    </w:p>
    <w:p>
      <w:pPr>
        <w:ind w:left="120" w:firstLine="440"/>
        <w:spacing w:after="0" w:line="296" w:lineRule="auto"/>
        <w:rPr>
          <w:sz w:val="20"/>
          <w:szCs w:val="20"/>
          <w:color w:val="auto"/>
        </w:rPr>
      </w:pPr>
      <w:r>
        <w:rPr>
          <w:rFonts w:ascii="Arial" w:cs="Arial" w:eastAsia="Arial" w:hAnsi="Arial"/>
          <w:sz w:val="16"/>
          <w:szCs w:val="16"/>
          <w:color w:val="auto"/>
        </w:rPr>
        <w:t>In assessing the realizability of deferred tax assets, management considers whether it is more likely than not that some portion of the deferred tax assets will not be realized. The ultimate realization of deferred tax assets is dependent upon the generation of future taxable income during the periods in which those temporary differences become deductible. As there is no assurance of future taxable income, a full valuation allowance has been established to offset the deferred tax assets. The valuation allowance increased $59.5 million for the year ended December 31, 2022. Changes in the deferred tax asset will be recorded as an income tax benefit or expense on the accompanying consolidated statements of operations.</w:t>
      </w:r>
    </w:p>
    <w:p>
      <w:pPr>
        <w:spacing w:after="0" w:line="161" w:lineRule="exact"/>
        <w:rPr>
          <w:sz w:val="20"/>
          <w:szCs w:val="20"/>
          <w:color w:val="auto"/>
        </w:rPr>
      </w:pPr>
    </w:p>
    <w:p>
      <w:pPr>
        <w:ind w:left="120" w:right="100" w:firstLine="440"/>
        <w:spacing w:after="0" w:line="301" w:lineRule="auto"/>
        <w:rPr>
          <w:sz w:val="20"/>
          <w:szCs w:val="20"/>
          <w:color w:val="auto"/>
        </w:rPr>
      </w:pPr>
      <w:r>
        <w:rPr>
          <w:rFonts w:ascii="Arial" w:cs="Arial" w:eastAsia="Arial" w:hAnsi="Arial"/>
          <w:sz w:val="16"/>
          <w:szCs w:val="16"/>
          <w:color w:val="auto"/>
        </w:rPr>
        <w:t>Entities are also required to evaluate, measure, recognize and disclose any uncertain income tax provisions taken on their income tax returns. The Company has analyzed its tax positions and has concluded that as of December 31, 2022 there were no uncertain positions. The 2018 through 2022 tax returns are open to review by the IRS and state taxing authorities. Interest and penalties, if any, as they relate to income taxes assessed, are included in the income tax provision. There was no income tax related interest and penalties included in the income tax provision for 2022.</w:t>
      </w:r>
    </w:p>
    <w:p>
      <w:pPr>
        <w:spacing w:after="0" w:line="9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F-19</w:t>
      </w:r>
    </w:p>
    <w:p>
      <w:pPr>
        <w:sectPr>
          <w:pgSz w:w="11900" w:h="16838" w:orient="portrait"/>
          <w:cols w:equalWidth="0" w:num="1">
            <w:col w:w="11120"/>
          </w:cols>
          <w:pgMar w:left="320" w:top="486" w:right="459" w:bottom="1440" w:gutter="0" w:footer="0" w:header="0"/>
        </w:sectPr>
      </w:pPr>
    </w:p>
    <w:bookmarkStart w:id="27" w:name="page28"/>
    <w:bookmarkEnd w:id="27"/>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7">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9"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Temporary differences that give rise to deferred tax assets and liabilities are as follows (in thousands):</w:t>
      </w:r>
    </w:p>
    <w:p>
      <w:pPr>
        <w:spacing w:after="0" w:line="244" w:lineRule="exact"/>
        <w:rPr>
          <w:sz w:val="20"/>
          <w:szCs w:val="20"/>
          <w:color w:val="auto"/>
        </w:rPr>
      </w:pPr>
    </w:p>
    <w:tbl>
      <w:tblPr>
        <w:tblLayout w:type="fixed"/>
        <w:tblInd w:w="100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6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220" w:type="dxa"/>
            <w:vAlign w:val="bottom"/>
            <w:tcBorders>
              <w:bottom w:val="single" w:sz="8" w:color="auto"/>
            </w:tcBorders>
            <w:gridSpan w:val="4"/>
          </w:tcPr>
          <w:p>
            <w:pPr>
              <w:jc w:val="right"/>
              <w:ind w:right="80"/>
              <w:spacing w:after="0"/>
              <w:rPr>
                <w:sz w:val="20"/>
                <w:szCs w:val="20"/>
                <w:color w:val="auto"/>
              </w:rPr>
            </w:pPr>
            <w:r>
              <w:rPr>
                <w:rFonts w:ascii="Arial" w:cs="Arial" w:eastAsia="Arial" w:hAnsi="Arial"/>
                <w:sz w:val="14"/>
                <w:szCs w:val="14"/>
                <w:b w:val="1"/>
                <w:bCs w:val="1"/>
                <w:color w:val="auto"/>
                <w:w w:val="92"/>
              </w:rPr>
              <w:t>For the years ended December 31,</w:t>
            </w: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4640" w:type="dxa"/>
            <w:vAlign w:val="bottom"/>
            <w:tcBorders>
              <w:bottom w:val="single" w:sz="8" w:color="CCEEFF"/>
            </w:tcBorders>
          </w:tcPr>
          <w:p>
            <w:pPr>
              <w:spacing w:after="0"/>
              <w:rPr>
                <w:sz w:val="12"/>
                <w:szCs w:val="12"/>
                <w:color w:val="auto"/>
              </w:rPr>
            </w:pPr>
          </w:p>
        </w:tc>
        <w:tc>
          <w:tcPr>
            <w:tcW w:w="56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151"/>
              <w:spacing w:after="0" w:line="142" w:lineRule="exact"/>
              <w:rPr>
                <w:sz w:val="20"/>
                <w:szCs w:val="20"/>
                <w:color w:val="auto"/>
              </w:rPr>
            </w:pPr>
            <w:r>
              <w:rPr>
                <w:rFonts w:ascii="Arial" w:cs="Arial" w:eastAsia="Arial" w:hAnsi="Arial"/>
                <w:sz w:val="14"/>
                <w:szCs w:val="14"/>
                <w:b w:val="1"/>
                <w:bCs w:val="1"/>
                <w:color w:val="auto"/>
              </w:rPr>
              <w:t>2022</w:t>
            </w:r>
          </w:p>
        </w:tc>
        <w:tc>
          <w:tcPr>
            <w:tcW w:w="120" w:type="dxa"/>
            <w:vAlign w:val="bottom"/>
            <w:tcBorders>
              <w:bottom w:val="single" w:sz="8" w:color="CCEEFF"/>
            </w:tcBorders>
          </w:tcPr>
          <w:p>
            <w:pPr>
              <w:spacing w:after="0"/>
              <w:rPr>
                <w:sz w:val="12"/>
                <w:szCs w:val="12"/>
                <w:color w:val="auto"/>
              </w:rPr>
            </w:pPr>
          </w:p>
        </w:tc>
        <w:tc>
          <w:tcPr>
            <w:tcW w:w="74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151"/>
              <w:spacing w:after="0" w:line="142" w:lineRule="exact"/>
              <w:rPr>
                <w:sz w:val="20"/>
                <w:szCs w:val="20"/>
                <w:color w:val="auto"/>
              </w:rPr>
            </w:pPr>
            <w:r>
              <w:rPr>
                <w:rFonts w:ascii="Arial" w:cs="Arial" w:eastAsia="Arial" w:hAnsi="Arial"/>
                <w:sz w:val="14"/>
                <w:szCs w:val="14"/>
                <w:b w:val="1"/>
                <w:bCs w:val="1"/>
                <w:color w:val="auto"/>
              </w:rPr>
              <w:t>2021</w:t>
            </w:r>
          </w:p>
        </w:tc>
        <w:tc>
          <w:tcPr>
            <w:tcW w:w="74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31"/>
              <w:spacing w:after="0" w:line="142" w:lineRule="exact"/>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2"/>
                <w:szCs w:val="12"/>
                <w:color w:val="auto"/>
              </w:rPr>
            </w:pPr>
          </w:p>
        </w:tc>
      </w:tr>
      <w:tr>
        <w:trPr>
          <w:trHeight w:val="196"/>
        </w:trPr>
        <w:tc>
          <w:tcPr>
            <w:tcW w:w="20" w:type="dxa"/>
            <w:vAlign w:val="bottom"/>
          </w:tcPr>
          <w:p>
            <w:pPr>
              <w:spacing w:after="0"/>
              <w:rPr>
                <w:sz w:val="17"/>
                <w:szCs w:val="17"/>
                <w:color w:val="auto"/>
              </w:rPr>
            </w:pPr>
          </w:p>
        </w:tc>
        <w:tc>
          <w:tcPr>
            <w:tcW w:w="464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Deferred Tax Liabilities</w:t>
            </w:r>
          </w:p>
        </w:tc>
        <w:tc>
          <w:tcPr>
            <w:tcW w:w="5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4640" w:type="dxa"/>
            <w:vAlign w:val="bottom"/>
          </w:tcPr>
          <w:p>
            <w:pPr>
              <w:ind w:left="340"/>
              <w:spacing w:after="0"/>
              <w:rPr>
                <w:sz w:val="20"/>
                <w:szCs w:val="20"/>
                <w:color w:val="auto"/>
              </w:rPr>
            </w:pPr>
            <w:r>
              <w:rPr>
                <w:rFonts w:ascii="Arial" w:cs="Arial" w:eastAsia="Arial" w:hAnsi="Arial"/>
                <w:sz w:val="18"/>
                <w:szCs w:val="18"/>
                <w:color w:val="auto"/>
              </w:rPr>
              <w:t>Unrealized gains on investments</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84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14</w:t>
            </w:r>
          </w:p>
        </w:tc>
        <w:tc>
          <w:tcPr>
            <w:tcW w:w="120" w:type="dxa"/>
            <w:vAlign w:val="bottom"/>
          </w:tcPr>
          <w:p>
            <w:pPr>
              <w:spacing w:after="0"/>
              <w:rPr>
                <w:sz w:val="18"/>
                <w:szCs w:val="18"/>
                <w:color w:val="auto"/>
              </w:rPr>
            </w:pPr>
          </w:p>
        </w:tc>
      </w:tr>
      <w:tr>
        <w:trPr>
          <w:trHeight w:val="27"/>
        </w:trPr>
        <w:tc>
          <w:tcPr>
            <w:tcW w:w="20" w:type="dxa"/>
            <w:vAlign w:val="bottom"/>
          </w:tcPr>
          <w:p>
            <w:pPr>
              <w:spacing w:after="0"/>
              <w:rPr>
                <w:sz w:val="2"/>
                <w:szCs w:val="2"/>
                <w:color w:val="auto"/>
              </w:rPr>
            </w:pPr>
          </w:p>
        </w:tc>
        <w:tc>
          <w:tcPr>
            <w:tcW w:w="4640" w:type="dxa"/>
            <w:vAlign w:val="bottom"/>
          </w:tcPr>
          <w:p>
            <w:pPr>
              <w:spacing w:after="0"/>
              <w:rPr>
                <w:sz w:val="2"/>
                <w:szCs w:val="2"/>
                <w:color w:val="auto"/>
              </w:rPr>
            </w:pPr>
          </w:p>
        </w:tc>
        <w:tc>
          <w:tcPr>
            <w:tcW w:w="5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r>
        <w:trPr>
          <w:trHeight w:val="216"/>
        </w:trPr>
        <w:tc>
          <w:tcPr>
            <w:tcW w:w="20" w:type="dxa"/>
            <w:vAlign w:val="bottom"/>
          </w:tcPr>
          <w:p>
            <w:pPr>
              <w:spacing w:after="0"/>
              <w:rPr>
                <w:sz w:val="18"/>
                <w:szCs w:val="18"/>
                <w:color w:val="auto"/>
              </w:rPr>
            </w:pPr>
          </w:p>
        </w:tc>
        <w:tc>
          <w:tcPr>
            <w:tcW w:w="46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Deferred Tax Liabilities</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20" w:type="dxa"/>
            <w:vAlign w:val="bottom"/>
            <w:shd w:val="clear" w:color="auto" w:fill="CCEEFF"/>
          </w:tcPr>
          <w:p>
            <w:pPr>
              <w:spacing w:after="0"/>
              <w:rPr>
                <w:sz w:val="18"/>
                <w:szCs w:val="18"/>
                <w:color w:val="auto"/>
              </w:rPr>
            </w:pPr>
          </w:p>
        </w:tc>
      </w:tr>
      <w:tr>
        <w:trPr>
          <w:trHeight w:val="223"/>
        </w:trPr>
        <w:tc>
          <w:tcPr>
            <w:tcW w:w="4660" w:type="dxa"/>
            <w:vAlign w:val="bottom"/>
            <w:gridSpan w:val="2"/>
          </w:tcPr>
          <w:p>
            <w:pPr>
              <w:spacing w:after="0"/>
              <w:rPr>
                <w:sz w:val="20"/>
                <w:szCs w:val="20"/>
                <w:color w:val="auto"/>
              </w:rPr>
            </w:pPr>
            <w:r>
              <w:rPr>
                <w:rFonts w:ascii="Arial" w:cs="Arial" w:eastAsia="Arial" w:hAnsi="Arial"/>
                <w:sz w:val="18"/>
                <w:szCs w:val="18"/>
                <w:color w:val="auto"/>
              </w:rPr>
              <w:t>Deferred Tax Assets</w:t>
            </w:r>
          </w:p>
        </w:tc>
        <w:tc>
          <w:tcPr>
            <w:tcW w:w="56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6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Charitable contributions</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w:t>
            </w:r>
          </w:p>
        </w:tc>
        <w:tc>
          <w:tcPr>
            <w:tcW w:w="74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40" w:type="dxa"/>
            <w:vAlign w:val="bottom"/>
          </w:tcPr>
          <w:p>
            <w:pPr>
              <w:ind w:left="340"/>
              <w:spacing w:after="0"/>
              <w:rPr>
                <w:sz w:val="20"/>
                <w:szCs w:val="20"/>
                <w:color w:val="auto"/>
              </w:rPr>
            </w:pPr>
            <w:r>
              <w:rPr>
                <w:rFonts w:ascii="Arial" w:cs="Arial" w:eastAsia="Arial" w:hAnsi="Arial"/>
                <w:sz w:val="18"/>
                <w:szCs w:val="18"/>
                <w:color w:val="auto"/>
              </w:rPr>
              <w:t>Accrued expenses</w:t>
            </w:r>
          </w:p>
        </w:tc>
        <w:tc>
          <w:tcPr>
            <w:tcW w:w="5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2,398</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1,857</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1,318</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Intangibles</w:t>
            </w:r>
          </w:p>
        </w:tc>
        <w:tc>
          <w:tcPr>
            <w:tcW w:w="5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589</w:t>
            </w: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783</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883</w:t>
            </w: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40" w:type="dxa"/>
            <w:vAlign w:val="bottom"/>
          </w:tcPr>
          <w:p>
            <w:pPr>
              <w:ind w:left="340"/>
              <w:spacing w:after="0"/>
              <w:rPr>
                <w:sz w:val="20"/>
                <w:szCs w:val="20"/>
                <w:color w:val="auto"/>
              </w:rPr>
            </w:pPr>
            <w:r>
              <w:rPr>
                <w:rFonts w:ascii="Arial" w:cs="Arial" w:eastAsia="Arial" w:hAnsi="Arial"/>
                <w:sz w:val="18"/>
                <w:szCs w:val="18"/>
                <w:color w:val="auto"/>
              </w:rPr>
              <w:t>Stock compensation</w:t>
            </w:r>
          </w:p>
        </w:tc>
        <w:tc>
          <w:tcPr>
            <w:tcW w:w="5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27,226</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24,335</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16,812</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Property, plant &amp; equipment</w:t>
            </w:r>
          </w:p>
        </w:tc>
        <w:tc>
          <w:tcPr>
            <w:tcW w:w="5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40" w:type="dxa"/>
            <w:vAlign w:val="bottom"/>
          </w:tcPr>
          <w:p>
            <w:pPr>
              <w:ind w:left="340"/>
              <w:spacing w:after="0"/>
              <w:rPr>
                <w:sz w:val="20"/>
                <w:szCs w:val="20"/>
                <w:color w:val="auto"/>
              </w:rPr>
            </w:pPr>
            <w:r>
              <w:rPr>
                <w:rFonts w:ascii="Arial" w:cs="Arial" w:eastAsia="Arial" w:hAnsi="Arial"/>
                <w:sz w:val="18"/>
                <w:szCs w:val="18"/>
                <w:color w:val="auto"/>
              </w:rPr>
              <w:t>Unrealized loss on investment</w:t>
            </w:r>
          </w:p>
        </w:tc>
        <w:tc>
          <w:tcPr>
            <w:tcW w:w="5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23</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46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Net operating losses</w:t>
            </w:r>
          </w:p>
        </w:tc>
        <w:tc>
          <w:tcPr>
            <w:tcW w:w="5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68,305</w:t>
            </w: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47,864</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27,933</w:t>
            </w: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40" w:type="dxa"/>
            <w:vAlign w:val="bottom"/>
          </w:tcPr>
          <w:p>
            <w:pPr>
              <w:ind w:left="340"/>
              <w:spacing w:after="0"/>
              <w:rPr>
                <w:sz w:val="20"/>
                <w:szCs w:val="20"/>
                <w:color w:val="auto"/>
              </w:rPr>
            </w:pPr>
            <w:r>
              <w:rPr>
                <w:rFonts w:ascii="Arial" w:cs="Arial" w:eastAsia="Arial" w:hAnsi="Arial"/>
                <w:sz w:val="18"/>
                <w:szCs w:val="18"/>
                <w:color w:val="auto"/>
              </w:rPr>
              <w:t>Capitalized R&amp;D</w:t>
            </w:r>
          </w:p>
        </w:tc>
        <w:tc>
          <w:tcPr>
            <w:tcW w:w="5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8"/>
              </w:rPr>
              <w:t>137,328</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5"/>
              </w:rPr>
              <w:t>112,848</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71,128</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R&amp;D credit</w:t>
            </w:r>
          </w:p>
        </w:tc>
        <w:tc>
          <w:tcPr>
            <w:tcW w:w="5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35,103</w:t>
            </w: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23,799</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14,205</w:t>
            </w:r>
          </w:p>
        </w:tc>
        <w:tc>
          <w:tcPr>
            <w:tcW w:w="12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4640" w:type="dxa"/>
            <w:vAlign w:val="bottom"/>
          </w:tcPr>
          <w:p>
            <w:pPr>
              <w:ind w:left="340"/>
              <w:spacing w:after="0"/>
              <w:rPr>
                <w:sz w:val="20"/>
                <w:szCs w:val="20"/>
                <w:color w:val="auto"/>
              </w:rPr>
            </w:pPr>
            <w:r>
              <w:rPr>
                <w:rFonts w:ascii="Arial" w:cs="Arial" w:eastAsia="Arial" w:hAnsi="Arial"/>
                <w:sz w:val="18"/>
                <w:szCs w:val="18"/>
                <w:color w:val="auto"/>
              </w:rPr>
              <w:t>Total deferred tax assets before valuation allowance</w:t>
            </w:r>
          </w:p>
        </w:tc>
        <w:tc>
          <w:tcPr>
            <w:tcW w:w="5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8"/>
              </w:rPr>
              <w:t>271,108</w:t>
            </w:r>
          </w:p>
        </w:tc>
        <w:tc>
          <w:tcPr>
            <w:tcW w:w="1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5"/>
              </w:rPr>
              <w:t>211,642</w:t>
            </w: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5"/>
              </w:rPr>
              <w:t>132,398</w:t>
            </w:r>
          </w:p>
        </w:tc>
        <w:tc>
          <w:tcPr>
            <w:tcW w:w="1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6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Valuation allowance</w:t>
            </w:r>
          </w:p>
        </w:tc>
        <w:tc>
          <w:tcPr>
            <w:tcW w:w="5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0"/>
              </w:rPr>
              <w:t>(271,108)</w:t>
            </w: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w w:val="88"/>
              </w:rPr>
              <w:t>(211,642)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8"/>
              </w:rPr>
              <w:t>(132,384)</w:t>
            </w:r>
          </w:p>
        </w:tc>
      </w:tr>
      <w:tr>
        <w:trPr>
          <w:trHeight w:val="230"/>
        </w:trPr>
        <w:tc>
          <w:tcPr>
            <w:tcW w:w="20" w:type="dxa"/>
            <w:vAlign w:val="bottom"/>
          </w:tcPr>
          <w:p>
            <w:pPr>
              <w:spacing w:after="0"/>
              <w:rPr>
                <w:sz w:val="20"/>
                <w:szCs w:val="20"/>
                <w:color w:val="auto"/>
              </w:rPr>
            </w:pPr>
          </w:p>
        </w:tc>
        <w:tc>
          <w:tcPr>
            <w:tcW w:w="4640" w:type="dxa"/>
            <w:vAlign w:val="bottom"/>
          </w:tcPr>
          <w:p>
            <w:pPr>
              <w:ind w:left="340"/>
              <w:spacing w:after="0"/>
              <w:rPr>
                <w:sz w:val="20"/>
                <w:szCs w:val="20"/>
                <w:color w:val="auto"/>
              </w:rPr>
            </w:pPr>
            <w:r>
              <w:rPr>
                <w:rFonts w:ascii="Arial" w:cs="Arial" w:eastAsia="Arial" w:hAnsi="Arial"/>
                <w:sz w:val="18"/>
                <w:szCs w:val="18"/>
                <w:color w:val="auto"/>
              </w:rPr>
              <w:t>Total deferred tax assets</w:t>
            </w:r>
          </w:p>
        </w:tc>
        <w:tc>
          <w:tcPr>
            <w:tcW w:w="56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w:t>
            </w: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2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4640" w:type="dxa"/>
            <w:vAlign w:val="bottom"/>
            <w:shd w:val="clear" w:color="auto" w:fill="CCEEFF"/>
          </w:tcPr>
          <w:p>
            <w:pPr>
              <w:spacing w:after="0"/>
              <w:rPr>
                <w:sz w:val="20"/>
                <w:szCs w:val="20"/>
                <w:color w:val="auto"/>
              </w:rPr>
            </w:pPr>
            <w:r>
              <w:rPr>
                <w:rFonts w:ascii="Arial" w:cs="Arial" w:eastAsia="Arial" w:hAnsi="Arial"/>
                <w:sz w:val="18"/>
                <w:szCs w:val="18"/>
                <w:color w:val="auto"/>
              </w:rPr>
              <w:t>Net deferred tax assets</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r>
        <w:trPr>
          <w:trHeight w:val="20"/>
        </w:trPr>
        <w:tc>
          <w:tcPr>
            <w:tcW w:w="20" w:type="dxa"/>
            <w:vAlign w:val="bottom"/>
          </w:tcPr>
          <w:p>
            <w:pPr>
              <w:spacing w:after="0" w:line="20" w:lineRule="exact"/>
              <w:rPr>
                <w:sz w:val="1"/>
                <w:szCs w:val="1"/>
                <w:color w:val="auto"/>
              </w:rPr>
            </w:pPr>
          </w:p>
        </w:tc>
        <w:tc>
          <w:tcPr>
            <w:tcW w:w="46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15" w:lineRule="exact"/>
        <w:rPr>
          <w:sz w:val="20"/>
          <w:szCs w:val="20"/>
          <w:color w:val="auto"/>
        </w:rPr>
      </w:pPr>
    </w:p>
    <w:p>
      <w:pPr>
        <w:ind w:left="560"/>
        <w:spacing w:after="0"/>
        <w:rPr>
          <w:sz w:val="20"/>
          <w:szCs w:val="20"/>
          <w:color w:val="auto"/>
        </w:rPr>
      </w:pPr>
      <w:r>
        <w:rPr>
          <w:rFonts w:ascii="Arial" w:cs="Arial" w:eastAsia="Arial" w:hAnsi="Arial"/>
          <w:sz w:val="18"/>
          <w:szCs w:val="18"/>
          <w:color w:val="auto"/>
        </w:rPr>
        <w:t>Differences between the effective income tax rate and the US statutory rate were as follows (in thousands):</w:t>
      </w:r>
    </w:p>
    <w:p>
      <w:pPr>
        <w:spacing w:after="0" w:line="244" w:lineRule="exact"/>
        <w:rPr>
          <w:sz w:val="20"/>
          <w:szCs w:val="20"/>
          <w:color w:val="auto"/>
        </w:rPr>
      </w:pPr>
    </w:p>
    <w:tbl>
      <w:tblPr>
        <w:tblLayout w:type="fixed"/>
        <w:tblInd w:w="100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7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140" w:type="dxa"/>
            <w:vAlign w:val="bottom"/>
            <w:gridSpan w:val="10"/>
          </w:tcPr>
          <w:p>
            <w:pPr>
              <w:jc w:val="right"/>
              <w:ind w:right="660"/>
              <w:spacing w:after="0"/>
              <w:rPr>
                <w:sz w:val="20"/>
                <w:szCs w:val="20"/>
                <w:color w:val="auto"/>
              </w:rPr>
            </w:pPr>
            <w:r>
              <w:rPr>
                <w:rFonts w:ascii="Arial" w:cs="Arial" w:eastAsia="Arial" w:hAnsi="Arial"/>
                <w:sz w:val="14"/>
                <w:szCs w:val="14"/>
                <w:b w:val="1"/>
                <w:bCs w:val="1"/>
                <w:color w:val="auto"/>
              </w:rPr>
              <w:t>For the years ended 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720" w:type="dxa"/>
            <w:vAlign w:val="bottom"/>
            <w:tcBorders>
              <w:bottom w:val="single" w:sz="8" w:color="CCEEFF"/>
            </w:tcBorders>
          </w:tcPr>
          <w:p>
            <w:pPr>
              <w:spacing w:after="0"/>
              <w:rPr>
                <w:sz w:val="12"/>
                <w:szCs w:val="12"/>
                <w:color w:val="auto"/>
              </w:rPr>
            </w:pPr>
          </w:p>
        </w:tc>
        <w:tc>
          <w:tcPr>
            <w:tcW w:w="260" w:type="dxa"/>
            <w:vAlign w:val="bottom"/>
            <w:tcBorders>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33"/>
              <w:spacing w:after="0" w:line="142" w:lineRule="exact"/>
              <w:rPr>
                <w:sz w:val="20"/>
                <w:szCs w:val="20"/>
                <w:color w:val="auto"/>
              </w:rPr>
            </w:pPr>
            <w:r>
              <w:rPr>
                <w:rFonts w:ascii="Arial" w:cs="Arial" w:eastAsia="Arial" w:hAnsi="Arial"/>
                <w:sz w:val="14"/>
                <w:szCs w:val="14"/>
                <w:b w:val="1"/>
                <w:bCs w:val="1"/>
                <w:color w:val="auto"/>
              </w:rPr>
              <w:t>2022</w:t>
            </w:r>
          </w:p>
        </w:tc>
        <w:tc>
          <w:tcPr>
            <w:tcW w:w="260" w:type="dxa"/>
            <w:vAlign w:val="bottom"/>
            <w:tcBorders>
              <w:top w:val="single" w:sz="8" w:color="auto"/>
              <w:bottom w:val="single" w:sz="8" w:color="CCEEFF"/>
            </w:tcBorders>
          </w:tcPr>
          <w:p>
            <w:pPr>
              <w:spacing w:after="0"/>
              <w:rPr>
                <w:sz w:val="12"/>
                <w:szCs w:val="12"/>
                <w:color w:val="auto"/>
              </w:rPr>
            </w:pPr>
          </w:p>
        </w:tc>
        <w:tc>
          <w:tcPr>
            <w:tcW w:w="200" w:type="dxa"/>
            <w:vAlign w:val="bottom"/>
            <w:tcBorders>
              <w:top w:val="single" w:sz="8" w:color="auto"/>
              <w:bottom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rPr>
              <w:t>2021</w:t>
            </w:r>
          </w:p>
        </w:tc>
        <w:tc>
          <w:tcPr>
            <w:tcW w:w="260" w:type="dxa"/>
            <w:vAlign w:val="bottom"/>
            <w:tcBorders>
              <w:top w:val="single" w:sz="8" w:color="auto"/>
              <w:bottom w:val="single" w:sz="8" w:color="CCEEFF"/>
            </w:tcBorders>
          </w:tcPr>
          <w:p>
            <w:pPr>
              <w:spacing w:after="0"/>
              <w:rPr>
                <w:sz w:val="12"/>
                <w:szCs w:val="12"/>
                <w:color w:val="auto"/>
              </w:rPr>
            </w:pPr>
          </w:p>
        </w:tc>
        <w:tc>
          <w:tcPr>
            <w:tcW w:w="22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Tax benefit at U.S. federal statutory rate</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(62,023)</w:t>
            </w: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(50,788)</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(17,629)</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tcPr>
          <w:p>
            <w:pPr>
              <w:spacing w:after="0"/>
              <w:rPr>
                <w:sz w:val="20"/>
                <w:szCs w:val="20"/>
                <w:color w:val="auto"/>
              </w:rPr>
            </w:pPr>
            <w:r>
              <w:rPr>
                <w:rFonts w:ascii="Arial" w:cs="Arial" w:eastAsia="Arial" w:hAnsi="Arial"/>
                <w:sz w:val="18"/>
                <w:szCs w:val="18"/>
                <w:color w:val="auto"/>
              </w:rPr>
              <w:t>Stock based compensation</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(7,844)</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162M limitation</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7,996</w:t>
            </w: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tcPr>
          <w:p>
            <w:pPr>
              <w:spacing w:after="0"/>
              <w:rPr>
                <w:sz w:val="20"/>
                <w:szCs w:val="20"/>
                <w:color w:val="auto"/>
              </w:rPr>
            </w:pPr>
            <w:r>
              <w:rPr>
                <w:rFonts w:ascii="Arial" w:cs="Arial" w:eastAsia="Arial" w:hAnsi="Arial"/>
                <w:sz w:val="18"/>
                <w:szCs w:val="18"/>
                <w:color w:val="auto"/>
              </w:rPr>
              <w:t>Other nondeductible expenses</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16</w:t>
            </w: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w w:val="94"/>
              </w:rPr>
              <w:t>State income taxes benefit before valuation allowance, net of federal benefit</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13,090</w:t>
            </w: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5"/>
              </w:rPr>
              <w:t>(19,622)</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(6,613)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tcPr>
          <w:p>
            <w:pPr>
              <w:spacing w:after="0"/>
              <w:rPr>
                <w:sz w:val="20"/>
                <w:szCs w:val="20"/>
                <w:color w:val="auto"/>
              </w:rPr>
            </w:pPr>
            <w:r>
              <w:rPr>
                <w:rFonts w:ascii="Arial" w:cs="Arial" w:eastAsia="Arial" w:hAnsi="Arial"/>
                <w:sz w:val="18"/>
                <w:szCs w:val="18"/>
                <w:color w:val="auto"/>
              </w:rPr>
              <w:t>Increase in domestic valuation allowance</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59,466</w:t>
            </w: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79,258</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26,843</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credit</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2"/>
              </w:rPr>
              <w:t>(10,712)</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(9,002)</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(2,636)</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720" w:type="dxa"/>
            <w:vAlign w:val="bottom"/>
          </w:tcPr>
          <w:p>
            <w:pPr>
              <w:spacing w:after="0"/>
              <w:rPr>
                <w:sz w:val="20"/>
                <w:szCs w:val="20"/>
                <w:color w:val="auto"/>
              </w:rPr>
            </w:pPr>
            <w:r>
              <w:rPr>
                <w:rFonts w:ascii="Arial" w:cs="Arial" w:eastAsia="Arial" w:hAnsi="Arial"/>
                <w:sz w:val="18"/>
                <w:szCs w:val="18"/>
                <w:color w:val="auto"/>
              </w:rPr>
              <w:t>Other adjustments</w:t>
            </w:r>
          </w:p>
        </w:tc>
        <w:tc>
          <w:tcPr>
            <w:tcW w:w="26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127</w:t>
            </w:r>
          </w:p>
        </w:tc>
        <w:tc>
          <w:tcPr>
            <w:tcW w:w="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Income tax expense (benefit)</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20" w:type="dxa"/>
            <w:vAlign w:val="bottom"/>
            <w:vMerge w:val="restart"/>
          </w:tcPr>
          <w:p>
            <w:pPr>
              <w:ind w:left="4440"/>
              <w:spacing w:after="0"/>
              <w:rPr>
                <w:sz w:val="20"/>
                <w:szCs w:val="20"/>
                <w:color w:val="auto"/>
              </w:rPr>
            </w:pPr>
            <w:r>
              <w:rPr>
                <w:rFonts w:ascii="Arial" w:cs="Arial" w:eastAsia="Arial" w:hAnsi="Arial"/>
                <w:sz w:val="18"/>
                <w:szCs w:val="18"/>
                <w:color w:val="auto"/>
              </w:rPr>
              <w:t>F-20</w:t>
            </w: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20" w:type="dxa"/>
            <w:vAlign w:val="bottom"/>
          </w:tcPr>
          <w:p>
            <w:pPr>
              <w:spacing w:after="0"/>
              <w:rPr>
                <w:sz w:val="24"/>
                <w:szCs w:val="24"/>
                <w:color w:val="auto"/>
              </w:rPr>
            </w:pPr>
          </w:p>
        </w:tc>
        <w:tc>
          <w:tcPr>
            <w:tcW w:w="5720" w:type="dxa"/>
            <w:vAlign w:val="bottom"/>
            <w:vMerge w:val="continue"/>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260"/>
          </w:cols>
          <w:pgMar w:left="320" w:top="486" w:right="131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8">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12. Quarterly Financial Data (unaudited)</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6"/>
          <w:szCs w:val="16"/>
          <w:color w:val="auto"/>
        </w:rPr>
        <w:t>The following tables present a summary of quarterly results of operations for 2022 and 2021 (in thousands, except shares and per share data):</w:t>
      </w:r>
    </w:p>
    <w:p>
      <w:pPr>
        <w:spacing w:after="0" w:line="267" w:lineRule="exact"/>
        <w:rPr>
          <w:sz w:val="20"/>
          <w:szCs w:val="20"/>
          <w:color w:val="auto"/>
        </w:rPr>
      </w:pPr>
    </w:p>
    <w:tbl>
      <w:tblPr>
        <w:tblLayout w:type="fixed"/>
        <w:tblInd w:w="560" w:type="dxa"/>
        <w:tblCellMar>
          <w:top w:w="0" w:type="dxa"/>
          <w:left w:w="0" w:type="dxa"/>
          <w:bottom w:w="0" w:type="dxa"/>
          <w:right w:w="0" w:type="dxa"/>
        </w:tblCellMar>
      </w:tblPr>
      <w:tr>
        <w:trPr>
          <w:trHeight w:val="171"/>
        </w:trPr>
        <w:tc>
          <w:tcPr>
            <w:tcW w:w="38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160" w:type="dxa"/>
            <w:vAlign w:val="bottom"/>
            <w:tcBorders>
              <w:bottom w:val="single" w:sz="8" w:color="auto"/>
            </w:tcBorders>
            <w:gridSpan w:val="5"/>
          </w:tcPr>
          <w:p>
            <w:pPr>
              <w:ind w:left="560"/>
              <w:spacing w:after="0"/>
              <w:rPr>
                <w:sz w:val="20"/>
                <w:szCs w:val="20"/>
                <w:color w:val="auto"/>
              </w:rPr>
            </w:pPr>
            <w:r>
              <w:rPr>
                <w:rFonts w:ascii="Arial" w:cs="Arial" w:eastAsia="Arial" w:hAnsi="Arial"/>
                <w:sz w:val="14"/>
                <w:szCs w:val="14"/>
                <w:b w:val="1"/>
                <w:bCs w:val="1"/>
                <w:color w:val="auto"/>
              </w:rPr>
              <w:t>Three months ended</w:t>
            </w:r>
          </w:p>
        </w:tc>
        <w:tc>
          <w:tcPr>
            <w:tcW w:w="8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8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5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March 31, 2022</w:t>
            </w:r>
          </w:p>
        </w:tc>
        <w:tc>
          <w:tcPr>
            <w:tcW w:w="1620" w:type="dxa"/>
            <w:vAlign w:val="bottom"/>
            <w:gridSpan w:val="3"/>
            <w:vMerge w:val="restart"/>
          </w:tcPr>
          <w:p>
            <w:pPr>
              <w:jc w:val="right"/>
              <w:ind w:right="760"/>
              <w:spacing w:after="0"/>
              <w:rPr>
                <w:sz w:val="20"/>
                <w:szCs w:val="20"/>
                <w:color w:val="auto"/>
              </w:rPr>
            </w:pPr>
            <w:r>
              <w:rPr>
                <w:rFonts w:ascii="Arial" w:cs="Arial" w:eastAsia="Arial" w:hAnsi="Arial"/>
                <w:sz w:val="14"/>
                <w:szCs w:val="14"/>
                <w:b w:val="1"/>
                <w:bCs w:val="1"/>
                <w:color w:val="auto"/>
                <w:w w:val="92"/>
              </w:rPr>
              <w:t>June 30, 2022</w:t>
            </w:r>
          </w:p>
        </w:tc>
        <w:tc>
          <w:tcPr>
            <w:tcW w:w="162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September 30,</w:t>
            </w:r>
          </w:p>
        </w:tc>
        <w:tc>
          <w:tcPr>
            <w:tcW w:w="900" w:type="dxa"/>
            <w:vAlign w:val="bottom"/>
            <w:gridSpan w:val="2"/>
          </w:tcPr>
          <w:p>
            <w:pPr>
              <w:jc w:val="center"/>
              <w:spacing w:after="0" w:line="119" w:lineRule="exact"/>
              <w:rPr>
                <w:sz w:val="20"/>
                <w:szCs w:val="20"/>
                <w:color w:val="auto"/>
              </w:rPr>
            </w:pPr>
            <w:r>
              <w:rPr>
                <w:rFonts w:ascii="Arial" w:cs="Arial" w:eastAsia="Arial" w:hAnsi="Arial"/>
                <w:sz w:val="13"/>
                <w:szCs w:val="13"/>
                <w:b w:val="1"/>
                <w:bCs w:val="1"/>
                <w:color w:val="auto"/>
                <w:w w:val="99"/>
              </w:rPr>
              <w:t>December 31,</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38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580" w:type="dxa"/>
            <w:vAlign w:val="bottom"/>
            <w:gridSpan w:val="3"/>
            <w:vMerge w:val="continue"/>
          </w:tcPr>
          <w:p>
            <w:pPr>
              <w:spacing w:after="0"/>
              <w:rPr>
                <w:sz w:val="14"/>
                <w:szCs w:val="14"/>
                <w:color w:val="auto"/>
              </w:rPr>
            </w:pPr>
          </w:p>
        </w:tc>
        <w:tc>
          <w:tcPr>
            <w:tcW w:w="162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tcPr>
          <w:p>
            <w:pPr>
              <w:jc w:val="right"/>
              <w:ind w:right="212"/>
              <w:spacing w:after="0"/>
              <w:rPr>
                <w:sz w:val="20"/>
                <w:szCs w:val="20"/>
                <w:color w:val="auto"/>
              </w:rPr>
            </w:pPr>
            <w:r>
              <w:rPr>
                <w:rFonts w:ascii="Arial" w:cs="Arial" w:eastAsia="Arial" w:hAnsi="Arial"/>
                <w:sz w:val="14"/>
                <w:szCs w:val="14"/>
                <w:b w:val="1"/>
                <w:bCs w:val="1"/>
                <w:color w:val="auto"/>
              </w:rPr>
              <w:t>2022</w:t>
            </w: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96"/>
              </w:rPr>
              <w:t>2022</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82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Revenues:</w:t>
            </w:r>
          </w:p>
        </w:tc>
        <w:tc>
          <w:tcPr>
            <w:tcW w:w="48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820" w:type="dxa"/>
            <w:vAlign w:val="bottom"/>
          </w:tcPr>
          <w:p>
            <w:pPr>
              <w:ind w:left="360"/>
              <w:spacing w:after="0"/>
              <w:rPr>
                <w:sz w:val="20"/>
                <w:szCs w:val="20"/>
                <w:color w:val="auto"/>
              </w:rPr>
            </w:pPr>
            <w:r>
              <w:rPr>
                <w:rFonts w:ascii="Arial" w:cs="Arial" w:eastAsia="Arial" w:hAnsi="Arial"/>
                <w:sz w:val="18"/>
                <w:szCs w:val="18"/>
                <w:color w:val="auto"/>
              </w:rPr>
              <w:t>Total revenues</w:t>
            </w:r>
          </w:p>
        </w:tc>
        <w:tc>
          <w:tcPr>
            <w:tcW w:w="600" w:type="dxa"/>
            <w:vAlign w:val="bottom"/>
            <w:gridSpan w:val="2"/>
          </w:tcPr>
          <w:p>
            <w:pPr>
              <w:ind w:left="480"/>
              <w:spacing w:after="0"/>
              <w:rPr>
                <w:sz w:val="20"/>
                <w:szCs w:val="20"/>
                <w:color w:val="auto"/>
              </w:rPr>
            </w:pPr>
            <w:r>
              <w:rPr>
                <w:rFonts w:ascii="Arial" w:cs="Arial" w:eastAsia="Arial" w:hAnsi="Arial"/>
                <w:sz w:val="18"/>
                <w:szCs w:val="18"/>
                <w:color w:val="auto"/>
                <w:w w:val="99"/>
              </w:rPr>
              <w:t>$</w:t>
            </w:r>
          </w:p>
        </w:tc>
        <w:tc>
          <w:tcPr>
            <w:tcW w:w="1460" w:type="dxa"/>
            <w:vAlign w:val="bottom"/>
            <w:gridSpan w:val="2"/>
          </w:tcPr>
          <w:p>
            <w:pPr>
              <w:jc w:val="right"/>
              <w:ind w:right="720"/>
              <w:spacing w:after="0"/>
              <w:rPr>
                <w:sz w:val="20"/>
                <w:szCs w:val="20"/>
                <w:color w:val="auto"/>
              </w:rPr>
            </w:pPr>
            <w:r>
              <w:rPr>
                <w:rFonts w:ascii="Arial" w:cs="Arial" w:eastAsia="Arial" w:hAnsi="Arial"/>
                <w:sz w:val="18"/>
                <w:szCs w:val="18"/>
                <w:color w:val="auto"/>
              </w:rPr>
              <w:t>—</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540" w:type="dxa"/>
            <w:vAlign w:val="bottom"/>
            <w:gridSpan w:val="2"/>
          </w:tcPr>
          <w:p>
            <w:pPr>
              <w:ind w:left="5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1540" w:type="dxa"/>
            <w:vAlign w:val="bottom"/>
            <w:gridSpan w:val="2"/>
          </w:tcPr>
          <w:p>
            <w:pPr>
              <w:jc w:val="right"/>
              <w:ind w:right="820"/>
              <w:spacing w:after="0"/>
              <w:rPr>
                <w:sz w:val="20"/>
                <w:szCs w:val="20"/>
                <w:color w:val="auto"/>
              </w:rPr>
            </w:pPr>
            <w:r>
              <w:rPr>
                <w:rFonts w:ascii="Arial" w:cs="Arial" w:eastAsia="Arial" w:hAnsi="Arial"/>
                <w:sz w:val="18"/>
                <w:szCs w:val="18"/>
                <w:color w:val="auto"/>
              </w:rPr>
              <w:t>—</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ind w:left="360"/>
              <w:spacing w:after="0"/>
              <w:rPr>
                <w:sz w:val="20"/>
                <w:szCs w:val="20"/>
                <w:color w:val="auto"/>
              </w:rPr>
            </w:pPr>
            <w:r>
              <w:rPr>
                <w:rFonts w:ascii="Arial" w:cs="Arial" w:eastAsia="Arial" w:hAnsi="Arial"/>
                <w:sz w:val="18"/>
                <w:szCs w:val="18"/>
                <w:color w:val="auto"/>
              </w:rPr>
              <w:t>Research and development</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2"/>
          </w:tcPr>
          <w:p>
            <w:pPr>
              <w:jc w:val="right"/>
              <w:ind w:right="620"/>
              <w:spacing w:after="0"/>
              <w:rPr>
                <w:sz w:val="20"/>
                <w:szCs w:val="20"/>
                <w:color w:val="auto"/>
              </w:rPr>
            </w:pPr>
            <w:r>
              <w:rPr>
                <w:rFonts w:ascii="Arial" w:cs="Arial" w:eastAsia="Arial" w:hAnsi="Arial"/>
                <w:sz w:val="18"/>
                <w:szCs w:val="18"/>
                <w:color w:val="auto"/>
              </w:rPr>
              <w:t>47,929</w:t>
            </w:r>
          </w:p>
        </w:tc>
        <w:tc>
          <w:tcPr>
            <w:tcW w:w="80" w:type="dxa"/>
            <w:vAlign w:val="bottom"/>
          </w:tcPr>
          <w:p>
            <w:pPr>
              <w:spacing w:after="0"/>
              <w:rPr>
                <w:sz w:val="18"/>
                <w:szCs w:val="18"/>
                <w:color w:val="auto"/>
              </w:rPr>
            </w:pPr>
          </w:p>
        </w:tc>
        <w:tc>
          <w:tcPr>
            <w:tcW w:w="1540" w:type="dxa"/>
            <w:vAlign w:val="bottom"/>
            <w:gridSpan w:val="2"/>
          </w:tcPr>
          <w:p>
            <w:pPr>
              <w:jc w:val="right"/>
              <w:ind w:right="720"/>
              <w:spacing w:after="0"/>
              <w:rPr>
                <w:sz w:val="20"/>
                <w:szCs w:val="20"/>
                <w:color w:val="auto"/>
              </w:rPr>
            </w:pPr>
            <w:r>
              <w:rPr>
                <w:rFonts w:ascii="Arial" w:cs="Arial" w:eastAsia="Arial" w:hAnsi="Arial"/>
                <w:sz w:val="18"/>
                <w:szCs w:val="18"/>
                <w:color w:val="auto"/>
              </w:rPr>
              <w:t>58,499</w:t>
            </w:r>
          </w:p>
        </w:tc>
        <w:tc>
          <w:tcPr>
            <w:tcW w:w="80" w:type="dxa"/>
            <w:vAlign w:val="bottom"/>
          </w:tcPr>
          <w:p>
            <w:pPr>
              <w:spacing w:after="0"/>
              <w:rPr>
                <w:sz w:val="18"/>
                <w:szCs w:val="18"/>
                <w:color w:val="auto"/>
              </w:rPr>
            </w:pPr>
          </w:p>
        </w:tc>
        <w:tc>
          <w:tcPr>
            <w:tcW w:w="1540" w:type="dxa"/>
            <w:vAlign w:val="bottom"/>
            <w:gridSpan w:val="2"/>
          </w:tcPr>
          <w:p>
            <w:pPr>
              <w:jc w:val="right"/>
              <w:ind w:right="720"/>
              <w:spacing w:after="0"/>
              <w:rPr>
                <w:sz w:val="20"/>
                <w:szCs w:val="20"/>
                <w:color w:val="auto"/>
              </w:rPr>
            </w:pPr>
            <w:r>
              <w:rPr>
                <w:rFonts w:ascii="Arial" w:cs="Arial" w:eastAsia="Arial" w:hAnsi="Arial"/>
                <w:sz w:val="18"/>
                <w:szCs w:val="18"/>
                <w:color w:val="auto"/>
              </w:rPr>
              <w:t>68,271</w:t>
            </w:r>
          </w:p>
        </w:tc>
        <w:tc>
          <w:tcPr>
            <w:tcW w:w="8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70,742</w:t>
            </w: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General and administrative</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9,658</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720"/>
              <w:spacing w:after="0"/>
              <w:rPr>
                <w:sz w:val="20"/>
                <w:szCs w:val="20"/>
                <w:color w:val="auto"/>
              </w:rPr>
            </w:pPr>
            <w:r>
              <w:rPr>
                <w:rFonts w:ascii="Arial" w:cs="Arial" w:eastAsia="Arial" w:hAnsi="Arial"/>
                <w:sz w:val="18"/>
                <w:szCs w:val="18"/>
                <w:color w:val="auto"/>
              </w:rPr>
              <w:t>11,774</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720"/>
              <w:spacing w:after="0"/>
              <w:rPr>
                <w:sz w:val="20"/>
                <w:szCs w:val="20"/>
                <w:color w:val="auto"/>
              </w:rPr>
            </w:pPr>
            <w:r>
              <w:rPr>
                <w:rFonts w:ascii="Arial" w:cs="Arial" w:eastAsia="Arial" w:hAnsi="Arial"/>
                <w:sz w:val="18"/>
                <w:szCs w:val="18"/>
                <w:color w:val="auto"/>
              </w:rPr>
              <w:t>12,141</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14,557</w:t>
            </w:r>
          </w:p>
        </w:tc>
        <w:tc>
          <w:tcPr>
            <w:tcW w:w="0" w:type="dxa"/>
            <w:vAlign w:val="bottom"/>
          </w:tcPr>
          <w:p>
            <w:pPr>
              <w:spacing w:after="0"/>
              <w:rPr>
                <w:sz w:val="1"/>
                <w:szCs w:val="1"/>
                <w:color w:val="auto"/>
              </w:rPr>
            </w:pPr>
          </w:p>
        </w:tc>
      </w:tr>
      <w:tr>
        <w:trPr>
          <w:trHeight w:val="230"/>
        </w:trPr>
        <w:tc>
          <w:tcPr>
            <w:tcW w:w="3820" w:type="dxa"/>
            <w:vAlign w:val="bottom"/>
          </w:tcPr>
          <w:p>
            <w:pPr>
              <w:ind w:left="360"/>
              <w:spacing w:after="0"/>
              <w:rPr>
                <w:sz w:val="20"/>
                <w:szCs w:val="20"/>
                <w:color w:val="auto"/>
              </w:rPr>
            </w:pPr>
            <w:r>
              <w:rPr>
                <w:rFonts w:ascii="Arial" w:cs="Arial" w:eastAsia="Arial" w:hAnsi="Arial"/>
                <w:sz w:val="18"/>
                <w:szCs w:val="18"/>
                <w:color w:val="auto"/>
              </w:rPr>
              <w:t>Total operating expenses</w:t>
            </w:r>
          </w:p>
        </w:tc>
        <w:tc>
          <w:tcPr>
            <w:tcW w:w="480" w:type="dxa"/>
            <w:vAlign w:val="bottom"/>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57,587</w:t>
            </w:r>
          </w:p>
        </w:tc>
        <w:tc>
          <w:tcPr>
            <w:tcW w:w="6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70,273</w:t>
            </w:r>
          </w:p>
        </w:tc>
        <w:tc>
          <w:tcPr>
            <w:tcW w:w="7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80,412</w:t>
            </w:r>
          </w:p>
        </w:tc>
        <w:tc>
          <w:tcPr>
            <w:tcW w:w="7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85,299</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Loss from operations</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(57,587)</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(70,273)</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(80,412)</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(85,299)</w:t>
            </w:r>
          </w:p>
        </w:tc>
        <w:tc>
          <w:tcPr>
            <w:tcW w:w="0" w:type="dxa"/>
            <w:vAlign w:val="bottom"/>
          </w:tcPr>
          <w:p>
            <w:pPr>
              <w:spacing w:after="0"/>
              <w:rPr>
                <w:sz w:val="1"/>
                <w:szCs w:val="1"/>
                <w:color w:val="auto"/>
              </w:rPr>
            </w:pPr>
          </w:p>
        </w:tc>
      </w:tr>
      <w:tr>
        <w:trPr>
          <w:trHeight w:val="216"/>
        </w:trPr>
        <w:tc>
          <w:tcPr>
            <w:tcW w:w="3820" w:type="dxa"/>
            <w:vAlign w:val="bottom"/>
          </w:tcPr>
          <w:p>
            <w:pPr>
              <w:ind w:left="360"/>
              <w:spacing w:after="0"/>
              <w:rPr>
                <w:sz w:val="20"/>
                <w:szCs w:val="20"/>
                <w:color w:val="auto"/>
              </w:rPr>
            </w:pPr>
            <w:r>
              <w:rPr>
                <w:rFonts w:ascii="Arial" w:cs="Arial" w:eastAsia="Arial" w:hAnsi="Arial"/>
                <w:sz w:val="18"/>
                <w:szCs w:val="18"/>
                <w:color w:val="auto"/>
              </w:rPr>
              <w:t>Interest income</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2"/>
          </w:tcPr>
          <w:p>
            <w:pPr>
              <w:jc w:val="right"/>
              <w:ind w:right="620"/>
              <w:spacing w:after="0"/>
              <w:rPr>
                <w:sz w:val="20"/>
                <w:szCs w:val="20"/>
                <w:color w:val="auto"/>
              </w:rPr>
            </w:pPr>
            <w:r>
              <w:rPr>
                <w:rFonts w:ascii="Arial" w:cs="Arial" w:eastAsia="Arial" w:hAnsi="Arial"/>
                <w:sz w:val="18"/>
                <w:szCs w:val="18"/>
                <w:color w:val="auto"/>
              </w:rPr>
              <w:t>69</w:t>
            </w:r>
          </w:p>
        </w:tc>
        <w:tc>
          <w:tcPr>
            <w:tcW w:w="80" w:type="dxa"/>
            <w:vAlign w:val="bottom"/>
          </w:tcPr>
          <w:p>
            <w:pPr>
              <w:spacing w:after="0"/>
              <w:rPr>
                <w:sz w:val="18"/>
                <w:szCs w:val="18"/>
                <w:color w:val="auto"/>
              </w:rPr>
            </w:pPr>
          </w:p>
        </w:tc>
        <w:tc>
          <w:tcPr>
            <w:tcW w:w="1540" w:type="dxa"/>
            <w:vAlign w:val="bottom"/>
            <w:gridSpan w:val="2"/>
          </w:tcPr>
          <w:p>
            <w:pPr>
              <w:jc w:val="right"/>
              <w:ind w:right="720"/>
              <w:spacing w:after="0"/>
              <w:rPr>
                <w:sz w:val="20"/>
                <w:szCs w:val="20"/>
                <w:color w:val="auto"/>
              </w:rPr>
            </w:pPr>
            <w:r>
              <w:rPr>
                <w:rFonts w:ascii="Arial" w:cs="Arial" w:eastAsia="Arial" w:hAnsi="Arial"/>
                <w:sz w:val="18"/>
                <w:szCs w:val="18"/>
                <w:color w:val="auto"/>
              </w:rPr>
              <w:t>323</w:t>
            </w:r>
          </w:p>
        </w:tc>
        <w:tc>
          <w:tcPr>
            <w:tcW w:w="80" w:type="dxa"/>
            <w:vAlign w:val="bottom"/>
          </w:tcPr>
          <w:p>
            <w:pPr>
              <w:spacing w:after="0"/>
              <w:rPr>
                <w:sz w:val="18"/>
                <w:szCs w:val="18"/>
                <w:color w:val="auto"/>
              </w:rPr>
            </w:pPr>
          </w:p>
        </w:tc>
        <w:tc>
          <w:tcPr>
            <w:tcW w:w="1540" w:type="dxa"/>
            <w:vAlign w:val="bottom"/>
            <w:gridSpan w:val="2"/>
          </w:tcPr>
          <w:p>
            <w:pPr>
              <w:jc w:val="right"/>
              <w:ind w:right="720"/>
              <w:spacing w:after="0"/>
              <w:rPr>
                <w:sz w:val="20"/>
                <w:szCs w:val="20"/>
                <w:color w:val="auto"/>
              </w:rPr>
            </w:pPr>
            <w:r>
              <w:rPr>
                <w:rFonts w:ascii="Arial" w:cs="Arial" w:eastAsia="Arial" w:hAnsi="Arial"/>
                <w:sz w:val="18"/>
                <w:szCs w:val="18"/>
                <w:color w:val="auto"/>
              </w:rPr>
              <w:t>717</w:t>
            </w:r>
          </w:p>
        </w:tc>
        <w:tc>
          <w:tcPr>
            <w:tcW w:w="8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1,076</w:t>
            </w: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Interest expense</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7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(780)</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(1,502)</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(1,682)</w:t>
            </w:r>
          </w:p>
        </w:tc>
        <w:tc>
          <w:tcPr>
            <w:tcW w:w="0" w:type="dxa"/>
            <w:vAlign w:val="bottom"/>
          </w:tcPr>
          <w:p>
            <w:pPr>
              <w:spacing w:after="0"/>
              <w:rPr>
                <w:sz w:val="1"/>
                <w:szCs w:val="1"/>
                <w:color w:val="auto"/>
              </w:rPr>
            </w:pPr>
          </w:p>
        </w:tc>
      </w:tr>
      <w:tr>
        <w:trPr>
          <w:trHeight w:val="223"/>
        </w:trPr>
        <w:tc>
          <w:tcPr>
            <w:tcW w:w="3820" w:type="dxa"/>
            <w:vAlign w:val="bottom"/>
          </w:tcPr>
          <w:p>
            <w:pPr>
              <w:ind w:left="360"/>
              <w:spacing w:after="0"/>
              <w:rPr>
                <w:sz w:val="20"/>
                <w:szCs w:val="20"/>
                <w:color w:val="auto"/>
              </w:rPr>
            </w:pPr>
            <w:r>
              <w:rPr>
                <w:rFonts w:ascii="Arial" w:cs="Arial" w:eastAsia="Arial" w:hAnsi="Arial"/>
                <w:sz w:val="18"/>
                <w:szCs w:val="18"/>
                <w:color w:val="auto"/>
              </w:rPr>
              <w:t>Other income</w:t>
            </w:r>
          </w:p>
        </w:tc>
        <w:tc>
          <w:tcPr>
            <w:tcW w:w="4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ind w:left="540"/>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Net loss</w:t>
            </w:r>
          </w:p>
        </w:tc>
        <w:tc>
          <w:tcPr>
            <w:tcW w:w="60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w w:val="99"/>
              </w:rPr>
              <w:t>$</w:t>
            </w:r>
          </w:p>
        </w:tc>
        <w:tc>
          <w:tcPr>
            <w:tcW w:w="14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(57,518)</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5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(70,730)</w:t>
            </w: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15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(81,197)</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(85,905)</w:t>
            </w:r>
          </w:p>
        </w:tc>
        <w:tc>
          <w:tcPr>
            <w:tcW w:w="0" w:type="dxa"/>
            <w:vAlign w:val="bottom"/>
          </w:tcPr>
          <w:p>
            <w:pPr>
              <w:spacing w:after="0"/>
              <w:rPr>
                <w:sz w:val="1"/>
                <w:szCs w:val="1"/>
                <w:color w:val="auto"/>
              </w:rPr>
            </w:pPr>
          </w:p>
        </w:tc>
      </w:tr>
      <w:tr>
        <w:trPr>
          <w:trHeight w:val="20"/>
        </w:trPr>
        <w:tc>
          <w:tcPr>
            <w:tcW w:w="3820" w:type="dxa"/>
            <w:vAlign w:val="bottom"/>
            <w:vMerge w:val="restart"/>
          </w:tcPr>
          <w:p>
            <w:pPr>
              <w:spacing w:after="0"/>
              <w:rPr>
                <w:sz w:val="20"/>
                <w:szCs w:val="20"/>
                <w:color w:val="auto"/>
              </w:rPr>
            </w:pPr>
            <w:r>
              <w:rPr>
                <w:rFonts w:ascii="Arial" w:cs="Arial" w:eastAsia="Arial" w:hAnsi="Arial"/>
                <w:sz w:val="18"/>
                <w:szCs w:val="18"/>
                <w:color w:val="auto"/>
              </w:rPr>
              <w:t>Net loss per common share:</w:t>
            </w:r>
          </w:p>
        </w:tc>
        <w:tc>
          <w:tcPr>
            <w:tcW w:w="4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820" w:type="dxa"/>
            <w:vAlign w:val="bottom"/>
            <w:vMerge w:val="continue"/>
          </w:tcPr>
          <w:p>
            <w:pPr>
              <w:spacing w:after="0"/>
              <w:rPr>
                <w:sz w:val="18"/>
                <w:szCs w:val="18"/>
                <w:color w:val="auto"/>
              </w:rPr>
            </w:pP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Basic and diluted net loss per common share</w:t>
            </w:r>
          </w:p>
        </w:tc>
        <w:tc>
          <w:tcPr>
            <w:tcW w:w="60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w w:val="99"/>
              </w:rPr>
              <w:t>$</w:t>
            </w:r>
          </w:p>
        </w:tc>
        <w:tc>
          <w:tcPr>
            <w:tcW w:w="14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(3.36)</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5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(4.14)</w:t>
            </w: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15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(4.75)</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(4.98)</w:t>
            </w:r>
          </w:p>
        </w:tc>
        <w:tc>
          <w:tcPr>
            <w:tcW w:w="0" w:type="dxa"/>
            <w:vAlign w:val="bottom"/>
          </w:tcPr>
          <w:p>
            <w:pPr>
              <w:spacing w:after="0"/>
              <w:rPr>
                <w:sz w:val="1"/>
                <w:szCs w:val="1"/>
                <w:color w:val="auto"/>
              </w:rPr>
            </w:pPr>
          </w:p>
        </w:tc>
      </w:tr>
      <w:tr>
        <w:trPr>
          <w:trHeight w:val="202"/>
        </w:trPr>
        <w:tc>
          <w:tcPr>
            <w:tcW w:w="3820" w:type="dxa"/>
            <w:vAlign w:val="bottom"/>
          </w:tcPr>
          <w:p>
            <w:pPr>
              <w:spacing w:after="0" w:line="201" w:lineRule="exact"/>
              <w:rPr>
                <w:sz w:val="20"/>
                <w:szCs w:val="20"/>
                <w:color w:val="auto"/>
              </w:rPr>
            </w:pPr>
            <w:r>
              <w:rPr>
                <w:rFonts w:ascii="Arial" w:cs="Arial" w:eastAsia="Arial" w:hAnsi="Arial"/>
                <w:sz w:val="18"/>
                <w:szCs w:val="18"/>
                <w:color w:val="auto"/>
              </w:rPr>
              <w:t>Basic and diluted weighted average number of</w:t>
            </w:r>
          </w:p>
        </w:tc>
        <w:tc>
          <w:tcPr>
            <w:tcW w:w="4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820" w:type="dxa"/>
            <w:vAlign w:val="bottom"/>
          </w:tcPr>
          <w:p>
            <w:pPr>
              <w:ind w:left="180"/>
              <w:spacing w:after="0"/>
              <w:rPr>
                <w:sz w:val="20"/>
                <w:szCs w:val="20"/>
                <w:color w:val="auto"/>
              </w:rPr>
            </w:pPr>
            <w:r>
              <w:rPr>
                <w:rFonts w:ascii="Arial" w:cs="Arial" w:eastAsia="Arial" w:hAnsi="Arial"/>
                <w:sz w:val="18"/>
                <w:szCs w:val="18"/>
                <w:color w:val="auto"/>
              </w:rPr>
              <w:t>common shares outstanding</w:t>
            </w:r>
          </w:p>
        </w:tc>
        <w:tc>
          <w:tcPr>
            <w:tcW w:w="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60" w:type="dxa"/>
            <w:vAlign w:val="bottom"/>
            <w:gridSpan w:val="2"/>
          </w:tcPr>
          <w:p>
            <w:pPr>
              <w:jc w:val="right"/>
              <w:ind w:right="620"/>
              <w:spacing w:after="0"/>
              <w:rPr>
                <w:sz w:val="20"/>
                <w:szCs w:val="20"/>
                <w:color w:val="auto"/>
              </w:rPr>
            </w:pPr>
            <w:r>
              <w:rPr>
                <w:rFonts w:ascii="Arial" w:cs="Arial" w:eastAsia="Arial" w:hAnsi="Arial"/>
                <w:sz w:val="18"/>
                <w:szCs w:val="18"/>
                <w:color w:val="auto"/>
                <w:w w:val="90"/>
              </w:rPr>
              <w:t>17,103,395</w:t>
            </w:r>
          </w:p>
        </w:tc>
        <w:tc>
          <w:tcPr>
            <w:tcW w:w="80" w:type="dxa"/>
            <w:vAlign w:val="bottom"/>
          </w:tcPr>
          <w:p>
            <w:pPr>
              <w:spacing w:after="0"/>
              <w:rPr>
                <w:sz w:val="20"/>
                <w:szCs w:val="20"/>
                <w:color w:val="auto"/>
              </w:rPr>
            </w:pPr>
          </w:p>
        </w:tc>
        <w:tc>
          <w:tcPr>
            <w:tcW w:w="1540" w:type="dxa"/>
            <w:vAlign w:val="bottom"/>
            <w:gridSpan w:val="2"/>
          </w:tcPr>
          <w:p>
            <w:pPr>
              <w:jc w:val="right"/>
              <w:ind w:right="720"/>
              <w:spacing w:after="0"/>
              <w:rPr>
                <w:sz w:val="20"/>
                <w:szCs w:val="20"/>
                <w:color w:val="auto"/>
              </w:rPr>
            </w:pPr>
            <w:r>
              <w:rPr>
                <w:rFonts w:ascii="Arial" w:cs="Arial" w:eastAsia="Arial" w:hAnsi="Arial"/>
                <w:sz w:val="18"/>
                <w:szCs w:val="18"/>
                <w:color w:val="auto"/>
                <w:w w:val="88"/>
              </w:rPr>
              <w:t>17,103,395</w:t>
            </w:r>
          </w:p>
        </w:tc>
        <w:tc>
          <w:tcPr>
            <w:tcW w:w="80" w:type="dxa"/>
            <w:vAlign w:val="bottom"/>
          </w:tcPr>
          <w:p>
            <w:pPr>
              <w:spacing w:after="0"/>
              <w:rPr>
                <w:sz w:val="20"/>
                <w:szCs w:val="20"/>
                <w:color w:val="auto"/>
              </w:rPr>
            </w:pPr>
          </w:p>
        </w:tc>
        <w:tc>
          <w:tcPr>
            <w:tcW w:w="1540" w:type="dxa"/>
            <w:vAlign w:val="bottom"/>
            <w:gridSpan w:val="2"/>
          </w:tcPr>
          <w:p>
            <w:pPr>
              <w:jc w:val="right"/>
              <w:ind w:right="720"/>
              <w:spacing w:after="0"/>
              <w:rPr>
                <w:sz w:val="20"/>
                <w:szCs w:val="20"/>
                <w:color w:val="auto"/>
              </w:rPr>
            </w:pPr>
            <w:r>
              <w:rPr>
                <w:rFonts w:ascii="Arial" w:cs="Arial" w:eastAsia="Arial" w:hAnsi="Arial"/>
                <w:sz w:val="18"/>
                <w:szCs w:val="18"/>
                <w:color w:val="auto"/>
                <w:w w:val="88"/>
              </w:rPr>
              <w:t>17,103,395</w:t>
            </w:r>
          </w:p>
        </w:tc>
        <w:tc>
          <w:tcPr>
            <w:tcW w:w="80" w:type="dxa"/>
            <w:vAlign w:val="bottom"/>
          </w:tcPr>
          <w:p>
            <w:pPr>
              <w:spacing w:after="0"/>
              <w:rPr>
                <w:sz w:val="20"/>
                <w:szCs w:val="20"/>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17,237,517</w:t>
            </w:r>
          </w:p>
        </w:tc>
        <w:tc>
          <w:tcPr>
            <w:tcW w:w="0" w:type="dxa"/>
            <w:vAlign w:val="bottom"/>
          </w:tcPr>
          <w:p>
            <w:pPr>
              <w:spacing w:after="0"/>
              <w:rPr>
                <w:sz w:val="1"/>
                <w:szCs w:val="1"/>
                <w:color w:val="auto"/>
              </w:rPr>
            </w:pPr>
          </w:p>
        </w:tc>
      </w:tr>
      <w:tr>
        <w:trPr>
          <w:trHeight w:val="392"/>
        </w:trPr>
        <w:tc>
          <w:tcPr>
            <w:tcW w:w="38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160" w:type="dxa"/>
            <w:vAlign w:val="bottom"/>
            <w:tcBorders>
              <w:bottom w:val="single" w:sz="8" w:color="auto"/>
            </w:tcBorders>
            <w:gridSpan w:val="5"/>
          </w:tcPr>
          <w:p>
            <w:pPr>
              <w:ind w:left="560"/>
              <w:spacing w:after="0"/>
              <w:rPr>
                <w:sz w:val="20"/>
                <w:szCs w:val="20"/>
                <w:color w:val="auto"/>
              </w:rPr>
            </w:pPr>
            <w:r>
              <w:rPr>
                <w:rFonts w:ascii="Arial" w:cs="Arial" w:eastAsia="Arial" w:hAnsi="Arial"/>
                <w:sz w:val="14"/>
                <w:szCs w:val="14"/>
                <w:b w:val="1"/>
                <w:bCs w:val="1"/>
                <w:color w:val="auto"/>
              </w:rPr>
              <w:t>Three months ended</w:t>
            </w:r>
          </w:p>
        </w:tc>
        <w:tc>
          <w:tcPr>
            <w:tcW w:w="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38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5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March 31, 2021</w:t>
            </w:r>
          </w:p>
        </w:tc>
        <w:tc>
          <w:tcPr>
            <w:tcW w:w="1620" w:type="dxa"/>
            <w:vAlign w:val="bottom"/>
            <w:gridSpan w:val="3"/>
            <w:vMerge w:val="restart"/>
          </w:tcPr>
          <w:p>
            <w:pPr>
              <w:jc w:val="right"/>
              <w:ind w:right="760"/>
              <w:spacing w:after="0"/>
              <w:rPr>
                <w:sz w:val="20"/>
                <w:szCs w:val="20"/>
                <w:color w:val="auto"/>
              </w:rPr>
            </w:pPr>
            <w:r>
              <w:rPr>
                <w:rFonts w:ascii="Arial" w:cs="Arial" w:eastAsia="Arial" w:hAnsi="Arial"/>
                <w:sz w:val="14"/>
                <w:szCs w:val="14"/>
                <w:b w:val="1"/>
                <w:bCs w:val="1"/>
                <w:color w:val="auto"/>
                <w:w w:val="92"/>
              </w:rPr>
              <w:t>June 30, 2021</w:t>
            </w:r>
          </w:p>
        </w:tc>
        <w:tc>
          <w:tcPr>
            <w:tcW w:w="162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September 30,</w:t>
            </w:r>
          </w:p>
        </w:tc>
        <w:tc>
          <w:tcPr>
            <w:tcW w:w="900" w:type="dxa"/>
            <w:vAlign w:val="bottom"/>
            <w:gridSpan w:val="2"/>
          </w:tcPr>
          <w:p>
            <w:pPr>
              <w:jc w:val="center"/>
              <w:spacing w:after="0" w:line="119" w:lineRule="exact"/>
              <w:rPr>
                <w:sz w:val="20"/>
                <w:szCs w:val="20"/>
                <w:color w:val="auto"/>
              </w:rPr>
            </w:pPr>
            <w:r>
              <w:rPr>
                <w:rFonts w:ascii="Arial" w:cs="Arial" w:eastAsia="Arial" w:hAnsi="Arial"/>
                <w:sz w:val="13"/>
                <w:szCs w:val="13"/>
                <w:b w:val="1"/>
                <w:bCs w:val="1"/>
                <w:color w:val="auto"/>
                <w:w w:val="99"/>
              </w:rPr>
              <w:t>December 31,</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38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580" w:type="dxa"/>
            <w:vAlign w:val="bottom"/>
            <w:gridSpan w:val="3"/>
            <w:vMerge w:val="continue"/>
          </w:tcPr>
          <w:p>
            <w:pPr>
              <w:spacing w:after="0"/>
              <w:rPr>
                <w:sz w:val="14"/>
                <w:szCs w:val="14"/>
                <w:color w:val="auto"/>
              </w:rPr>
            </w:pPr>
          </w:p>
        </w:tc>
        <w:tc>
          <w:tcPr>
            <w:tcW w:w="162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tcPr>
          <w:p>
            <w:pPr>
              <w:jc w:val="right"/>
              <w:ind w:right="212"/>
              <w:spacing w:after="0"/>
              <w:rPr>
                <w:sz w:val="20"/>
                <w:szCs w:val="20"/>
                <w:color w:val="auto"/>
              </w:rPr>
            </w:pPr>
            <w:r>
              <w:rPr>
                <w:rFonts w:ascii="Arial" w:cs="Arial" w:eastAsia="Arial" w:hAnsi="Arial"/>
                <w:sz w:val="14"/>
                <w:szCs w:val="14"/>
                <w:b w:val="1"/>
                <w:bCs w:val="1"/>
                <w:color w:val="auto"/>
              </w:rPr>
              <w:t>2021</w:t>
            </w: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96"/>
              </w:rPr>
              <w:t>2021</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82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Revenues:</w:t>
            </w:r>
          </w:p>
        </w:tc>
        <w:tc>
          <w:tcPr>
            <w:tcW w:w="48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820" w:type="dxa"/>
            <w:vAlign w:val="bottom"/>
          </w:tcPr>
          <w:p>
            <w:pPr>
              <w:ind w:left="360"/>
              <w:spacing w:after="0"/>
              <w:rPr>
                <w:sz w:val="20"/>
                <w:szCs w:val="20"/>
                <w:color w:val="auto"/>
              </w:rPr>
            </w:pPr>
            <w:r>
              <w:rPr>
                <w:rFonts w:ascii="Arial" w:cs="Arial" w:eastAsia="Arial" w:hAnsi="Arial"/>
                <w:sz w:val="18"/>
                <w:szCs w:val="18"/>
                <w:color w:val="auto"/>
              </w:rPr>
              <w:t>Total revenues</w:t>
            </w:r>
          </w:p>
        </w:tc>
        <w:tc>
          <w:tcPr>
            <w:tcW w:w="600" w:type="dxa"/>
            <w:vAlign w:val="bottom"/>
            <w:gridSpan w:val="2"/>
          </w:tcPr>
          <w:p>
            <w:pPr>
              <w:ind w:left="480"/>
              <w:spacing w:after="0"/>
              <w:rPr>
                <w:sz w:val="20"/>
                <w:szCs w:val="20"/>
                <w:color w:val="auto"/>
              </w:rPr>
            </w:pPr>
            <w:r>
              <w:rPr>
                <w:rFonts w:ascii="Arial" w:cs="Arial" w:eastAsia="Arial" w:hAnsi="Arial"/>
                <w:sz w:val="18"/>
                <w:szCs w:val="18"/>
                <w:color w:val="auto"/>
                <w:w w:val="99"/>
              </w:rPr>
              <w:t>$</w:t>
            </w:r>
          </w:p>
        </w:tc>
        <w:tc>
          <w:tcPr>
            <w:tcW w:w="1460" w:type="dxa"/>
            <w:vAlign w:val="bottom"/>
            <w:gridSpan w:val="2"/>
          </w:tcPr>
          <w:p>
            <w:pPr>
              <w:jc w:val="right"/>
              <w:ind w:right="720"/>
              <w:spacing w:after="0"/>
              <w:rPr>
                <w:sz w:val="20"/>
                <w:szCs w:val="20"/>
                <w:color w:val="auto"/>
              </w:rPr>
            </w:pPr>
            <w:r>
              <w:rPr>
                <w:rFonts w:ascii="Arial" w:cs="Arial" w:eastAsia="Arial" w:hAnsi="Arial"/>
                <w:sz w:val="18"/>
                <w:szCs w:val="18"/>
                <w:color w:val="auto"/>
              </w:rPr>
              <w:t>—</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540" w:type="dxa"/>
            <w:vAlign w:val="bottom"/>
            <w:gridSpan w:val="2"/>
          </w:tcPr>
          <w:p>
            <w:pPr>
              <w:ind w:left="5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1540" w:type="dxa"/>
            <w:vAlign w:val="bottom"/>
            <w:gridSpan w:val="2"/>
          </w:tcPr>
          <w:p>
            <w:pPr>
              <w:jc w:val="right"/>
              <w:ind w:right="820"/>
              <w:spacing w:after="0"/>
              <w:rPr>
                <w:sz w:val="20"/>
                <w:szCs w:val="20"/>
                <w:color w:val="auto"/>
              </w:rPr>
            </w:pPr>
            <w:r>
              <w:rPr>
                <w:rFonts w:ascii="Arial" w:cs="Arial" w:eastAsia="Arial" w:hAnsi="Arial"/>
                <w:sz w:val="18"/>
                <w:szCs w:val="18"/>
                <w:color w:val="auto"/>
              </w:rPr>
              <w:t>—</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tcPr>
          <w:p>
            <w:pPr>
              <w:ind w:left="360"/>
              <w:spacing w:after="0"/>
              <w:rPr>
                <w:sz w:val="20"/>
                <w:szCs w:val="20"/>
                <w:color w:val="auto"/>
              </w:rPr>
            </w:pPr>
            <w:r>
              <w:rPr>
                <w:rFonts w:ascii="Arial" w:cs="Arial" w:eastAsia="Arial" w:hAnsi="Arial"/>
                <w:sz w:val="18"/>
                <w:szCs w:val="18"/>
                <w:color w:val="auto"/>
              </w:rPr>
              <w:t>Research and development</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2"/>
          </w:tcPr>
          <w:p>
            <w:pPr>
              <w:jc w:val="right"/>
              <w:ind w:right="620"/>
              <w:spacing w:after="0"/>
              <w:rPr>
                <w:sz w:val="20"/>
                <w:szCs w:val="20"/>
                <w:color w:val="auto"/>
              </w:rPr>
            </w:pPr>
            <w:r>
              <w:rPr>
                <w:rFonts w:ascii="Arial" w:cs="Arial" w:eastAsia="Arial" w:hAnsi="Arial"/>
                <w:sz w:val="18"/>
                <w:szCs w:val="18"/>
                <w:color w:val="auto"/>
              </w:rPr>
              <w:t>45,770</w:t>
            </w:r>
          </w:p>
        </w:tc>
        <w:tc>
          <w:tcPr>
            <w:tcW w:w="80" w:type="dxa"/>
            <w:vAlign w:val="bottom"/>
          </w:tcPr>
          <w:p>
            <w:pPr>
              <w:spacing w:after="0"/>
              <w:rPr>
                <w:sz w:val="18"/>
                <w:szCs w:val="18"/>
                <w:color w:val="auto"/>
              </w:rPr>
            </w:pPr>
          </w:p>
        </w:tc>
        <w:tc>
          <w:tcPr>
            <w:tcW w:w="1540" w:type="dxa"/>
            <w:vAlign w:val="bottom"/>
            <w:gridSpan w:val="2"/>
          </w:tcPr>
          <w:p>
            <w:pPr>
              <w:jc w:val="right"/>
              <w:ind w:right="720"/>
              <w:spacing w:after="0"/>
              <w:rPr>
                <w:sz w:val="20"/>
                <w:szCs w:val="20"/>
                <w:color w:val="auto"/>
              </w:rPr>
            </w:pPr>
            <w:r>
              <w:rPr>
                <w:rFonts w:ascii="Arial" w:cs="Arial" w:eastAsia="Arial" w:hAnsi="Arial"/>
                <w:sz w:val="18"/>
                <w:szCs w:val="18"/>
                <w:color w:val="auto"/>
              </w:rPr>
              <w:t>51,632</w:t>
            </w:r>
          </w:p>
        </w:tc>
        <w:tc>
          <w:tcPr>
            <w:tcW w:w="80" w:type="dxa"/>
            <w:vAlign w:val="bottom"/>
          </w:tcPr>
          <w:p>
            <w:pPr>
              <w:spacing w:after="0"/>
              <w:rPr>
                <w:sz w:val="18"/>
                <w:szCs w:val="18"/>
                <w:color w:val="auto"/>
              </w:rPr>
            </w:pPr>
          </w:p>
        </w:tc>
        <w:tc>
          <w:tcPr>
            <w:tcW w:w="1540" w:type="dxa"/>
            <w:vAlign w:val="bottom"/>
            <w:gridSpan w:val="2"/>
          </w:tcPr>
          <w:p>
            <w:pPr>
              <w:jc w:val="right"/>
              <w:ind w:right="720"/>
              <w:spacing w:after="0"/>
              <w:rPr>
                <w:sz w:val="20"/>
                <w:szCs w:val="20"/>
                <w:color w:val="auto"/>
              </w:rPr>
            </w:pPr>
            <w:r>
              <w:rPr>
                <w:rFonts w:ascii="Arial" w:cs="Arial" w:eastAsia="Arial" w:hAnsi="Arial"/>
                <w:sz w:val="18"/>
                <w:szCs w:val="18"/>
                <w:color w:val="auto"/>
              </w:rPr>
              <w:t>54,873</w:t>
            </w:r>
          </w:p>
        </w:tc>
        <w:tc>
          <w:tcPr>
            <w:tcW w:w="8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52,889</w:t>
            </w: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General and administrative</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7,209</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720"/>
              <w:spacing w:after="0"/>
              <w:rPr>
                <w:sz w:val="20"/>
                <w:szCs w:val="20"/>
                <w:color w:val="auto"/>
              </w:rPr>
            </w:pPr>
            <w:r>
              <w:rPr>
                <w:rFonts w:ascii="Arial" w:cs="Arial" w:eastAsia="Arial" w:hAnsi="Arial"/>
                <w:sz w:val="18"/>
                <w:szCs w:val="18"/>
                <w:color w:val="auto"/>
              </w:rPr>
              <w:t>10,110</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720"/>
              <w:spacing w:after="0"/>
              <w:rPr>
                <w:sz w:val="20"/>
                <w:szCs w:val="20"/>
                <w:color w:val="auto"/>
              </w:rPr>
            </w:pPr>
            <w:r>
              <w:rPr>
                <w:rFonts w:ascii="Arial" w:cs="Arial" w:eastAsia="Arial" w:hAnsi="Arial"/>
                <w:sz w:val="18"/>
                <w:szCs w:val="18"/>
                <w:color w:val="auto"/>
              </w:rPr>
              <w:t>8,287</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11,712</w:t>
            </w:r>
          </w:p>
        </w:tc>
        <w:tc>
          <w:tcPr>
            <w:tcW w:w="0" w:type="dxa"/>
            <w:vAlign w:val="bottom"/>
          </w:tcPr>
          <w:p>
            <w:pPr>
              <w:spacing w:after="0"/>
              <w:rPr>
                <w:sz w:val="1"/>
                <w:szCs w:val="1"/>
                <w:color w:val="auto"/>
              </w:rPr>
            </w:pPr>
          </w:p>
        </w:tc>
      </w:tr>
      <w:tr>
        <w:trPr>
          <w:trHeight w:val="230"/>
        </w:trPr>
        <w:tc>
          <w:tcPr>
            <w:tcW w:w="3820" w:type="dxa"/>
            <w:vAlign w:val="bottom"/>
          </w:tcPr>
          <w:p>
            <w:pPr>
              <w:ind w:left="360"/>
              <w:spacing w:after="0"/>
              <w:rPr>
                <w:sz w:val="20"/>
                <w:szCs w:val="20"/>
                <w:color w:val="auto"/>
              </w:rPr>
            </w:pPr>
            <w:r>
              <w:rPr>
                <w:rFonts w:ascii="Arial" w:cs="Arial" w:eastAsia="Arial" w:hAnsi="Arial"/>
                <w:sz w:val="18"/>
                <w:szCs w:val="18"/>
                <w:color w:val="auto"/>
              </w:rPr>
              <w:t>Total operating expenses</w:t>
            </w:r>
          </w:p>
        </w:tc>
        <w:tc>
          <w:tcPr>
            <w:tcW w:w="480" w:type="dxa"/>
            <w:vAlign w:val="bottom"/>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52,979</w:t>
            </w:r>
          </w:p>
        </w:tc>
        <w:tc>
          <w:tcPr>
            <w:tcW w:w="6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61,742</w:t>
            </w:r>
          </w:p>
        </w:tc>
        <w:tc>
          <w:tcPr>
            <w:tcW w:w="7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63,160</w:t>
            </w:r>
          </w:p>
        </w:tc>
        <w:tc>
          <w:tcPr>
            <w:tcW w:w="7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64,601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Loss from operations</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(52,979)</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(61,742)</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(63,160)</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(64,601)</w:t>
            </w:r>
          </w:p>
        </w:tc>
        <w:tc>
          <w:tcPr>
            <w:tcW w:w="0" w:type="dxa"/>
            <w:vAlign w:val="bottom"/>
          </w:tcPr>
          <w:p>
            <w:pPr>
              <w:spacing w:after="0"/>
              <w:rPr>
                <w:sz w:val="1"/>
                <w:szCs w:val="1"/>
                <w:color w:val="auto"/>
              </w:rPr>
            </w:pPr>
          </w:p>
        </w:tc>
      </w:tr>
      <w:tr>
        <w:trPr>
          <w:trHeight w:val="216"/>
        </w:trPr>
        <w:tc>
          <w:tcPr>
            <w:tcW w:w="3820" w:type="dxa"/>
            <w:vAlign w:val="bottom"/>
          </w:tcPr>
          <w:p>
            <w:pPr>
              <w:ind w:left="360"/>
              <w:spacing w:after="0"/>
              <w:rPr>
                <w:sz w:val="20"/>
                <w:szCs w:val="20"/>
                <w:color w:val="auto"/>
              </w:rPr>
            </w:pPr>
            <w:r>
              <w:rPr>
                <w:rFonts w:ascii="Arial" w:cs="Arial" w:eastAsia="Arial" w:hAnsi="Arial"/>
                <w:sz w:val="18"/>
                <w:szCs w:val="18"/>
                <w:color w:val="auto"/>
              </w:rPr>
              <w:t>Interest income</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2"/>
          </w:tcPr>
          <w:p>
            <w:pPr>
              <w:jc w:val="right"/>
              <w:ind w:right="620"/>
              <w:spacing w:after="0"/>
              <w:rPr>
                <w:sz w:val="20"/>
                <w:szCs w:val="20"/>
                <w:color w:val="auto"/>
              </w:rPr>
            </w:pPr>
            <w:r>
              <w:rPr>
                <w:rFonts w:ascii="Arial" w:cs="Arial" w:eastAsia="Arial" w:hAnsi="Arial"/>
                <w:sz w:val="18"/>
                <w:szCs w:val="18"/>
                <w:color w:val="auto"/>
              </w:rPr>
              <w:t>160</w:t>
            </w:r>
          </w:p>
        </w:tc>
        <w:tc>
          <w:tcPr>
            <w:tcW w:w="80" w:type="dxa"/>
            <w:vAlign w:val="bottom"/>
          </w:tcPr>
          <w:p>
            <w:pPr>
              <w:spacing w:after="0"/>
              <w:rPr>
                <w:sz w:val="18"/>
                <w:szCs w:val="18"/>
                <w:color w:val="auto"/>
              </w:rPr>
            </w:pPr>
          </w:p>
        </w:tc>
        <w:tc>
          <w:tcPr>
            <w:tcW w:w="1540" w:type="dxa"/>
            <w:vAlign w:val="bottom"/>
            <w:gridSpan w:val="2"/>
          </w:tcPr>
          <w:p>
            <w:pPr>
              <w:jc w:val="right"/>
              <w:ind w:right="720"/>
              <w:spacing w:after="0"/>
              <w:rPr>
                <w:sz w:val="20"/>
                <w:szCs w:val="20"/>
                <w:color w:val="auto"/>
              </w:rPr>
            </w:pPr>
            <w:r>
              <w:rPr>
                <w:rFonts w:ascii="Arial" w:cs="Arial" w:eastAsia="Arial" w:hAnsi="Arial"/>
                <w:sz w:val="18"/>
                <w:szCs w:val="18"/>
                <w:color w:val="auto"/>
              </w:rPr>
              <w:t>91</w:t>
            </w:r>
          </w:p>
        </w:tc>
        <w:tc>
          <w:tcPr>
            <w:tcW w:w="80" w:type="dxa"/>
            <w:vAlign w:val="bottom"/>
          </w:tcPr>
          <w:p>
            <w:pPr>
              <w:spacing w:after="0"/>
              <w:rPr>
                <w:sz w:val="18"/>
                <w:szCs w:val="18"/>
                <w:color w:val="auto"/>
              </w:rPr>
            </w:pPr>
          </w:p>
        </w:tc>
        <w:tc>
          <w:tcPr>
            <w:tcW w:w="1540" w:type="dxa"/>
            <w:vAlign w:val="bottom"/>
            <w:gridSpan w:val="2"/>
          </w:tcPr>
          <w:p>
            <w:pPr>
              <w:jc w:val="right"/>
              <w:ind w:right="720"/>
              <w:spacing w:after="0"/>
              <w:rPr>
                <w:sz w:val="20"/>
                <w:szCs w:val="20"/>
                <w:color w:val="auto"/>
              </w:rPr>
            </w:pPr>
            <w:r>
              <w:rPr>
                <w:rFonts w:ascii="Arial" w:cs="Arial" w:eastAsia="Arial" w:hAnsi="Arial"/>
                <w:sz w:val="18"/>
                <w:szCs w:val="18"/>
                <w:color w:val="auto"/>
              </w:rPr>
              <w:t>60</w:t>
            </w:r>
          </w:p>
        </w:tc>
        <w:tc>
          <w:tcPr>
            <w:tcW w:w="8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Interest expense</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7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8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3820" w:type="dxa"/>
            <w:vAlign w:val="bottom"/>
          </w:tcPr>
          <w:p>
            <w:pPr>
              <w:ind w:left="360"/>
              <w:spacing w:after="0"/>
              <w:rPr>
                <w:sz w:val="20"/>
                <w:szCs w:val="20"/>
                <w:color w:val="auto"/>
              </w:rPr>
            </w:pPr>
            <w:r>
              <w:rPr>
                <w:rFonts w:ascii="Arial" w:cs="Arial" w:eastAsia="Arial" w:hAnsi="Arial"/>
                <w:sz w:val="18"/>
                <w:szCs w:val="18"/>
                <w:color w:val="auto"/>
              </w:rPr>
              <w:t>Other income</w:t>
            </w:r>
          </w:p>
        </w:tc>
        <w:tc>
          <w:tcPr>
            <w:tcW w:w="4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273</w:t>
            </w:r>
          </w:p>
        </w:tc>
        <w:tc>
          <w:tcPr>
            <w:tcW w:w="6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ind w:left="540"/>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Net loss</w:t>
            </w:r>
          </w:p>
        </w:tc>
        <w:tc>
          <w:tcPr>
            <w:tcW w:w="60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w w:val="99"/>
              </w:rPr>
              <w:t>$</w:t>
            </w:r>
          </w:p>
        </w:tc>
        <w:tc>
          <w:tcPr>
            <w:tcW w:w="14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(52,546)</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5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(61,651)</w:t>
            </w: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15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(63,100)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(64,549)</w:t>
            </w:r>
          </w:p>
        </w:tc>
        <w:tc>
          <w:tcPr>
            <w:tcW w:w="0" w:type="dxa"/>
            <w:vAlign w:val="bottom"/>
          </w:tcPr>
          <w:p>
            <w:pPr>
              <w:spacing w:after="0"/>
              <w:rPr>
                <w:sz w:val="1"/>
                <w:szCs w:val="1"/>
                <w:color w:val="auto"/>
              </w:rPr>
            </w:pPr>
          </w:p>
        </w:tc>
      </w:tr>
      <w:tr>
        <w:trPr>
          <w:trHeight w:val="20"/>
        </w:trPr>
        <w:tc>
          <w:tcPr>
            <w:tcW w:w="3820" w:type="dxa"/>
            <w:vAlign w:val="bottom"/>
            <w:vMerge w:val="restart"/>
          </w:tcPr>
          <w:p>
            <w:pPr>
              <w:spacing w:after="0"/>
              <w:rPr>
                <w:sz w:val="20"/>
                <w:szCs w:val="20"/>
                <w:color w:val="auto"/>
              </w:rPr>
            </w:pPr>
            <w:r>
              <w:rPr>
                <w:rFonts w:ascii="Arial" w:cs="Arial" w:eastAsia="Arial" w:hAnsi="Arial"/>
                <w:sz w:val="18"/>
                <w:szCs w:val="18"/>
                <w:color w:val="auto"/>
              </w:rPr>
              <w:t>Net loss per common share:</w:t>
            </w:r>
          </w:p>
        </w:tc>
        <w:tc>
          <w:tcPr>
            <w:tcW w:w="4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820" w:type="dxa"/>
            <w:vAlign w:val="bottom"/>
            <w:vMerge w:val="continue"/>
          </w:tcPr>
          <w:p>
            <w:pPr>
              <w:spacing w:after="0"/>
              <w:rPr>
                <w:sz w:val="18"/>
                <w:szCs w:val="18"/>
                <w:color w:val="auto"/>
              </w:rPr>
            </w:pP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Basic and diluted net loss per common share</w:t>
            </w:r>
          </w:p>
        </w:tc>
        <w:tc>
          <w:tcPr>
            <w:tcW w:w="60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w w:val="99"/>
              </w:rPr>
              <w:t>$</w:t>
            </w:r>
          </w:p>
        </w:tc>
        <w:tc>
          <w:tcPr>
            <w:tcW w:w="14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(3.32)</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5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(3.72)</w:t>
            </w: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15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(3.79)</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(3.78)</w:t>
            </w:r>
          </w:p>
        </w:tc>
        <w:tc>
          <w:tcPr>
            <w:tcW w:w="0" w:type="dxa"/>
            <w:vAlign w:val="bottom"/>
          </w:tcPr>
          <w:p>
            <w:pPr>
              <w:spacing w:after="0"/>
              <w:rPr>
                <w:sz w:val="1"/>
                <w:szCs w:val="1"/>
                <w:color w:val="auto"/>
              </w:rPr>
            </w:pPr>
          </w:p>
        </w:tc>
      </w:tr>
      <w:tr>
        <w:trPr>
          <w:trHeight w:val="202"/>
        </w:trPr>
        <w:tc>
          <w:tcPr>
            <w:tcW w:w="3820" w:type="dxa"/>
            <w:vAlign w:val="bottom"/>
          </w:tcPr>
          <w:p>
            <w:pPr>
              <w:spacing w:after="0" w:line="201" w:lineRule="exact"/>
              <w:rPr>
                <w:sz w:val="20"/>
                <w:szCs w:val="20"/>
                <w:color w:val="auto"/>
              </w:rPr>
            </w:pPr>
            <w:r>
              <w:rPr>
                <w:rFonts w:ascii="Arial" w:cs="Arial" w:eastAsia="Arial" w:hAnsi="Arial"/>
                <w:sz w:val="18"/>
                <w:szCs w:val="18"/>
                <w:color w:val="auto"/>
              </w:rPr>
              <w:t>Basic and diluted weighted average number of</w:t>
            </w:r>
          </w:p>
        </w:tc>
        <w:tc>
          <w:tcPr>
            <w:tcW w:w="4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820" w:type="dxa"/>
            <w:vAlign w:val="bottom"/>
          </w:tcPr>
          <w:p>
            <w:pPr>
              <w:ind w:left="180"/>
              <w:spacing w:after="0"/>
              <w:rPr>
                <w:sz w:val="20"/>
                <w:szCs w:val="20"/>
                <w:color w:val="auto"/>
              </w:rPr>
            </w:pPr>
            <w:r>
              <w:rPr>
                <w:rFonts w:ascii="Arial" w:cs="Arial" w:eastAsia="Arial" w:hAnsi="Arial"/>
                <w:sz w:val="18"/>
                <w:szCs w:val="18"/>
                <w:color w:val="auto"/>
              </w:rPr>
              <w:t>common shares outstanding</w:t>
            </w:r>
          </w:p>
        </w:tc>
        <w:tc>
          <w:tcPr>
            <w:tcW w:w="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60" w:type="dxa"/>
            <w:vAlign w:val="bottom"/>
            <w:gridSpan w:val="2"/>
          </w:tcPr>
          <w:p>
            <w:pPr>
              <w:jc w:val="right"/>
              <w:ind w:right="620"/>
              <w:spacing w:after="0"/>
              <w:rPr>
                <w:sz w:val="20"/>
                <w:szCs w:val="20"/>
                <w:color w:val="auto"/>
              </w:rPr>
            </w:pPr>
            <w:r>
              <w:rPr>
                <w:rFonts w:ascii="Arial" w:cs="Arial" w:eastAsia="Arial" w:hAnsi="Arial"/>
                <w:sz w:val="18"/>
                <w:szCs w:val="18"/>
                <w:color w:val="auto"/>
                <w:w w:val="90"/>
              </w:rPr>
              <w:t>15,840,401</w:t>
            </w:r>
          </w:p>
        </w:tc>
        <w:tc>
          <w:tcPr>
            <w:tcW w:w="80" w:type="dxa"/>
            <w:vAlign w:val="bottom"/>
          </w:tcPr>
          <w:p>
            <w:pPr>
              <w:spacing w:after="0"/>
              <w:rPr>
                <w:sz w:val="20"/>
                <w:szCs w:val="20"/>
                <w:color w:val="auto"/>
              </w:rPr>
            </w:pPr>
          </w:p>
        </w:tc>
        <w:tc>
          <w:tcPr>
            <w:tcW w:w="1540" w:type="dxa"/>
            <w:vAlign w:val="bottom"/>
            <w:gridSpan w:val="2"/>
          </w:tcPr>
          <w:p>
            <w:pPr>
              <w:jc w:val="right"/>
              <w:ind w:right="720"/>
              <w:spacing w:after="0"/>
              <w:rPr>
                <w:sz w:val="20"/>
                <w:szCs w:val="20"/>
                <w:color w:val="auto"/>
              </w:rPr>
            </w:pPr>
            <w:r>
              <w:rPr>
                <w:rFonts w:ascii="Arial" w:cs="Arial" w:eastAsia="Arial" w:hAnsi="Arial"/>
                <w:sz w:val="18"/>
                <w:szCs w:val="18"/>
                <w:color w:val="auto"/>
                <w:w w:val="88"/>
              </w:rPr>
              <w:t>16,571,322</w:t>
            </w:r>
          </w:p>
        </w:tc>
        <w:tc>
          <w:tcPr>
            <w:tcW w:w="80" w:type="dxa"/>
            <w:vAlign w:val="bottom"/>
          </w:tcPr>
          <w:p>
            <w:pPr>
              <w:spacing w:after="0"/>
              <w:rPr>
                <w:sz w:val="20"/>
                <w:szCs w:val="20"/>
                <w:color w:val="auto"/>
              </w:rPr>
            </w:pPr>
          </w:p>
        </w:tc>
        <w:tc>
          <w:tcPr>
            <w:tcW w:w="1540" w:type="dxa"/>
            <w:vAlign w:val="bottom"/>
            <w:gridSpan w:val="2"/>
          </w:tcPr>
          <w:p>
            <w:pPr>
              <w:jc w:val="right"/>
              <w:ind w:right="720"/>
              <w:spacing w:after="0"/>
              <w:rPr>
                <w:sz w:val="20"/>
                <w:szCs w:val="20"/>
                <w:color w:val="auto"/>
              </w:rPr>
            </w:pPr>
            <w:r>
              <w:rPr>
                <w:rFonts w:ascii="Arial" w:cs="Arial" w:eastAsia="Arial" w:hAnsi="Arial"/>
                <w:sz w:val="18"/>
                <w:szCs w:val="18"/>
                <w:color w:val="auto"/>
                <w:w w:val="88"/>
              </w:rPr>
              <w:t>16,639,776</w:t>
            </w:r>
          </w:p>
        </w:tc>
        <w:tc>
          <w:tcPr>
            <w:tcW w:w="80" w:type="dxa"/>
            <w:vAlign w:val="bottom"/>
          </w:tcPr>
          <w:p>
            <w:pPr>
              <w:spacing w:after="0"/>
              <w:rPr>
                <w:sz w:val="20"/>
                <w:szCs w:val="20"/>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17,074,543</w:t>
            </w:r>
          </w:p>
        </w:tc>
        <w:tc>
          <w:tcPr>
            <w:tcW w:w="0" w:type="dxa"/>
            <w:vAlign w:val="bottom"/>
          </w:tcPr>
          <w:p>
            <w:pPr>
              <w:spacing w:after="0"/>
              <w:rPr>
                <w:sz w:val="1"/>
                <w:szCs w:val="1"/>
                <w:color w:val="auto"/>
              </w:rPr>
            </w:pPr>
          </w:p>
        </w:tc>
      </w:tr>
    </w:tbl>
    <w:p>
      <w:pPr>
        <w:spacing w:after="0" w:line="30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13. Subsequent Event</w:t>
      </w:r>
    </w:p>
    <w:p>
      <w:pPr>
        <w:spacing w:after="0" w:line="121" w:lineRule="exact"/>
        <w:rPr>
          <w:sz w:val="20"/>
          <w:szCs w:val="20"/>
          <w:color w:val="auto"/>
        </w:rPr>
      </w:pPr>
    </w:p>
    <w:p>
      <w:pPr>
        <w:ind w:left="120" w:right="220" w:firstLine="440"/>
        <w:spacing w:after="0" w:line="277" w:lineRule="auto"/>
        <w:rPr>
          <w:sz w:val="20"/>
          <w:szCs w:val="20"/>
          <w:color w:val="auto"/>
        </w:rPr>
      </w:pPr>
      <w:r>
        <w:rPr>
          <w:rFonts w:ascii="Arial" w:cs="Arial" w:eastAsia="Arial" w:hAnsi="Arial"/>
          <w:sz w:val="18"/>
          <w:szCs w:val="18"/>
          <w:color w:val="auto"/>
        </w:rPr>
        <w:t>On February 3, 2023, the Company entered into the First Amendment (the “Amendment”) to the Loan Facility described in Footnote 6 (as amended, the “Amended Loan Facility”). Under the terms of the Loan</w:t>
      </w:r>
    </w:p>
    <w:p>
      <w:pPr>
        <w:spacing w:after="0" w:line="103" w:lineRule="exact"/>
        <w:rPr>
          <w:sz w:val="20"/>
          <w:szCs w:val="20"/>
          <w:color w:val="auto"/>
        </w:rPr>
      </w:pPr>
    </w:p>
    <w:p>
      <w:pPr>
        <w:jc w:val="center"/>
        <w:ind w:right="-519"/>
        <w:spacing w:after="0"/>
        <w:rPr>
          <w:sz w:val="20"/>
          <w:szCs w:val="20"/>
          <w:color w:val="auto"/>
        </w:rPr>
      </w:pPr>
      <w:r>
        <w:rPr>
          <w:rFonts w:ascii="Arial" w:cs="Arial" w:eastAsia="Arial" w:hAnsi="Arial"/>
          <w:sz w:val="18"/>
          <w:szCs w:val="18"/>
          <w:color w:val="auto"/>
        </w:rPr>
        <w:t>F-21</w:t>
      </w:r>
    </w:p>
    <w:p>
      <w:pPr>
        <w:sectPr>
          <w:pgSz w:w="11900" w:h="16838" w:orient="portrait"/>
          <w:cols w:equalWidth="0" w:num="1">
            <w:col w:w="10740"/>
          </w:cols>
          <w:pgMar w:left="320" w:top="486" w:right="8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9">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rPr>
          <w:sz w:val="20"/>
          <w:szCs w:val="20"/>
          <w:color w:val="auto"/>
        </w:rPr>
      </w:pPr>
      <w:r>
        <w:rPr>
          <w:rFonts w:ascii="Arial" w:cs="Arial" w:eastAsia="Arial" w:hAnsi="Arial"/>
          <w:sz w:val="17"/>
          <w:szCs w:val="17"/>
          <w:color w:val="auto"/>
        </w:rPr>
        <w:t>Facility, the first $50.0 million tranche was drawn at closing in May 2022. Under the Amended Loan Facility, an additional $35.0 million was</w:t>
      </w:r>
    </w:p>
    <w:p>
      <w:pPr>
        <w:spacing w:after="0" w:line="35" w:lineRule="exact"/>
        <w:rPr>
          <w:sz w:val="20"/>
          <w:szCs w:val="20"/>
          <w:color w:val="auto"/>
        </w:rPr>
      </w:pPr>
    </w:p>
    <w:p>
      <w:pPr>
        <w:ind w:left="120"/>
        <w:spacing w:after="0" w:line="281" w:lineRule="auto"/>
        <w:rPr>
          <w:sz w:val="20"/>
          <w:szCs w:val="20"/>
          <w:color w:val="auto"/>
        </w:rPr>
      </w:pPr>
      <w:r>
        <w:rPr>
          <w:rFonts w:ascii="Arial" w:cs="Arial" w:eastAsia="Arial" w:hAnsi="Arial"/>
          <w:sz w:val="16"/>
          <w:szCs w:val="16"/>
          <w:color w:val="auto"/>
        </w:rPr>
        <w:t>drawn under a second, expanded, $65.0 million tranche (“Tranche 2”) in February of 2023 following the Company’s achievement of the Phase 3 clinical development milestone. The Company has the ability to draw an additional $15.0 million under Tranche 2 by June 19, 2023 and an additional</w:t>
      </w:r>
    </w:p>
    <w:p>
      <w:pPr>
        <w:spacing w:after="0" w:line="1" w:lineRule="exact"/>
        <w:rPr>
          <w:sz w:val="20"/>
          <w:szCs w:val="20"/>
          <w:color w:val="auto"/>
        </w:rPr>
      </w:pPr>
    </w:p>
    <w:p>
      <w:pPr>
        <w:ind w:left="120" w:right="220"/>
        <w:spacing w:after="0" w:line="281" w:lineRule="auto"/>
        <w:rPr>
          <w:sz w:val="20"/>
          <w:szCs w:val="20"/>
          <w:color w:val="auto"/>
        </w:rPr>
      </w:pPr>
      <w:r>
        <w:rPr>
          <w:rFonts w:ascii="Arial" w:cs="Arial" w:eastAsia="Arial" w:hAnsi="Arial"/>
          <w:sz w:val="16"/>
          <w:szCs w:val="16"/>
          <w:color w:val="auto"/>
        </w:rPr>
        <w:t>$15.0 million under Tranche 2 by September 30, 2023 (for a total of $30.0 million in additional committed Tranche 2 capacity). The third tranche (“Tranche 3”) of $75.0 million remains unchanged by the Amendment, and such borrowings are available subject to the Company obtaining a certain FDA approval for resmetirom. Coincident with the expansion of Tranche 2 borrowing capacity by $15 million, the Amendment reduced the fourth tranche under the Loan Facility (“Tranche 4”) by $15.0 million to $60.0 million , which amount is available subject to Hercules’ sole discretion. In connection with the $35.0 million drawn under the second tranche at the closing of the Amendment, the Company issued to Hercules and</w:t>
      </w:r>
    </w:p>
    <w:p>
      <w:pPr>
        <w:spacing w:after="0" w:line="3" w:lineRule="exact"/>
        <w:rPr>
          <w:sz w:val="20"/>
          <w:szCs w:val="20"/>
          <w:color w:val="auto"/>
        </w:rPr>
      </w:pPr>
    </w:p>
    <w:p>
      <w:pPr>
        <w:ind w:left="120"/>
        <w:spacing w:after="0" w:line="253" w:lineRule="auto"/>
        <w:rPr>
          <w:sz w:val="20"/>
          <w:szCs w:val="20"/>
          <w:color w:val="auto"/>
        </w:rPr>
      </w:pPr>
      <w:r>
        <w:rPr>
          <w:rFonts w:ascii="Arial" w:cs="Arial" w:eastAsia="Arial" w:hAnsi="Arial"/>
          <w:sz w:val="18"/>
          <w:szCs w:val="18"/>
          <w:color w:val="auto"/>
        </w:rPr>
        <w:t>affiliates Tranche 2 Warrants to purchase 2,453 shares of common stock at an exercise price of $285.31 per share. The Amendment reduced the interest rate under the Amended Loan Facility to the greater of (i) the prime rate as reported in The Wall Street Journal plus 2.45% and (ii) 8.25%. The Amendment and the Amended Loan Facility summary terms were disclosed in the Company’s Current Report on Form 8-K filed with the Securities and Exchange Commission on February 9, 2023.</w:t>
      </w:r>
    </w:p>
    <w:p>
      <w:pPr>
        <w:spacing w:after="0" w:line="23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F-22</w:t>
      </w:r>
    </w:p>
    <w:p>
      <w:pPr>
        <w:sectPr>
          <w:pgSz w:w="11900" w:h="16838" w:orient="portrait"/>
          <w:cols w:equalWidth="0" w:num="1">
            <w:col w:w="11080"/>
          </w:cols>
          <w:pgMar w:left="320" w:top="486" w:right="499" w:bottom="1440" w:gutter="0" w:footer="0" w:header="0"/>
        </w:sectPr>
      </w:pPr>
    </w:p>
    <w:bookmarkStart w:id="30" w:name="page31"/>
    <w:bookmarkEnd w:id="30"/>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ind w:right="280" w:firstLine="440"/>
        <w:spacing w:after="0" w:line="291" w:lineRule="auto"/>
        <w:rPr>
          <w:sz w:val="20"/>
          <w:szCs w:val="20"/>
          <w:color w:val="auto"/>
        </w:rPr>
      </w:pPr>
      <w:r>
        <w:rPr>
          <w:rFonts w:ascii="Arial" w:cs="Arial" w:eastAsia="Arial" w:hAnsi="Arial"/>
          <w:sz w:val="16"/>
          <w:szCs w:val="16"/>
          <w:color w:val="auto"/>
        </w:rPr>
        <w:t>We hereby consent to the incorporation by reference in the Registration Statements on Form S-3 (Nos. 333-256666 and 333-219304) and Form S-8 (Nos. 333-141903, 333-152824, 333-173862, 333-181117, 333-187243, 333-194477, 333-202680, 333-206128, 333-212615, 333-224503,</w:t>
      </w:r>
    </w:p>
    <w:p>
      <w:pPr>
        <w:ind w:right="540"/>
        <w:spacing w:after="0" w:line="260" w:lineRule="auto"/>
        <w:rPr>
          <w:sz w:val="20"/>
          <w:szCs w:val="20"/>
          <w:color w:val="auto"/>
        </w:rPr>
      </w:pPr>
      <w:r>
        <w:rPr>
          <w:rFonts w:ascii="Arial" w:cs="Arial" w:eastAsia="Arial" w:hAnsi="Arial"/>
          <w:sz w:val="18"/>
          <w:szCs w:val="18"/>
          <w:color w:val="auto"/>
        </w:rPr>
        <w:t>333-249866 and 333-257506) of Madrigal Pharmaceuticals, Inc. of our report dated February 23, 2023 relating to the financial statements and the effectiveness of internal control over financial reporting, which appears in this Form 10-K.</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14605</wp:posOffset>
            </wp:positionV>
            <wp:extent cx="2794635"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0">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Philadelphia, Pennsylvania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23, 2023</w:t>
      </w:r>
    </w:p>
    <w:p>
      <w:pPr>
        <w:sectPr>
          <w:pgSz w:w="11900" w:h="16838" w:orient="portrait"/>
          <w:cols w:equalWidth="0" w:num="1">
            <w:col w:w="11020"/>
          </w:cols>
          <w:pgMar w:left="440" w:top="121" w:right="439" w:bottom="1440" w:gutter="0" w:footer="0" w:header="0"/>
        </w:sectPr>
      </w:pPr>
    </w:p>
    <w:bookmarkStart w:id="31" w:name="page32"/>
    <w:bookmarkEnd w:id="31"/>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ind w:left="440" w:right="1920"/>
        <w:spacing w:after="0" w:line="266" w:lineRule="auto"/>
        <w:rPr>
          <w:sz w:val="20"/>
          <w:szCs w:val="20"/>
          <w:color w:val="auto"/>
        </w:rPr>
      </w:pPr>
      <w:r>
        <w:rPr>
          <w:rFonts w:ascii="Arial" w:cs="Arial" w:eastAsia="Arial" w:hAnsi="Arial"/>
          <w:sz w:val="18"/>
          <w:szCs w:val="18"/>
          <w:b w:val="1"/>
          <w:bCs w:val="1"/>
          <w:color w:val="auto"/>
        </w:rPr>
        <w:t>CERTIFICATION OF PRINCIPAL EXECUTIVE OFFICER PURSUANT TO SECURITIES EXCHANGE ACT RULES 13A-14(a) AND 15D-14(a) AS ADOPTED PURSUANT TO SECTION 302 OF THE SARBANES-OXLEY ACT OF 2002</w:t>
      </w:r>
    </w:p>
    <w:p>
      <w:pPr>
        <w:spacing w:after="0" w:line="180" w:lineRule="exact"/>
        <w:rPr>
          <w:sz w:val="20"/>
          <w:szCs w:val="20"/>
          <w:color w:val="auto"/>
        </w:rPr>
      </w:pPr>
    </w:p>
    <w:p>
      <w:pPr>
        <w:ind w:left="4"/>
        <w:spacing w:after="0"/>
        <w:rPr>
          <w:sz w:val="20"/>
          <w:szCs w:val="20"/>
          <w:color w:val="auto"/>
        </w:rPr>
      </w:pPr>
      <w:r>
        <w:rPr>
          <w:rFonts w:ascii="Arial" w:cs="Arial" w:eastAsia="Arial" w:hAnsi="Arial"/>
          <w:sz w:val="18"/>
          <w:szCs w:val="18"/>
          <w:color w:val="auto"/>
        </w:rPr>
        <w:t>I, Paul A. Friedman, M.D., certify that:</w:t>
      </w:r>
    </w:p>
    <w:p>
      <w:pPr>
        <w:spacing w:after="0" w:line="117" w:lineRule="exact"/>
        <w:rPr>
          <w:sz w:val="20"/>
          <w:szCs w:val="20"/>
          <w:color w:val="auto"/>
        </w:rPr>
      </w:pPr>
    </w:p>
    <w:p>
      <w:pPr>
        <w:ind w:left="184" w:hanging="184"/>
        <w:spacing w:after="0"/>
        <w:tabs>
          <w:tab w:leader="none" w:pos="184" w:val="left"/>
        </w:tabs>
        <w:numPr>
          <w:ilvl w:val="0"/>
          <w:numId w:val="9"/>
        </w:numPr>
        <w:rPr>
          <w:rFonts w:ascii="Arial" w:cs="Arial" w:eastAsia="Arial" w:hAnsi="Arial"/>
          <w:sz w:val="18"/>
          <w:szCs w:val="18"/>
          <w:i w:val="1"/>
          <w:iCs w:val="1"/>
          <w:color w:val="auto"/>
        </w:rPr>
      </w:pPr>
      <w:r>
        <w:rPr>
          <w:rFonts w:ascii="Arial" w:cs="Arial" w:eastAsia="Arial" w:hAnsi="Arial"/>
          <w:sz w:val="18"/>
          <w:szCs w:val="18"/>
          <w:color w:val="auto"/>
        </w:rPr>
        <w:t>I have reviewed this Annual Report on Form 10-K of Madrigal Pharmaceuticals, Inc.;</w:t>
      </w:r>
    </w:p>
    <w:p>
      <w:pPr>
        <w:spacing w:after="0" w:line="225" w:lineRule="exact"/>
        <w:rPr>
          <w:rFonts w:ascii="Arial" w:cs="Arial" w:eastAsia="Arial" w:hAnsi="Arial"/>
          <w:sz w:val="18"/>
          <w:szCs w:val="18"/>
          <w:i w:val="1"/>
          <w:iCs w:val="1"/>
          <w:color w:val="auto"/>
        </w:rPr>
      </w:pPr>
    </w:p>
    <w:p>
      <w:pPr>
        <w:ind w:left="4" w:right="60" w:hanging="4"/>
        <w:spacing w:after="0" w:line="342" w:lineRule="auto"/>
        <w:tabs>
          <w:tab w:leader="none" w:pos="184" w:val="left"/>
        </w:tabs>
        <w:numPr>
          <w:ilvl w:val="0"/>
          <w:numId w:val="9"/>
        </w:numPr>
        <w:rPr>
          <w:rFonts w:ascii="Arial" w:cs="Arial" w:eastAsia="Arial" w:hAnsi="Arial"/>
          <w:sz w:val="16"/>
          <w:szCs w:val="16"/>
          <w:i w:val="1"/>
          <w:iCs w:val="1"/>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i w:val="1"/>
          <w:iCs w:val="1"/>
          <w:color w:val="auto"/>
        </w:rPr>
      </w:pPr>
    </w:p>
    <w:p>
      <w:pPr>
        <w:ind w:left="4" w:right="340" w:hanging="4"/>
        <w:spacing w:after="0" w:line="308" w:lineRule="auto"/>
        <w:tabs>
          <w:tab w:leader="none" w:pos="184" w:val="left"/>
        </w:tabs>
        <w:numPr>
          <w:ilvl w:val="0"/>
          <w:numId w:val="9"/>
        </w:numPr>
        <w:rPr>
          <w:rFonts w:ascii="Arial" w:cs="Arial" w:eastAsia="Arial" w:hAnsi="Arial"/>
          <w:sz w:val="17"/>
          <w:szCs w:val="17"/>
          <w:i w:val="1"/>
          <w:iCs w:val="1"/>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i w:val="1"/>
          <w:iCs w:val="1"/>
          <w:color w:val="auto"/>
        </w:rPr>
      </w:pPr>
    </w:p>
    <w:p>
      <w:pPr>
        <w:ind w:left="4" w:right="380" w:hanging="4"/>
        <w:spacing w:after="0" w:line="258" w:lineRule="auto"/>
        <w:tabs>
          <w:tab w:leader="none" w:pos="181" w:val="left"/>
        </w:tabs>
        <w:numPr>
          <w:ilvl w:val="0"/>
          <w:numId w:val="9"/>
        </w:numPr>
        <w:rPr>
          <w:rFonts w:ascii="Arial" w:cs="Arial" w:eastAsia="Arial" w:hAnsi="Arial"/>
          <w:sz w:val="18"/>
          <w:szCs w:val="18"/>
          <w:i w:val="1"/>
          <w:iCs w:val="1"/>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w:t>
      </w:r>
    </w:p>
    <w:p>
      <w:pPr>
        <w:spacing w:after="0" w:line="1" w:lineRule="exact"/>
        <w:rPr>
          <w:rFonts w:ascii="Arial" w:cs="Arial" w:eastAsia="Arial" w:hAnsi="Arial"/>
          <w:sz w:val="18"/>
          <w:szCs w:val="18"/>
          <w:i w:val="1"/>
          <w:iCs w:val="1"/>
          <w:color w:val="auto"/>
        </w:rPr>
      </w:pPr>
    </w:p>
    <w:p>
      <w:pPr>
        <w:ind w:left="4"/>
        <w:spacing w:after="0"/>
        <w:rPr>
          <w:rFonts w:ascii="Arial" w:cs="Arial" w:eastAsia="Arial" w:hAnsi="Arial"/>
          <w:sz w:val="18"/>
          <w:szCs w:val="18"/>
          <w:i w:val="1"/>
          <w:iCs w:val="1"/>
          <w:color w:val="auto"/>
        </w:rPr>
      </w:pPr>
      <w:r>
        <w:rPr>
          <w:rFonts w:ascii="Arial" w:cs="Arial" w:eastAsia="Arial" w:hAnsi="Arial"/>
          <w:sz w:val="18"/>
          <w:szCs w:val="18"/>
          <w:color w:val="auto"/>
        </w:rPr>
        <w:t>Act Rules 13a-15(f) and 15d-15(f)) for the registrant and have:</w:t>
      </w:r>
    </w:p>
    <w:p>
      <w:pPr>
        <w:spacing w:after="0" w:line="102" w:lineRule="exact"/>
        <w:rPr>
          <w:rFonts w:ascii="Arial" w:cs="Arial" w:eastAsia="Arial" w:hAnsi="Arial"/>
          <w:sz w:val="18"/>
          <w:szCs w:val="18"/>
          <w:i w:val="1"/>
          <w:iCs w:val="1"/>
          <w:color w:val="auto"/>
        </w:rPr>
      </w:pPr>
    </w:p>
    <w:p>
      <w:pPr>
        <w:ind w:left="444" w:right="120" w:hanging="4"/>
        <w:spacing w:after="0" w:line="263" w:lineRule="auto"/>
        <w:tabs>
          <w:tab w:leader="none" w:pos="699" w:val="left"/>
        </w:tabs>
        <w:numPr>
          <w:ilvl w:val="1"/>
          <w:numId w:val="9"/>
        </w:numPr>
        <w:rPr>
          <w:rFonts w:ascii="Arial" w:cs="Arial" w:eastAsia="Arial" w:hAnsi="Arial"/>
          <w:sz w:val="18"/>
          <w:szCs w:val="18"/>
          <w:i w:val="1"/>
          <w:iCs w:val="1"/>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5" w:lineRule="exact"/>
        <w:rPr>
          <w:rFonts w:ascii="Arial" w:cs="Arial" w:eastAsia="Arial" w:hAnsi="Arial"/>
          <w:sz w:val="18"/>
          <w:szCs w:val="18"/>
          <w:i w:val="1"/>
          <w:iCs w:val="1"/>
          <w:color w:val="auto"/>
        </w:rPr>
      </w:pPr>
    </w:p>
    <w:p>
      <w:pPr>
        <w:ind w:left="444" w:right="60" w:hanging="4"/>
        <w:spacing w:after="0" w:line="263" w:lineRule="auto"/>
        <w:tabs>
          <w:tab w:leader="none" w:pos="699" w:val="left"/>
        </w:tabs>
        <w:numPr>
          <w:ilvl w:val="1"/>
          <w:numId w:val="9"/>
        </w:numPr>
        <w:rPr>
          <w:rFonts w:ascii="Arial" w:cs="Arial" w:eastAsia="Arial" w:hAnsi="Arial"/>
          <w:sz w:val="18"/>
          <w:szCs w:val="18"/>
          <w:i w:val="1"/>
          <w:iCs w:val="1"/>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5" w:lineRule="exact"/>
        <w:rPr>
          <w:rFonts w:ascii="Arial" w:cs="Arial" w:eastAsia="Arial" w:hAnsi="Arial"/>
          <w:sz w:val="18"/>
          <w:szCs w:val="18"/>
          <w:i w:val="1"/>
          <w:iCs w:val="1"/>
          <w:color w:val="auto"/>
        </w:rPr>
      </w:pPr>
    </w:p>
    <w:p>
      <w:pPr>
        <w:ind w:left="444" w:right="640" w:hanging="4"/>
        <w:spacing w:after="0" w:line="342" w:lineRule="auto"/>
        <w:tabs>
          <w:tab w:leader="none" w:pos="689" w:val="left"/>
        </w:tabs>
        <w:numPr>
          <w:ilvl w:val="1"/>
          <w:numId w:val="9"/>
        </w:numPr>
        <w:rPr>
          <w:rFonts w:ascii="Arial" w:cs="Arial" w:eastAsia="Arial" w:hAnsi="Arial"/>
          <w:sz w:val="16"/>
          <w:szCs w:val="16"/>
          <w:i w:val="1"/>
          <w:iCs w:val="1"/>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i w:val="1"/>
          <w:iCs w:val="1"/>
          <w:color w:val="auto"/>
        </w:rPr>
      </w:pPr>
    </w:p>
    <w:p>
      <w:pPr>
        <w:jc w:val="both"/>
        <w:ind w:left="444" w:right="80" w:hanging="4"/>
        <w:spacing w:after="0" w:line="263" w:lineRule="auto"/>
        <w:tabs>
          <w:tab w:leader="none" w:pos="699" w:val="left"/>
        </w:tabs>
        <w:numPr>
          <w:ilvl w:val="1"/>
          <w:numId w:val="9"/>
        </w:numPr>
        <w:rPr>
          <w:rFonts w:ascii="Arial" w:cs="Arial" w:eastAsia="Arial" w:hAnsi="Arial"/>
          <w:sz w:val="18"/>
          <w:szCs w:val="18"/>
          <w:i w:val="1"/>
          <w:iCs w:val="1"/>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i w:val="1"/>
          <w:iCs w:val="1"/>
          <w:color w:val="auto"/>
        </w:rPr>
      </w:pPr>
    </w:p>
    <w:p>
      <w:pPr>
        <w:ind w:left="4" w:right="80" w:hanging="4"/>
        <w:spacing w:after="0" w:line="308" w:lineRule="auto"/>
        <w:tabs>
          <w:tab w:leader="none" w:pos="181" w:val="left"/>
        </w:tabs>
        <w:numPr>
          <w:ilvl w:val="0"/>
          <w:numId w:val="9"/>
        </w:numPr>
        <w:rPr>
          <w:rFonts w:ascii="Arial" w:cs="Arial" w:eastAsia="Arial" w:hAnsi="Arial"/>
          <w:sz w:val="17"/>
          <w:szCs w:val="17"/>
          <w:i w:val="1"/>
          <w:iCs w:val="1"/>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i w:val="1"/>
          <w:iCs w:val="1"/>
          <w:color w:val="auto"/>
        </w:rPr>
      </w:pPr>
    </w:p>
    <w:p>
      <w:pPr>
        <w:ind w:left="444" w:right="40" w:hanging="4"/>
        <w:spacing w:after="0" w:line="277" w:lineRule="auto"/>
        <w:tabs>
          <w:tab w:leader="none" w:pos="689" w:val="left"/>
        </w:tabs>
        <w:numPr>
          <w:ilvl w:val="1"/>
          <w:numId w:val="9"/>
        </w:numPr>
        <w:rPr>
          <w:rFonts w:ascii="Arial" w:cs="Arial" w:eastAsia="Arial" w:hAnsi="Arial"/>
          <w:sz w:val="18"/>
          <w:szCs w:val="18"/>
          <w:i w:val="1"/>
          <w:iCs w:val="1"/>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i w:val="1"/>
          <w:iCs w:val="1"/>
          <w:color w:val="auto"/>
        </w:rPr>
      </w:pPr>
    </w:p>
    <w:p>
      <w:pPr>
        <w:ind w:left="444" w:right="540" w:hanging="4"/>
        <w:spacing w:after="0" w:line="277" w:lineRule="auto"/>
        <w:tabs>
          <w:tab w:leader="none" w:pos="689" w:val="left"/>
        </w:tabs>
        <w:numPr>
          <w:ilvl w:val="1"/>
          <w:numId w:val="9"/>
        </w:numPr>
        <w:rPr>
          <w:rFonts w:ascii="Arial" w:cs="Arial" w:eastAsia="Arial" w:hAnsi="Arial"/>
          <w:sz w:val="18"/>
          <w:szCs w:val="18"/>
          <w:i w:val="1"/>
          <w:iCs w:val="1"/>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ind w:left="4"/>
        <w:spacing w:after="0"/>
        <w:rPr>
          <w:sz w:val="20"/>
          <w:szCs w:val="20"/>
          <w:color w:val="auto"/>
        </w:rPr>
      </w:pPr>
      <w:r>
        <w:rPr>
          <w:rFonts w:ascii="Arial" w:cs="Arial" w:eastAsia="Arial" w:hAnsi="Arial"/>
          <w:sz w:val="18"/>
          <w:szCs w:val="18"/>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14605</wp:posOffset>
            </wp:positionV>
            <wp:extent cx="2794635"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1">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3" w:lineRule="exact"/>
        <w:rPr>
          <w:sz w:val="20"/>
          <w:szCs w:val="20"/>
          <w:color w:val="auto"/>
        </w:rPr>
      </w:pPr>
    </w:p>
    <w:p>
      <w:pPr>
        <w:ind w:left="4"/>
        <w:spacing w:after="0"/>
        <w:rPr>
          <w:sz w:val="20"/>
          <w:szCs w:val="20"/>
          <w:color w:val="auto"/>
        </w:rPr>
      </w:pPr>
      <w:r>
        <w:rPr>
          <w:rFonts w:ascii="Arial" w:cs="Arial" w:eastAsia="Arial" w:hAnsi="Arial"/>
          <w:sz w:val="18"/>
          <w:szCs w:val="18"/>
          <w:color w:val="auto"/>
        </w:rPr>
        <w:t>Paul A. Friedman, M.D.</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8"/>
          <w:szCs w:val="18"/>
          <w:i w:val="1"/>
          <w:iCs w:val="1"/>
          <w:color w:val="auto"/>
        </w:rPr>
        <w:t>Chief Executive Officer and Chairman of the Board</w:t>
      </w:r>
    </w:p>
    <w:p>
      <w:pPr>
        <w:spacing w:after="0" w:line="9" w:lineRule="exact"/>
        <w:rPr>
          <w:sz w:val="20"/>
          <w:szCs w:val="20"/>
          <w:color w:val="auto"/>
        </w:rPr>
      </w:pPr>
    </w:p>
    <w:p>
      <w:pPr>
        <w:ind w:left="4"/>
        <w:spacing w:after="0"/>
        <w:rPr>
          <w:sz w:val="20"/>
          <w:szCs w:val="20"/>
          <w:color w:val="auto"/>
        </w:rPr>
      </w:pPr>
      <w:r>
        <w:rPr>
          <w:rFonts w:ascii="Arial" w:cs="Arial" w:eastAsia="Arial" w:hAnsi="Arial"/>
          <w:sz w:val="18"/>
          <w:szCs w:val="18"/>
          <w:i w:val="1"/>
          <w:iCs w:val="1"/>
          <w:color w:val="auto"/>
        </w:rPr>
        <w:t>(Principal Executive Officer)</w:t>
      </w:r>
    </w:p>
    <w:p>
      <w:pPr>
        <w:spacing w:after="0" w:line="9" w:lineRule="exact"/>
        <w:rPr>
          <w:sz w:val="20"/>
          <w:szCs w:val="20"/>
          <w:color w:val="auto"/>
        </w:rPr>
      </w:pPr>
    </w:p>
    <w:p>
      <w:pPr>
        <w:ind w:left="4"/>
        <w:spacing w:after="0"/>
        <w:rPr>
          <w:sz w:val="20"/>
          <w:szCs w:val="20"/>
          <w:color w:val="auto"/>
        </w:rPr>
      </w:pPr>
      <w:r>
        <w:rPr>
          <w:rFonts w:ascii="Arial" w:cs="Arial" w:eastAsia="Arial" w:hAnsi="Arial"/>
          <w:sz w:val="18"/>
          <w:szCs w:val="18"/>
          <w:color w:val="auto"/>
        </w:rPr>
        <w:t>Date: March 3, 2023</w:t>
      </w:r>
    </w:p>
    <w:p>
      <w:pPr>
        <w:sectPr>
          <w:pgSz w:w="11900" w:h="16838" w:orient="portrait"/>
          <w:cols w:equalWidth="0" w:num="1">
            <w:col w:w="11024"/>
          </w:cols>
          <w:pgMar w:left="436" w:top="121" w:right="439" w:bottom="1440" w:gutter="0" w:footer="0" w:header="0"/>
        </w:sectPr>
      </w:pPr>
    </w:p>
    <w:bookmarkStart w:id="32" w:name="page33"/>
    <w:bookmarkEnd w:id="32"/>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ind w:left="440" w:right="1920"/>
        <w:spacing w:after="0" w:line="266" w:lineRule="auto"/>
        <w:rPr>
          <w:sz w:val="20"/>
          <w:szCs w:val="20"/>
          <w:color w:val="auto"/>
        </w:rPr>
      </w:pPr>
      <w:r>
        <w:rPr>
          <w:rFonts w:ascii="Arial" w:cs="Arial" w:eastAsia="Arial" w:hAnsi="Arial"/>
          <w:sz w:val="18"/>
          <w:szCs w:val="18"/>
          <w:b w:val="1"/>
          <w:bCs w:val="1"/>
          <w:color w:val="auto"/>
        </w:rPr>
        <w:t>CERTIFICATION OF PRINCIPAL FINANCIAL OFFICER PURSUANT TO SECURITIES EXCHANGE ACT RULES 13A-14(a) AND 15D-14(a) AS ADOPTED PURSUANT TO SECTION 302 OF THE SARBANES-OXLEY ACT OF 2002</w:t>
      </w:r>
    </w:p>
    <w:p>
      <w:pPr>
        <w:spacing w:after="0" w:line="180" w:lineRule="exact"/>
        <w:rPr>
          <w:sz w:val="20"/>
          <w:szCs w:val="20"/>
          <w:color w:val="auto"/>
        </w:rPr>
      </w:pPr>
    </w:p>
    <w:p>
      <w:pPr>
        <w:ind w:left="4"/>
        <w:spacing w:after="0"/>
        <w:rPr>
          <w:sz w:val="20"/>
          <w:szCs w:val="20"/>
          <w:color w:val="auto"/>
        </w:rPr>
      </w:pPr>
      <w:r>
        <w:rPr>
          <w:rFonts w:ascii="Arial" w:cs="Arial" w:eastAsia="Arial" w:hAnsi="Arial"/>
          <w:sz w:val="18"/>
          <w:szCs w:val="18"/>
          <w:color w:val="auto"/>
        </w:rPr>
        <w:t>I, Alex G. Howarth, certify that:</w:t>
      </w:r>
    </w:p>
    <w:p>
      <w:pPr>
        <w:spacing w:after="0" w:line="117" w:lineRule="exact"/>
        <w:rPr>
          <w:sz w:val="20"/>
          <w:szCs w:val="20"/>
          <w:color w:val="auto"/>
        </w:rPr>
      </w:pPr>
    </w:p>
    <w:p>
      <w:pPr>
        <w:ind w:left="184" w:hanging="184"/>
        <w:spacing w:after="0"/>
        <w:tabs>
          <w:tab w:leader="none" w:pos="184" w:val="left"/>
        </w:tabs>
        <w:numPr>
          <w:ilvl w:val="0"/>
          <w:numId w:val="10"/>
        </w:numPr>
        <w:rPr>
          <w:rFonts w:ascii="Arial" w:cs="Arial" w:eastAsia="Arial" w:hAnsi="Arial"/>
          <w:sz w:val="18"/>
          <w:szCs w:val="18"/>
          <w:i w:val="1"/>
          <w:iCs w:val="1"/>
          <w:color w:val="auto"/>
        </w:rPr>
      </w:pPr>
      <w:r>
        <w:rPr>
          <w:rFonts w:ascii="Arial" w:cs="Arial" w:eastAsia="Arial" w:hAnsi="Arial"/>
          <w:sz w:val="18"/>
          <w:szCs w:val="18"/>
          <w:color w:val="auto"/>
        </w:rPr>
        <w:t>I have reviewed this Annual Report on Form 10-K of Madrigal Pharmaceuticals, Inc.;</w:t>
      </w:r>
    </w:p>
    <w:p>
      <w:pPr>
        <w:spacing w:after="0" w:line="225" w:lineRule="exact"/>
        <w:rPr>
          <w:rFonts w:ascii="Arial" w:cs="Arial" w:eastAsia="Arial" w:hAnsi="Arial"/>
          <w:sz w:val="18"/>
          <w:szCs w:val="18"/>
          <w:i w:val="1"/>
          <w:iCs w:val="1"/>
          <w:color w:val="auto"/>
        </w:rPr>
      </w:pPr>
    </w:p>
    <w:p>
      <w:pPr>
        <w:ind w:left="4" w:right="60" w:hanging="4"/>
        <w:spacing w:after="0" w:line="342" w:lineRule="auto"/>
        <w:tabs>
          <w:tab w:leader="none" w:pos="184" w:val="left"/>
        </w:tabs>
        <w:numPr>
          <w:ilvl w:val="0"/>
          <w:numId w:val="10"/>
        </w:numPr>
        <w:rPr>
          <w:rFonts w:ascii="Arial" w:cs="Arial" w:eastAsia="Arial" w:hAnsi="Arial"/>
          <w:sz w:val="16"/>
          <w:szCs w:val="16"/>
          <w:i w:val="1"/>
          <w:iCs w:val="1"/>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i w:val="1"/>
          <w:iCs w:val="1"/>
          <w:color w:val="auto"/>
        </w:rPr>
      </w:pPr>
    </w:p>
    <w:p>
      <w:pPr>
        <w:ind w:left="4" w:right="340" w:hanging="4"/>
        <w:spacing w:after="0" w:line="308" w:lineRule="auto"/>
        <w:tabs>
          <w:tab w:leader="none" w:pos="184" w:val="left"/>
        </w:tabs>
        <w:numPr>
          <w:ilvl w:val="0"/>
          <w:numId w:val="10"/>
        </w:numPr>
        <w:rPr>
          <w:rFonts w:ascii="Arial" w:cs="Arial" w:eastAsia="Arial" w:hAnsi="Arial"/>
          <w:sz w:val="17"/>
          <w:szCs w:val="17"/>
          <w:i w:val="1"/>
          <w:iCs w:val="1"/>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i w:val="1"/>
          <w:iCs w:val="1"/>
          <w:color w:val="auto"/>
        </w:rPr>
      </w:pPr>
    </w:p>
    <w:p>
      <w:pPr>
        <w:ind w:left="4" w:right="380" w:hanging="4"/>
        <w:spacing w:after="0" w:line="258" w:lineRule="auto"/>
        <w:tabs>
          <w:tab w:leader="none" w:pos="181" w:val="left"/>
        </w:tabs>
        <w:numPr>
          <w:ilvl w:val="0"/>
          <w:numId w:val="10"/>
        </w:numPr>
        <w:rPr>
          <w:rFonts w:ascii="Arial" w:cs="Arial" w:eastAsia="Arial" w:hAnsi="Arial"/>
          <w:sz w:val="18"/>
          <w:szCs w:val="18"/>
          <w:i w:val="1"/>
          <w:iCs w:val="1"/>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w:t>
      </w:r>
    </w:p>
    <w:p>
      <w:pPr>
        <w:spacing w:after="0" w:line="1" w:lineRule="exact"/>
        <w:rPr>
          <w:rFonts w:ascii="Arial" w:cs="Arial" w:eastAsia="Arial" w:hAnsi="Arial"/>
          <w:sz w:val="18"/>
          <w:szCs w:val="18"/>
          <w:i w:val="1"/>
          <w:iCs w:val="1"/>
          <w:color w:val="auto"/>
        </w:rPr>
      </w:pPr>
    </w:p>
    <w:p>
      <w:pPr>
        <w:ind w:left="4"/>
        <w:spacing w:after="0"/>
        <w:rPr>
          <w:rFonts w:ascii="Arial" w:cs="Arial" w:eastAsia="Arial" w:hAnsi="Arial"/>
          <w:sz w:val="18"/>
          <w:szCs w:val="18"/>
          <w:i w:val="1"/>
          <w:iCs w:val="1"/>
          <w:color w:val="auto"/>
        </w:rPr>
      </w:pPr>
      <w:r>
        <w:rPr>
          <w:rFonts w:ascii="Arial" w:cs="Arial" w:eastAsia="Arial" w:hAnsi="Arial"/>
          <w:sz w:val="18"/>
          <w:szCs w:val="18"/>
          <w:color w:val="auto"/>
        </w:rPr>
        <w:t>Act Rules 13a-15(f) and 15d-15(f)) for the registrant and have:</w:t>
      </w:r>
    </w:p>
    <w:p>
      <w:pPr>
        <w:spacing w:after="0" w:line="102" w:lineRule="exact"/>
        <w:rPr>
          <w:rFonts w:ascii="Arial" w:cs="Arial" w:eastAsia="Arial" w:hAnsi="Arial"/>
          <w:sz w:val="18"/>
          <w:szCs w:val="18"/>
          <w:i w:val="1"/>
          <w:iCs w:val="1"/>
          <w:color w:val="auto"/>
        </w:rPr>
      </w:pPr>
    </w:p>
    <w:p>
      <w:pPr>
        <w:ind w:left="444" w:right="120" w:hanging="4"/>
        <w:spacing w:after="0" w:line="263" w:lineRule="auto"/>
        <w:tabs>
          <w:tab w:leader="none" w:pos="699" w:val="left"/>
        </w:tabs>
        <w:numPr>
          <w:ilvl w:val="1"/>
          <w:numId w:val="10"/>
        </w:numPr>
        <w:rPr>
          <w:rFonts w:ascii="Arial" w:cs="Arial" w:eastAsia="Arial" w:hAnsi="Arial"/>
          <w:sz w:val="18"/>
          <w:szCs w:val="18"/>
          <w:i w:val="1"/>
          <w:iCs w:val="1"/>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5" w:lineRule="exact"/>
        <w:rPr>
          <w:rFonts w:ascii="Arial" w:cs="Arial" w:eastAsia="Arial" w:hAnsi="Arial"/>
          <w:sz w:val="18"/>
          <w:szCs w:val="18"/>
          <w:i w:val="1"/>
          <w:iCs w:val="1"/>
          <w:color w:val="auto"/>
        </w:rPr>
      </w:pPr>
    </w:p>
    <w:p>
      <w:pPr>
        <w:ind w:left="444" w:right="60" w:hanging="4"/>
        <w:spacing w:after="0" w:line="263" w:lineRule="auto"/>
        <w:tabs>
          <w:tab w:leader="none" w:pos="699" w:val="left"/>
        </w:tabs>
        <w:numPr>
          <w:ilvl w:val="1"/>
          <w:numId w:val="10"/>
        </w:numPr>
        <w:rPr>
          <w:rFonts w:ascii="Arial" w:cs="Arial" w:eastAsia="Arial" w:hAnsi="Arial"/>
          <w:sz w:val="18"/>
          <w:szCs w:val="18"/>
          <w:i w:val="1"/>
          <w:iCs w:val="1"/>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5" w:lineRule="exact"/>
        <w:rPr>
          <w:rFonts w:ascii="Arial" w:cs="Arial" w:eastAsia="Arial" w:hAnsi="Arial"/>
          <w:sz w:val="18"/>
          <w:szCs w:val="18"/>
          <w:i w:val="1"/>
          <w:iCs w:val="1"/>
          <w:color w:val="auto"/>
        </w:rPr>
      </w:pPr>
    </w:p>
    <w:p>
      <w:pPr>
        <w:ind w:left="444" w:right="640" w:hanging="4"/>
        <w:spacing w:after="0" w:line="342" w:lineRule="auto"/>
        <w:tabs>
          <w:tab w:leader="none" w:pos="689" w:val="left"/>
        </w:tabs>
        <w:numPr>
          <w:ilvl w:val="1"/>
          <w:numId w:val="10"/>
        </w:numPr>
        <w:rPr>
          <w:rFonts w:ascii="Arial" w:cs="Arial" w:eastAsia="Arial" w:hAnsi="Arial"/>
          <w:sz w:val="16"/>
          <w:szCs w:val="16"/>
          <w:i w:val="1"/>
          <w:iCs w:val="1"/>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i w:val="1"/>
          <w:iCs w:val="1"/>
          <w:color w:val="auto"/>
        </w:rPr>
      </w:pPr>
    </w:p>
    <w:p>
      <w:pPr>
        <w:jc w:val="both"/>
        <w:ind w:left="444" w:right="80" w:hanging="4"/>
        <w:spacing w:after="0" w:line="263" w:lineRule="auto"/>
        <w:tabs>
          <w:tab w:leader="none" w:pos="699" w:val="left"/>
        </w:tabs>
        <w:numPr>
          <w:ilvl w:val="1"/>
          <w:numId w:val="10"/>
        </w:numPr>
        <w:rPr>
          <w:rFonts w:ascii="Arial" w:cs="Arial" w:eastAsia="Arial" w:hAnsi="Arial"/>
          <w:sz w:val="18"/>
          <w:szCs w:val="18"/>
          <w:i w:val="1"/>
          <w:iCs w:val="1"/>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i w:val="1"/>
          <w:iCs w:val="1"/>
          <w:color w:val="auto"/>
        </w:rPr>
      </w:pPr>
    </w:p>
    <w:p>
      <w:pPr>
        <w:ind w:left="4" w:right="80" w:hanging="4"/>
        <w:spacing w:after="0" w:line="308" w:lineRule="auto"/>
        <w:tabs>
          <w:tab w:leader="none" w:pos="181" w:val="left"/>
        </w:tabs>
        <w:numPr>
          <w:ilvl w:val="0"/>
          <w:numId w:val="10"/>
        </w:numPr>
        <w:rPr>
          <w:rFonts w:ascii="Arial" w:cs="Arial" w:eastAsia="Arial" w:hAnsi="Arial"/>
          <w:sz w:val="17"/>
          <w:szCs w:val="17"/>
          <w:i w:val="1"/>
          <w:iCs w:val="1"/>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i w:val="1"/>
          <w:iCs w:val="1"/>
          <w:color w:val="auto"/>
        </w:rPr>
      </w:pPr>
    </w:p>
    <w:p>
      <w:pPr>
        <w:ind w:left="444" w:right="40" w:hanging="4"/>
        <w:spacing w:after="0" w:line="277" w:lineRule="auto"/>
        <w:tabs>
          <w:tab w:leader="none" w:pos="689" w:val="left"/>
        </w:tabs>
        <w:numPr>
          <w:ilvl w:val="1"/>
          <w:numId w:val="10"/>
        </w:numPr>
        <w:rPr>
          <w:rFonts w:ascii="Arial" w:cs="Arial" w:eastAsia="Arial" w:hAnsi="Arial"/>
          <w:sz w:val="18"/>
          <w:szCs w:val="18"/>
          <w:i w:val="1"/>
          <w:iCs w:val="1"/>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i w:val="1"/>
          <w:iCs w:val="1"/>
          <w:color w:val="auto"/>
        </w:rPr>
      </w:pPr>
    </w:p>
    <w:p>
      <w:pPr>
        <w:ind w:left="444" w:right="540" w:hanging="4"/>
        <w:spacing w:after="0" w:line="277" w:lineRule="auto"/>
        <w:tabs>
          <w:tab w:leader="none" w:pos="689" w:val="left"/>
        </w:tabs>
        <w:numPr>
          <w:ilvl w:val="1"/>
          <w:numId w:val="10"/>
        </w:numPr>
        <w:rPr>
          <w:rFonts w:ascii="Arial" w:cs="Arial" w:eastAsia="Arial" w:hAnsi="Arial"/>
          <w:sz w:val="18"/>
          <w:szCs w:val="18"/>
          <w:i w:val="1"/>
          <w:iCs w:val="1"/>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ind w:left="4"/>
        <w:spacing w:after="0"/>
        <w:rPr>
          <w:sz w:val="20"/>
          <w:szCs w:val="20"/>
          <w:color w:val="auto"/>
        </w:rPr>
      </w:pPr>
      <w:r>
        <w:rPr>
          <w:rFonts w:ascii="Arial" w:cs="Arial" w:eastAsia="Arial" w:hAnsi="Arial"/>
          <w:sz w:val="18"/>
          <w:szCs w:val="18"/>
          <w:color w:val="auto"/>
        </w:rPr>
        <w:t>/s/ ALEX G. HOWARTH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14605</wp:posOffset>
            </wp:positionV>
            <wp:extent cx="2794635"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2">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3" w:lineRule="exact"/>
        <w:rPr>
          <w:sz w:val="20"/>
          <w:szCs w:val="20"/>
          <w:color w:val="auto"/>
        </w:rPr>
      </w:pPr>
    </w:p>
    <w:p>
      <w:pPr>
        <w:ind w:left="4"/>
        <w:spacing w:after="0"/>
        <w:rPr>
          <w:sz w:val="20"/>
          <w:szCs w:val="20"/>
          <w:color w:val="auto"/>
        </w:rPr>
      </w:pPr>
      <w:r>
        <w:rPr>
          <w:rFonts w:ascii="Arial" w:cs="Arial" w:eastAsia="Arial" w:hAnsi="Arial"/>
          <w:sz w:val="18"/>
          <w:szCs w:val="18"/>
          <w:color w:val="auto"/>
        </w:rPr>
        <w:t>Alex G. Howarth</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8"/>
          <w:szCs w:val="18"/>
          <w:i w:val="1"/>
          <w:iCs w:val="1"/>
          <w:color w:val="auto"/>
        </w:rPr>
        <w:t>Chief Financial Officer (Principal Financial Officer)</w:t>
      </w:r>
    </w:p>
    <w:p>
      <w:pPr>
        <w:spacing w:after="0" w:line="9" w:lineRule="exact"/>
        <w:rPr>
          <w:sz w:val="20"/>
          <w:szCs w:val="20"/>
          <w:color w:val="auto"/>
        </w:rPr>
      </w:pPr>
    </w:p>
    <w:p>
      <w:pPr>
        <w:ind w:left="4"/>
        <w:spacing w:after="0"/>
        <w:rPr>
          <w:sz w:val="20"/>
          <w:szCs w:val="20"/>
          <w:color w:val="auto"/>
        </w:rPr>
      </w:pPr>
      <w:r>
        <w:rPr>
          <w:rFonts w:ascii="Arial" w:cs="Arial" w:eastAsia="Arial" w:hAnsi="Arial"/>
          <w:sz w:val="18"/>
          <w:szCs w:val="18"/>
          <w:color w:val="auto"/>
        </w:rPr>
        <w:t>Date: March 3, 2023</w:t>
      </w:r>
    </w:p>
    <w:p>
      <w:pPr>
        <w:sectPr>
          <w:pgSz w:w="11900" w:h="16838" w:orient="portrait"/>
          <w:cols w:equalWidth="0" w:num="1">
            <w:col w:w="11024"/>
          </w:cols>
          <w:pgMar w:left="436" w:top="121" w:right="439" w:bottom="1440" w:gutter="0" w:footer="0" w:header="0"/>
        </w:sectPr>
      </w:pPr>
    </w:p>
    <w:bookmarkStart w:id="33" w:name="page34"/>
    <w:bookmarkEnd w:id="33"/>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211" w:lineRule="exact"/>
        <w:rPr>
          <w:sz w:val="20"/>
          <w:szCs w:val="20"/>
          <w:color w:val="auto"/>
        </w:rPr>
      </w:pPr>
    </w:p>
    <w:p>
      <w:pPr>
        <w:ind w:right="60" w:firstLine="440"/>
        <w:spacing w:after="0" w:line="263" w:lineRule="auto"/>
        <w:rPr>
          <w:sz w:val="20"/>
          <w:szCs w:val="20"/>
          <w:color w:val="auto"/>
        </w:rPr>
      </w:pPr>
      <w:r>
        <w:rPr>
          <w:rFonts w:ascii="Arial" w:cs="Arial" w:eastAsia="Arial" w:hAnsi="Arial"/>
          <w:sz w:val="18"/>
          <w:szCs w:val="18"/>
          <w:color w:val="auto"/>
        </w:rPr>
        <w:t>Pursuant to Section 906 of the Sarbanes-Oxley Act of 2002 (Subsections (a) and (b) of Section 1350 of Chapter 63 of Title 18 of the United States Code (18 U.S.C. Section 1350)), each of the undersigned officers of Madrigal Pharmaceuticals, Inc., a Delaware corporation (the “Company”), does hereby certify, to such officer’s knowledge, that:</w:t>
      </w:r>
    </w:p>
    <w:p>
      <w:pPr>
        <w:spacing w:after="0" w:line="76" w:lineRule="exact"/>
        <w:rPr>
          <w:sz w:val="20"/>
          <w:szCs w:val="20"/>
          <w:color w:val="auto"/>
        </w:rPr>
      </w:pPr>
    </w:p>
    <w:p>
      <w:pPr>
        <w:ind w:right="300" w:firstLine="440"/>
        <w:spacing w:after="0" w:line="263" w:lineRule="auto"/>
        <w:rPr>
          <w:sz w:val="20"/>
          <w:szCs w:val="20"/>
          <w:color w:val="auto"/>
        </w:rPr>
      </w:pPr>
      <w:r>
        <w:rPr>
          <w:rFonts w:ascii="Arial" w:cs="Arial" w:eastAsia="Arial" w:hAnsi="Arial"/>
          <w:sz w:val="18"/>
          <w:szCs w:val="18"/>
          <w:color w:val="auto"/>
        </w:rPr>
        <w:t>The Annual Report on Form 10-K for the fiscal year ended December 31, 2022 (the “Form 10-K”)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211" w:lineRule="exact"/>
        <w:rPr>
          <w:sz w:val="20"/>
          <w:szCs w:val="20"/>
          <w:color w:val="auto"/>
        </w:rPr>
      </w:pPr>
    </w:p>
    <w:p>
      <w:pPr>
        <w:spacing w:after="0"/>
        <w:tabs>
          <w:tab w:leader="none" w:pos="6600" w:val="left"/>
        </w:tabs>
        <w:rPr>
          <w:sz w:val="20"/>
          <w:szCs w:val="20"/>
          <w:color w:val="auto"/>
        </w:rPr>
      </w:pPr>
      <w:r>
        <w:rPr>
          <w:rFonts w:ascii="Arial" w:cs="Arial" w:eastAsia="Arial" w:hAnsi="Arial"/>
          <w:sz w:val="18"/>
          <w:szCs w:val="18"/>
          <w:color w:val="auto"/>
        </w:rPr>
        <w:t>Dated March 3, 2023</w:t>
      </w:r>
      <w:r>
        <w:rPr>
          <w:sz w:val="20"/>
          <w:szCs w:val="20"/>
          <w:color w:val="auto"/>
        </w:rPr>
        <w:tab/>
      </w:r>
      <w:r>
        <w:rPr>
          <w:rFonts w:ascii="Arial" w:cs="Arial" w:eastAsia="Arial" w:hAnsi="Arial"/>
          <w:sz w:val="17"/>
          <w:szCs w:val="17"/>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4197985</wp:posOffset>
            </wp:positionH>
            <wp:positionV relativeFrom="paragraph">
              <wp:posOffset>14605</wp:posOffset>
            </wp:positionV>
            <wp:extent cx="279463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30"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Paul A. Friedman, M.D.</w:t>
      </w:r>
    </w:p>
    <w:p>
      <w:pPr>
        <w:spacing w:after="0" w:line="9" w:lineRule="exact"/>
        <w:rPr>
          <w:sz w:val="20"/>
          <w:szCs w:val="20"/>
          <w:color w:val="auto"/>
        </w:rPr>
      </w:pPr>
    </w:p>
    <w:p>
      <w:pPr>
        <w:ind w:left="6620"/>
        <w:spacing w:after="0"/>
        <w:rPr>
          <w:sz w:val="20"/>
          <w:szCs w:val="20"/>
          <w:color w:val="auto"/>
        </w:rPr>
      </w:pPr>
      <w:r>
        <w:rPr>
          <w:rFonts w:ascii="Arial" w:cs="Arial" w:eastAsia="Arial" w:hAnsi="Arial"/>
          <w:sz w:val="18"/>
          <w:szCs w:val="18"/>
          <w:i w:val="1"/>
          <w:iCs w:val="1"/>
          <w:color w:val="auto"/>
        </w:rPr>
        <w:t>Chief Executive Officer and Chairman of the Board</w:t>
      </w:r>
    </w:p>
    <w:p>
      <w:pPr>
        <w:spacing w:after="0" w:line="9" w:lineRule="exact"/>
        <w:rPr>
          <w:sz w:val="20"/>
          <w:szCs w:val="20"/>
          <w:color w:val="auto"/>
        </w:rPr>
      </w:pPr>
    </w:p>
    <w:p>
      <w:pPr>
        <w:ind w:left="6620"/>
        <w:spacing w:after="0"/>
        <w:rPr>
          <w:sz w:val="20"/>
          <w:szCs w:val="20"/>
          <w:color w:val="auto"/>
        </w:rPr>
      </w:pPr>
      <w:r>
        <w:rPr>
          <w:rFonts w:ascii="Arial" w:cs="Arial" w:eastAsia="Arial" w:hAnsi="Arial"/>
          <w:sz w:val="18"/>
          <w:szCs w:val="18"/>
          <w:i w:val="1"/>
          <w:iCs w:val="1"/>
          <w:color w:val="auto"/>
        </w:rPr>
        <w:t>(Principal Executive Officer)</w:t>
      </w:r>
    </w:p>
    <w:p>
      <w:pPr>
        <w:spacing w:after="0" w:line="211" w:lineRule="exact"/>
        <w:rPr>
          <w:sz w:val="20"/>
          <w:szCs w:val="20"/>
          <w:color w:val="auto"/>
        </w:rPr>
      </w:pPr>
    </w:p>
    <w:p>
      <w:pPr>
        <w:spacing w:after="0"/>
        <w:tabs>
          <w:tab w:leader="none" w:pos="6600" w:val="left"/>
        </w:tabs>
        <w:rPr>
          <w:sz w:val="20"/>
          <w:szCs w:val="20"/>
          <w:color w:val="auto"/>
        </w:rPr>
      </w:pPr>
      <w:r>
        <w:rPr>
          <w:rFonts w:ascii="Arial" w:cs="Arial" w:eastAsia="Arial" w:hAnsi="Arial"/>
          <w:sz w:val="18"/>
          <w:szCs w:val="18"/>
          <w:color w:val="auto"/>
        </w:rPr>
        <w:t>Dated: March 3, 2023</w:t>
      </w:r>
      <w:r>
        <w:rPr>
          <w:sz w:val="20"/>
          <w:szCs w:val="20"/>
          <w:color w:val="auto"/>
        </w:rPr>
        <w:tab/>
      </w:r>
      <w:r>
        <w:rPr>
          <w:rFonts w:ascii="Arial" w:cs="Arial" w:eastAsia="Arial" w:hAnsi="Arial"/>
          <w:sz w:val="17"/>
          <w:szCs w:val="17"/>
          <w:color w:val="auto"/>
        </w:rPr>
        <w:t>/s/ ALEX G. HOWARTH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4197985</wp:posOffset>
            </wp:positionH>
            <wp:positionV relativeFrom="paragraph">
              <wp:posOffset>14605</wp:posOffset>
            </wp:positionV>
            <wp:extent cx="2794635"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4">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30"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Alex G. Howarth</w:t>
      </w:r>
    </w:p>
    <w:p>
      <w:pPr>
        <w:spacing w:after="0" w:line="9" w:lineRule="exact"/>
        <w:rPr>
          <w:sz w:val="20"/>
          <w:szCs w:val="20"/>
          <w:color w:val="auto"/>
        </w:rPr>
      </w:pPr>
    </w:p>
    <w:p>
      <w:pPr>
        <w:ind w:left="6620"/>
        <w:spacing w:after="0"/>
        <w:rPr>
          <w:sz w:val="20"/>
          <w:szCs w:val="20"/>
          <w:color w:val="auto"/>
        </w:rPr>
      </w:pPr>
      <w:r>
        <w:rPr>
          <w:rFonts w:ascii="Arial" w:cs="Arial" w:eastAsia="Arial" w:hAnsi="Arial"/>
          <w:sz w:val="18"/>
          <w:szCs w:val="18"/>
          <w:i w:val="1"/>
          <w:iCs w:val="1"/>
          <w:color w:val="auto"/>
        </w:rPr>
        <w:t>Chief Financial Officer (Principal Financial Officer)</w:t>
      </w:r>
    </w:p>
    <w:p>
      <w:pPr>
        <w:spacing w:after="0" w:line="211" w:lineRule="exact"/>
        <w:rPr>
          <w:sz w:val="20"/>
          <w:szCs w:val="20"/>
          <w:color w:val="auto"/>
        </w:rPr>
      </w:pPr>
    </w:p>
    <w:p>
      <w:pPr>
        <w:ind w:right="80" w:firstLine="440"/>
        <w:spacing w:after="0" w:line="273" w:lineRule="auto"/>
        <w:rPr>
          <w:sz w:val="20"/>
          <w:szCs w:val="20"/>
          <w:color w:val="auto"/>
        </w:rPr>
      </w:pPr>
      <w:r>
        <w:rPr>
          <w:rFonts w:ascii="Arial" w:cs="Arial" w:eastAsia="Arial" w:hAnsi="Arial"/>
          <w:sz w:val="17"/>
          <w:szCs w:val="17"/>
          <w:color w:val="auto"/>
        </w:rPr>
        <w:t>A signed original of this written statement required by Rule 13a-14(b) of the Securities Exchange Act of 1934, as amended, and Section 1350 of Chapter 63 of Title 18 of the United States Code (18 U.S.C. Section 1350), has been provided to the Company and will be retained by the Company and furnished to the Securities and Exchange Commission or its staff upon request. These certifications accompany the Form 10-K, are not deemed filed with the Securities and Exchange Commission, and are not to be incorporated by reference into any filing of the Company under the Securities Act of 1933, as amended, or the Securities Exchange Act of 1934, as amended (whether made before or after the date of the Form 10-K), irrespective of any general incorporation language contained in such filing.</w:t>
      </w:r>
    </w:p>
    <w:sectPr>
      <w:pgSz w:w="11900" w:h="16838" w:orient="portrait"/>
      <w:cols w:equalWidth="0" w:num="1">
        <w:col w:w="11020"/>
      </w:cols>
      <w:pgMar w:left="440" w:top="121"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abstractNum>
  <w:abstractNum w:abstractNumId="2">
    <w:nsid w:val="2EB141F2"/>
    <w:multiLevelType w:val="hybridMultilevel"/>
    <w:lvl w:ilvl="0">
      <w:lvlJc w:val="left"/>
      <w:lvlText w:val="*"/>
      <w:numFmt w:val="bullet"/>
      <w:start w:val="1"/>
    </w:lvl>
  </w:abstractNum>
  <w:abstractNum w:abstractNumId="3">
    <w:nsid w:val="41B71EFB"/>
    <w:multiLevelType w:val="hybridMultilevel"/>
    <w:lvl w:ilvl="0">
      <w:lvlJc w:val="left"/>
      <w:lvlText w:val="**"/>
      <w:numFmt w:val="bullet"/>
      <w:start w:val="1"/>
    </w:lvl>
  </w:abstractNum>
  <w:abstractNum w:abstractNumId="4">
    <w:nsid w:val="79E2A9E3"/>
    <w:multiLevelType w:val="hybridMultilevel"/>
    <w:lvl w:ilvl="0">
      <w:lvlJc w:val="left"/>
      <w:lvlText w:val="†"/>
      <w:numFmt w:val="bullet"/>
      <w:start w:val="1"/>
    </w:lvl>
  </w:abstractNum>
  <w:abstractNum w:abstractNumId="5">
    <w:nsid w:val="7545E146"/>
    <w:multiLevelType w:val="hybridMultilevel"/>
    <w:lvl w:ilvl="0">
      <w:lvlJc w:val="left"/>
      <w:lvlText w:val="%1."/>
      <w:numFmt w:val="decimal"/>
      <w:start w:val="1"/>
    </w:lvl>
  </w:abstractNum>
  <w:abstractNum w:abstractNumId="6">
    <w:nsid w:val="515F007C"/>
    <w:multiLevelType w:val="hybridMultilevel"/>
    <w:lvl w:ilvl="0">
      <w:lvlJc w:val="left"/>
      <w:lvlText w:val="%1."/>
      <w:numFmt w:val="decimal"/>
      <w:start w:val="2"/>
    </w:lvl>
  </w:abstractNum>
  <w:abstractNum w:abstractNumId="7">
    <w:nsid w:val="5BD062C2"/>
    <w:multiLevelType w:val="hybridMultilevel"/>
    <w:lvl w:ilvl="0">
      <w:lvlJc w:val="left"/>
      <w:lvlText w:val="%1."/>
      <w:numFmt w:val="decimal"/>
      <w:start w:val="7"/>
    </w:lvl>
  </w:abstractNum>
  <w:abstractNum w:abstractNumId="8">
    <w:nsid w:val="12200854"/>
    <w:multiLevelType w:val="hybridMultilevel"/>
    <w:lvl w:ilvl="0">
      <w:lvlJc w:val="left"/>
      <w:lvlText w:val="%1."/>
      <w:numFmt w:val="decimal"/>
      <w:start w:val="1"/>
    </w:lvl>
    <w:lvl w:ilvl="1">
      <w:lvlJc w:val="left"/>
      <w:lvlText w:val="(%2)"/>
      <w:numFmt w:val="lowerLetter"/>
      <w:start w:val="1"/>
    </w:lvl>
  </w:abstractNum>
  <w:abstractNum w:abstractNumId="9">
    <w:nsid w:val="4DB127F8"/>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27" Type="http://schemas.openxmlformats.org/officeDocument/2006/relationships/image" Target="media/image12.png"/><Relationship Id="rId36" Type="http://schemas.openxmlformats.org/officeDocument/2006/relationships/image" Target="media/image13.png"/><Relationship Id="rId45" Type="http://schemas.openxmlformats.org/officeDocument/2006/relationships/image" Target="media/image14.png"/><Relationship Id="rId46" Type="http://schemas.openxmlformats.org/officeDocument/2006/relationships/image" Target="media/image15.png"/><Relationship Id="rId47" Type="http://schemas.openxmlformats.org/officeDocument/2006/relationships/image" Target="media/image16.png"/><Relationship Id="rId48" Type="http://schemas.openxmlformats.org/officeDocument/2006/relationships/image" Target="media/image17.png"/><Relationship Id="rId49" Type="http://schemas.openxmlformats.org/officeDocument/2006/relationships/image" Target="media/image18.png"/><Relationship Id="rId50" Type="http://schemas.openxmlformats.org/officeDocument/2006/relationships/image" Target="media/image19.png"/><Relationship Id="rId51" Type="http://schemas.openxmlformats.org/officeDocument/2006/relationships/image" Target="media/image20.png"/><Relationship Id="rId52" Type="http://schemas.openxmlformats.org/officeDocument/2006/relationships/image" Target="media/image21.png"/><Relationship Id="rId53" Type="http://schemas.openxmlformats.org/officeDocument/2006/relationships/image" Target="media/image22.png"/><Relationship Id="rId54" Type="http://schemas.openxmlformats.org/officeDocument/2006/relationships/image" Target="media/image23.png"/><Relationship Id="rId55" Type="http://schemas.openxmlformats.org/officeDocument/2006/relationships/image" Target="media/image24.png"/><Relationship Id="rId56" Type="http://schemas.openxmlformats.org/officeDocument/2006/relationships/image" Target="media/image25.png"/><Relationship Id="rId57" Type="http://schemas.openxmlformats.org/officeDocument/2006/relationships/image" Target="media/image26.png"/><Relationship Id="rId58" Type="http://schemas.openxmlformats.org/officeDocument/2006/relationships/image" Target="media/image27.png"/><Relationship Id="rId59" Type="http://schemas.openxmlformats.org/officeDocument/2006/relationships/image" Target="media/image28.png"/><Relationship Id="rId60" Type="http://schemas.openxmlformats.org/officeDocument/2006/relationships/image" Target="media/image29.png"/><Relationship Id="rId61" Type="http://schemas.openxmlformats.org/officeDocument/2006/relationships/image" Target="media/image30.png"/><Relationship Id="rId62" Type="http://schemas.openxmlformats.org/officeDocument/2006/relationships/image" Target="media/image31.png"/><Relationship Id="rId63" Type="http://schemas.openxmlformats.org/officeDocument/2006/relationships/image" Target="media/image32.png"/><Relationship Id="rId64" Type="http://schemas.openxmlformats.org/officeDocument/2006/relationships/image" Target="media/image33.png"/><Relationship Id="rId65" Type="http://schemas.openxmlformats.org/officeDocument/2006/relationships/image" Target="media/image34.png"/><Relationship Id="rId66" Type="http://schemas.openxmlformats.org/officeDocument/2006/relationships/image" Target="media/image35.png"/><Relationship Id="rId67" Type="http://schemas.openxmlformats.org/officeDocument/2006/relationships/image" Target="media/image36.png"/><Relationship Id="rId68" Type="http://schemas.openxmlformats.org/officeDocument/2006/relationships/image" Target="media/image37.png"/><Relationship Id="rId69" Type="http://schemas.openxmlformats.org/officeDocument/2006/relationships/image" Target="media/image38.png"/><Relationship Id="rId70" Type="http://schemas.openxmlformats.org/officeDocument/2006/relationships/image" Target="media/image39.png"/><Relationship Id="rId71" Type="http://schemas.openxmlformats.org/officeDocument/2006/relationships/image" Target="media/image40.png"/><Relationship Id="rId72" Type="http://schemas.openxmlformats.org/officeDocument/2006/relationships/image" Target="media/image41.png"/><Relationship Id="rId73" Type="http://schemas.openxmlformats.org/officeDocument/2006/relationships/image" Target="media/image42.png"/><Relationship Id="rId74" Type="http://schemas.openxmlformats.org/officeDocument/2006/relationships/image" Target="media/image43.png"/><Relationship Id="rId19" Type="http://schemas.openxmlformats.org/officeDocument/2006/relationships/hyperlink" Target="http://www.sec.gov/Archives/edgar/data/1157601/000104746917002260/a2231593zex-3_1.htm" TargetMode="External"/><Relationship Id="rId20" Type="http://schemas.openxmlformats.org/officeDocument/2006/relationships/hyperlink" Target="http://www.sec.gov/Archives/edgar/data/1157601/000110465917040552/a17-15516_1ex3d1.htm" TargetMode="External"/><Relationship Id="rId21" Type="http://schemas.openxmlformats.org/officeDocument/2006/relationships/hyperlink" Target="http://www.sec.gov/Archives/edgar/data/1157601/000119312522311537/d434336dex31.htm" TargetMode="External"/><Relationship Id="rId22" Type="http://schemas.openxmlformats.org/officeDocument/2006/relationships/hyperlink" Target="http://www.sec.gov/Archives/edgar/data/1157601/000110465916111348/a16-8380_1ex3d1.htm" TargetMode="External"/><Relationship Id="rId23" Type="http://schemas.openxmlformats.org/officeDocument/2006/relationships/hyperlink" Target="http://www.sec.gov/Archives/edgar/data/1157601/000119312522211757/d235479dex41.htm" TargetMode="External"/><Relationship Id="rId24" Type="http://schemas.openxmlformats.org/officeDocument/2006/relationships/hyperlink" Target="http://www.sec.gov/Archives/edgar/data/1157601/000119312523030281/d457771dex41.htm" TargetMode="External"/><Relationship Id="rId25" Type="http://schemas.openxmlformats.org/officeDocument/2006/relationships/hyperlink" Target="http://www.sec.gov/Archives/edgar/data/1157601/000119312523045575/d437449dex43.htm" TargetMode="External"/><Relationship Id="rId26" Type="http://schemas.openxmlformats.org/officeDocument/2006/relationships/hyperlink" Target="http://www.sec.gov/Archives/edgar/data/1157601/000110465917040552/a17-15516_1ex10d1.htm" TargetMode="External"/><Relationship Id="rId28" Type="http://schemas.openxmlformats.org/officeDocument/2006/relationships/hyperlink" Target="http://www.sec.gov/Archives/edgar/data/1157601/000119312522311537/d434336dex102.htm" TargetMode="External"/><Relationship Id="rId29" Type="http://schemas.openxmlformats.org/officeDocument/2006/relationships/hyperlink" Target="http://www.sec.gov/Archives/edgar/data/1157601/000119312521177871/d190382dex11.htm" TargetMode="External"/><Relationship Id="rId30" Type="http://schemas.openxmlformats.org/officeDocument/2006/relationships/hyperlink" Target="http://www.sec.gov/Archives/edgar/data/1157601/000119312522311537/d434336dex101.htm" TargetMode="External"/><Relationship Id="rId31" Type="http://schemas.openxmlformats.org/officeDocument/2006/relationships/hyperlink" Target="http://www.sec.gov/Archives/edgar/data/1157601/000119312522211757/d235479dex101.htm" TargetMode="External"/><Relationship Id="rId32" Type="http://schemas.openxmlformats.org/officeDocument/2006/relationships/hyperlink" Target="http://www.sec.gov/Archives/edgar/data/1157601/000119312523030281/d457771dex101.htm" TargetMode="External"/><Relationship Id="rId33" Type="http://schemas.openxmlformats.org/officeDocument/2006/relationships/hyperlink" Target="http://www.sec.gov/Archives/edgar/data/1157601/000110465916156989/a16-17137_1ex10d5.htm" TargetMode="External"/><Relationship Id="rId34" Type="http://schemas.openxmlformats.org/officeDocument/2006/relationships/hyperlink" Target="http://www.sec.gov/Archives/edgar/data/1157601/000119312521144922/d107927ddef14a.htm#toc" TargetMode="External"/><Relationship Id="rId35" Type="http://schemas.openxmlformats.org/officeDocument/2006/relationships/hyperlink" Target="http://www.sec.gov/Archives/edgar/data/1157601/000104746917002260/a2231593zex-10_10.htm" TargetMode="External"/><Relationship Id="rId37" Type="http://schemas.openxmlformats.org/officeDocument/2006/relationships/hyperlink" Target="http://www.sec.gov/Archives/edgar/data/1157601/000104746917002260/a2231593zex-10_11.htm" TargetMode="External"/><Relationship Id="rId38" Type="http://schemas.openxmlformats.org/officeDocument/2006/relationships/hyperlink" Target="http://www.sec.gov/Archives/edgar/data/1157601/000104746917002260/a2231593zex-10_13.htm" TargetMode="External"/><Relationship Id="rId39" Type="http://schemas.openxmlformats.org/officeDocument/2006/relationships/hyperlink" Target="http://www.sec.gov/Archives/edgar/data/1157601/000119312523045575/d437449dex1012.htm" TargetMode="External"/><Relationship Id="rId40" Type="http://schemas.openxmlformats.org/officeDocument/2006/relationships/hyperlink" Target="http://www.sec.gov/Archives/edgar/data/1157601/000119312521152386/d168724dex101.htm" TargetMode="External"/><Relationship Id="rId41" Type="http://schemas.openxmlformats.org/officeDocument/2006/relationships/hyperlink" Target="http://www.sec.gov/Archives/edgar/data/1157601/000110465916133914/a16-15258_1ex10d2.htm" TargetMode="External"/><Relationship Id="rId42" Type="http://schemas.openxmlformats.org/officeDocument/2006/relationships/hyperlink" Target="http://www.sec.gov/Archives/edgar/data/1157601/000110465916133914/a16-15258_1ex10d3.htm" TargetMode="External"/><Relationship Id="rId43" Type="http://schemas.openxmlformats.org/officeDocument/2006/relationships/hyperlink" Target="http://www.sec.gov/Archives/edgar/data/1157601/000110465916133914/a16-15258_1ex10d4.htm" TargetMode="External"/><Relationship Id="rId44" Type="http://schemas.openxmlformats.org/officeDocument/2006/relationships/hyperlink" Target="http://www.sec.gov/Archives/edgar/data/1157601/000119312523045575/d437449dex21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2023-03-03T15:42:06Z</dcterms:created>
  <dcterms:modified xsi:type="dcterms:W3CDTF">2023-03-03T15:42:06Z</dcterms:modified>
</cp:coreProperties>
</file>