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286385</wp:posOffset>
            </wp:positionH>
            <wp:positionV relativeFrom="page">
              <wp:posOffset>157480</wp:posOffset>
            </wp:positionV>
            <wp:extent cx="69977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page">
              <wp:posOffset>286385</wp:posOffset>
            </wp:positionH>
            <wp:positionV relativeFrom="page">
              <wp:posOffset>191770</wp:posOffset>
            </wp:positionV>
            <wp:extent cx="69977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7700" cy="8890"/>
                    </a:xfrm>
                    <a:prstGeom prst="rect">
                      <a:avLst/>
                    </a:prstGeom>
                    <a:noFill/>
                  </pic:spPr>
                </pic:pic>
              </a:graphicData>
            </a:graphic>
          </wp:anchor>
        </w:drawing>
        <w:t>UNITED STATES</w:t>
      </w:r>
    </w:p>
    <w:p>
      <w:pPr>
        <w:spacing w:after="0" w:line="31"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2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184785</wp:posOffset>
            </wp:positionV>
            <wp:extent cx="14662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19"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203835</wp:posOffset>
            </wp:positionV>
            <wp:extent cx="14662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77" w:lineRule="exact"/>
        <w:rPr>
          <w:sz w:val="24"/>
          <w:szCs w:val="24"/>
          <w:color w:val="auto"/>
        </w:rPr>
      </w:pPr>
    </w:p>
    <w:p>
      <w:pPr>
        <w:ind w:left="4500"/>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ind w:left="4040"/>
        <w:spacing w:after="0"/>
        <w:rPr>
          <w:sz w:val="20"/>
          <w:szCs w:val="20"/>
          <w:color w:val="auto"/>
        </w:rPr>
      </w:pPr>
      <w:r>
        <w:rPr>
          <w:rFonts w:ascii="Arial" w:cs="Arial" w:eastAsia="Arial" w:hAnsi="Arial"/>
          <w:sz w:val="22"/>
          <w:szCs w:val="22"/>
          <w:b w:val="1"/>
          <w:bCs w:val="1"/>
          <w:color w:val="auto"/>
        </w:rPr>
        <w:t>Pursuant to Section 13 or 15(d)</w:t>
      </w:r>
    </w:p>
    <w:p>
      <w:pPr>
        <w:jc w:val="center"/>
        <w:ind w:right="20"/>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42"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Date of Report (Date of earliest event reported): February 26,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191135</wp:posOffset>
            </wp:positionV>
            <wp:extent cx="14662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40" w:lineRule="exact"/>
        <w:rPr>
          <w:sz w:val="24"/>
          <w:szCs w:val="24"/>
          <w:color w:val="auto"/>
        </w:rPr>
      </w:pPr>
    </w:p>
    <w:p>
      <w:pPr>
        <w:jc w:val="center"/>
        <w:ind w:right="20"/>
        <w:spacing w:after="0"/>
        <w:rPr>
          <w:sz w:val="20"/>
          <w:szCs w:val="20"/>
          <w:color w:val="auto"/>
        </w:rPr>
      </w:pPr>
      <w:r>
        <w:rPr>
          <w:rFonts w:ascii="Arial" w:cs="Arial" w:eastAsia="Arial" w:hAnsi="Arial"/>
          <w:sz w:val="43"/>
          <w:szCs w:val="43"/>
          <w:b w:val="1"/>
          <w:bCs w:val="1"/>
          <w:color w:val="auto"/>
        </w:rPr>
        <w:t>MADRIGAL PHARMACEUTICALS, INC.</w:t>
      </w:r>
    </w:p>
    <w:p>
      <w:pPr>
        <w:spacing w:after="0" w:line="50"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184785</wp:posOffset>
            </wp:positionV>
            <wp:extent cx="146621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ectPr>
          <w:pgSz w:w="11900" w:h="16838" w:orient="portrait"/>
          <w:cols w:equalWidth="0" w:num="1">
            <w:col w:w="11040"/>
          </w:cols>
          <w:pgMar w:left="440" w:top="341" w:right="419" w:bottom="1440" w:gutter="0" w:footer="0" w:header="0"/>
        </w:sectPr>
      </w:pPr>
    </w:p>
    <w:p>
      <w:pPr>
        <w:spacing w:after="0" w:line="200" w:lineRule="exact"/>
        <w:rPr>
          <w:sz w:val="24"/>
          <w:szCs w:val="24"/>
          <w:color w:val="auto"/>
        </w:rPr>
      </w:pPr>
    </w:p>
    <w:p>
      <w:pPr>
        <w:spacing w:after="0" w:line="262" w:lineRule="exact"/>
        <w:rPr>
          <w:sz w:val="24"/>
          <w:szCs w:val="24"/>
          <w:color w:val="auto"/>
        </w:rPr>
      </w:pPr>
    </w:p>
    <w:p>
      <w:pPr>
        <w:ind w:left="150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42" w:lineRule="exact"/>
        <w:rPr>
          <w:sz w:val="24"/>
          <w:szCs w:val="24"/>
          <w:color w:val="auto"/>
        </w:rPr>
      </w:pPr>
    </w:p>
    <w:p>
      <w:pPr>
        <w:jc w:val="center"/>
        <w:ind w:right="2120"/>
        <w:spacing w:after="0"/>
        <w:rPr>
          <w:sz w:val="20"/>
          <w:szCs w:val="20"/>
          <w:color w:val="auto"/>
        </w:rPr>
      </w:pPr>
      <w:r>
        <w:rPr>
          <w:rFonts w:ascii="Arial" w:cs="Arial" w:eastAsia="Arial" w:hAnsi="Arial"/>
          <w:sz w:val="16"/>
          <w:szCs w:val="16"/>
          <w:b w:val="1"/>
          <w:bCs w:val="1"/>
          <w:color w:val="auto"/>
        </w:rPr>
        <w:t>001-33277</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42"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04-3508648</w:t>
      </w:r>
    </w:p>
    <w:p>
      <w:pPr>
        <w:spacing w:after="0" w:line="31" w:lineRule="exact"/>
        <w:rPr>
          <w:sz w:val="24"/>
          <w:szCs w:val="24"/>
          <w:color w:val="auto"/>
        </w:rPr>
      </w:pPr>
    </w:p>
    <w:p>
      <w:pPr>
        <w:sectPr>
          <w:pgSz w:w="11900" w:h="16838" w:orient="portrait"/>
          <w:cols w:equalWidth="0" w:num="3">
            <w:col w:w="4480" w:space="720"/>
            <w:col w:w="2900" w:space="720"/>
            <w:col w:w="2220"/>
          </w:cols>
          <w:pgMar w:left="440" w:top="341" w:right="419" w:bottom="1440" w:gutter="0" w:footer="0" w:header="0"/>
          <w:type w:val="continuous"/>
        </w:sectPr>
      </w:pPr>
    </w:p>
    <w:p>
      <w:pPr>
        <w:spacing w:after="0" w:line="12" w:lineRule="exact"/>
        <w:rPr>
          <w:sz w:val="24"/>
          <w:szCs w:val="24"/>
          <w:color w:val="auto"/>
        </w:rPr>
      </w:pPr>
    </w:p>
    <w:p>
      <w:pPr>
        <w:jc w:val="center"/>
        <w:ind w:right="720"/>
        <w:spacing w:after="0"/>
        <w:rPr>
          <w:sz w:val="20"/>
          <w:szCs w:val="20"/>
          <w:color w:val="auto"/>
        </w:rPr>
      </w:pPr>
      <w:r>
        <w:rPr>
          <w:rFonts w:ascii="Arial" w:cs="Arial" w:eastAsia="Arial" w:hAnsi="Arial"/>
          <w:sz w:val="13"/>
          <w:szCs w:val="13"/>
          <w:b w:val="1"/>
          <w:bCs w:val="1"/>
          <w:color w:val="auto"/>
        </w:rPr>
        <w:t>(State or other jurisdiction</w:t>
      </w:r>
    </w:p>
    <w:p>
      <w:pPr>
        <w:jc w:val="center"/>
        <w:ind w:right="72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20"/>
        <w:spacing w:after="0"/>
        <w:rPr>
          <w:sz w:val="20"/>
          <w:szCs w:val="20"/>
          <w:color w:val="auto"/>
        </w:rPr>
      </w:pPr>
      <w:r>
        <w:rPr>
          <w:rFonts w:ascii="Arial" w:cs="Arial" w:eastAsia="Arial" w:hAnsi="Arial"/>
          <w:sz w:val="14"/>
          <w:szCs w:val="14"/>
          <w:b w:val="1"/>
          <w:bCs w:val="1"/>
          <w:color w:val="auto"/>
        </w:rPr>
        <w:t>(IRS Employer</w:t>
      </w:r>
    </w:p>
    <w:p>
      <w:pPr>
        <w:jc w:val="center"/>
        <w:ind w:right="1220"/>
        <w:spacing w:after="0"/>
        <w:rPr>
          <w:sz w:val="20"/>
          <w:szCs w:val="20"/>
          <w:color w:val="auto"/>
        </w:rPr>
      </w:pPr>
      <w:r>
        <w:rPr>
          <w:rFonts w:ascii="Arial" w:cs="Arial" w:eastAsia="Arial" w:hAnsi="Arial"/>
          <w:sz w:val="13"/>
          <w:szCs w:val="13"/>
          <w:b w:val="1"/>
          <w:bCs w:val="1"/>
          <w:color w:val="auto"/>
        </w:rPr>
        <w:t>Identification No.)</w:t>
      </w:r>
    </w:p>
    <w:p>
      <w:pPr>
        <w:spacing w:after="0" w:line="176" w:lineRule="exact"/>
        <w:rPr>
          <w:sz w:val="24"/>
          <w:szCs w:val="24"/>
          <w:color w:val="auto"/>
        </w:rPr>
      </w:pPr>
    </w:p>
    <w:p>
      <w:pPr>
        <w:sectPr>
          <w:pgSz w:w="11900" w:h="16838" w:orient="portrait"/>
          <w:cols w:equalWidth="0" w:num="3">
            <w:col w:w="4440" w:space="720"/>
            <w:col w:w="2820" w:space="720"/>
            <w:col w:w="2340"/>
          </w:cols>
          <w:pgMar w:left="440" w:top="341" w:right="419" w:bottom="1440" w:gutter="0" w:footer="0" w:header="0"/>
          <w:type w:val="continuous"/>
        </w:sectPr>
      </w:pPr>
    </w:p>
    <w:p>
      <w:pPr>
        <w:jc w:val="center"/>
        <w:ind w:right="1820"/>
        <w:spacing w:after="0"/>
        <w:rPr>
          <w:sz w:val="20"/>
          <w:szCs w:val="20"/>
          <w:color w:val="auto"/>
        </w:rPr>
      </w:pPr>
      <w:r>
        <w:rPr>
          <w:rFonts w:ascii="Arial" w:cs="Arial" w:eastAsia="Arial" w:hAnsi="Arial"/>
          <w:sz w:val="18"/>
          <w:szCs w:val="18"/>
          <w:b w:val="1"/>
          <w:bCs w:val="1"/>
          <w:color w:val="auto"/>
        </w:rPr>
        <w:t>Four Tower Bridge</w:t>
      </w:r>
    </w:p>
    <w:p>
      <w:pPr>
        <w:spacing w:after="0" w:line="27" w:lineRule="exact"/>
        <w:rPr>
          <w:sz w:val="24"/>
          <w:szCs w:val="24"/>
          <w:color w:val="auto"/>
        </w:rPr>
      </w:pPr>
    </w:p>
    <w:p>
      <w:pPr>
        <w:jc w:val="center"/>
        <w:ind w:right="1820"/>
        <w:spacing w:after="0"/>
        <w:rPr>
          <w:sz w:val="20"/>
          <w:szCs w:val="20"/>
          <w:color w:val="auto"/>
        </w:rPr>
      </w:pPr>
      <w:r>
        <w:rPr>
          <w:rFonts w:ascii="Arial" w:cs="Arial" w:eastAsia="Arial" w:hAnsi="Arial"/>
          <w:sz w:val="16"/>
          <w:szCs w:val="16"/>
          <w:b w:val="1"/>
          <w:bCs w:val="1"/>
          <w:color w:val="auto"/>
        </w:rPr>
        <w:t>200 Barr Harbor Drive, Suite 200</w:t>
      </w:r>
    </w:p>
    <w:p>
      <w:pPr>
        <w:spacing w:after="0" w:line="32" w:lineRule="exact"/>
        <w:rPr>
          <w:sz w:val="24"/>
          <w:szCs w:val="24"/>
          <w:color w:val="auto"/>
        </w:rPr>
      </w:pPr>
    </w:p>
    <w:p>
      <w:pPr>
        <w:jc w:val="center"/>
        <w:ind w:right="1820"/>
        <w:spacing w:after="0"/>
        <w:rPr>
          <w:sz w:val="20"/>
          <w:szCs w:val="20"/>
          <w:color w:val="auto"/>
        </w:rPr>
      </w:pPr>
      <w:r>
        <w:rPr>
          <w:rFonts w:ascii="Arial" w:cs="Arial" w:eastAsia="Arial" w:hAnsi="Arial"/>
          <w:sz w:val="18"/>
          <w:szCs w:val="18"/>
          <w:b w:val="1"/>
          <w:bCs w:val="1"/>
          <w:color w:val="auto"/>
        </w:rPr>
        <w:t>West Conshohocken, PA</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19428</w:t>
      </w:r>
    </w:p>
    <w:p>
      <w:pPr>
        <w:spacing w:after="0" w:line="50" w:lineRule="exact"/>
        <w:rPr>
          <w:sz w:val="24"/>
          <w:szCs w:val="24"/>
          <w:color w:val="auto"/>
        </w:rPr>
      </w:pPr>
    </w:p>
    <w:p>
      <w:pPr>
        <w:sectPr>
          <w:pgSz w:w="11900" w:h="16838" w:orient="portrait"/>
          <w:cols w:equalWidth="0" w:num="2">
            <w:col w:w="7400" w:space="720"/>
            <w:col w:w="2920"/>
          </w:cols>
          <w:pgMar w:left="440" w:top="341" w:right="419" w:bottom="1440" w:gutter="0" w:footer="0" w:header="0"/>
          <w:type w:val="continuous"/>
        </w:sectPr>
      </w:pPr>
    </w:p>
    <w:p>
      <w:pPr>
        <w:ind w:left="1600"/>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156" w:lineRule="exact"/>
        <w:rPr>
          <w:sz w:val="24"/>
          <w:szCs w:val="24"/>
          <w:color w:val="auto"/>
        </w:rPr>
      </w:pPr>
    </w:p>
    <w:p>
      <w:pPr>
        <w:sectPr>
          <w:pgSz w:w="11900" w:h="16838" w:orient="portrait"/>
          <w:cols w:equalWidth="0" w:num="2">
            <w:col w:w="7300" w:space="720"/>
            <w:col w:w="3020"/>
          </w:cols>
          <w:pgMar w:left="440" w:top="341" w:right="419" w:bottom="1440" w:gutter="0" w:footer="0" w:header="0"/>
          <w:type w:val="continuous"/>
        </w:sectPr>
      </w:pPr>
    </w:p>
    <w:p>
      <w:pPr>
        <w:jc w:val="center"/>
        <w:ind w:right="20"/>
        <w:spacing w:after="0"/>
        <w:rPr>
          <w:sz w:val="20"/>
          <w:szCs w:val="20"/>
          <w:color w:val="auto"/>
        </w:rPr>
      </w:pPr>
      <w:r>
        <w:rPr>
          <w:rFonts w:ascii="Arial" w:cs="Arial" w:eastAsia="Arial" w:hAnsi="Arial"/>
          <w:sz w:val="18"/>
          <w:szCs w:val="18"/>
          <w:b w:val="1"/>
          <w:bCs w:val="1"/>
          <w:color w:val="auto"/>
        </w:rPr>
        <w:t>(267) 824-2827</w:t>
      </w:r>
    </w:p>
    <w:p>
      <w:pPr>
        <w:spacing w:after="0" w:line="27" w:lineRule="exact"/>
        <w:rPr>
          <w:sz w:val="24"/>
          <w:szCs w:val="24"/>
          <w:color w:val="auto"/>
        </w:rPr>
      </w:pPr>
    </w:p>
    <w:p>
      <w:pPr>
        <w:jc w:val="center"/>
        <w:ind w:right="20"/>
        <w:spacing w:after="0"/>
        <w:rPr>
          <w:sz w:val="20"/>
          <w:szCs w:val="20"/>
          <w:color w:val="auto"/>
        </w:rPr>
      </w:pPr>
      <w:r>
        <w:rPr>
          <w:rFonts w:ascii="Arial" w:cs="Arial" w:eastAsia="Arial" w:hAnsi="Arial"/>
          <w:sz w:val="15"/>
          <w:szCs w:val="15"/>
          <w:b w:val="1"/>
          <w:bCs w:val="1"/>
          <w:color w:val="auto"/>
        </w:rPr>
        <w:t>Registrant’s telephone number, including area code</w:t>
      </w:r>
    </w:p>
    <w:p>
      <w:pPr>
        <w:sectPr>
          <w:pgSz w:w="11900" w:h="16838" w:orient="portrait"/>
          <w:cols w:equalWidth="0" w:num="1">
            <w:col w:w="11040"/>
          </w:cols>
          <w:pgMar w:left="440" w:top="341" w:right="419" w:bottom="1440" w:gutter="0" w:footer="0" w:header="0"/>
          <w:type w:val="continuous"/>
        </w:sectPr>
      </w:pPr>
    </w:p>
    <w:p>
      <w:pPr>
        <w:spacing w:after="0" w:line="386" w:lineRule="exact"/>
        <w:rPr>
          <w:sz w:val="24"/>
          <w:szCs w:val="24"/>
          <w:color w:val="auto"/>
        </w:rPr>
      </w:pPr>
    </w:p>
    <w:p>
      <w:pPr>
        <w:jc w:val="center"/>
        <w:ind w:right="20"/>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186690</wp:posOffset>
            </wp:positionV>
            <wp:extent cx="14662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49" w:lineRule="exact"/>
        <w:rPr>
          <w:sz w:val="24"/>
          <w:szCs w:val="24"/>
          <w:color w:val="auto"/>
        </w:rPr>
      </w:pPr>
    </w:p>
    <w:p>
      <w:pPr>
        <w:ind w:right="4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62" w:lineRule="exact"/>
        <w:rPr>
          <w:sz w:val="24"/>
          <w:szCs w:val="24"/>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98"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164"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8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Title of each class:</w:t>
            </w:r>
          </w:p>
        </w:tc>
        <w:tc>
          <w:tcPr>
            <w:tcW w:w="100" w:type="dxa"/>
            <w:vAlign w:val="bottom"/>
          </w:tcPr>
          <w:p>
            <w:pPr>
              <w:spacing w:after="0"/>
              <w:rPr>
                <w:sz w:val="14"/>
                <w:szCs w:val="14"/>
                <w:color w:val="auto"/>
              </w:rPr>
            </w:pPr>
          </w:p>
        </w:tc>
        <w:tc>
          <w:tcPr>
            <w:tcW w:w="3640" w:type="dxa"/>
            <w:vAlign w:val="bottom"/>
          </w:tcPr>
          <w:p>
            <w:pPr>
              <w:jc w:val="center"/>
              <w:spacing w:after="0"/>
              <w:rPr>
                <w:sz w:val="20"/>
                <w:szCs w:val="20"/>
                <w:color w:val="auto"/>
              </w:rPr>
            </w:pPr>
            <w:r>
              <w:rPr>
                <w:rFonts w:ascii="Arial" w:cs="Arial" w:eastAsia="Arial" w:hAnsi="Arial"/>
                <w:sz w:val="14"/>
                <w:szCs w:val="14"/>
                <w:b w:val="1"/>
                <w:bCs w:val="1"/>
                <w:color w:val="auto"/>
                <w:w w:val="97"/>
              </w:rPr>
              <w:t>Trading</w:t>
            </w:r>
          </w:p>
        </w:tc>
        <w:tc>
          <w:tcPr>
            <w:tcW w:w="100" w:type="dxa"/>
            <w:vAlign w:val="bottom"/>
          </w:tcPr>
          <w:p>
            <w:pPr>
              <w:spacing w:after="0"/>
              <w:rPr>
                <w:sz w:val="14"/>
                <w:szCs w:val="14"/>
                <w:color w:val="auto"/>
              </w:rPr>
            </w:pPr>
          </w:p>
        </w:tc>
        <w:tc>
          <w:tcPr>
            <w:tcW w:w="3320" w:type="dxa"/>
            <w:vAlign w:val="bottom"/>
          </w:tcPr>
          <w:p>
            <w:pPr>
              <w:jc w:val="center"/>
              <w:spacing w:after="0"/>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71"/>
        </w:trPr>
        <w:tc>
          <w:tcPr>
            <w:tcW w:w="3860" w:type="dxa"/>
            <w:vAlign w:val="bottom"/>
            <w:tcBorders>
              <w:bottom w:val="single" w:sz="8" w:color="auto"/>
            </w:tcBorders>
            <w:vMerge w:val="continue"/>
          </w:tcPr>
          <w:p>
            <w:pPr>
              <w:spacing w:after="0"/>
              <w:rPr>
                <w:sz w:val="14"/>
                <w:szCs w:val="14"/>
                <w:color w:val="auto"/>
              </w:rPr>
            </w:pPr>
          </w:p>
        </w:tc>
        <w:tc>
          <w:tcPr>
            <w:tcW w:w="100" w:type="dxa"/>
            <w:vAlign w:val="bottom"/>
          </w:tcPr>
          <w:p>
            <w:pPr>
              <w:spacing w:after="0"/>
              <w:rPr>
                <w:sz w:val="14"/>
                <w:szCs w:val="14"/>
                <w:color w:val="auto"/>
              </w:rPr>
            </w:pPr>
          </w:p>
        </w:tc>
        <w:tc>
          <w:tcPr>
            <w:tcW w:w="3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Symbol(s)</w:t>
            </w:r>
          </w:p>
        </w:tc>
        <w:tc>
          <w:tcPr>
            <w:tcW w:w="100" w:type="dxa"/>
            <w:vAlign w:val="bottom"/>
          </w:tcPr>
          <w:p>
            <w:pPr>
              <w:spacing w:after="0"/>
              <w:rPr>
                <w:sz w:val="14"/>
                <w:szCs w:val="14"/>
                <w:color w:val="auto"/>
              </w:rPr>
            </w:pPr>
          </w:p>
        </w:tc>
        <w:tc>
          <w:tcPr>
            <w:tcW w:w="3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on which registered:</w:t>
            </w:r>
          </w:p>
        </w:tc>
        <w:tc>
          <w:tcPr>
            <w:tcW w:w="0" w:type="dxa"/>
            <w:vAlign w:val="bottom"/>
          </w:tcPr>
          <w:p>
            <w:pPr>
              <w:spacing w:after="0"/>
              <w:rPr>
                <w:sz w:val="1"/>
                <w:szCs w:val="1"/>
                <w:color w:val="auto"/>
              </w:rPr>
            </w:pPr>
          </w:p>
        </w:tc>
      </w:tr>
      <w:tr>
        <w:trPr>
          <w:trHeight w:val="191"/>
        </w:trPr>
        <w:tc>
          <w:tcPr>
            <w:tcW w:w="3860" w:type="dxa"/>
            <w:vAlign w:val="bottom"/>
          </w:tcPr>
          <w:p>
            <w:pPr>
              <w:jc w:val="center"/>
              <w:spacing w:after="0" w:line="191" w:lineRule="exact"/>
              <w:rPr>
                <w:sz w:val="20"/>
                <w:szCs w:val="20"/>
                <w:color w:val="auto"/>
              </w:rPr>
            </w:pPr>
            <w:r>
              <w:rPr>
                <w:rFonts w:ascii="Arial" w:cs="Arial" w:eastAsia="Arial" w:hAnsi="Arial"/>
                <w:sz w:val="18"/>
                <w:szCs w:val="18"/>
                <w:b w:val="1"/>
                <w:bCs w:val="1"/>
                <w:color w:val="auto"/>
                <w:w w:val="90"/>
              </w:rPr>
              <w:t>Common stock of Madrigal Pharmaceuticals,</w:t>
            </w:r>
          </w:p>
        </w:tc>
        <w:tc>
          <w:tcPr>
            <w:tcW w:w="100" w:type="dxa"/>
            <w:vAlign w:val="bottom"/>
          </w:tcPr>
          <w:p>
            <w:pPr>
              <w:spacing w:after="0"/>
              <w:rPr>
                <w:sz w:val="16"/>
                <w:szCs w:val="16"/>
                <w:color w:val="auto"/>
              </w:rPr>
            </w:pPr>
          </w:p>
        </w:tc>
        <w:tc>
          <w:tcPr>
            <w:tcW w:w="3640" w:type="dxa"/>
            <w:vAlign w:val="bottom"/>
          </w:tcPr>
          <w:p>
            <w:pPr>
              <w:jc w:val="center"/>
              <w:spacing w:after="0" w:line="191" w:lineRule="exact"/>
              <w:rPr>
                <w:sz w:val="20"/>
                <w:szCs w:val="20"/>
                <w:color w:val="auto"/>
              </w:rPr>
            </w:pPr>
            <w:r>
              <w:rPr>
                <w:rFonts w:ascii="Arial" w:cs="Arial" w:eastAsia="Arial" w:hAnsi="Arial"/>
                <w:sz w:val="18"/>
                <w:szCs w:val="18"/>
                <w:b w:val="1"/>
                <w:bCs w:val="1"/>
                <w:color w:val="auto"/>
              </w:rPr>
              <w:t>MDGL</w:t>
            </w:r>
          </w:p>
        </w:tc>
        <w:tc>
          <w:tcPr>
            <w:tcW w:w="100" w:type="dxa"/>
            <w:vAlign w:val="bottom"/>
          </w:tcPr>
          <w:p>
            <w:pPr>
              <w:spacing w:after="0"/>
              <w:rPr>
                <w:sz w:val="16"/>
                <w:szCs w:val="16"/>
                <w:color w:val="auto"/>
              </w:rPr>
            </w:pPr>
          </w:p>
        </w:tc>
        <w:tc>
          <w:tcPr>
            <w:tcW w:w="3320" w:type="dxa"/>
            <w:vAlign w:val="bottom"/>
          </w:tcPr>
          <w:p>
            <w:pPr>
              <w:jc w:val="center"/>
              <w:spacing w:after="0" w:line="191" w:lineRule="exact"/>
              <w:rPr>
                <w:sz w:val="20"/>
                <w:szCs w:val="20"/>
                <w:color w:val="auto"/>
              </w:rPr>
            </w:pPr>
            <w:r>
              <w:rPr>
                <w:rFonts w:ascii="Arial" w:cs="Arial" w:eastAsia="Arial" w:hAnsi="Arial"/>
                <w:sz w:val="18"/>
                <w:szCs w:val="18"/>
                <w:b w:val="1"/>
                <w:bCs w:val="1"/>
                <w:color w:val="auto"/>
                <w:w w:val="97"/>
              </w:rPr>
              <w:t>NASDAQ</w:t>
            </w:r>
          </w:p>
        </w:tc>
        <w:tc>
          <w:tcPr>
            <w:tcW w:w="0" w:type="dxa"/>
            <w:vAlign w:val="bottom"/>
          </w:tcPr>
          <w:p>
            <w:pPr>
              <w:spacing w:after="0"/>
              <w:rPr>
                <w:sz w:val="1"/>
                <w:szCs w:val="1"/>
                <w:color w:val="auto"/>
              </w:rPr>
            </w:pPr>
          </w:p>
        </w:tc>
      </w:tr>
      <w:tr>
        <w:trPr>
          <w:trHeight w:val="234"/>
        </w:trPr>
        <w:tc>
          <w:tcPr>
            <w:tcW w:w="3860" w:type="dxa"/>
            <w:vAlign w:val="bottom"/>
          </w:tcPr>
          <w:p>
            <w:pPr>
              <w:jc w:val="center"/>
              <w:spacing w:after="0"/>
              <w:rPr>
                <w:sz w:val="20"/>
                <w:szCs w:val="20"/>
                <w:color w:val="auto"/>
              </w:rPr>
            </w:pPr>
            <w:r>
              <w:rPr>
                <w:rFonts w:ascii="Arial" w:cs="Arial" w:eastAsia="Arial" w:hAnsi="Arial"/>
                <w:sz w:val="18"/>
                <w:szCs w:val="18"/>
                <w:b w:val="1"/>
                <w:bCs w:val="1"/>
                <w:color w:val="auto"/>
                <w:w w:val="90"/>
              </w:rPr>
              <w:t>Inc., $0.0001 par value per share</w:t>
            </w:r>
          </w:p>
        </w:tc>
        <w:tc>
          <w:tcPr>
            <w:tcW w:w="100" w:type="dxa"/>
            <w:vAlign w:val="bottom"/>
          </w:tcPr>
          <w:p>
            <w:pPr>
              <w:spacing w:after="0"/>
              <w:rPr>
                <w:sz w:val="20"/>
                <w:szCs w:val="20"/>
                <w:color w:val="auto"/>
              </w:rPr>
            </w:pPr>
          </w:p>
        </w:tc>
        <w:tc>
          <w:tcPr>
            <w:tcW w:w="36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3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61" w:lineRule="exact"/>
        <w:rPr>
          <w:sz w:val="24"/>
          <w:szCs w:val="24"/>
          <w:color w:val="auto"/>
        </w:rPr>
      </w:pPr>
    </w:p>
    <w:p>
      <w:pPr>
        <w:ind w:right="3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11" w:lineRule="exact"/>
        <w:rPr>
          <w:sz w:val="24"/>
          <w:szCs w:val="24"/>
          <w:color w:val="auto"/>
        </w:rPr>
      </w:pPr>
    </w:p>
    <w:p>
      <w:pPr>
        <w:ind w:left="8800"/>
        <w:spacing w:after="0" w:line="196" w:lineRule="exact"/>
        <w:rPr>
          <w:sz w:val="20"/>
          <w:szCs w:val="20"/>
          <w:color w:val="auto"/>
        </w:rPr>
      </w:pPr>
      <w:r>
        <w:rPr>
          <w:rFonts w:ascii="Arial" w:cs="Arial" w:eastAsia="Arial" w:hAnsi="Arial"/>
          <w:sz w:val="17"/>
          <w:szCs w:val="17"/>
          <w:color w:val="auto"/>
        </w:rPr>
        <w:t xml:space="preserve">Emerging growth company </w:t>
      </w:r>
      <w:r>
        <w:rPr>
          <w:rFonts w:ascii="MS PGothic" w:cs="MS PGothic" w:eastAsia="MS PGothic" w:hAnsi="MS PGothic"/>
          <w:sz w:val="17"/>
          <w:szCs w:val="17"/>
          <w:color w:val="auto"/>
        </w:rPr>
        <w:t>☐</w:t>
      </w:r>
    </w:p>
    <w:p>
      <w:pPr>
        <w:spacing w:after="0" w:line="229" w:lineRule="exact"/>
        <w:rPr>
          <w:sz w:val="24"/>
          <w:szCs w:val="24"/>
          <w:color w:val="auto"/>
        </w:rPr>
      </w:pPr>
    </w:p>
    <w:p>
      <w:pPr>
        <w:ind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133350</wp:posOffset>
            </wp:positionV>
            <wp:extent cx="6997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167640</wp:posOffset>
            </wp:positionV>
            <wp:extent cx="6997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ectPr>
          <w:pgSz w:w="11900" w:h="16838" w:orient="portrait"/>
          <w:cols w:equalWidth="0" w:num="1">
            <w:col w:w="11040"/>
          </w:cols>
          <w:pgMar w:left="440" w:top="341" w:right="419" w:bottom="1440" w:gutter="0" w:footer="0" w:header="0"/>
          <w:type w:val="continuous"/>
        </w:sectPr>
      </w:pPr>
    </w:p>
    <w:bookmarkStart w:id="1" w:name="page2"/>
    <w:bookmarkEnd w:id="1"/>
    <w:p>
      <w:pPr>
        <w:spacing w:after="0"/>
        <w:tabs>
          <w:tab w:leader="none" w:pos="108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558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55880"/>
                    </a:xfrm>
                    <a:prstGeom prst="rect">
                      <a:avLst/>
                    </a:prstGeom>
                    <a:noFill/>
                  </pic:spPr>
                </pic:pic>
              </a:graphicData>
            </a:graphic>
          </wp:anchor>
        </w:drawing>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21"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On February 26, 2020 Madrigal Pharmaceuticals, Inc. issued a press release announcing its results for its fourth fiscal quarter and fiscal year ended December 31, 2019. A copy of the press release is furnished herewith as Exhibit 99.1 to this Current Report on Form 8-K and is incorporated herein by reference.</w:t>
      </w:r>
    </w:p>
    <w:p>
      <w:pPr>
        <w:spacing w:after="0" w:line="181"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The information in this Current Report on Form 8-K and the accompanying Exhibit 99.1 shall not be deemed “filed” for purposes of Section 18 of the Securities Exchange Act of 1934, as amended (the “Exchange Act”), or otherwise subject to the liabilities of that section, nor shall it be deemed incorporated by reference in any filing under the Securities Act of 1933, as amended, or the Exchange Act, regardless of any general incorporation language in such filing, unless expressly incorporated by reference in such filing.</w:t>
      </w:r>
    </w:p>
    <w:p>
      <w:pPr>
        <w:spacing w:after="0" w:line="291" w:lineRule="exact"/>
        <w:rPr>
          <w:sz w:val="20"/>
          <w:szCs w:val="20"/>
          <w:color w:val="auto"/>
        </w:rPr>
      </w:pPr>
    </w:p>
    <w:p>
      <w:pPr>
        <w:spacing w:after="0"/>
        <w:tabs>
          <w:tab w:leader="none" w:pos="10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17"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Exhibit</w:t>
      </w:r>
    </w:p>
    <w:p>
      <w:pPr>
        <w:spacing w:after="0" w:line="4" w:lineRule="exact"/>
        <w:rPr>
          <w:sz w:val="20"/>
          <w:szCs w:val="20"/>
          <w:color w:val="auto"/>
        </w:rPr>
      </w:pPr>
    </w:p>
    <w:p>
      <w:pPr>
        <w:spacing w:after="0"/>
        <w:tabs>
          <w:tab w:leader="none" w:pos="1100" w:val="left"/>
        </w:tabs>
        <w:rPr>
          <w:sz w:val="20"/>
          <w:szCs w:val="20"/>
          <w:color w:val="auto"/>
        </w:rPr>
      </w:pPr>
      <w:r>
        <w:rPr>
          <w:rFonts w:ascii="Arial" w:cs="Arial" w:eastAsia="Arial" w:hAnsi="Arial"/>
          <w:sz w:val="14"/>
          <w:szCs w:val="14"/>
          <w:b w:val="1"/>
          <w:bCs w:val="1"/>
          <w:u w:val="single" w:color="auto"/>
          <w:color w:val="auto"/>
        </w:rPr>
        <w:t>Number</w:t>
      </w:r>
      <w:r>
        <w:rPr>
          <w:sz w:val="20"/>
          <w:szCs w:val="20"/>
          <w:color w:val="auto"/>
        </w:rPr>
        <w:tab/>
      </w:r>
      <w:r>
        <w:rPr>
          <w:rFonts w:ascii="Arial" w:cs="Arial" w:eastAsia="Arial" w:hAnsi="Arial"/>
          <w:sz w:val="14"/>
          <w:szCs w:val="14"/>
          <w:b w:val="1"/>
          <w:bCs w:val="1"/>
          <w:u w:val="single" w:color="auto"/>
          <w:color w:val="auto"/>
        </w:rPr>
        <w:t>Description</w:t>
      </w:r>
    </w:p>
    <w:p>
      <w:pPr>
        <w:spacing w:after="0" w:line="101" w:lineRule="exact"/>
        <w:rPr>
          <w:sz w:val="20"/>
          <w:szCs w:val="20"/>
          <w:color w:val="auto"/>
        </w:rPr>
      </w:pPr>
    </w:p>
    <w:p>
      <w:pPr>
        <w:ind w:left="80"/>
        <w:spacing w:after="0"/>
        <w:tabs>
          <w:tab w:leader="none" w:pos="1100" w:val="left"/>
        </w:tabs>
        <w:rPr>
          <w:rFonts w:ascii="Arial" w:cs="Arial" w:eastAsia="Arial" w:hAnsi="Arial"/>
          <w:sz w:val="15"/>
          <w:szCs w:val="15"/>
          <w:u w:val="single" w:color="auto"/>
          <w:color w:val="0000EE"/>
        </w:rPr>
      </w:pPr>
      <w:r>
        <w:rPr>
          <w:rFonts w:ascii="Arial" w:cs="Arial" w:eastAsia="Arial" w:hAnsi="Arial"/>
          <w:sz w:val="18"/>
          <w:szCs w:val="18"/>
          <w:color w:val="auto"/>
        </w:rPr>
        <w:t>99.1</w:t>
      </w:r>
      <w:r>
        <w:rPr>
          <w:sz w:val="20"/>
          <w:szCs w:val="20"/>
          <w:color w:val="auto"/>
        </w:rPr>
        <w:tab/>
      </w:r>
      <w:hyperlink w:anchor="page4">
        <w:r>
          <w:rPr>
            <w:rFonts w:ascii="Arial" w:cs="Arial" w:eastAsia="Arial" w:hAnsi="Arial"/>
            <w:sz w:val="15"/>
            <w:szCs w:val="15"/>
            <w:u w:val="single" w:color="auto"/>
            <w:color w:val="0000EE"/>
          </w:rPr>
          <w:t>Press Release Dated February 26, 2020.</w:t>
        </w:r>
      </w:hyperlink>
    </w:p>
    <w:p>
      <w:pPr>
        <w:spacing w:after="0" w:line="117" w:lineRule="exact"/>
        <w:rPr>
          <w:sz w:val="20"/>
          <w:szCs w:val="20"/>
          <w:color w:val="auto"/>
        </w:rPr>
      </w:pPr>
    </w:p>
    <w:p>
      <w:pPr>
        <w:ind w:left="5460" w:right="3960" w:hanging="5389"/>
        <w:spacing w:after="0" w:line="481" w:lineRule="auto"/>
        <w:tabs>
          <w:tab w:leader="none" w:pos="1116" w:val="left"/>
        </w:tabs>
        <w:numPr>
          <w:ilvl w:val="0"/>
          <w:numId w:val="2"/>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 2</w:t>
      </w:r>
    </w:p>
    <w:p>
      <w:pPr>
        <w:sectPr>
          <w:pgSz w:w="11900" w:h="16838" w:orient="portrait"/>
          <w:cols w:equalWidth="0" w:num="1">
            <w:col w:w="10900"/>
          </w:cols>
          <w:pgMar w:left="440" w:top="297" w:right="559" w:bottom="1440" w:gutter="0" w:footer="0" w:header="0"/>
        </w:sectPr>
      </w:pPr>
    </w:p>
    <w:bookmarkStart w:id="2" w:name="page3"/>
    <w:bookmarkEnd w:id="2"/>
    <w:p>
      <w:pPr>
        <w:jc w:val="center"/>
        <w:ind w:right="-2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558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55880"/>
                    </a:xfrm>
                    <a:prstGeom prst="rect">
                      <a:avLst/>
                    </a:prstGeom>
                    <a:noFill/>
                  </pic:spPr>
                </pic:pic>
              </a:graphicData>
            </a:graphic>
          </wp:anchor>
        </w:drawing>
        <w:t>SIGNATURES</w:t>
      </w:r>
    </w:p>
    <w:p>
      <w:pPr>
        <w:spacing w:after="0" w:line="229" w:lineRule="exact"/>
        <w:rPr>
          <w:sz w:val="20"/>
          <w:szCs w:val="20"/>
          <w:color w:val="auto"/>
        </w:rPr>
      </w:pPr>
    </w:p>
    <w:p>
      <w:pPr>
        <w:ind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66"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MADRIGAL PHARMACEUTICALS, INC.</w:t>
      </w:r>
    </w:p>
    <w:p>
      <w:pPr>
        <w:spacing w:after="0" w:line="229" w:lineRule="exact"/>
        <w:rPr>
          <w:sz w:val="20"/>
          <w:szCs w:val="20"/>
          <w:color w:val="auto"/>
        </w:rPr>
      </w:pPr>
    </w:p>
    <w:p>
      <w:pPr>
        <w:ind w:left="6620"/>
        <w:spacing w:after="0"/>
        <w:tabs>
          <w:tab w:leader="none" w:pos="71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Marc R. Schneebaum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4577715</wp:posOffset>
            </wp:positionH>
            <wp:positionV relativeFrom="paragraph">
              <wp:posOffset>14605</wp:posOffset>
            </wp:positionV>
            <wp:extent cx="242697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426970" cy="8890"/>
                    </a:xfrm>
                    <a:prstGeom prst="rect">
                      <a:avLst/>
                    </a:prstGeom>
                    <a:noFill/>
                  </pic:spPr>
                </pic:pic>
              </a:graphicData>
            </a:graphic>
          </wp:anchor>
        </w:drawing>
      </w:r>
    </w:p>
    <w:p>
      <w:pPr>
        <w:spacing w:after="0" w:line="16"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Name: Marc R. Schneebaum</w:t>
      </w:r>
    </w:p>
    <w:p>
      <w:pPr>
        <w:spacing w:after="0" w:line="23" w:lineRule="exact"/>
        <w:rPr>
          <w:sz w:val="20"/>
          <w:szCs w:val="20"/>
          <w:color w:val="auto"/>
        </w:rPr>
      </w:pPr>
    </w:p>
    <w:p>
      <w:pPr>
        <w:ind w:left="6620"/>
        <w:spacing w:after="0"/>
        <w:tabs>
          <w:tab w:leader="none" w:pos="7180" w:val="left"/>
        </w:tabs>
        <w:rPr>
          <w:sz w:val="20"/>
          <w:szCs w:val="20"/>
          <w:color w:val="auto"/>
        </w:rPr>
      </w:pPr>
      <w:r>
        <w:rPr>
          <w:rFonts w:ascii="Arial" w:cs="Arial" w:eastAsia="Arial" w:hAnsi="Arial"/>
          <w:sz w:val="18"/>
          <w:szCs w:val="18"/>
          <w:color w:val="auto"/>
        </w:rPr>
        <w:t>Title:</w:t>
        <w:tab/>
        <w:t>Chief Financial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 February 26, 2020</w:t>
      </w:r>
    </w:p>
    <w:p>
      <w:pPr>
        <w:spacing w:after="0" w:line="185"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720"/>
          </w:cols>
          <w:pgMar w:left="440" w:top="297" w:right="7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172085</wp:posOffset>
            </wp:positionV>
            <wp:extent cx="1612265" cy="3429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612265" cy="3429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Madrigal Pharmaceuticals Reports 2019 Fourth Quarter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and Full Year Financial Results and Highlights</w:t>
      </w:r>
    </w:p>
    <w:p>
      <w:pPr>
        <w:spacing w:after="0" w:line="211"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CONSHOHOCKEN, Pa., February 26, 2020 — Madrigal Pharmaceuticals, Inc. (NASDAQ:MDGL) today announced its fourth quarter and full year 2019 financial results and highlights:</w:t>
      </w:r>
    </w:p>
    <w:p>
      <w:pPr>
        <w:spacing w:after="0" w:line="170"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“Madrigal made significant progress during 2019 in executing our business strategy and advancing the development of resmetirom. We initiated two Phase 3 studies in NASH: the liver biopsy endpoint study, MAESTRO-NASH, and a non-invasive study in NAFLD patients with presumed NASH, MAESTRO-NAFLD-1,” stated Paul Friedman, M.D., Chief Executive Officer of Madrigal. “We filled vital organizational needs including expansion of our medical operations team and the addition of Jim Daly, who has deep commercial expertise, to our Board. Further, we believe we have sufficient financial resources to fund our two ongoing Phase 3 clinical studies.”</w:t>
      </w:r>
    </w:p>
    <w:p>
      <w:pPr>
        <w:spacing w:after="0" w:line="188"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 xml:space="preserve">Becky Taub, M.D., CMO and President, Research &amp; Development of Madrigal added, “According to plan, we initiated our Phase 3 MAESTRO-NASH clinical study in the first quarter, and our Phase 3 MAESTRO-NAFLD-1 study in the fourth quarter. Both Phase 3 studies are on track to complete enrollment this year for the 52 week readout by the end of 2021. In addition, MAESTRO-NAFLD-1 includes an open label active treatment arm that will provide data on lipids and non-invasive NASH biomarkers in 2020. We were also pleased with the publication of our successful Phase 2 NASH study in </w:t>
      </w:r>
      <w:r>
        <w:rPr>
          <w:rFonts w:ascii="Arial" w:cs="Arial" w:eastAsia="Arial" w:hAnsi="Arial"/>
          <w:sz w:val="18"/>
          <w:szCs w:val="18"/>
          <w:i w:val="1"/>
          <w:iCs w:val="1"/>
          <w:color w:val="auto"/>
        </w:rPr>
        <w:t>The Lancet</w:t>
      </w:r>
      <w:r>
        <w:rPr>
          <w:rFonts w:ascii="Arial" w:cs="Arial" w:eastAsia="Arial" w:hAnsi="Arial"/>
          <w:sz w:val="18"/>
          <w:szCs w:val="18"/>
          <w:color w:val="auto"/>
        </w:rPr>
        <w:t xml:space="preserve"> in 2019. We continue to believe resmetirom has the potential to resolve NASH and reduce liver fibrosis while decreasing cardiovascular risk, through reduction of levels of multiple atherogenic lipids including LDL-C and triglycerides, and through the reduction of inflammatory fat in the liver. Realization of this potential could provide an important new therapy that delivers benefit to patients across the spectrum of early and late-stage NASH.”</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Results for the Three Months and Twelve Months Ended December 31, 2019</w:t>
      </w:r>
    </w:p>
    <w:p>
      <w:pPr>
        <w:spacing w:after="0" w:line="121" w:lineRule="exact"/>
        <w:rPr>
          <w:sz w:val="20"/>
          <w:szCs w:val="20"/>
          <w:color w:val="auto"/>
        </w:rPr>
      </w:pPr>
    </w:p>
    <w:p>
      <w:pPr>
        <w:ind w:right="1020"/>
        <w:spacing w:after="0" w:line="342" w:lineRule="auto"/>
        <w:rPr>
          <w:sz w:val="20"/>
          <w:szCs w:val="20"/>
          <w:color w:val="auto"/>
        </w:rPr>
      </w:pPr>
      <w:r>
        <w:rPr>
          <w:rFonts w:ascii="Arial" w:cs="Arial" w:eastAsia="Arial" w:hAnsi="Arial"/>
          <w:sz w:val="16"/>
          <w:szCs w:val="16"/>
          <w:color w:val="auto"/>
        </w:rPr>
        <w:t>As of December 31, 2019, Madrigal had cash, cash equivalents and marketable securities of $439.0 million, compared to $483.7 million at December 31, 2018. The decrease in cash and marketable securities resulted primarily from cash used in operations of $41.6 million.</w:t>
      </w:r>
    </w:p>
    <w:p>
      <w:pPr>
        <w:spacing w:after="0" w:line="124" w:lineRule="exact"/>
        <w:rPr>
          <w:sz w:val="20"/>
          <w:szCs w:val="20"/>
          <w:color w:val="auto"/>
        </w:rPr>
      </w:pPr>
    </w:p>
    <w:p>
      <w:pPr>
        <w:ind w:right="560"/>
        <w:spacing w:after="0" w:line="277" w:lineRule="auto"/>
        <w:rPr>
          <w:sz w:val="20"/>
          <w:szCs w:val="20"/>
          <w:color w:val="auto"/>
        </w:rPr>
      </w:pPr>
      <w:r>
        <w:rPr>
          <w:rFonts w:ascii="Arial" w:cs="Arial" w:eastAsia="Arial" w:hAnsi="Arial"/>
          <w:sz w:val="18"/>
          <w:szCs w:val="18"/>
          <w:color w:val="auto"/>
        </w:rPr>
        <w:t>Operating expenses were $30.0 million and $95.0 million, respectively, for the three month and twelve month periods ended December 31, 2019, compared to $14.5 million and $40.7 million in the comparable prior year periods.</w:t>
      </w:r>
    </w:p>
    <w:p>
      <w:pPr>
        <w:spacing w:after="0" w:line="170" w:lineRule="exact"/>
        <w:rPr>
          <w:sz w:val="20"/>
          <w:szCs w:val="20"/>
          <w:color w:val="auto"/>
        </w:rPr>
      </w:pPr>
    </w:p>
    <w:p>
      <w:pPr>
        <w:jc w:val="both"/>
        <w:ind w:right="280"/>
        <w:spacing w:after="0" w:line="286" w:lineRule="auto"/>
        <w:rPr>
          <w:sz w:val="20"/>
          <w:szCs w:val="20"/>
          <w:color w:val="auto"/>
        </w:rPr>
      </w:pPr>
      <w:r>
        <w:rPr>
          <w:rFonts w:ascii="Arial" w:cs="Arial" w:eastAsia="Arial" w:hAnsi="Arial"/>
          <w:sz w:val="17"/>
          <w:szCs w:val="17"/>
          <w:color w:val="auto"/>
        </w:rPr>
        <w:t>Research and development expenses for the three month and twelve month periods ended December 31, 2019 were $24.9 million and $72.3 million, respectively, compared to $8.9 million and $25.4 million in the comparable prior year periods. The increases are primarily attributable to increases in clinical costs resulting from initiation of our Phase 3 studies, and personnel costs, including non-cash stock compensation.</w:t>
      </w:r>
    </w:p>
    <w:p>
      <w:pPr>
        <w:spacing w:after="0" w:line="166"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General and administrative expenses for the three month and twelve month periods ended December 31, 2019 were $5.0 million and $22.6 million, respectively, compared to $5.6 million and $15.3 million in the comparable prior year periods. The decrease in general and administrative expenses for the latest three month period was due primarily to lower stock compensation expense, the effect of which was partially offset by higher personnel costs. The increase in general and administrative expenses for the latest twelve month period was due primarily to higher stock compensation, and personnel costs.</w:t>
      </w:r>
    </w:p>
    <w:p>
      <w:pPr>
        <w:spacing w:after="0" w:line="188" w:lineRule="exact"/>
        <w:rPr>
          <w:sz w:val="20"/>
          <w:szCs w:val="20"/>
          <w:color w:val="auto"/>
        </w:rPr>
      </w:pPr>
    </w:p>
    <w:p>
      <w:pPr>
        <w:ind w:right="100"/>
        <w:spacing w:after="0" w:line="302" w:lineRule="auto"/>
        <w:rPr>
          <w:sz w:val="20"/>
          <w:szCs w:val="20"/>
          <w:color w:val="auto"/>
        </w:rPr>
      </w:pPr>
      <w:r>
        <w:rPr>
          <w:rFonts w:ascii="Arial" w:cs="Arial" w:eastAsia="Arial" w:hAnsi="Arial"/>
          <w:sz w:val="16"/>
          <w:szCs w:val="16"/>
          <w:color w:val="auto"/>
        </w:rPr>
        <w:t>Interest income for the three month and twelve month periods ended December 31, 2019 was $2.2 million and $11.0 million, respectively, as compared to $3.0 million and $7.7 million in the comparable prior year periods. The decrease in interest income for the latest three month period was due primarily to lower average principal balances in our investment accounts in 2019, and lower interest rates. The increase in interest income for 2019 was due primarily to higher average principal balances in our investment accounts, the effects of which were partially offset by lower interest rates.</w:t>
      </w:r>
    </w:p>
    <w:p>
      <w:pPr>
        <w:sectPr>
          <w:pgSz w:w="11900" w:h="16838" w:orient="portrait"/>
          <w:cols w:equalWidth="0" w:num="1">
            <w:col w:w="11020"/>
          </w:cols>
          <w:pgMar w:left="440" w:top="121" w:right="43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About resmetirom (MGL-3196)</w:t>
      </w:r>
    </w:p>
    <w:p>
      <w:pPr>
        <w:spacing w:after="0" w:line="121" w:lineRule="exact"/>
        <w:rPr>
          <w:sz w:val="20"/>
          <w:szCs w:val="20"/>
          <w:color w:val="auto"/>
        </w:rPr>
      </w:pPr>
    </w:p>
    <w:p>
      <w:pPr>
        <w:ind w:right="160"/>
        <w:spacing w:after="0" w:line="279" w:lineRule="auto"/>
        <w:rPr>
          <w:sz w:val="20"/>
          <w:szCs w:val="20"/>
          <w:color w:val="auto"/>
        </w:rPr>
      </w:pPr>
      <w:r>
        <w:rPr>
          <w:rFonts w:ascii="Arial" w:cs="Arial" w:eastAsia="Arial" w:hAnsi="Arial"/>
          <w:sz w:val="17"/>
          <w:szCs w:val="17"/>
          <w:color w:val="auto"/>
        </w:rPr>
        <w:t>Among its many functions in the human body, thyroid hormone, through activation of its beta receptor, plays a central role in controlling lipid metabolism, impacting a range of health parameters from levels of serum cholesterol and triglycerides to the pathological buildup of fat in the liver. Attempts to exploit this pathway for therapeutic purposes in cardio-metabolic and liver diseases have been hampered by the lack of selectivity of older compounds for the thyroid hormone receptor (THR)-ß, chemically-related toxicities and undesirable distribution in the body.</w:t>
      </w:r>
    </w:p>
    <w:p>
      <w:pPr>
        <w:spacing w:after="0" w:line="171" w:lineRule="exact"/>
        <w:rPr>
          <w:sz w:val="20"/>
          <w:szCs w:val="20"/>
          <w:color w:val="auto"/>
        </w:rPr>
      </w:pPr>
    </w:p>
    <w:p>
      <w:pPr>
        <w:jc w:val="both"/>
        <w:ind w:right="140"/>
        <w:spacing w:after="0" w:line="264" w:lineRule="auto"/>
        <w:rPr>
          <w:sz w:val="20"/>
          <w:szCs w:val="20"/>
          <w:color w:val="auto"/>
        </w:rPr>
      </w:pPr>
      <w:r>
        <w:rPr>
          <w:rFonts w:ascii="Arial" w:cs="Arial" w:eastAsia="Arial" w:hAnsi="Arial"/>
          <w:sz w:val="18"/>
          <w:szCs w:val="18"/>
          <w:color w:val="auto"/>
        </w:rPr>
        <w:t>Madrigal recognized that greater selectivity for thyroid hormone receptor (THR)-ß and liver targeting might overcome these challenges and deliver the full therapeutic potential of THR-ß agonism. Madrigal believes that resmetirom is the first orally administered, small-molecule, liver-directed, truly ß-selective THR agonist.</w:t>
      </w:r>
    </w:p>
    <w:p>
      <w:pPr>
        <w:spacing w:after="0" w:line="181"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Based on the positive Phase 2 clinical study results in patients with NASH (</w:t>
      </w:r>
      <w:r>
        <w:rPr>
          <w:rFonts w:ascii="Arial" w:cs="Arial" w:eastAsia="Arial" w:hAnsi="Arial"/>
          <w:sz w:val="16"/>
          <w:szCs w:val="16"/>
          <w:u w:val="single" w:color="auto"/>
          <w:color w:val="auto"/>
        </w:rPr>
        <w:t>Phase 2 NASH 36-Week Results Press Release</w:t>
      </w:r>
      <w:r>
        <w:rPr>
          <w:rFonts w:ascii="Arial" w:cs="Arial" w:eastAsia="Arial" w:hAnsi="Arial"/>
          <w:sz w:val="16"/>
          <w:szCs w:val="16"/>
          <w:color w:val="auto"/>
        </w:rPr>
        <w:t>), Madrigal initiated a Phase 3 multinational, double-blind, randomized, placebo-controlled study of resmetirom in patients with non-alcoholic steatohepatitis (NASH) and fibrosis to resolve NASH and reduce progression to cirrhosis and/or hepatic decompensation (</w:t>
      </w:r>
      <w:r>
        <w:rPr>
          <w:rFonts w:ascii="Arial" w:cs="Arial" w:eastAsia="Arial" w:hAnsi="Arial"/>
          <w:sz w:val="16"/>
          <w:szCs w:val="16"/>
          <w:u w:val="single" w:color="auto"/>
          <w:color w:val="auto"/>
        </w:rPr>
        <w:t>Phase 3 MAESTRO-NASH Initiation Press Release</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ClinicalTrials.gov NCT03900429</w:t>
      </w:r>
      <w:r>
        <w:rPr>
          <w:rFonts w:ascii="Arial" w:cs="Arial" w:eastAsia="Arial" w:hAnsi="Arial"/>
          <w:sz w:val="16"/>
          <w:szCs w:val="16"/>
          <w:color w:val="auto"/>
        </w:rPr>
        <w:t>). Additionally, in both the NASH Phase 2 study, and a second positive Phase 2 clinical study in patients with heterozygous familial hypercholesterolemia (</w:t>
      </w:r>
      <w:r>
        <w:rPr>
          <w:rFonts w:ascii="Arial" w:cs="Arial" w:eastAsia="Arial" w:hAnsi="Arial"/>
          <w:sz w:val="16"/>
          <w:szCs w:val="16"/>
          <w:u w:val="single" w:color="auto"/>
          <w:color w:val="auto"/>
        </w:rPr>
        <w:t>Phase 2 HeFH Results Press Release</w:t>
      </w:r>
      <w:r>
        <w:rPr>
          <w:rFonts w:ascii="Arial" w:cs="Arial" w:eastAsia="Arial" w:hAnsi="Arial"/>
          <w:sz w:val="16"/>
          <w:szCs w:val="16"/>
          <w:color w:val="auto"/>
        </w:rPr>
        <w:t xml:space="preserve"> Phase 2 HeFH Results Press Release), significant reductions in multiple atherogenic lipids were observed. Based on the foregoing positive results, Madrigal also initiated MAESTRO-NAFLD-1, a 52-week, double-blind, placebo controlled Phase 3 clinical study in patients with biopsy-confirmed or presumed NASH (</w:t>
      </w:r>
      <w:r>
        <w:rPr>
          <w:rFonts w:ascii="Arial" w:cs="Arial" w:eastAsia="Arial" w:hAnsi="Arial"/>
          <w:sz w:val="16"/>
          <w:szCs w:val="16"/>
          <w:u w:val="single" w:color="auto"/>
          <w:color w:val="auto"/>
        </w:rPr>
        <w:t>Phase 3 MAESTRO-NAFLD-1 Initiation Press</w:t>
      </w:r>
      <w:r>
        <w:rPr>
          <w:rFonts w:ascii="Arial" w:cs="Arial" w:eastAsia="Arial" w:hAnsi="Arial"/>
          <w:sz w:val="16"/>
          <w:szCs w:val="16"/>
          <w:color w:val="auto"/>
        </w:rPr>
        <w:t xml:space="preserve"> </w:t>
      </w:r>
      <w:r>
        <w:rPr>
          <w:rFonts w:ascii="Arial" w:cs="Arial" w:eastAsia="Arial" w:hAnsi="Arial"/>
          <w:sz w:val="16"/>
          <w:szCs w:val="16"/>
          <w:u w:val="single" w:color="auto"/>
          <w:color w:val="auto"/>
        </w:rPr>
        <w:t>Release</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ClinicalTrials.gov NCT04197479</w:t>
      </w:r>
      <w:r>
        <w:rPr>
          <w:rFonts w:ascii="Arial" w:cs="Arial" w:eastAsia="Arial" w:hAnsi="Arial"/>
          <w:sz w:val="16"/>
          <w:szCs w:val="16"/>
          <w:color w:val="auto"/>
        </w:rPr>
        <w:t>). Key MAESTRO-NAFLD-1 endpoints are safety, including safety biomarkers, LDL cholesterol, lipid biomarkers, and fibrosis biomarkers. Except for serial liver biopsies, the study protocol is similar to the MAESTRO-NASH study and includes key secondary lipid, MRI-PDFF and NASH biomarker endpoints. In addition, MAESTRO-NAFLD-1 includes an open label arm in which up to 100 patients will be dosed with 100 mg resmetirom. The MAESTRO -NAFLD-1 study will help support the adequacy of the safety database at the time of NDA submission for subpart H approval for treatment of NASH in patients with F2 or F3 fibrosis (MAESTRO-NASH, NASH resolution surrogate endpoint).</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Madrigal Pharmaceuticals</w:t>
      </w:r>
    </w:p>
    <w:p>
      <w:pPr>
        <w:spacing w:after="0" w:line="121" w:lineRule="exact"/>
        <w:rPr>
          <w:sz w:val="20"/>
          <w:szCs w:val="20"/>
          <w:color w:val="auto"/>
        </w:rPr>
      </w:pPr>
    </w:p>
    <w:p>
      <w:pPr>
        <w:ind w:right="100"/>
        <w:spacing w:after="0" w:line="279" w:lineRule="auto"/>
        <w:rPr>
          <w:sz w:val="20"/>
          <w:szCs w:val="20"/>
          <w:color w:val="auto"/>
        </w:rPr>
      </w:pPr>
      <w:r>
        <w:rPr>
          <w:rFonts w:ascii="Arial" w:cs="Arial" w:eastAsia="Arial" w:hAnsi="Arial"/>
          <w:sz w:val="17"/>
          <w:szCs w:val="17"/>
          <w:color w:val="auto"/>
        </w:rPr>
        <w:t xml:space="preserve">Madrigal Pharmaceuticals, Inc. (Nasdaq: MDGL) is a clinical-stage biopharmaceutical company pursuing novel therapeutics that target a specific thyroid hormone receptor pathway in the liver, which is a key regulatory mechanism common to a spectrum of cardio-metabolic and fatty liver diseases with high unmet medical need. Madrigal’s lead candidate, resmetirom, is a first-in- class, orally administered, small-molecule, liver-directed, thyroid hormone receptor (THR)-ß selective agonist. For more information, visit </w:t>
      </w:r>
      <w:r>
        <w:rPr>
          <w:rFonts w:ascii="Arial" w:cs="Arial" w:eastAsia="Arial" w:hAnsi="Arial"/>
          <w:sz w:val="17"/>
          <w:szCs w:val="17"/>
          <w:u w:val="single" w:color="auto"/>
          <w:color w:val="auto"/>
        </w:rPr>
        <w:t>www.madrigalpharma.com</w:t>
      </w:r>
      <w:r>
        <w:rPr>
          <w:rFonts w:ascii="Arial" w:cs="Arial" w:eastAsia="Arial" w:hAnsi="Arial"/>
          <w:sz w:val="17"/>
          <w:szCs w:val="17"/>
          <w:color w:val="auto"/>
        </w:rPr>
        <w:t>.</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ind w:right="40"/>
        <w:spacing w:after="0" w:line="269" w:lineRule="auto"/>
        <w:rPr>
          <w:sz w:val="20"/>
          <w:szCs w:val="20"/>
          <w:color w:val="auto"/>
        </w:rPr>
      </w:pPr>
      <w:r>
        <w:rPr>
          <w:rFonts w:ascii="Arial" w:cs="Arial" w:eastAsia="Arial" w:hAnsi="Arial"/>
          <w:sz w:val="17"/>
          <w:szCs w:val="17"/>
          <w:i w:val="1"/>
          <w:iCs w:val="1"/>
          <w:color w:val="auto"/>
        </w:rPr>
        <w:t>This communication contains “forward-looking statements” made pursuant to the safe harbor provisions of the Private Securities Litigation Reform Act of 1995, that are based on our beliefs and assumptions and on information currently available to us. Forward-looking statements include but are not limited to statements or references concerning: our clinical trials, research and development activities, and the timing and results associated with the future development of our lead product candidate, MGL-3196 (resmetirom); our primary and secondary study endpoints for resmetirom and the potential for achieving such endpoints and projections; optimal dosing levels for resmetirom; projections regarding potential future NASH resolution, safety, fibrosis treatment, cardiovascular effects and lipid treatment with resmetirom; the achievement of enrollment objectives concerning patient number, safety database and/or timing for our studies; the risks attendant with conducting trials that are substantially larger than our past trials; potential NASH or NAFLD patient risk profile benefits with resmetirom; our possible or assumed future results of operations and expenses, business strategies and plans, capital needs and financing plans, trends, market sizing, competitive position, industry environment and potential growth opportunities, among other things. Forward-looking statements: reflect management’s current knowledge, assumptions, judgment and expectations regarding future performance or events; include all statements that are not historical facts; and can be identified by terms such as “anticipates,” “be,” “believes,”</w:t>
      </w:r>
    </w:p>
    <w:p>
      <w:pPr>
        <w:sectPr>
          <w:pgSz w:w="11900" w:h="16838" w:orient="portrait"/>
          <w:cols w:equalWidth="0" w:num="1">
            <w:col w:w="11020"/>
          </w:cols>
          <w:pgMar w:left="440" w:top="270" w:right="439" w:bottom="1440" w:gutter="0" w:footer="0" w:header="0"/>
        </w:sectPr>
      </w:pPr>
    </w:p>
    <w:bookmarkStart w:id="5" w:name="page6"/>
    <w:bookmarkEnd w:id="5"/>
    <w:p>
      <w:pPr>
        <w:spacing w:after="0" w:line="259" w:lineRule="auto"/>
        <w:rPr>
          <w:sz w:val="20"/>
          <w:szCs w:val="20"/>
          <w:color w:val="auto"/>
        </w:rPr>
      </w:pPr>
      <w:r>
        <w:rPr>
          <w:rFonts w:ascii="Arial" w:cs="Arial" w:eastAsia="Arial" w:hAnsi="Arial"/>
          <w:sz w:val="18"/>
          <w:szCs w:val="18"/>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“continue,” “could,” “estimates,” “expects,” “forecasts,” “future,” “goal,” “intends,” “may,” “might,” “plans,” “potential,” “predicts,” “projects,” “seeks,” “should,” “will,” “would” or similar expressions and the negatives of those terms. Although management presently believes that the expectations reflected in such forward-looking statements are reasonable, it can give no assurance that such expectations will prove to be correct and you should be aware that actual results could differ materially from those contained in the forward-looking statements.</w:t>
      </w:r>
    </w:p>
    <w:p>
      <w:pPr>
        <w:spacing w:after="0" w:line="187"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i w:val="1"/>
          <w:iCs w:val="1"/>
          <w:color w:val="auto"/>
        </w:rPr>
        <w:t>Forward-looking statements are subject to a number of risks and uncertainties including, but not limited to, our clinical development of resmetirom, enrollment uncertainties, outcomes or trends from competitive studies, the risks of achieving potential benefits in a study that includes substantially more patients than our prior study, the timing and outcomes of clinical studies of resmetirom, and the uncertainties inherent in clinical testing. Undue reliance should not be placed on forward- looking statements, which speak only as of the date they are made. Madrigal undertakes no obligation to update any forward-looking statements to reflect new information, events or circumstances after the date they are made, or to reflect the occurrence of unanticipated events. Please refer to Madrigal’s filings with the U.S. Securities and Exchange Commission for more detailed information regarding these risks and uncertainties and other factors that may cause actual results to differ materially from those expressed or implied. We specifically discuss these risks and uncertainties in greater detail in the section entitled “Risk Factors” in Part I, Item 1A of our Annual Report on Form 10-K for the year ended December 31, 2019, as well as in our other filings with the SEC.</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Contact: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Marc Schneebaum, Madrigal Pharmaceuticals, Inc. </w:t>
      </w:r>
      <w:r>
        <w:rPr>
          <w:rFonts w:ascii="Arial" w:cs="Arial" w:eastAsia="Arial" w:hAnsi="Arial"/>
          <w:sz w:val="18"/>
          <w:szCs w:val="18"/>
          <w:u w:val="single" w:color="auto"/>
          <w:color w:val="auto"/>
        </w:rPr>
        <w:t>IR@madrigalpharma.com</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Media Contact: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Mike Beyer, Sam Brown Inc. </w:t>
      </w:r>
      <w:r>
        <w:rPr>
          <w:rFonts w:ascii="Arial" w:cs="Arial" w:eastAsia="Arial" w:hAnsi="Arial"/>
          <w:sz w:val="18"/>
          <w:szCs w:val="18"/>
          <w:u w:val="single" w:color="auto"/>
          <w:color w:val="auto"/>
        </w:rPr>
        <w:t>mikebeyer@sambrown.com</w:t>
      </w:r>
      <w:r>
        <w:rPr>
          <w:rFonts w:ascii="Arial" w:cs="Arial" w:eastAsia="Arial" w:hAnsi="Arial"/>
          <w:sz w:val="18"/>
          <w:szCs w:val="18"/>
          <w:color w:val="auto"/>
        </w:rPr>
        <w:t xml:space="preserve"> 312 961 2502</w:t>
      </w:r>
    </w:p>
    <w:p>
      <w:pPr>
        <w:sectPr>
          <w:pgSz w:w="11900" w:h="16838" w:orient="portrait"/>
          <w:cols w:equalWidth="0" w:num="1">
            <w:col w:w="11020"/>
          </w:cols>
          <w:pgMar w:left="440" w:top="274" w:right="4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Madrigal Pharmaceuticals, Inc.</w:t>
      </w:r>
    </w:p>
    <w:p>
      <w:pPr>
        <w:spacing w:after="0" w:line="27" w:lineRule="exact"/>
        <w:rPr>
          <w:sz w:val="20"/>
          <w:szCs w:val="20"/>
          <w:color w:val="auto"/>
        </w:rPr>
      </w:pPr>
    </w:p>
    <w:p>
      <w:pPr>
        <w:ind w:left="3120"/>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9" w:lineRule="exact"/>
        <w:rPr>
          <w:sz w:val="20"/>
          <w:szCs w:val="20"/>
          <w:color w:val="auto"/>
        </w:rPr>
      </w:pPr>
    </w:p>
    <w:p>
      <w:pPr>
        <w:ind w:left="3100"/>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35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100" w:type="dxa"/>
            <w:vAlign w:val="bottom"/>
            <w:gridSpan w:val="7"/>
          </w:tcPr>
          <w:p>
            <w:pPr>
              <w:jc w:val="right"/>
              <w:ind w:right="343"/>
              <w:spacing w:after="0"/>
              <w:rPr>
                <w:sz w:val="20"/>
                <w:szCs w:val="20"/>
                <w:color w:val="auto"/>
              </w:rPr>
            </w:pPr>
            <w:r>
              <w:rPr>
                <w:rFonts w:ascii="Arial" w:cs="Arial" w:eastAsia="Arial" w:hAnsi="Arial"/>
                <w:sz w:val="14"/>
                <w:szCs w:val="14"/>
                <w:b w:val="1"/>
                <w:bCs w:val="1"/>
                <w:color w:val="auto"/>
              </w:rPr>
              <w:t>Three Months Ended</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20" w:type="dxa"/>
            <w:vAlign w:val="bottom"/>
            <w:gridSpan w:val="8"/>
          </w:tcPr>
          <w:p>
            <w:pPr>
              <w:jc w:val="right"/>
              <w:ind w:right="460"/>
              <w:spacing w:after="0"/>
              <w:rPr>
                <w:sz w:val="20"/>
                <w:szCs w:val="20"/>
                <w:color w:val="auto"/>
              </w:rPr>
            </w:pPr>
            <w:r>
              <w:rPr>
                <w:rFonts w:ascii="Arial" w:cs="Arial" w:eastAsia="Arial" w:hAnsi="Arial"/>
                <w:sz w:val="14"/>
                <w:szCs w:val="14"/>
                <w:b w:val="1"/>
                <w:bCs w:val="1"/>
                <w:color w:val="auto"/>
              </w:rPr>
              <w:t>Twelve Months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35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500" w:type="dxa"/>
            <w:vAlign w:val="bottom"/>
            <w:gridSpan w:val="4"/>
          </w:tcPr>
          <w:p>
            <w:pPr>
              <w:jc w:val="right"/>
              <w:spacing w:after="0"/>
              <w:rPr>
                <w:sz w:val="20"/>
                <w:szCs w:val="20"/>
                <w:color w:val="auto"/>
              </w:rPr>
            </w:pPr>
            <w:r>
              <w:rPr>
                <w:rFonts w:ascii="Arial" w:cs="Arial" w:eastAsia="Arial" w:hAnsi="Arial"/>
                <w:sz w:val="14"/>
                <w:szCs w:val="14"/>
                <w:b w:val="1"/>
                <w:bCs w:val="1"/>
                <w:color w:val="auto"/>
              </w:rPr>
              <w:t>December 31,</w:t>
            </w:r>
          </w:p>
        </w:tc>
        <w:tc>
          <w:tcPr>
            <w:tcW w:w="3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760" w:type="dxa"/>
            <w:vAlign w:val="bottom"/>
            <w:gridSpan w:val="7"/>
          </w:tcPr>
          <w:p>
            <w:pPr>
              <w:jc w:val="right"/>
              <w:ind w:right="74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80" w:type="dxa"/>
            <w:vAlign w:val="bottom"/>
            <w:tcBorders>
              <w:bottom w:val="single" w:sz="8" w:color="CCEEFF"/>
            </w:tcBorders>
          </w:tcPr>
          <w:p>
            <w:pPr>
              <w:spacing w:after="0"/>
              <w:rPr>
                <w:sz w:val="12"/>
                <w:szCs w:val="12"/>
                <w:color w:val="auto"/>
              </w:rPr>
            </w:pPr>
          </w:p>
        </w:tc>
        <w:tc>
          <w:tcPr>
            <w:tcW w:w="3560" w:type="dxa"/>
            <w:vAlign w:val="bottom"/>
            <w:tcBorders>
              <w:bottom w:val="single" w:sz="8" w:color="CCEEFF"/>
            </w:tcBorders>
          </w:tcPr>
          <w:p>
            <w:pPr>
              <w:spacing w:after="0"/>
              <w:rPr>
                <w:sz w:val="12"/>
                <w:szCs w:val="12"/>
                <w:color w:val="auto"/>
              </w:rPr>
            </w:pPr>
          </w:p>
        </w:tc>
        <w:tc>
          <w:tcPr>
            <w:tcW w:w="660" w:type="dxa"/>
            <w:vAlign w:val="bottom"/>
            <w:tcBorders>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14"/>
              <w:spacing w:after="0" w:line="142" w:lineRule="exact"/>
              <w:rPr>
                <w:sz w:val="20"/>
                <w:szCs w:val="20"/>
                <w:color w:val="auto"/>
              </w:rPr>
            </w:pPr>
            <w:r>
              <w:rPr>
                <w:rFonts w:ascii="Arial" w:cs="Arial" w:eastAsia="Arial" w:hAnsi="Arial"/>
                <w:sz w:val="14"/>
                <w:szCs w:val="14"/>
                <w:b w:val="1"/>
                <w:bCs w:val="1"/>
                <w:color w:val="auto"/>
              </w:rPr>
              <w:t>2019</w:t>
            </w:r>
          </w:p>
        </w:tc>
        <w:tc>
          <w:tcPr>
            <w:tcW w:w="360" w:type="dxa"/>
            <w:vAlign w:val="bottom"/>
            <w:tcBorders>
              <w:top w:val="single" w:sz="8" w:color="auto"/>
              <w:bottom w:val="single" w:sz="8" w:color="CCEEFF"/>
            </w:tcBorders>
          </w:tcPr>
          <w:p>
            <w:pPr>
              <w:spacing w:after="0"/>
              <w:rPr>
                <w:sz w:val="12"/>
                <w:szCs w:val="12"/>
                <w:color w:val="auto"/>
              </w:rPr>
            </w:pPr>
          </w:p>
        </w:tc>
        <w:tc>
          <w:tcPr>
            <w:tcW w:w="80" w:type="dxa"/>
            <w:vAlign w:val="bottom"/>
            <w:tcBorders>
              <w:top w:val="single" w:sz="8" w:color="auto"/>
              <w:bottom w:val="single" w:sz="8" w:color="CCEEFF"/>
            </w:tcBorders>
          </w:tcPr>
          <w:p>
            <w:pPr>
              <w:spacing w:after="0"/>
              <w:rPr>
                <w:sz w:val="12"/>
                <w:szCs w:val="12"/>
                <w:color w:val="auto"/>
              </w:rPr>
            </w:pPr>
          </w:p>
        </w:tc>
        <w:tc>
          <w:tcPr>
            <w:tcW w:w="240" w:type="dxa"/>
            <w:vAlign w:val="bottom"/>
            <w:tcBorders>
              <w:top w:val="single" w:sz="8" w:color="auto"/>
              <w:bottom w:val="single" w:sz="8" w:color="auto"/>
            </w:tcBorders>
          </w:tcPr>
          <w:p>
            <w:pPr>
              <w:spacing w:after="0"/>
              <w:rPr>
                <w:sz w:val="12"/>
                <w:szCs w:val="12"/>
                <w:color w:val="auto"/>
              </w:rPr>
            </w:pPr>
          </w:p>
        </w:tc>
        <w:tc>
          <w:tcPr>
            <w:tcW w:w="3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2018</w:t>
            </w:r>
          </w:p>
        </w:tc>
        <w:tc>
          <w:tcPr>
            <w:tcW w:w="20" w:type="dxa"/>
            <w:vAlign w:val="bottom"/>
            <w:tcBorders>
              <w:top w:val="single" w:sz="8" w:color="auto"/>
              <w:bottom w:val="single" w:sz="8" w:color="auto"/>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60" w:type="dxa"/>
            <w:vAlign w:val="bottom"/>
            <w:tcBorders>
              <w:bottom w:val="single" w:sz="8" w:color="CCEEFF"/>
            </w:tcBorders>
          </w:tcPr>
          <w:p>
            <w:pPr>
              <w:spacing w:after="0"/>
              <w:rPr>
                <w:sz w:val="12"/>
                <w:szCs w:val="12"/>
                <w:color w:val="auto"/>
              </w:rPr>
            </w:pPr>
          </w:p>
        </w:tc>
        <w:tc>
          <w:tcPr>
            <w:tcW w:w="380" w:type="dxa"/>
            <w:vAlign w:val="bottom"/>
            <w:tcBorders>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gridSpan w:val="2"/>
          </w:tcPr>
          <w:p>
            <w:pPr>
              <w:jc w:val="right"/>
              <w:ind w:right="158"/>
              <w:spacing w:after="0" w:line="142" w:lineRule="exact"/>
              <w:rPr>
                <w:sz w:val="20"/>
                <w:szCs w:val="20"/>
                <w:color w:val="auto"/>
              </w:rPr>
            </w:pPr>
            <w:r>
              <w:rPr>
                <w:rFonts w:ascii="Arial" w:cs="Arial" w:eastAsia="Arial" w:hAnsi="Arial"/>
                <w:sz w:val="14"/>
                <w:szCs w:val="14"/>
                <w:b w:val="1"/>
                <w:bCs w:val="1"/>
                <w:color w:val="auto"/>
              </w:rPr>
              <w:t>2019</w:t>
            </w:r>
          </w:p>
        </w:tc>
        <w:tc>
          <w:tcPr>
            <w:tcW w:w="80" w:type="dxa"/>
            <w:vAlign w:val="bottom"/>
            <w:tcBorders>
              <w:top w:val="single" w:sz="8" w:color="auto"/>
              <w:bottom w:val="single" w:sz="8" w:color="auto"/>
            </w:tcBorders>
          </w:tcPr>
          <w:p>
            <w:pPr>
              <w:spacing w:after="0"/>
              <w:rPr>
                <w:sz w:val="12"/>
                <w:szCs w:val="12"/>
                <w:color w:val="auto"/>
              </w:rPr>
            </w:pPr>
          </w:p>
        </w:tc>
        <w:tc>
          <w:tcPr>
            <w:tcW w:w="80" w:type="dxa"/>
            <w:vAlign w:val="bottom"/>
            <w:tcBorders>
              <w:top w:val="single" w:sz="8" w:color="auto"/>
              <w:bottom w:val="single" w:sz="8" w:color="CCEEFF"/>
            </w:tcBorders>
          </w:tcPr>
          <w:p>
            <w:pPr>
              <w:spacing w:after="0"/>
              <w:rPr>
                <w:sz w:val="12"/>
                <w:szCs w:val="12"/>
                <w:color w:val="auto"/>
              </w:rPr>
            </w:pPr>
          </w:p>
        </w:tc>
        <w:tc>
          <w:tcPr>
            <w:tcW w:w="36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32"/>
              <w:spacing w:after="0" w:line="142" w:lineRule="exact"/>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44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Revenues:</w:t>
            </w:r>
          </w:p>
        </w:tc>
        <w:tc>
          <w:tcPr>
            <w:tcW w:w="6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20" w:type="dxa"/>
            <w:vAlign w:val="bottom"/>
            <w:tcBorders>
              <w:right w:val="single" w:sz="8" w:color="CCEEFF"/>
            </w:tcBorders>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40" w:type="dxa"/>
            <w:vAlign w:val="bottom"/>
            <w:gridSpan w:val="2"/>
          </w:tcPr>
          <w:p>
            <w:pPr>
              <w:ind w:left="340"/>
              <w:spacing w:after="0"/>
              <w:rPr>
                <w:sz w:val="20"/>
                <w:szCs w:val="20"/>
                <w:color w:val="auto"/>
              </w:rPr>
            </w:pPr>
            <w:r>
              <w:rPr>
                <w:rFonts w:ascii="Arial" w:cs="Arial" w:eastAsia="Arial" w:hAnsi="Arial"/>
                <w:sz w:val="18"/>
                <w:szCs w:val="18"/>
                <w:color w:val="auto"/>
              </w:rPr>
              <w:t>Total revenues</w:t>
            </w: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320" w:type="dxa"/>
            <w:vAlign w:val="bottom"/>
            <w:gridSpan w:val="2"/>
          </w:tcPr>
          <w:p>
            <w:pPr>
              <w:jc w:val="right"/>
              <w:ind w:right="85"/>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20"/>
                <w:szCs w:val="20"/>
                <w:color w:val="auto"/>
              </w:rPr>
            </w:pPr>
            <w:r>
              <w:rPr>
                <w:rFonts w:ascii="Arial" w:cs="Arial" w:eastAsia="Arial" w:hAnsi="Arial"/>
                <w:sz w:val="18"/>
                <w:szCs w:val="18"/>
                <w:color w:val="auto"/>
                <w:w w:val="99"/>
              </w:rPr>
              <w:t>—</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6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40" w:type="dxa"/>
            <w:vAlign w:val="bottom"/>
            <w:gridSpan w:val="2"/>
          </w:tcPr>
          <w:p>
            <w:pPr>
              <w:ind w:left="700"/>
              <w:spacing w:after="0"/>
              <w:rPr>
                <w:sz w:val="20"/>
                <w:szCs w:val="20"/>
                <w:color w:val="auto"/>
              </w:rPr>
            </w:pPr>
            <w:r>
              <w:rPr>
                <w:rFonts w:ascii="Arial" w:cs="Arial" w:eastAsia="Arial" w:hAnsi="Arial"/>
                <w:sz w:val="18"/>
                <w:szCs w:val="18"/>
                <w:color w:val="auto"/>
              </w:rPr>
              <w:t>Research and development</w:t>
            </w:r>
          </w:p>
        </w:tc>
        <w:tc>
          <w:tcPr>
            <w:tcW w:w="6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24,910</w:t>
            </w: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gridSpan w:val="4"/>
          </w:tcPr>
          <w:p>
            <w:pPr>
              <w:jc w:val="right"/>
              <w:spacing w:after="0"/>
              <w:rPr>
                <w:sz w:val="20"/>
                <w:szCs w:val="20"/>
                <w:color w:val="auto"/>
              </w:rPr>
            </w:pPr>
            <w:r>
              <w:rPr>
                <w:rFonts w:ascii="Arial" w:cs="Arial" w:eastAsia="Arial" w:hAnsi="Arial"/>
                <w:sz w:val="18"/>
                <w:szCs w:val="18"/>
                <w:color w:val="auto"/>
              </w:rPr>
              <w:t>8,871</w:t>
            </w:r>
          </w:p>
        </w:tc>
        <w:tc>
          <w:tcPr>
            <w:tcW w:w="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gridSpan w:val="3"/>
          </w:tcPr>
          <w:p>
            <w:pPr>
              <w:jc w:val="right"/>
              <w:spacing w:after="0"/>
              <w:rPr>
                <w:sz w:val="20"/>
                <w:szCs w:val="20"/>
                <w:color w:val="auto"/>
              </w:rPr>
            </w:pPr>
            <w:r>
              <w:rPr>
                <w:rFonts w:ascii="Arial" w:cs="Arial" w:eastAsia="Arial" w:hAnsi="Arial"/>
                <w:sz w:val="18"/>
                <w:szCs w:val="18"/>
                <w:color w:val="auto"/>
              </w:rPr>
              <w:t>72,324</w:t>
            </w: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25,389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4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General and administrative</w:t>
            </w:r>
          </w:p>
        </w:tc>
        <w:tc>
          <w:tcPr>
            <w:tcW w:w="6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5,044</w:t>
            </w: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5,583</w:t>
            </w:r>
          </w:p>
        </w:tc>
        <w:tc>
          <w:tcPr>
            <w:tcW w:w="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22,648</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tcBorders>
              <w:bottom w:val="single" w:sz="8" w:color="auto"/>
              <w:right w:val="single" w:sz="8" w:color="CCEEFF"/>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15,293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3560" w:type="dxa"/>
            <w:vAlign w:val="bottom"/>
          </w:tcPr>
          <w:p>
            <w:pPr>
              <w:ind w:left="200"/>
              <w:spacing w:after="0"/>
              <w:rPr>
                <w:sz w:val="20"/>
                <w:szCs w:val="20"/>
                <w:color w:val="auto"/>
              </w:rPr>
            </w:pPr>
            <w:r>
              <w:rPr>
                <w:rFonts w:ascii="Arial" w:cs="Arial" w:eastAsia="Arial" w:hAnsi="Arial"/>
                <w:sz w:val="18"/>
                <w:szCs w:val="18"/>
                <w:color w:val="auto"/>
              </w:rPr>
              <w:t>Total operating expenses</w:t>
            </w:r>
          </w:p>
        </w:tc>
        <w:tc>
          <w:tcPr>
            <w:tcW w:w="66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29,954</w:t>
            </w:r>
          </w:p>
        </w:tc>
        <w:tc>
          <w:tcPr>
            <w:tcW w:w="3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66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color w:val="auto"/>
              </w:rPr>
              <w:t>14,454</w:t>
            </w:r>
          </w:p>
        </w:tc>
        <w:tc>
          <w:tcPr>
            <w:tcW w:w="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94,972</w:t>
            </w: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40,682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35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Loss from operations</w:t>
            </w:r>
          </w:p>
        </w:tc>
        <w:tc>
          <w:tcPr>
            <w:tcW w:w="6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(29,954)</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2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rPr>
              <w:t>(14,454)</w:t>
            </w:r>
          </w:p>
        </w:tc>
        <w:tc>
          <w:tcPr>
            <w:tcW w:w="3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(94,972)</w:t>
            </w:r>
          </w:p>
        </w:tc>
        <w:tc>
          <w:tcPr>
            <w:tcW w:w="36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(40,682)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560" w:type="dxa"/>
            <w:vAlign w:val="bottom"/>
          </w:tcPr>
          <w:p>
            <w:pPr>
              <w:ind w:left="560"/>
              <w:spacing w:after="0"/>
              <w:rPr>
                <w:sz w:val="20"/>
                <w:szCs w:val="20"/>
                <w:color w:val="auto"/>
              </w:rPr>
            </w:pPr>
            <w:r>
              <w:rPr>
                <w:rFonts w:ascii="Arial" w:cs="Arial" w:eastAsia="Arial" w:hAnsi="Arial"/>
                <w:sz w:val="18"/>
                <w:szCs w:val="18"/>
                <w:color w:val="auto"/>
              </w:rPr>
              <w:t>Interest income (expense), net</w:t>
            </w:r>
          </w:p>
        </w:tc>
        <w:tc>
          <w:tcPr>
            <w:tcW w:w="6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2,214</w:t>
            </w: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gridSpan w:val="4"/>
          </w:tcPr>
          <w:p>
            <w:pPr>
              <w:jc w:val="right"/>
              <w:spacing w:after="0"/>
              <w:rPr>
                <w:sz w:val="20"/>
                <w:szCs w:val="20"/>
                <w:color w:val="auto"/>
              </w:rPr>
            </w:pPr>
            <w:r>
              <w:rPr>
                <w:rFonts w:ascii="Arial" w:cs="Arial" w:eastAsia="Arial" w:hAnsi="Arial"/>
                <w:sz w:val="18"/>
                <w:szCs w:val="18"/>
                <w:color w:val="auto"/>
              </w:rPr>
              <w:t>2,979</w:t>
            </w:r>
          </w:p>
        </w:tc>
        <w:tc>
          <w:tcPr>
            <w:tcW w:w="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gridSpan w:val="3"/>
          </w:tcPr>
          <w:p>
            <w:pPr>
              <w:jc w:val="right"/>
              <w:spacing w:after="0"/>
              <w:rPr>
                <w:sz w:val="20"/>
                <w:szCs w:val="20"/>
                <w:color w:val="auto"/>
              </w:rPr>
            </w:pPr>
            <w:r>
              <w:rPr>
                <w:rFonts w:ascii="Arial" w:cs="Arial" w:eastAsia="Arial" w:hAnsi="Arial"/>
                <w:sz w:val="18"/>
                <w:szCs w:val="18"/>
                <w:color w:val="auto"/>
              </w:rPr>
              <w:t>11,024</w:t>
            </w: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7,671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3560" w:type="dxa"/>
            <w:vAlign w:val="bottom"/>
            <w:shd w:val="clear" w:color="auto" w:fill="CCEEFF"/>
          </w:tcPr>
          <w:p>
            <w:pPr>
              <w:ind w:left="560"/>
              <w:spacing w:after="0"/>
              <w:rPr>
                <w:sz w:val="20"/>
                <w:szCs w:val="20"/>
                <w:color w:val="auto"/>
              </w:rPr>
            </w:pPr>
            <w:r>
              <w:rPr>
                <w:rFonts w:ascii="Arial" w:cs="Arial" w:eastAsia="Arial" w:hAnsi="Arial"/>
                <w:sz w:val="18"/>
                <w:szCs w:val="18"/>
                <w:color w:val="auto"/>
              </w:rPr>
              <w:t>Other income</w:t>
            </w:r>
          </w:p>
        </w:tc>
        <w:tc>
          <w:tcPr>
            <w:tcW w:w="6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3560" w:type="dxa"/>
            <w:vAlign w:val="bottom"/>
          </w:tcPr>
          <w:p>
            <w:pPr>
              <w:ind w:left="200"/>
              <w:spacing w:after="0"/>
              <w:rPr>
                <w:sz w:val="20"/>
                <w:szCs w:val="20"/>
                <w:color w:val="auto"/>
              </w:rPr>
            </w:pPr>
            <w:r>
              <w:rPr>
                <w:rFonts w:ascii="Arial" w:cs="Arial" w:eastAsia="Arial" w:hAnsi="Arial"/>
                <w:sz w:val="18"/>
                <w:szCs w:val="18"/>
                <w:color w:val="auto"/>
              </w:rPr>
              <w:t>Net loss</w:t>
            </w:r>
          </w:p>
        </w:tc>
        <w:tc>
          <w:tcPr>
            <w:tcW w:w="66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(27,740</w:t>
            </w:r>
          </w:p>
        </w:tc>
        <w:tc>
          <w:tcPr>
            <w:tcW w:w="360" w:type="dxa"/>
            <w:vAlign w:val="bottom"/>
          </w:tcPr>
          <w:p>
            <w:pPr>
              <w:jc w:val="right"/>
              <w:ind w:right="220"/>
              <w:spacing w:after="0"/>
              <w:rPr>
                <w:sz w:val="20"/>
                <w:szCs w:val="20"/>
                <w:color w:val="auto"/>
              </w:rPr>
            </w:pPr>
            <w:r>
              <w:rPr>
                <w:rFonts w:ascii="Arial" w:cs="Arial" w:eastAsia="Arial" w:hAnsi="Arial"/>
                <w:sz w:val="16"/>
                <w:szCs w:val="16"/>
                <w:color w:val="auto"/>
                <w:w w:val="74"/>
              </w:rPr>
              <w:t>)</w:t>
            </w:r>
          </w:p>
        </w:tc>
        <w:tc>
          <w:tcPr>
            <w:tcW w:w="80" w:type="dxa"/>
            <w:vAlign w:val="bottom"/>
          </w:tcPr>
          <w:p>
            <w:pPr>
              <w:spacing w:after="0"/>
              <w:rPr>
                <w:sz w:val="19"/>
                <w:szCs w:val="19"/>
                <w:color w:val="auto"/>
              </w:rPr>
            </w:pPr>
          </w:p>
        </w:tc>
        <w:tc>
          <w:tcPr>
            <w:tcW w:w="240" w:type="dxa"/>
            <w:vAlign w:val="bottom"/>
            <w:tcBorders>
              <w:top w:val="single" w:sz="8" w:color="auto"/>
              <w:bottom w:val="single" w:sz="8" w:color="auto"/>
            </w:tcBorders>
          </w:tcPr>
          <w:p>
            <w:pPr>
              <w:jc w:val="right"/>
              <w:ind w:right="85"/>
              <w:spacing w:after="0"/>
              <w:rPr>
                <w:sz w:val="20"/>
                <w:szCs w:val="20"/>
                <w:color w:val="auto"/>
              </w:rPr>
            </w:pPr>
            <w:r>
              <w:rPr>
                <w:rFonts w:ascii="Arial" w:cs="Arial" w:eastAsia="Arial" w:hAnsi="Arial"/>
                <w:sz w:val="15"/>
                <w:szCs w:val="15"/>
                <w:color w:val="auto"/>
                <w:w w:val="71"/>
              </w:rPr>
              <w:t>$</w:t>
            </w:r>
          </w:p>
        </w:tc>
        <w:tc>
          <w:tcPr>
            <w:tcW w:w="660" w:type="dxa"/>
            <w:vAlign w:val="bottom"/>
            <w:tcBorders>
              <w:top w:val="single" w:sz="8" w:color="auto"/>
              <w:bottom w:val="single" w:sz="8" w:color="auto"/>
            </w:tcBorders>
            <w:gridSpan w:val="4"/>
          </w:tcPr>
          <w:p>
            <w:pPr>
              <w:jc w:val="right"/>
              <w:spacing w:after="0"/>
              <w:rPr>
                <w:sz w:val="20"/>
                <w:szCs w:val="20"/>
                <w:color w:val="auto"/>
              </w:rPr>
            </w:pPr>
            <w:r>
              <w:rPr>
                <w:rFonts w:ascii="Arial" w:cs="Arial" w:eastAsia="Arial" w:hAnsi="Arial"/>
                <w:sz w:val="18"/>
                <w:szCs w:val="18"/>
                <w:color w:val="auto"/>
              </w:rPr>
              <w:t>(11,475</w:t>
            </w:r>
          </w:p>
        </w:tc>
        <w:tc>
          <w:tcPr>
            <w:tcW w:w="6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38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color w:val="auto"/>
              </w:rPr>
              <w:t>(83,948</w:t>
            </w:r>
          </w:p>
        </w:tc>
        <w:tc>
          <w:tcPr>
            <w:tcW w:w="8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36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(32,811</w:t>
            </w:r>
          </w:p>
        </w:tc>
        <w:tc>
          <w:tcPr>
            <w:tcW w:w="10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Basic and diluted net loss per common share</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(1.80)</w:t>
            </w:r>
          </w:p>
        </w:tc>
        <w:tc>
          <w:tcPr>
            <w:tcW w:w="320" w:type="dxa"/>
            <w:vAlign w:val="bottom"/>
            <w:gridSpan w:val="2"/>
            <w:shd w:val="clear" w:color="auto" w:fill="CCEEFF"/>
          </w:tcPr>
          <w:p>
            <w:pPr>
              <w:jc w:val="right"/>
              <w:ind w:right="85"/>
              <w:spacing w:after="0"/>
              <w:rPr>
                <w:sz w:val="20"/>
                <w:szCs w:val="20"/>
                <w:color w:val="auto"/>
              </w:rPr>
            </w:pPr>
            <w:r>
              <w:rPr>
                <w:rFonts w:ascii="Arial" w:cs="Arial" w:eastAsia="Arial" w:hAnsi="Arial"/>
                <w:sz w:val="18"/>
                <w:szCs w:val="18"/>
                <w:color w:val="auto"/>
              </w:rPr>
              <w:t>$</w:t>
            </w:r>
          </w:p>
        </w:tc>
        <w:tc>
          <w:tcPr>
            <w:tcW w:w="72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rPr>
              <w:t>(0.75)</w:t>
            </w: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(5.45)</w:t>
            </w:r>
          </w:p>
        </w:tc>
        <w:tc>
          <w:tcPr>
            <w:tcW w:w="48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(2.22)</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440" w:type="dxa"/>
            <w:vAlign w:val="bottom"/>
            <w:gridSpan w:val="2"/>
          </w:tcPr>
          <w:p>
            <w:pPr>
              <w:ind w:left="340"/>
              <w:spacing w:after="0" w:line="201" w:lineRule="exact"/>
              <w:rPr>
                <w:sz w:val="20"/>
                <w:szCs w:val="20"/>
                <w:color w:val="auto"/>
              </w:rPr>
            </w:pPr>
            <w:r>
              <w:rPr>
                <w:rFonts w:ascii="Arial" w:cs="Arial" w:eastAsia="Arial" w:hAnsi="Arial"/>
                <w:sz w:val="18"/>
                <w:szCs w:val="18"/>
                <w:color w:val="auto"/>
                <w:w w:val="91"/>
              </w:rPr>
              <w:t>Basic and diluted weighted average number of common</w:t>
            </w:r>
          </w:p>
        </w:tc>
        <w:tc>
          <w:tcPr>
            <w:tcW w:w="6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440" w:type="dxa"/>
            <w:vAlign w:val="bottom"/>
            <w:gridSpan w:val="2"/>
          </w:tcPr>
          <w:p>
            <w:pPr>
              <w:ind w:left="520"/>
              <w:spacing w:after="0"/>
              <w:rPr>
                <w:sz w:val="20"/>
                <w:szCs w:val="20"/>
                <w:color w:val="auto"/>
              </w:rPr>
            </w:pPr>
            <w:r>
              <w:rPr>
                <w:rFonts w:ascii="Arial" w:cs="Arial" w:eastAsia="Arial" w:hAnsi="Arial"/>
                <w:sz w:val="18"/>
                <w:szCs w:val="18"/>
                <w:color w:val="auto"/>
              </w:rPr>
              <w:t>shares outstanding</w:t>
            </w:r>
          </w:p>
        </w:tc>
        <w:tc>
          <w:tcPr>
            <w:tcW w:w="6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w w:val="88"/>
              </w:rPr>
              <w:t>15,429,154</w:t>
            </w:r>
          </w:p>
        </w:tc>
        <w:tc>
          <w:tcPr>
            <w:tcW w:w="360" w:type="dxa"/>
            <w:vAlign w:val="bottom"/>
          </w:tcPr>
          <w:p>
            <w:pPr>
              <w:spacing w:after="0"/>
              <w:rPr>
                <w:sz w:val="20"/>
                <w:szCs w:val="20"/>
                <w:color w:val="auto"/>
              </w:rPr>
            </w:pPr>
          </w:p>
        </w:tc>
        <w:tc>
          <w:tcPr>
            <w:tcW w:w="980" w:type="dxa"/>
            <w:vAlign w:val="bottom"/>
            <w:gridSpan w:val="6"/>
          </w:tcPr>
          <w:p>
            <w:pPr>
              <w:jc w:val="right"/>
              <w:spacing w:after="0"/>
              <w:rPr>
                <w:sz w:val="20"/>
                <w:szCs w:val="20"/>
                <w:color w:val="auto"/>
              </w:rPr>
            </w:pPr>
            <w:r>
              <w:rPr>
                <w:rFonts w:ascii="Arial" w:cs="Arial" w:eastAsia="Arial" w:hAnsi="Arial"/>
                <w:sz w:val="18"/>
                <w:szCs w:val="18"/>
                <w:color w:val="auto"/>
              </w:rPr>
              <w:t>15,348,358</w:t>
            </w:r>
          </w:p>
        </w:tc>
        <w:tc>
          <w:tcPr>
            <w:tcW w:w="60" w:type="dxa"/>
            <w:vAlign w:val="bottom"/>
          </w:tcPr>
          <w:p>
            <w:pPr>
              <w:spacing w:after="0"/>
              <w:rPr>
                <w:sz w:val="20"/>
                <w:szCs w:val="20"/>
                <w:color w:val="auto"/>
              </w:rPr>
            </w:pPr>
          </w:p>
        </w:tc>
        <w:tc>
          <w:tcPr>
            <w:tcW w:w="1280" w:type="dxa"/>
            <w:vAlign w:val="bottom"/>
            <w:gridSpan w:val="5"/>
          </w:tcPr>
          <w:p>
            <w:pPr>
              <w:jc w:val="right"/>
              <w:spacing w:after="0"/>
              <w:rPr>
                <w:sz w:val="20"/>
                <w:szCs w:val="20"/>
                <w:color w:val="auto"/>
              </w:rPr>
            </w:pPr>
            <w:r>
              <w:rPr>
                <w:rFonts w:ascii="Arial" w:cs="Arial" w:eastAsia="Arial" w:hAnsi="Arial"/>
                <w:sz w:val="18"/>
                <w:szCs w:val="18"/>
                <w:color w:val="auto"/>
              </w:rPr>
              <w:t>15,394,659</w:t>
            </w: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84"/>
              </w:rPr>
              <w:t>14,796,712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5480" w:type="dxa"/>
            <w:vAlign w:val="bottom"/>
            <w:gridSpan w:val="5"/>
          </w:tcPr>
          <w:p>
            <w:pPr>
              <w:jc w:val="center"/>
              <w:ind w:left="2770"/>
              <w:spacing w:after="0"/>
              <w:rPr>
                <w:sz w:val="20"/>
                <w:szCs w:val="20"/>
                <w:color w:val="auto"/>
              </w:rPr>
            </w:pPr>
            <w:r>
              <w:rPr>
                <w:rFonts w:ascii="Arial" w:cs="Arial" w:eastAsia="Arial" w:hAnsi="Arial"/>
                <w:sz w:val="18"/>
                <w:szCs w:val="18"/>
                <w:b w:val="1"/>
                <w:bCs w:val="1"/>
                <w:color w:val="auto"/>
                <w:w w:val="91"/>
              </w:rPr>
              <w:t>Madrigal Pharmaceuticals, Inc.</w:t>
            </w: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800" w:type="dxa"/>
            <w:vAlign w:val="bottom"/>
            <w:gridSpan w:val="7"/>
          </w:tcPr>
          <w:p>
            <w:pPr>
              <w:jc w:val="center"/>
              <w:ind w:left="2450"/>
              <w:spacing w:after="0"/>
              <w:rPr>
                <w:sz w:val="20"/>
                <w:szCs w:val="20"/>
                <w:color w:val="auto"/>
              </w:rPr>
            </w:pPr>
            <w:r>
              <w:rPr>
                <w:rFonts w:ascii="Arial" w:cs="Arial" w:eastAsia="Arial" w:hAnsi="Arial"/>
                <w:sz w:val="18"/>
                <w:szCs w:val="18"/>
                <w:b w:val="1"/>
                <w:bCs w:val="1"/>
                <w:color w:val="auto"/>
                <w:w w:val="87"/>
              </w:rPr>
              <w:t>Condensed Consolidated Balance Sheets</w:t>
            </w:r>
          </w:p>
        </w:tc>
        <w:tc>
          <w:tcPr>
            <w:tcW w:w="3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560" w:type="dxa"/>
            <w:vAlign w:val="bottom"/>
          </w:tcPr>
          <w:p>
            <w:pPr>
              <w:spacing w:after="0"/>
              <w:rPr>
                <w:sz w:val="18"/>
                <w:szCs w:val="18"/>
                <w:color w:val="auto"/>
              </w:rPr>
            </w:pPr>
          </w:p>
        </w:tc>
        <w:tc>
          <w:tcPr>
            <w:tcW w:w="1920" w:type="dxa"/>
            <w:vAlign w:val="bottom"/>
            <w:gridSpan w:val="4"/>
          </w:tcPr>
          <w:p>
            <w:pPr>
              <w:jc w:val="center"/>
              <w:ind w:right="620"/>
              <w:spacing w:after="0"/>
              <w:rPr>
                <w:sz w:val="20"/>
                <w:szCs w:val="20"/>
                <w:color w:val="auto"/>
              </w:rPr>
            </w:pPr>
            <w:r>
              <w:rPr>
                <w:rFonts w:ascii="Arial" w:cs="Arial" w:eastAsia="Arial" w:hAnsi="Arial"/>
                <w:sz w:val="18"/>
                <w:szCs w:val="18"/>
                <w:b w:val="1"/>
                <w:bCs w:val="1"/>
                <w:color w:val="auto"/>
                <w:w w:val="88"/>
              </w:rPr>
              <w:t>(in thousands)</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3560" w:type="dxa"/>
            <w:vAlign w:val="bottom"/>
          </w:tcPr>
          <w:p>
            <w:pPr>
              <w:spacing w:after="0"/>
              <w:rPr>
                <w:sz w:val="20"/>
                <w:szCs w:val="20"/>
                <w:color w:val="auto"/>
              </w:rPr>
            </w:pPr>
          </w:p>
        </w:tc>
        <w:tc>
          <w:tcPr>
            <w:tcW w:w="1920" w:type="dxa"/>
            <w:vAlign w:val="bottom"/>
            <w:gridSpan w:val="4"/>
          </w:tcPr>
          <w:p>
            <w:pPr>
              <w:jc w:val="center"/>
              <w:ind w:right="620"/>
              <w:spacing w:after="0"/>
              <w:rPr>
                <w:sz w:val="20"/>
                <w:szCs w:val="20"/>
                <w:color w:val="auto"/>
              </w:rPr>
            </w:pPr>
            <w:r>
              <w:rPr>
                <w:rFonts w:ascii="Arial" w:cs="Arial" w:eastAsia="Arial" w:hAnsi="Arial"/>
                <w:sz w:val="18"/>
                <w:szCs w:val="18"/>
                <w:b w:val="1"/>
                <w:bCs w:val="1"/>
                <w:color w:val="auto"/>
                <w:w w:val="91"/>
              </w:rPr>
              <w:t>(unaudited)</w:t>
            </w: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9"/>
        </w:trPr>
        <w:tc>
          <w:tcPr>
            <w:tcW w:w="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40" w:type="dxa"/>
            <w:vAlign w:val="bottom"/>
            <w:gridSpan w:val="6"/>
          </w:tcPr>
          <w:p>
            <w:pPr>
              <w:spacing w:after="0"/>
              <w:rPr>
                <w:sz w:val="20"/>
                <w:szCs w:val="20"/>
                <w:color w:val="auto"/>
              </w:rPr>
            </w:pPr>
            <w:r>
              <w:rPr>
                <w:rFonts w:ascii="Arial" w:cs="Arial" w:eastAsia="Arial" w:hAnsi="Arial"/>
                <w:sz w:val="14"/>
                <w:szCs w:val="14"/>
                <w:b w:val="1"/>
                <w:bCs w:val="1"/>
                <w:color w:val="auto"/>
                <w:w w:val="90"/>
              </w:rPr>
              <w:t>December 31,</w:t>
            </w:r>
          </w:p>
        </w:tc>
        <w:tc>
          <w:tcPr>
            <w:tcW w:w="1340" w:type="dxa"/>
            <w:vAlign w:val="bottom"/>
            <w:gridSpan w:val="6"/>
          </w:tcPr>
          <w:p>
            <w:pPr>
              <w:jc w:val="right"/>
              <w:spacing w:after="0"/>
              <w:rPr>
                <w:sz w:val="20"/>
                <w:szCs w:val="20"/>
                <w:color w:val="auto"/>
              </w:rPr>
            </w:pPr>
            <w:r>
              <w:rPr>
                <w:rFonts w:ascii="Arial" w:cs="Arial" w:eastAsia="Arial" w:hAnsi="Arial"/>
                <w:sz w:val="14"/>
                <w:szCs w:val="14"/>
                <w:b w:val="1"/>
                <w:bCs w:val="1"/>
                <w:color w:val="auto"/>
              </w:rPr>
              <w:t>December 31,</w:t>
            </w: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3560" w:type="dxa"/>
            <w:vAlign w:val="bottom"/>
            <w:tcBorders>
              <w:bottom w:val="single" w:sz="8" w:color="CCEEFF"/>
            </w:tcBorders>
          </w:tcPr>
          <w:p>
            <w:pPr>
              <w:spacing w:after="0"/>
              <w:rPr>
                <w:sz w:val="14"/>
                <w:szCs w:val="14"/>
                <w:color w:val="auto"/>
              </w:rPr>
            </w:pPr>
          </w:p>
        </w:tc>
        <w:tc>
          <w:tcPr>
            <w:tcW w:w="66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820" w:type="dxa"/>
            <w:vAlign w:val="bottom"/>
            <w:tcBorders>
              <w:bottom w:val="single" w:sz="8" w:color="CCEEFF"/>
            </w:tcBorders>
          </w:tcPr>
          <w:p>
            <w:pPr>
              <w:spacing w:after="0"/>
              <w:rPr>
                <w:sz w:val="14"/>
                <w:szCs w:val="14"/>
                <w:color w:val="auto"/>
              </w:rPr>
            </w:pPr>
          </w:p>
        </w:tc>
        <w:tc>
          <w:tcPr>
            <w:tcW w:w="36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240" w:type="dxa"/>
            <w:vAlign w:val="bottom"/>
            <w:tcBorders>
              <w:bottom w:val="single" w:sz="8" w:color="CCEEFF"/>
            </w:tcBorders>
          </w:tcPr>
          <w:p>
            <w:pPr>
              <w:spacing w:after="0"/>
              <w:rPr>
                <w:sz w:val="14"/>
                <w:szCs w:val="14"/>
                <w:color w:val="auto"/>
              </w:rPr>
            </w:pPr>
          </w:p>
        </w:tc>
        <w:tc>
          <w:tcPr>
            <w:tcW w:w="38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gridSpan w:val="3"/>
          </w:tcPr>
          <w:p>
            <w:pPr>
              <w:jc w:val="right"/>
              <w:ind w:right="70"/>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auto"/>
            </w:tcBorders>
          </w:tcPr>
          <w:p>
            <w:pPr>
              <w:spacing w:after="0"/>
              <w:rPr>
                <w:sz w:val="14"/>
                <w:szCs w:val="14"/>
                <w:color w:val="auto"/>
              </w:rPr>
            </w:pPr>
          </w:p>
        </w:tc>
        <w:tc>
          <w:tcPr>
            <w:tcW w:w="460" w:type="dxa"/>
            <w:vAlign w:val="bottom"/>
            <w:tcBorders>
              <w:bottom w:val="single" w:sz="8" w:color="CCEEFF"/>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gridSpan w:val="3"/>
          </w:tcPr>
          <w:p>
            <w:pPr>
              <w:jc w:val="right"/>
              <w:ind w:right="110"/>
              <w:spacing w:after="0"/>
              <w:rPr>
                <w:sz w:val="20"/>
                <w:szCs w:val="20"/>
                <w:color w:val="auto"/>
              </w:rPr>
            </w:pPr>
            <w:r>
              <w:rPr>
                <w:rFonts w:ascii="Arial" w:cs="Arial" w:eastAsia="Arial" w:hAnsi="Arial"/>
                <w:sz w:val="14"/>
                <w:szCs w:val="14"/>
                <w:b w:val="1"/>
                <w:bCs w:val="1"/>
                <w:color w:val="auto"/>
                <w:w w:val="96"/>
              </w:rPr>
              <w:t>2018</w:t>
            </w:r>
          </w:p>
        </w:tc>
        <w:tc>
          <w:tcPr>
            <w:tcW w:w="120" w:type="dxa"/>
            <w:vAlign w:val="bottom"/>
            <w:tcBorders>
              <w:bottom w:val="single" w:sz="8" w:color="auto"/>
            </w:tcBorders>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356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Assets</w:t>
            </w:r>
          </w:p>
        </w:tc>
        <w:tc>
          <w:tcPr>
            <w:tcW w:w="6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20" w:type="dxa"/>
            <w:vAlign w:val="bottom"/>
            <w:tcBorders>
              <w:right w:val="single" w:sz="8" w:color="CCEEFF"/>
            </w:tcBorders>
            <w:shd w:val="clear" w:color="auto" w:fill="CCEEFF"/>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560" w:type="dxa"/>
            <w:vAlign w:val="bottom"/>
          </w:tcPr>
          <w:p>
            <w:pPr>
              <w:spacing w:after="0"/>
              <w:rPr>
                <w:sz w:val="20"/>
                <w:szCs w:val="20"/>
                <w:color w:val="auto"/>
              </w:rPr>
            </w:pPr>
            <w:r>
              <w:rPr>
                <w:rFonts w:ascii="Arial" w:cs="Arial" w:eastAsia="Arial" w:hAnsi="Arial"/>
                <w:sz w:val="18"/>
                <w:szCs w:val="18"/>
                <w:color w:val="auto"/>
                <w:w w:val="89"/>
              </w:rPr>
              <w:t>Cash, cash equivalents and marketable securities</w:t>
            </w:r>
          </w:p>
        </w:tc>
        <w:tc>
          <w:tcPr>
            <w:tcW w:w="6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gridSpan w:val="3"/>
          </w:tcPr>
          <w:p>
            <w:pPr>
              <w:jc w:val="right"/>
              <w:ind w:right="63"/>
              <w:spacing w:after="0"/>
              <w:rPr>
                <w:sz w:val="20"/>
                <w:szCs w:val="20"/>
                <w:color w:val="auto"/>
              </w:rPr>
            </w:pPr>
            <w:r>
              <w:rPr>
                <w:rFonts w:ascii="Arial" w:cs="Arial" w:eastAsia="Arial" w:hAnsi="Arial"/>
                <w:sz w:val="18"/>
                <w:szCs w:val="18"/>
                <w:color w:val="auto"/>
              </w:rPr>
              <w:t>$</w:t>
            </w:r>
          </w:p>
        </w:tc>
        <w:tc>
          <w:tcPr>
            <w:tcW w:w="620" w:type="dxa"/>
            <w:vAlign w:val="bottom"/>
            <w:gridSpan w:val="4"/>
          </w:tcPr>
          <w:p>
            <w:pPr>
              <w:jc w:val="right"/>
              <w:spacing w:after="0"/>
              <w:rPr>
                <w:sz w:val="20"/>
                <w:szCs w:val="20"/>
                <w:color w:val="auto"/>
              </w:rPr>
            </w:pPr>
            <w:r>
              <w:rPr>
                <w:rFonts w:ascii="Arial" w:cs="Arial" w:eastAsia="Arial" w:hAnsi="Arial"/>
                <w:sz w:val="18"/>
                <w:szCs w:val="18"/>
                <w:color w:val="auto"/>
                <w:w w:val="92"/>
              </w:rPr>
              <w:t>439,045</w:t>
            </w:r>
          </w:p>
        </w:tc>
        <w:tc>
          <w:tcPr>
            <w:tcW w:w="700" w:type="dxa"/>
            <w:vAlign w:val="bottom"/>
            <w:gridSpan w:val="2"/>
          </w:tcPr>
          <w:p>
            <w:pPr>
              <w:jc w:val="right"/>
              <w:ind w:right="78"/>
              <w:spacing w:after="0"/>
              <w:rPr>
                <w:sz w:val="20"/>
                <w:szCs w:val="20"/>
                <w:color w:val="auto"/>
              </w:rPr>
            </w:pPr>
            <w:r>
              <w:rPr>
                <w:rFonts w:ascii="Arial" w:cs="Arial" w:eastAsia="Arial" w:hAnsi="Arial"/>
                <w:sz w:val="18"/>
                <w:szCs w:val="18"/>
                <w:color w:val="auto"/>
              </w:rPr>
              <w:t>$</w:t>
            </w:r>
          </w:p>
        </w:tc>
        <w:tc>
          <w:tcPr>
            <w:tcW w:w="640" w:type="dxa"/>
            <w:vAlign w:val="bottom"/>
            <w:gridSpan w:val="4"/>
          </w:tcPr>
          <w:p>
            <w:pPr>
              <w:jc w:val="right"/>
              <w:spacing w:after="0"/>
              <w:rPr>
                <w:sz w:val="20"/>
                <w:szCs w:val="20"/>
                <w:color w:val="auto"/>
              </w:rPr>
            </w:pPr>
            <w:r>
              <w:rPr>
                <w:rFonts w:ascii="Arial" w:cs="Arial" w:eastAsia="Arial" w:hAnsi="Arial"/>
                <w:sz w:val="18"/>
                <w:szCs w:val="18"/>
                <w:color w:val="auto"/>
                <w:w w:val="86"/>
              </w:rPr>
              <w:t>483,718</w:t>
            </w: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560" w:type="dxa"/>
            <w:vAlign w:val="bottom"/>
            <w:shd w:val="clear" w:color="auto" w:fill="CCEEFF"/>
          </w:tcPr>
          <w:p>
            <w:pPr>
              <w:spacing w:after="0"/>
              <w:rPr>
                <w:sz w:val="20"/>
                <w:szCs w:val="20"/>
                <w:color w:val="auto"/>
              </w:rPr>
            </w:pPr>
            <w:r>
              <w:rPr>
                <w:rFonts w:ascii="Arial" w:cs="Arial" w:eastAsia="Arial" w:hAnsi="Arial"/>
                <w:sz w:val="18"/>
                <w:szCs w:val="18"/>
                <w:color w:val="auto"/>
              </w:rPr>
              <w:t>Other current assets</w:t>
            </w:r>
          </w:p>
        </w:tc>
        <w:tc>
          <w:tcPr>
            <w:tcW w:w="6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1,152</w:t>
            </w:r>
          </w:p>
        </w:tc>
        <w:tc>
          <w:tcPr>
            <w:tcW w:w="4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w w:val="88"/>
              </w:rPr>
              <w:t>1,483</w:t>
            </w: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3560" w:type="dxa"/>
            <w:vAlign w:val="bottom"/>
          </w:tcPr>
          <w:p>
            <w:pPr>
              <w:spacing w:after="0"/>
              <w:rPr>
                <w:sz w:val="20"/>
                <w:szCs w:val="20"/>
                <w:color w:val="auto"/>
              </w:rPr>
            </w:pPr>
            <w:r>
              <w:rPr>
                <w:rFonts w:ascii="Arial" w:cs="Arial" w:eastAsia="Arial" w:hAnsi="Arial"/>
                <w:sz w:val="18"/>
                <w:szCs w:val="18"/>
                <w:color w:val="auto"/>
              </w:rPr>
              <w:t>Other non-current assets</w:t>
            </w:r>
          </w:p>
        </w:tc>
        <w:tc>
          <w:tcPr>
            <w:tcW w:w="6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1,859</w:t>
            </w:r>
          </w:p>
        </w:tc>
        <w:tc>
          <w:tcPr>
            <w:tcW w:w="46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227</w:t>
            </w: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5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assets</w:t>
            </w:r>
          </w:p>
        </w:tc>
        <w:tc>
          <w:tcPr>
            <w:tcW w:w="6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0" w:type="dxa"/>
            <w:vAlign w:val="bottom"/>
            <w:gridSpan w:val="3"/>
            <w:shd w:val="clear" w:color="auto" w:fill="CCEEFF"/>
          </w:tcPr>
          <w:p>
            <w:pPr>
              <w:jc w:val="right"/>
              <w:ind w:right="63"/>
              <w:spacing w:after="0"/>
              <w:rPr>
                <w:sz w:val="20"/>
                <w:szCs w:val="20"/>
                <w:color w:val="auto"/>
              </w:rPr>
            </w:pPr>
            <w:r>
              <w:rPr>
                <w:rFonts w:ascii="Arial" w:cs="Arial" w:eastAsia="Arial" w:hAnsi="Arial"/>
                <w:sz w:val="18"/>
                <w:szCs w:val="18"/>
                <w:color w:val="auto"/>
              </w:rPr>
              <w:t>$</w:t>
            </w:r>
          </w:p>
        </w:tc>
        <w:tc>
          <w:tcPr>
            <w:tcW w:w="62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w w:val="92"/>
              </w:rPr>
              <w:t>442,056</w:t>
            </w:r>
          </w:p>
        </w:tc>
        <w:tc>
          <w:tcPr>
            <w:tcW w:w="700" w:type="dxa"/>
            <w:vAlign w:val="bottom"/>
            <w:gridSpan w:val="2"/>
            <w:shd w:val="clear" w:color="auto" w:fill="CCEEFF"/>
          </w:tcPr>
          <w:p>
            <w:pPr>
              <w:jc w:val="right"/>
              <w:ind w:right="78"/>
              <w:spacing w:after="0"/>
              <w:rPr>
                <w:sz w:val="20"/>
                <w:szCs w:val="20"/>
                <w:color w:val="auto"/>
              </w:rPr>
            </w:pPr>
            <w:r>
              <w:rPr>
                <w:rFonts w:ascii="Arial" w:cs="Arial" w:eastAsia="Arial" w:hAnsi="Arial"/>
                <w:sz w:val="18"/>
                <w:szCs w:val="18"/>
                <w:color w:val="auto"/>
              </w:rPr>
              <w:t>$</w:t>
            </w:r>
          </w:p>
        </w:tc>
        <w:tc>
          <w:tcPr>
            <w:tcW w:w="640" w:type="dxa"/>
            <w:vAlign w:val="bottom"/>
            <w:tcBorders>
              <w:right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w w:val="86"/>
              </w:rPr>
              <w:t>485,428</w:t>
            </w: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40" w:type="dxa"/>
            <w:vAlign w:val="bottom"/>
            <w:gridSpan w:val="2"/>
            <w:vMerge w:val="restart"/>
          </w:tcPr>
          <w:p>
            <w:pPr>
              <w:ind w:left="860"/>
              <w:spacing w:after="0"/>
              <w:rPr>
                <w:sz w:val="20"/>
                <w:szCs w:val="20"/>
                <w:color w:val="auto"/>
              </w:rPr>
            </w:pPr>
            <w:r>
              <w:rPr>
                <w:rFonts w:ascii="Arial" w:cs="Arial" w:eastAsia="Arial" w:hAnsi="Arial"/>
                <w:sz w:val="18"/>
                <w:szCs w:val="18"/>
                <w:b w:val="1"/>
                <w:bCs w:val="1"/>
                <w:color w:val="auto"/>
              </w:rPr>
              <w:t>Liabilities and Equity</w:t>
            </w:r>
          </w:p>
        </w:tc>
        <w:tc>
          <w:tcPr>
            <w:tcW w:w="6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40" w:type="dxa"/>
            <w:vAlign w:val="bottom"/>
            <w:gridSpan w:val="2"/>
            <w:vMerge w:val="continue"/>
          </w:tcPr>
          <w:p>
            <w:pPr>
              <w:spacing w:after="0"/>
              <w:rPr>
                <w:sz w:val="18"/>
                <w:szCs w:val="18"/>
                <w:color w:val="auto"/>
              </w:rPr>
            </w:pPr>
          </w:p>
        </w:tc>
        <w:tc>
          <w:tcPr>
            <w:tcW w:w="6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56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6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0" w:type="dxa"/>
            <w:vAlign w:val="bottom"/>
            <w:gridSpan w:val="3"/>
            <w:shd w:val="clear" w:color="auto" w:fill="CCEEFF"/>
          </w:tcPr>
          <w:p>
            <w:pPr>
              <w:jc w:val="right"/>
              <w:ind w:right="63"/>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7"/>
              </w:rPr>
              <w:t>25,130</w:t>
            </w:r>
          </w:p>
        </w:tc>
        <w:tc>
          <w:tcPr>
            <w:tcW w:w="700" w:type="dxa"/>
            <w:vAlign w:val="bottom"/>
            <w:gridSpan w:val="2"/>
            <w:shd w:val="clear" w:color="auto" w:fill="CCEEFF"/>
          </w:tcPr>
          <w:p>
            <w:pPr>
              <w:jc w:val="right"/>
              <w:ind w:right="78"/>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w w:val="88"/>
              </w:rPr>
              <w:t>8,444</w:t>
            </w: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560" w:type="dxa"/>
            <w:vAlign w:val="bottom"/>
          </w:tcPr>
          <w:p>
            <w:pPr>
              <w:spacing w:after="0"/>
              <w:rPr>
                <w:sz w:val="20"/>
                <w:szCs w:val="20"/>
                <w:color w:val="auto"/>
              </w:rPr>
            </w:pPr>
            <w:r>
              <w:rPr>
                <w:rFonts w:ascii="Arial" w:cs="Arial" w:eastAsia="Arial" w:hAnsi="Arial"/>
                <w:sz w:val="18"/>
                <w:szCs w:val="18"/>
                <w:color w:val="auto"/>
              </w:rPr>
              <w:t>Long-term liabilities</w:t>
            </w:r>
          </w:p>
        </w:tc>
        <w:tc>
          <w:tcPr>
            <w:tcW w:w="6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361</w:t>
            </w: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gridSpan w:val="2"/>
          </w:tcPr>
          <w:p>
            <w:pPr>
              <w:jc w:val="right"/>
              <w:ind w:right="65"/>
              <w:spacing w:after="0"/>
              <w:rPr>
                <w:sz w:val="20"/>
                <w:szCs w:val="20"/>
                <w:color w:val="auto"/>
              </w:rPr>
            </w:pPr>
            <w:r>
              <w:rPr>
                <w:rFonts w:ascii="Arial" w:cs="Arial" w:eastAsia="Arial" w:hAnsi="Arial"/>
                <w:sz w:val="18"/>
                <w:szCs w:val="18"/>
                <w:color w:val="auto"/>
              </w:rPr>
              <w:t>—</w:t>
            </w: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560" w:type="dxa"/>
            <w:vAlign w:val="bottom"/>
            <w:shd w:val="clear" w:color="auto" w:fill="CCEEFF"/>
          </w:tcPr>
          <w:p>
            <w:pPr>
              <w:spacing w:after="0"/>
              <w:rPr>
                <w:sz w:val="20"/>
                <w:szCs w:val="20"/>
                <w:color w:val="auto"/>
              </w:rPr>
            </w:pPr>
            <w:r>
              <w:rPr>
                <w:rFonts w:ascii="Arial" w:cs="Arial" w:eastAsia="Arial" w:hAnsi="Arial"/>
                <w:sz w:val="18"/>
                <w:szCs w:val="18"/>
                <w:color w:val="auto"/>
              </w:rPr>
              <w:t>Stockholders’ equity</w:t>
            </w:r>
          </w:p>
        </w:tc>
        <w:tc>
          <w:tcPr>
            <w:tcW w:w="6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w w:val="92"/>
              </w:rPr>
              <w:t>416,565</w:t>
            </w:r>
          </w:p>
        </w:tc>
        <w:tc>
          <w:tcPr>
            <w:tcW w:w="46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right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w w:val="86"/>
              </w:rPr>
              <w:t>476,984</w:t>
            </w: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3560" w:type="dxa"/>
            <w:vAlign w:val="bottom"/>
          </w:tcPr>
          <w:p>
            <w:pPr>
              <w:ind w:left="340"/>
              <w:spacing w:after="0"/>
              <w:rPr>
                <w:sz w:val="20"/>
                <w:szCs w:val="20"/>
                <w:color w:val="auto"/>
              </w:rPr>
            </w:pPr>
            <w:r>
              <w:rPr>
                <w:rFonts w:ascii="Arial" w:cs="Arial" w:eastAsia="Arial" w:hAnsi="Arial"/>
                <w:sz w:val="18"/>
                <w:szCs w:val="18"/>
                <w:color w:val="auto"/>
              </w:rPr>
              <w:t>Total liabilities and stockholders’ equity</w:t>
            </w:r>
          </w:p>
        </w:tc>
        <w:tc>
          <w:tcPr>
            <w:tcW w:w="6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jc w:val="right"/>
              <w:ind w:right="63"/>
              <w:spacing w:after="0"/>
              <w:rPr>
                <w:sz w:val="20"/>
                <w:szCs w:val="20"/>
                <w:color w:val="auto"/>
              </w:rPr>
            </w:pPr>
            <w:r>
              <w:rPr>
                <w:rFonts w:ascii="Arial" w:cs="Arial" w:eastAsia="Arial" w:hAnsi="Arial"/>
                <w:sz w:val="10"/>
                <w:szCs w:val="10"/>
                <w:color w:val="auto"/>
                <w:w w:val="71"/>
              </w:rPr>
              <w:t>$</w:t>
            </w:r>
          </w:p>
        </w:tc>
        <w:tc>
          <w:tcPr>
            <w:tcW w:w="62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color w:val="auto"/>
                <w:w w:val="92"/>
              </w:rPr>
              <w:t>442,056</w:t>
            </w:r>
          </w:p>
        </w:tc>
        <w:tc>
          <w:tcPr>
            <w:tcW w:w="460" w:type="dxa"/>
            <w:vAlign w:val="bottom"/>
          </w:tcPr>
          <w:p>
            <w:pPr>
              <w:spacing w:after="0"/>
              <w:rPr>
                <w:sz w:val="19"/>
                <w:szCs w:val="19"/>
                <w:color w:val="auto"/>
              </w:rPr>
            </w:pPr>
          </w:p>
        </w:tc>
        <w:tc>
          <w:tcPr>
            <w:tcW w:w="240" w:type="dxa"/>
            <w:vAlign w:val="bottom"/>
            <w:tcBorders>
              <w:bottom w:val="single" w:sz="8" w:color="auto"/>
            </w:tcBorders>
          </w:tcPr>
          <w:p>
            <w:pPr>
              <w:jc w:val="right"/>
              <w:ind w:right="78"/>
              <w:spacing w:after="0"/>
              <w:rPr>
                <w:sz w:val="20"/>
                <w:szCs w:val="20"/>
                <w:color w:val="auto"/>
              </w:rPr>
            </w:pPr>
            <w:r>
              <w:rPr>
                <w:rFonts w:ascii="Arial" w:cs="Arial" w:eastAsia="Arial" w:hAnsi="Arial"/>
                <w:sz w:val="15"/>
                <w:szCs w:val="15"/>
                <w:color w:val="auto"/>
                <w:w w:val="71"/>
              </w:rPr>
              <w:t>$</w:t>
            </w:r>
          </w:p>
        </w:tc>
        <w:tc>
          <w:tcPr>
            <w:tcW w:w="64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color w:val="auto"/>
                <w:w w:val="86"/>
              </w:rPr>
              <w:t>485,428</w:t>
            </w: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 w:lineRule="exact"/>
        <w:rPr>
          <w:sz w:val="20"/>
          <w:szCs w:val="20"/>
          <w:color w:val="auto"/>
        </w:rPr>
      </w:pPr>
    </w:p>
    <w:sectPr>
      <w:pgSz w:w="11900" w:h="16838" w:orient="portrait"/>
      <w:cols w:equalWidth="0" w:num="1">
        <w:col w:w="10140"/>
      </w:cols>
      <w:pgMar w:left="880" w:top="270" w:right="8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04"/>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2020-02-26T07:52:19Z</dcterms:created>
  <dcterms:modified xsi:type="dcterms:W3CDTF">2020-02-26T07:52:19Z</dcterms:modified>
</cp:coreProperties>
</file>