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4">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spacing w:after="0" w:line="229" w:lineRule="exact"/>
        <w:rPr>
          <w:sz w:val="24"/>
          <w:szCs w:val="24"/>
          <w:color w:val="auto"/>
        </w:rPr>
      </w:pPr>
    </w:p>
    <w:p>
      <w:pPr>
        <w:ind w:left="960" w:hanging="64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29" w:lineRule="exact"/>
        <w:rPr>
          <w:sz w:val="24"/>
          <w:szCs w:val="24"/>
          <w:color w:val="auto"/>
        </w:rPr>
      </w:pPr>
    </w:p>
    <w:p>
      <w:pPr>
        <w:ind w:left="960" w:hanging="60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4" w:lineRule="exact"/>
        <w:rPr>
          <w:sz w:val="24"/>
          <w:szCs w:val="24"/>
          <w:color w:val="auto"/>
        </w:rPr>
      </w:pPr>
    </w:p>
    <w:p>
      <w:pPr>
        <w:ind w:left="44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001-33277</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MADRIGAL PHARMACEUTICALS,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540" w:type="dxa"/>
        <w:tblCellMar>
          <w:top w:w="0" w:type="dxa"/>
          <w:left w:w="0" w:type="dxa"/>
          <w:bottom w:w="0" w:type="dxa"/>
          <w:right w:w="0" w:type="dxa"/>
        </w:tblCellMar>
      </w:tblPr>
      <w:tr>
        <w:trPr>
          <w:trHeight w:val="161"/>
        </w:trPr>
        <w:tc>
          <w:tcPr>
            <w:tcW w:w="2420" w:type="dxa"/>
            <w:vAlign w:val="bottom"/>
          </w:tcPr>
          <w:p>
            <w:pPr>
              <w:jc w:val="center"/>
              <w:ind w:right="332"/>
              <w:spacing w:after="0"/>
              <w:rPr>
                <w:sz w:val="20"/>
                <w:szCs w:val="20"/>
                <w:color w:val="auto"/>
              </w:rPr>
            </w:pPr>
            <w:r>
              <w:rPr>
                <w:rFonts w:ascii="Arial" w:cs="Arial" w:eastAsia="Arial" w:hAnsi="Arial"/>
                <w:sz w:val="14"/>
                <w:szCs w:val="14"/>
                <w:b w:val="1"/>
                <w:bCs w:val="1"/>
                <w:color w:val="auto"/>
                <w:w w:val="87"/>
              </w:rPr>
              <w:t>Delaware</w:t>
            </w: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rPr>
              <w:t>04-3508648</w:t>
            </w:r>
          </w:p>
        </w:tc>
        <w:tc>
          <w:tcPr>
            <w:tcW w:w="0" w:type="dxa"/>
            <w:vAlign w:val="bottom"/>
          </w:tcPr>
          <w:p>
            <w:pPr>
              <w:spacing w:after="0"/>
              <w:rPr>
                <w:sz w:val="1"/>
                <w:szCs w:val="1"/>
                <w:color w:val="auto"/>
              </w:rPr>
            </w:pPr>
          </w:p>
        </w:tc>
      </w:tr>
      <w:tr>
        <w:trPr>
          <w:trHeight w:val="149"/>
        </w:trPr>
        <w:tc>
          <w:tcPr>
            <w:tcW w:w="2420" w:type="dxa"/>
            <w:vAlign w:val="bottom"/>
          </w:tcPr>
          <w:p>
            <w:pPr>
              <w:jc w:val="center"/>
              <w:ind w:right="35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tcPr>
          <w:p>
            <w:pPr>
              <w:jc w:val="center"/>
              <w:ind w:left="352"/>
              <w:spacing w:after="0" w:line="149" w:lineRule="exact"/>
              <w:rPr>
                <w:sz w:val="20"/>
                <w:szCs w:val="20"/>
                <w:color w:val="auto"/>
              </w:rPr>
            </w:pPr>
            <w:r>
              <w:rPr>
                <w:rFonts w:ascii="Arial" w:cs="Arial" w:eastAsia="Arial" w:hAnsi="Arial"/>
                <w:sz w:val="14"/>
                <w:szCs w:val="14"/>
                <w:color w:val="auto"/>
                <w:w w:val="89"/>
              </w:rPr>
              <w:t>(I.R.S. Employer</w:t>
            </w:r>
          </w:p>
        </w:tc>
        <w:tc>
          <w:tcPr>
            <w:tcW w:w="0" w:type="dxa"/>
            <w:vAlign w:val="bottom"/>
          </w:tcPr>
          <w:p>
            <w:pPr>
              <w:spacing w:after="0"/>
              <w:rPr>
                <w:sz w:val="1"/>
                <w:szCs w:val="1"/>
                <w:color w:val="auto"/>
              </w:rPr>
            </w:pPr>
          </w:p>
        </w:tc>
      </w:tr>
      <w:tr>
        <w:trPr>
          <w:trHeight w:val="172"/>
        </w:trPr>
        <w:tc>
          <w:tcPr>
            <w:tcW w:w="2420" w:type="dxa"/>
            <w:vAlign w:val="bottom"/>
          </w:tcPr>
          <w:p>
            <w:pPr>
              <w:jc w:val="center"/>
              <w:ind w:right="332"/>
              <w:spacing w:after="0"/>
              <w:rPr>
                <w:sz w:val="20"/>
                <w:szCs w:val="20"/>
                <w:color w:val="auto"/>
              </w:rPr>
            </w:pPr>
            <w:r>
              <w:rPr>
                <w:rFonts w:ascii="Arial" w:cs="Arial" w:eastAsia="Arial" w:hAnsi="Arial"/>
                <w:sz w:val="14"/>
                <w:szCs w:val="14"/>
                <w:color w:val="auto"/>
                <w:w w:val="88"/>
              </w:rPr>
              <w:t>incorporation or organization)</w:t>
            </w:r>
          </w:p>
        </w:tc>
        <w:tc>
          <w:tcPr>
            <w:tcW w:w="1420" w:type="dxa"/>
            <w:vAlign w:val="bottom"/>
          </w:tcPr>
          <w:p>
            <w:pPr>
              <w:jc w:val="center"/>
              <w:ind w:left="352"/>
              <w:spacing w:after="0"/>
              <w:rPr>
                <w:sz w:val="20"/>
                <w:szCs w:val="20"/>
                <w:color w:val="auto"/>
              </w:rPr>
            </w:pPr>
            <w:r>
              <w:rPr>
                <w:rFonts w:ascii="Arial" w:cs="Arial" w:eastAsia="Arial" w:hAnsi="Arial"/>
                <w:sz w:val="14"/>
                <w:szCs w:val="14"/>
                <w:color w:val="auto"/>
                <w:w w:val="91"/>
              </w:rPr>
              <w:t>Identification No.)</w:t>
            </w:r>
          </w:p>
        </w:tc>
        <w:tc>
          <w:tcPr>
            <w:tcW w:w="0" w:type="dxa"/>
            <w:vAlign w:val="bottom"/>
          </w:tcPr>
          <w:p>
            <w:pPr>
              <w:spacing w:after="0"/>
              <w:rPr>
                <w:sz w:val="1"/>
                <w:szCs w:val="1"/>
                <w:color w:val="auto"/>
              </w:rPr>
            </w:pPr>
          </w:p>
        </w:tc>
      </w:tr>
      <w:tr>
        <w:trPr>
          <w:trHeight w:val="366"/>
        </w:trPr>
        <w:tc>
          <w:tcPr>
            <w:tcW w:w="2420" w:type="dxa"/>
            <w:vAlign w:val="bottom"/>
          </w:tcPr>
          <w:p>
            <w:pPr>
              <w:jc w:val="center"/>
              <w:ind w:right="332"/>
              <w:spacing w:after="0"/>
              <w:rPr>
                <w:sz w:val="20"/>
                <w:szCs w:val="20"/>
                <w:color w:val="auto"/>
              </w:rPr>
            </w:pPr>
            <w:r>
              <w:rPr>
                <w:rFonts w:ascii="Arial" w:cs="Arial" w:eastAsia="Arial" w:hAnsi="Arial"/>
                <w:sz w:val="14"/>
                <w:szCs w:val="14"/>
                <w:b w:val="1"/>
                <w:bCs w:val="1"/>
                <w:color w:val="auto"/>
                <w:w w:val="88"/>
              </w:rPr>
              <w:t>Four Tower Bridge</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0"/>
              </w:rPr>
              <w:t>200 Barr Harbor Drive, Suite 400</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20" w:type="dxa"/>
            <w:vAlign w:val="bottom"/>
          </w:tcPr>
          <w:p>
            <w:pPr>
              <w:jc w:val="center"/>
              <w:ind w:right="352"/>
              <w:spacing w:after="0" w:line="151" w:lineRule="exact"/>
              <w:rPr>
                <w:sz w:val="20"/>
                <w:szCs w:val="20"/>
                <w:color w:val="auto"/>
              </w:rPr>
            </w:pPr>
            <w:r>
              <w:rPr>
                <w:rFonts w:ascii="Arial" w:cs="Arial" w:eastAsia="Arial" w:hAnsi="Arial"/>
                <w:sz w:val="14"/>
                <w:szCs w:val="14"/>
                <w:b w:val="1"/>
                <w:bCs w:val="1"/>
                <w:color w:val="auto"/>
                <w:w w:val="84"/>
              </w:rPr>
              <w:t>West Conshohocken, Pennsylvania</w:t>
            </w:r>
          </w:p>
        </w:tc>
        <w:tc>
          <w:tcPr>
            <w:tcW w:w="14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19428</w:t>
            </w:r>
          </w:p>
        </w:tc>
        <w:tc>
          <w:tcPr>
            <w:tcW w:w="0" w:type="dxa"/>
            <w:vAlign w:val="bottom"/>
          </w:tcPr>
          <w:p>
            <w:pPr>
              <w:spacing w:after="0"/>
              <w:rPr>
                <w:sz w:val="1"/>
                <w:szCs w:val="1"/>
                <w:color w:val="auto"/>
              </w:rPr>
            </w:pPr>
          </w:p>
        </w:tc>
      </w:tr>
      <w:tr>
        <w:trPr>
          <w:trHeight w:val="149"/>
        </w:trPr>
        <w:tc>
          <w:tcPr>
            <w:tcW w:w="2420" w:type="dxa"/>
            <w:vAlign w:val="bottom"/>
          </w:tcPr>
          <w:p>
            <w:pPr>
              <w:jc w:val="center"/>
              <w:ind w:right="332"/>
              <w:spacing w:after="0" w:line="149" w:lineRule="exact"/>
              <w:rPr>
                <w:sz w:val="20"/>
                <w:szCs w:val="20"/>
                <w:color w:val="auto"/>
              </w:rPr>
            </w:pPr>
            <w:r>
              <w:rPr>
                <w:rFonts w:ascii="Arial" w:cs="Arial" w:eastAsia="Arial" w:hAnsi="Arial"/>
                <w:sz w:val="14"/>
                <w:szCs w:val="14"/>
                <w:color w:val="auto"/>
                <w:w w:val="89"/>
              </w:rPr>
              <w:t>(Address of principal executive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20" w:type="dxa"/>
            <w:vAlign w:val="bottom"/>
          </w:tcPr>
          <w:p>
            <w:pPr>
              <w:jc w:val="center"/>
              <w:ind w:right="332"/>
              <w:spacing w:after="0"/>
              <w:rPr>
                <w:sz w:val="20"/>
                <w:szCs w:val="20"/>
                <w:color w:val="auto"/>
              </w:rPr>
            </w:pPr>
            <w:r>
              <w:rPr>
                <w:rFonts w:ascii="Arial" w:cs="Arial" w:eastAsia="Arial" w:hAnsi="Arial"/>
                <w:sz w:val="14"/>
                <w:szCs w:val="14"/>
                <w:color w:val="auto"/>
                <w:w w:val="92"/>
              </w:rPr>
              <w:t>offices)</w:t>
            </w:r>
          </w:p>
        </w:tc>
        <w:tc>
          <w:tcPr>
            <w:tcW w:w="1420" w:type="dxa"/>
            <w:vAlign w:val="bottom"/>
          </w:tcPr>
          <w:p>
            <w:pPr>
              <w:jc w:val="center"/>
              <w:ind w:left="352"/>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(484) 380-9263</w:t>
      </w:r>
    </w:p>
    <w:p>
      <w:pPr>
        <w:spacing w:after="0" w:line="206" w:lineRule="exact"/>
        <w:rPr>
          <w:sz w:val="24"/>
          <w:szCs w:val="24"/>
          <w:color w:val="auto"/>
        </w:rPr>
      </w:pPr>
    </w:p>
    <w:tbl>
      <w:tblPr>
        <w:tblLayout w:type="fixed"/>
        <w:tblInd w:w="340" w:type="dxa"/>
        <w:tblCellMar>
          <w:top w:w="0" w:type="dxa"/>
          <w:left w:w="0" w:type="dxa"/>
          <w:bottom w:w="0" w:type="dxa"/>
          <w:right w:w="0" w:type="dxa"/>
        </w:tblCellMar>
      </w:tblPr>
      <w:tr>
        <w:trPr>
          <w:trHeight w:val="172"/>
        </w:trPr>
        <w:tc>
          <w:tcPr>
            <w:tcW w:w="49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Exchange Act:</w:t>
            </w: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352"/>
        </w:trPr>
        <w:tc>
          <w:tcPr>
            <w:tcW w:w="24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3460" w:type="dxa"/>
            <w:vAlign w:val="bottom"/>
            <w:gridSpan w:val="2"/>
          </w:tcPr>
          <w:p>
            <w:pPr>
              <w:jc w:val="center"/>
              <w:ind w:left="87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66"/>
        </w:trPr>
        <w:tc>
          <w:tcPr>
            <w:tcW w:w="2400" w:type="dxa"/>
            <w:vAlign w:val="bottom"/>
          </w:tcPr>
          <w:p>
            <w:pPr>
              <w:spacing w:after="0"/>
              <w:rPr>
                <w:sz w:val="14"/>
                <w:szCs w:val="14"/>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Common Stock, $0.0001 Par Value Per Share</w:t>
            </w:r>
          </w:p>
        </w:tc>
        <w:tc>
          <w:tcPr>
            <w:tcW w:w="960" w:type="dxa"/>
            <w:vAlign w:val="bottom"/>
          </w:tcPr>
          <w:p>
            <w:pPr>
              <w:spacing w:after="0"/>
              <w:rPr>
                <w:sz w:val="14"/>
                <w:szCs w:val="14"/>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The NASDAQ Stock Market LLC</w:t>
            </w:r>
          </w:p>
        </w:tc>
      </w:tr>
      <w:tr>
        <w:trPr>
          <w:trHeight w:val="354"/>
        </w:trPr>
        <w:tc>
          <w:tcPr>
            <w:tcW w:w="4900" w:type="dxa"/>
            <w:vAlign w:val="bottom"/>
            <w:gridSpan w:val="2"/>
          </w:tcPr>
          <w:p>
            <w:pPr>
              <w:spacing w:after="0"/>
              <w:rPr>
                <w:sz w:val="20"/>
                <w:szCs w:val="20"/>
                <w:color w:val="auto"/>
              </w:rPr>
            </w:pPr>
            <w:r>
              <w:rPr>
                <w:rFonts w:ascii="Arial" w:cs="Arial" w:eastAsia="Arial" w:hAnsi="Arial"/>
                <w:sz w:val="14"/>
                <w:szCs w:val="14"/>
                <w:color w:val="auto"/>
              </w:rPr>
              <w:t xml:space="preserve">Securities registered pursuant to Section 12(g) of the Exchange Act: </w:t>
            </w:r>
            <w:r>
              <w:rPr>
                <w:rFonts w:ascii="Arial" w:cs="Arial" w:eastAsia="Arial" w:hAnsi="Arial"/>
                <w:sz w:val="14"/>
                <w:szCs w:val="14"/>
                <w:b w:val="1"/>
                <w:bCs w:val="1"/>
                <w:color w:val="auto"/>
              </w:rPr>
              <w:t>None.</w:t>
            </w:r>
          </w:p>
        </w:tc>
        <w:tc>
          <w:tcPr>
            <w:tcW w:w="9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167" w:lineRule="exact"/>
        <w:rPr>
          <w:sz w:val="24"/>
          <w:szCs w:val="24"/>
          <w:color w:val="auto"/>
        </w:rPr>
      </w:pPr>
    </w:p>
    <w:p>
      <w:pPr>
        <w:ind w:left="340"/>
        <w:spacing w:after="0" w:line="138" w:lineRule="exact"/>
        <w:tabs>
          <w:tab w:leader="none" w:pos="7180" w:val="left"/>
        </w:tabs>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ab/>
        <w:t>No o</w:t>
      </w:r>
    </w:p>
    <w:p>
      <w:pPr>
        <w:spacing w:after="0" w:line="227" w:lineRule="exact"/>
        <w:rPr>
          <w:sz w:val="24"/>
          <w:szCs w:val="24"/>
          <w:color w:val="auto"/>
        </w:rPr>
      </w:pPr>
    </w:p>
    <w:p>
      <w:pPr>
        <w:ind w:left="340"/>
        <w:spacing w:after="0" w:line="138" w:lineRule="exact"/>
        <w:tabs>
          <w:tab w:leader="none" w:pos="780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40"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20" w:firstLine="338"/>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right="80" w:firstLine="338"/>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right="180" w:firstLine="338"/>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23" w:gutter="0" w:footer="0" w:header="0"/>
        </w:sectPr>
      </w:pPr>
    </w:p>
    <w:p>
      <w:pPr>
        <w:spacing w:after="0" w:line="168" w:lineRule="exact"/>
        <w:rPr>
          <w:sz w:val="24"/>
          <w:szCs w:val="24"/>
          <w:color w:val="auto"/>
        </w:rPr>
      </w:pPr>
    </w:p>
    <w:p>
      <w:pPr>
        <w:ind w:left="4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02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160"/>
        <w:spacing w:after="0"/>
        <w:rPr>
          <w:sz w:val="20"/>
          <w:szCs w:val="20"/>
          <w:color w:val="auto"/>
        </w:rPr>
      </w:pPr>
      <w:r>
        <w:rPr>
          <w:rFonts w:ascii="Arial" w:cs="Arial" w:eastAsia="Arial" w:hAnsi="Arial"/>
          <w:sz w:val="12"/>
          <w:szCs w:val="12"/>
          <w:color w:val="auto"/>
        </w:rPr>
        <w:t>Non-accelerated filer 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200" w:lineRule="exact"/>
        <w:rPr>
          <w:sz w:val="24"/>
          <w:szCs w:val="24"/>
          <w:color w:val="auto"/>
        </w:rPr>
      </w:pPr>
    </w:p>
    <w:p>
      <w:pPr>
        <w:sectPr>
          <w:pgSz w:w="11900" w:h="16838" w:orient="portrait"/>
          <w:cols w:equalWidth="0" w:num="4">
            <w:col w:w="2780" w:space="720"/>
            <w:col w:w="2020" w:space="720"/>
            <w:col w:w="2400" w:space="720"/>
            <w:col w:w="2060"/>
          </w:cols>
          <w:pgMar w:left="240" w:top="685" w:right="239" w:bottom="23" w:gutter="0" w:footer="0" w:header="0"/>
          <w:type w:val="continuous"/>
        </w:sectPr>
      </w:pPr>
    </w:p>
    <w:p>
      <w:pPr>
        <w:spacing w:after="0" w:line="15"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8" w:lineRule="exact"/>
        <w:rPr>
          <w:sz w:val="24"/>
          <w:szCs w:val="24"/>
          <w:color w:val="auto"/>
        </w:r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tab/>
        <w:t xml:space="preserve">No </w:t>
      </w:r>
      <w:r>
        <w:rPr>
          <w:rFonts w:ascii="MS PGothic" w:cs="MS PGothic" w:eastAsia="MS PGothic" w:hAnsi="MS PGothic"/>
          <w:sz w:val="12"/>
          <w:szCs w:val="12"/>
          <w:color w:val="auto"/>
        </w:rPr>
        <w:t>☒</w:t>
      </w:r>
    </w:p>
    <w:p>
      <w:pPr>
        <w:spacing w:after="0" w:line="252" w:lineRule="exact"/>
        <w:rPr>
          <w:sz w:val="24"/>
          <w:szCs w:val="24"/>
          <w:color w:val="auto"/>
        </w:rPr>
      </w:pPr>
    </w:p>
    <w:p>
      <w:pPr>
        <w:ind w:right="220" w:firstLine="335"/>
        <w:spacing w:after="0" w:line="288" w:lineRule="auto"/>
        <w:rPr>
          <w:sz w:val="20"/>
          <w:szCs w:val="20"/>
          <w:color w:val="auto"/>
        </w:rPr>
      </w:pPr>
      <w:r>
        <w:rPr>
          <w:rFonts w:ascii="Arial" w:cs="Arial" w:eastAsia="Arial" w:hAnsi="Arial"/>
          <w:sz w:val="12"/>
          <w:szCs w:val="12"/>
          <w:color w:val="auto"/>
        </w:rPr>
        <w:t>The aggregate market value of the voting stock held by non-affiliates of the registrant based upon the closing sale price of the registrant's common stock on June 29, 2018 (the last business day of the registrant's most recently completed second fiscal quarter), as reported on the Nasdaq Global Market, was $2,320,321,944.81. For purposes of this calculation, directors and executive officers of the registrant have been deemed affiliates. This determination of affiliate status is not necessarily a conclusive determination for other purposes.</w:t>
      </w:r>
    </w:p>
    <w:p>
      <w:pPr>
        <w:spacing w:after="0" w:line="165"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21, 2019 the registrant had 15,417,064 shares of common stock outstanding.</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ectPr>
          <w:pgSz w:w="11900" w:h="16838" w:orient="portrait"/>
          <w:cols w:equalWidth="0" w:num="1">
            <w:col w:w="11420"/>
          </w:cols>
          <w:pgMar w:left="240" w:top="685" w:right="239" w:bottom="23" w:gutter="0" w:footer="0" w:header="0"/>
          <w:type w:val="continuous"/>
        </w:sectPr>
      </w:pPr>
    </w:p>
    <w:bookmarkStart w:id="1" w:name="page2"/>
    <w:bookmarkEnd w:id="1"/>
    <w:p>
      <w:pPr>
        <w:ind w:firstLine="338"/>
        <w:spacing w:after="0" w:line="233" w:lineRule="auto"/>
        <w:rPr>
          <w:sz w:val="20"/>
          <w:szCs w:val="20"/>
          <w:color w:val="auto"/>
        </w:rPr>
      </w:pPr>
      <w:r>
        <w:rPr>
          <w:rFonts w:ascii="Arial" w:cs="Arial" w:eastAsia="Arial" w:hAnsi="Arial"/>
          <w:sz w:val="14"/>
          <w:szCs w:val="14"/>
          <w:color w:val="auto"/>
        </w:rPr>
        <w:t>Certain information required by Part III, Items 10-14 of this Form 10-K is incorporated by reference to the registrant's definitive Proxy Statement for the 2019 Annual Meeting of Stockholders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9" w:right="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8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180" w:type="dxa"/>
            <w:vAlign w:val="bottom"/>
            <w:gridSpan w:val="10"/>
            <w:vMerge w:val="restart"/>
          </w:tcPr>
          <w:p>
            <w:pPr>
              <w:ind w:left="1140"/>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2180" w:type="dxa"/>
            <w:vAlign w:val="bottom"/>
            <w:gridSpan w:val="10"/>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Borders>
              <w:bottom w:val="single" w:sz="8" w:color="0000EE"/>
            </w:tcBorders>
          </w:tcPr>
          <w:p>
            <w:pPr>
              <w:spacing w:after="0" w:line="184" w:lineRule="exact"/>
              <w:rPr>
                <w:rFonts w:ascii="Arial" w:cs="Arial" w:eastAsia="Arial" w:hAnsi="Arial"/>
                <w:sz w:val="18"/>
                <w:szCs w:val="18"/>
                <w:color w:val="0000EE"/>
                <w:w w:val="76"/>
              </w:rPr>
            </w:pPr>
            <w:hyperlink w:anchor="page5">
              <w:r>
                <w:rPr>
                  <w:rFonts w:ascii="Arial" w:cs="Arial" w:eastAsia="Arial" w:hAnsi="Arial"/>
                  <w:sz w:val="18"/>
                  <w:szCs w:val="18"/>
                  <w:color w:val="0000EE"/>
                  <w:w w:val="76"/>
                </w:rPr>
                <w:t>Item 1.</w:t>
              </w:r>
            </w:hyperlink>
          </w:p>
        </w:tc>
        <w:tc>
          <w:tcPr>
            <w:tcW w:w="400" w:type="dxa"/>
            <w:vAlign w:val="bottom"/>
            <w:gridSpan w:val="7"/>
          </w:tcPr>
          <w:p>
            <w:pPr>
              <w:spacing w:after="0"/>
              <w:rPr>
                <w:sz w:val="15"/>
                <w:szCs w:val="15"/>
                <w:color w:val="auto"/>
              </w:rPr>
            </w:pPr>
          </w:p>
        </w:tc>
        <w:tc>
          <w:tcPr>
            <w:tcW w:w="640" w:type="dxa"/>
            <w:vAlign w:val="bottom"/>
            <w:tcBorders>
              <w:bottom w:val="single" w:sz="8" w:color="0000EE"/>
            </w:tcBorders>
            <w:gridSpan w:val="2"/>
          </w:tcPr>
          <w:p>
            <w:pPr>
              <w:spacing w:after="0" w:line="184"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6880" w:type="dxa"/>
            <w:vAlign w:val="bottom"/>
            <w:gridSpan w:val="21"/>
          </w:tcPr>
          <w:p>
            <w:pPr>
              <w:spacing w:after="0"/>
              <w:rPr>
                <w:sz w:val="15"/>
                <w:szCs w:val="15"/>
                <w:color w:val="auto"/>
              </w:rPr>
            </w:pPr>
          </w:p>
        </w:tc>
        <w:tc>
          <w:tcPr>
            <w:tcW w:w="32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84"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Item 1A.</w:t>
              </w:r>
            </w:hyperlink>
          </w:p>
        </w:tc>
        <w:tc>
          <w:tcPr>
            <w:tcW w:w="20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662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Item 1B.</w:t>
              </w:r>
            </w:hyperlink>
          </w:p>
        </w:tc>
        <w:tc>
          <w:tcPr>
            <w:tcW w:w="220" w:type="dxa"/>
            <w:vAlign w:val="bottom"/>
            <w:gridSpan w:val="2"/>
          </w:tcPr>
          <w:p>
            <w:pPr>
              <w:spacing w:after="0"/>
              <w:rPr>
                <w:sz w:val="17"/>
                <w:szCs w:val="17"/>
                <w:color w:val="auto"/>
              </w:rPr>
            </w:pPr>
          </w:p>
        </w:tc>
        <w:tc>
          <w:tcPr>
            <w:tcW w:w="752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line="196" w:lineRule="exact"/>
              <w:rPr>
                <w:rFonts w:ascii="Arial" w:cs="Arial" w:eastAsia="Arial" w:hAnsi="Arial"/>
                <w:sz w:val="18"/>
                <w:szCs w:val="18"/>
                <w:color w:val="0000EE"/>
                <w:w w:val="76"/>
              </w:rPr>
            </w:pPr>
            <w:hyperlink w:anchor="page52">
              <w:r>
                <w:rPr>
                  <w:rFonts w:ascii="Arial" w:cs="Arial" w:eastAsia="Arial" w:hAnsi="Arial"/>
                  <w:sz w:val="18"/>
                  <w:szCs w:val="18"/>
                  <w:color w:val="0000EE"/>
                  <w:w w:val="76"/>
                </w:rPr>
                <w:t>Item 2.</w:t>
              </w:r>
            </w:hyperlink>
          </w:p>
        </w:tc>
        <w:tc>
          <w:tcPr>
            <w:tcW w:w="180" w:type="dxa"/>
            <w:vAlign w:val="bottom"/>
            <w:tcBorders>
              <w:top w:val="single" w:sz="8" w:color="0000EE"/>
            </w:tcBorders>
            <w:gridSpan w:val="5"/>
          </w:tcPr>
          <w:p>
            <w:pPr>
              <w:spacing w:after="0"/>
              <w:rPr>
                <w:sz w:val="17"/>
                <w:szCs w:val="17"/>
                <w:color w:val="auto"/>
              </w:rPr>
            </w:pPr>
          </w:p>
        </w:tc>
        <w:tc>
          <w:tcPr>
            <w:tcW w:w="220" w:type="dxa"/>
            <w:vAlign w:val="bottom"/>
            <w:gridSpan w:val="2"/>
          </w:tcPr>
          <w:p>
            <w:pPr>
              <w:spacing w:after="0"/>
              <w:rPr>
                <w:sz w:val="17"/>
                <w:szCs w:val="17"/>
                <w:color w:val="auto"/>
              </w:rPr>
            </w:pPr>
          </w:p>
        </w:tc>
        <w:tc>
          <w:tcPr>
            <w:tcW w:w="2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Properties</w:t>
              </w:r>
            </w:hyperlink>
          </w:p>
        </w:tc>
        <w:tc>
          <w:tcPr>
            <w:tcW w:w="552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52">
              <w:r>
                <w:rPr>
                  <w:rFonts w:ascii="Arial" w:cs="Arial" w:eastAsia="Arial" w:hAnsi="Arial"/>
                  <w:sz w:val="18"/>
                  <w:szCs w:val="18"/>
                  <w:color w:val="0000EE"/>
                  <w:w w:val="76"/>
                </w:rPr>
                <w:t>Item 3.</w:t>
              </w:r>
            </w:hyperlink>
          </w:p>
        </w:tc>
        <w:tc>
          <w:tcPr>
            <w:tcW w:w="400" w:type="dxa"/>
            <w:vAlign w:val="bottom"/>
            <w:gridSpan w:val="7"/>
          </w:tcPr>
          <w:p>
            <w:pPr>
              <w:spacing w:after="0"/>
              <w:rPr>
                <w:sz w:val="17"/>
                <w:szCs w:val="17"/>
                <w:color w:val="auto"/>
              </w:rPr>
            </w:pPr>
          </w:p>
        </w:tc>
        <w:tc>
          <w:tcPr>
            <w:tcW w:w="132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Legal Proceedings</w:t>
              </w:r>
            </w:hyperlink>
          </w:p>
        </w:tc>
        <w:tc>
          <w:tcPr>
            <w:tcW w:w="6200" w:type="dxa"/>
            <w:vAlign w:val="bottom"/>
            <w:gridSpan w:val="1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752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49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5.</w:t>
              </w:r>
            </w:hyperlink>
          </w:p>
        </w:tc>
        <w:tc>
          <w:tcPr>
            <w:tcW w:w="7520" w:type="dxa"/>
            <w:vAlign w:val="bottom"/>
            <w:gridSpan w:val="23"/>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Market for Registrant's Common Equity, Related Stockholder Matters and Issuer Purchases of Equity</w:t>
              </w:r>
            </w:hyperlink>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Securities</w:t>
              </w:r>
            </w:hyperlink>
          </w:p>
        </w:tc>
        <w:tc>
          <w:tcPr>
            <w:tcW w:w="38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54">
              <w:r>
                <w:rPr>
                  <w:rFonts w:ascii="Arial" w:cs="Arial" w:eastAsia="Arial" w:hAnsi="Arial"/>
                  <w:sz w:val="18"/>
                  <w:szCs w:val="18"/>
                  <w:color w:val="0000EE"/>
                  <w:w w:val="76"/>
                </w:rPr>
                <w:t>Item 6.</w:t>
              </w:r>
            </w:hyperlink>
          </w:p>
        </w:tc>
        <w:tc>
          <w:tcPr>
            <w:tcW w:w="400" w:type="dxa"/>
            <w:vAlign w:val="bottom"/>
            <w:gridSpan w:val="7"/>
          </w:tcPr>
          <w:p>
            <w:pPr>
              <w:spacing w:after="0"/>
              <w:rPr>
                <w:sz w:val="17"/>
                <w:szCs w:val="17"/>
                <w:color w:val="auto"/>
              </w:rPr>
            </w:pPr>
          </w:p>
        </w:tc>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Selected Financial Data</w:t>
              </w:r>
            </w:hyperlink>
          </w:p>
        </w:tc>
        <w:tc>
          <w:tcPr>
            <w:tcW w:w="5780" w:type="dxa"/>
            <w:vAlign w:val="bottom"/>
            <w:gridSpan w:val="1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6"/>
              </w:rPr>
            </w:pPr>
            <w:hyperlink w:anchor="page56">
              <w:r>
                <w:rPr>
                  <w:rFonts w:ascii="Arial" w:cs="Arial" w:eastAsia="Arial" w:hAnsi="Arial"/>
                  <w:sz w:val="18"/>
                  <w:szCs w:val="18"/>
                  <w:color w:val="0000EE"/>
                  <w:w w:val="76"/>
                </w:rPr>
                <w:t>Item 7.</w:t>
              </w:r>
            </w:hyperlink>
          </w:p>
        </w:tc>
        <w:tc>
          <w:tcPr>
            <w:tcW w:w="400" w:type="dxa"/>
            <w:vAlign w:val="bottom"/>
            <w:gridSpan w:val="7"/>
          </w:tcPr>
          <w:p>
            <w:pPr>
              <w:spacing w:after="0"/>
              <w:rPr>
                <w:sz w:val="17"/>
                <w:szCs w:val="17"/>
                <w:color w:val="auto"/>
              </w:rPr>
            </w:pPr>
          </w:p>
        </w:tc>
        <w:tc>
          <w:tcPr>
            <w:tcW w:w="63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Management's Discussion and Analysis of Financial Condition and Results of Operations</w:t>
              </w:r>
            </w:hyperlink>
          </w:p>
        </w:tc>
        <w:tc>
          <w:tcPr>
            <w:tcW w:w="122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7"/>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Item 7A.</w:t>
              </w:r>
            </w:hyperlink>
          </w:p>
        </w:tc>
        <w:tc>
          <w:tcPr>
            <w:tcW w:w="200" w:type="dxa"/>
            <w:vAlign w:val="bottom"/>
          </w:tcPr>
          <w:p>
            <w:pPr>
              <w:spacing w:after="0"/>
              <w:rPr>
                <w:sz w:val="17"/>
                <w:szCs w:val="17"/>
                <w:color w:val="auto"/>
              </w:rPr>
            </w:pPr>
          </w:p>
        </w:tc>
        <w:tc>
          <w:tcPr>
            <w:tcW w:w="752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6"/>
              </w:rPr>
            </w:pPr>
            <w:hyperlink w:anchor="page63">
              <w:r>
                <w:rPr>
                  <w:rFonts w:ascii="Arial" w:cs="Arial" w:eastAsia="Arial" w:hAnsi="Arial"/>
                  <w:sz w:val="18"/>
                  <w:szCs w:val="18"/>
                  <w:color w:val="0000EE"/>
                  <w:w w:val="76"/>
                </w:rPr>
                <w:t>Item 8.</w:t>
              </w:r>
            </w:hyperlink>
          </w:p>
        </w:tc>
        <w:tc>
          <w:tcPr>
            <w:tcW w:w="200" w:type="dxa"/>
            <w:vAlign w:val="bottom"/>
            <w:tcBorders>
              <w:top w:val="single" w:sz="8" w:color="0000EE"/>
            </w:tcBorders>
            <w:gridSpan w:val="6"/>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326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6"/>
              </w:rPr>
            </w:pPr>
            <w:hyperlink w:anchor="page64">
              <w:r>
                <w:rPr>
                  <w:rFonts w:ascii="Arial" w:cs="Arial" w:eastAsia="Arial" w:hAnsi="Arial"/>
                  <w:sz w:val="18"/>
                  <w:szCs w:val="18"/>
                  <w:color w:val="0000EE"/>
                  <w:w w:val="76"/>
                </w:rPr>
                <w:t>Item 9.</w:t>
              </w:r>
            </w:hyperlink>
          </w:p>
        </w:tc>
        <w:tc>
          <w:tcPr>
            <w:tcW w:w="400" w:type="dxa"/>
            <w:vAlign w:val="bottom"/>
            <w:gridSpan w:val="7"/>
          </w:tcPr>
          <w:p>
            <w:pPr>
              <w:spacing w:after="0"/>
              <w:rPr>
                <w:sz w:val="17"/>
                <w:szCs w:val="17"/>
                <w:color w:val="auto"/>
              </w:rPr>
            </w:pPr>
          </w:p>
        </w:tc>
        <w:tc>
          <w:tcPr>
            <w:tcW w:w="7520" w:type="dxa"/>
            <w:vAlign w:val="bottom"/>
            <w:gridSpan w:val="2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 Disclosure</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Item 9A.</w:t>
              </w:r>
            </w:hyperlink>
          </w:p>
        </w:tc>
        <w:tc>
          <w:tcPr>
            <w:tcW w:w="200" w:type="dxa"/>
            <w:vAlign w:val="bottom"/>
          </w:tcPr>
          <w:p>
            <w:pPr>
              <w:spacing w:after="0"/>
              <w:rPr>
                <w:sz w:val="17"/>
                <w:szCs w:val="17"/>
                <w:color w:val="auto"/>
              </w:rPr>
            </w:pPr>
          </w:p>
        </w:tc>
        <w:tc>
          <w:tcPr>
            <w:tcW w:w="174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64">
              <w:r>
                <w:rPr>
                  <w:rFonts w:ascii="Arial" w:cs="Arial" w:eastAsia="Arial" w:hAnsi="Arial"/>
                  <w:sz w:val="18"/>
                  <w:szCs w:val="18"/>
                  <w:color w:val="0000EE"/>
                  <w:w w:val="85"/>
                </w:rPr>
                <w:t>Controls and Procedures</w:t>
              </w:r>
            </w:hyperlink>
          </w:p>
        </w:tc>
        <w:tc>
          <w:tcPr>
            <w:tcW w:w="5780" w:type="dxa"/>
            <w:vAlign w:val="bottom"/>
            <w:gridSpan w:val="1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61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Item 9B.</w:t>
              </w:r>
            </w:hyperlink>
          </w:p>
        </w:tc>
        <w:tc>
          <w:tcPr>
            <w:tcW w:w="220" w:type="dxa"/>
            <w:vAlign w:val="bottom"/>
            <w:gridSpan w:val="2"/>
          </w:tcPr>
          <w:p>
            <w:pPr>
              <w:spacing w:after="0"/>
              <w:rPr>
                <w:sz w:val="17"/>
                <w:szCs w:val="17"/>
                <w:color w:val="auto"/>
              </w:rPr>
            </w:pPr>
          </w:p>
        </w:tc>
        <w:tc>
          <w:tcPr>
            <w:tcW w:w="1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Other Information</w:t>
              </w:r>
            </w:hyperlink>
          </w:p>
        </w:tc>
        <w:tc>
          <w:tcPr>
            <w:tcW w:w="62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III</w:t>
              </w:r>
            </w:hyperlink>
          </w:p>
        </w:tc>
        <w:tc>
          <w:tcPr>
            <w:tcW w:w="32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10.</w:t>
              </w:r>
            </w:hyperlink>
          </w:p>
        </w:tc>
        <w:tc>
          <w:tcPr>
            <w:tcW w:w="260" w:type="dxa"/>
            <w:vAlign w:val="bottom"/>
            <w:gridSpan w:val="4"/>
          </w:tcPr>
          <w:p>
            <w:pPr>
              <w:spacing w:after="0"/>
              <w:rPr>
                <w:sz w:val="17"/>
                <w:szCs w:val="17"/>
                <w:color w:val="auto"/>
              </w:rPr>
            </w:pPr>
          </w:p>
        </w:tc>
        <w:tc>
          <w:tcPr>
            <w:tcW w:w="7520" w:type="dxa"/>
            <w:vAlign w:val="bottom"/>
            <w:gridSpan w:val="2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4"/>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11.</w:t>
              </w:r>
            </w:hyperlink>
          </w:p>
        </w:tc>
        <w:tc>
          <w:tcPr>
            <w:tcW w:w="260" w:type="dxa"/>
            <w:vAlign w:val="bottom"/>
            <w:gridSpan w:val="4"/>
          </w:tcPr>
          <w:p>
            <w:pPr>
              <w:spacing w:after="0"/>
              <w:rPr>
                <w:sz w:val="17"/>
                <w:szCs w:val="17"/>
                <w:color w:val="auto"/>
              </w:rPr>
            </w:pPr>
          </w:p>
        </w:tc>
        <w:tc>
          <w:tcPr>
            <w:tcW w:w="4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352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5"/>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12.</w:t>
              </w:r>
            </w:hyperlink>
          </w:p>
        </w:tc>
        <w:tc>
          <w:tcPr>
            <w:tcW w:w="240" w:type="dxa"/>
            <w:vAlign w:val="bottom"/>
            <w:gridSpan w:val="3"/>
          </w:tcPr>
          <w:p>
            <w:pPr>
              <w:spacing w:after="0"/>
              <w:rPr>
                <w:sz w:val="17"/>
                <w:szCs w:val="17"/>
                <w:color w:val="auto"/>
              </w:rPr>
            </w:pPr>
          </w:p>
        </w:tc>
        <w:tc>
          <w:tcPr>
            <w:tcW w:w="7520" w:type="dxa"/>
            <w:vAlign w:val="bottom"/>
            <w:gridSpan w:val="23"/>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Security Ownership of Certain Beneficial Owners and Management and Related Stockholder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Item 13.</w:t>
              </w:r>
            </w:hyperlink>
          </w:p>
        </w:tc>
        <w:tc>
          <w:tcPr>
            <w:tcW w:w="240" w:type="dxa"/>
            <w:vAlign w:val="bottom"/>
            <w:gridSpan w:val="3"/>
          </w:tcPr>
          <w:p>
            <w:pPr>
              <w:spacing w:after="0"/>
              <w:rPr>
                <w:sz w:val="17"/>
                <w:szCs w:val="17"/>
                <w:color w:val="auto"/>
              </w:rPr>
            </w:pPr>
          </w:p>
        </w:tc>
        <w:tc>
          <w:tcPr>
            <w:tcW w:w="71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Transactions, and Director Independence</w:t>
              </w:r>
            </w:hyperlink>
          </w:p>
        </w:tc>
        <w:tc>
          <w:tcPr>
            <w:tcW w:w="4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14.</w:t>
              </w:r>
            </w:hyperlink>
          </w:p>
        </w:tc>
        <w:tc>
          <w:tcPr>
            <w:tcW w:w="20" w:type="dxa"/>
            <w:vAlign w:val="bottom"/>
            <w:tcBorders>
              <w:top w:val="single" w:sz="8" w:color="0000EE"/>
            </w:tcBorders>
          </w:tcPr>
          <w:p>
            <w:pPr>
              <w:spacing w:after="0"/>
              <w:rPr>
                <w:sz w:val="17"/>
                <w:szCs w:val="17"/>
                <w:color w:val="auto"/>
              </w:rPr>
            </w:pPr>
          </w:p>
        </w:tc>
        <w:tc>
          <w:tcPr>
            <w:tcW w:w="240" w:type="dxa"/>
            <w:vAlign w:val="bottom"/>
            <w:gridSpan w:val="3"/>
          </w:tcPr>
          <w:p>
            <w:pPr>
              <w:spacing w:after="0"/>
              <w:rPr>
                <w:sz w:val="17"/>
                <w:szCs w:val="17"/>
                <w:color w:val="auto"/>
              </w:rPr>
            </w:pPr>
          </w:p>
        </w:tc>
        <w:tc>
          <w:tcPr>
            <w:tcW w:w="2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5"/>
          </w:tcPr>
          <w:p>
            <w:pPr>
              <w:spacing w:after="0"/>
              <w:rPr>
                <w:sz w:val="17"/>
                <w:szCs w:val="17"/>
                <w:color w:val="auto"/>
              </w:rPr>
            </w:pPr>
          </w:p>
        </w:tc>
        <w:tc>
          <w:tcPr>
            <w:tcW w:w="22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040" w:type="dxa"/>
            <w:vAlign w:val="bottom"/>
            <w:gridSpan w:val="9"/>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IV</w:t>
              </w:r>
            </w:hyperlink>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7"/>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15.</w:t>
              </w:r>
            </w:hyperlink>
          </w:p>
        </w:tc>
        <w:tc>
          <w:tcPr>
            <w:tcW w:w="240" w:type="dxa"/>
            <w:vAlign w:val="bottom"/>
            <w:gridSpan w:val="3"/>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Exhibits, Financial Statement Schedules</w:t>
              </w:r>
            </w:hyperlink>
          </w:p>
        </w:tc>
        <w:tc>
          <w:tcPr>
            <w:tcW w:w="468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4"/>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16.</w:t>
              </w:r>
            </w:hyperlink>
          </w:p>
        </w:tc>
        <w:tc>
          <w:tcPr>
            <w:tcW w:w="260" w:type="dxa"/>
            <w:vAlign w:val="bottom"/>
            <w:gridSpan w:val="4"/>
          </w:tcPr>
          <w:p>
            <w:pPr>
              <w:spacing w:after="0"/>
              <w:rPr>
                <w:sz w:val="17"/>
                <w:szCs w:val="17"/>
                <w:color w:val="auto"/>
              </w:rPr>
            </w:pPr>
          </w:p>
        </w:tc>
        <w:tc>
          <w:tcPr>
            <w:tcW w:w="7520" w:type="dxa"/>
            <w:vAlign w:val="bottom"/>
            <w:gridSpan w:val="2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Form 10-K Summary</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Borders>
              <w:top w:val="single" w:sz="8" w:color="0000EE"/>
            </w:tcBorders>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0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69</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This Annual Report on Form 10-K for the fiscal year ended December 31, 2018, includes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other than statements of historical fact are forward-looking statements. Forward-looking statements in this Annual Report can be identified by words such as "anticipates," "believes," "seeks," "estimates," "expects," "intends," "may," "plans," "potential," "predicts, "projects," "forecast," "goal," "continue," "should," "could," "will," "would," or other forms of these words or similar words or expressions or the negative expression thereof. In particular, forward-looking statements contained in this Annual Report relate to, among other things,</w:t>
      </w:r>
    </w:p>
    <w:p>
      <w:pPr>
        <w:spacing w:after="0" w:line="215" w:lineRule="exact"/>
        <w:rPr>
          <w:sz w:val="20"/>
          <w:szCs w:val="20"/>
          <w:color w:val="auto"/>
        </w:rPr>
      </w:pPr>
    </w:p>
    <w:p>
      <w:pPr>
        <w:ind w:left="1080" w:right="5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meeting the objectives of clinical studies, including, but not limited to, delays or failures in enrollment, and the occurrence of adverse safety events;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ability to accomplish our business development objectives and realize the anticipated benefit of any such transactions;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include all of the forward-looking statements made in this Annual Report.</w:t>
      </w:r>
    </w:p>
    <w:p>
      <w:pPr>
        <w:spacing w:after="0" w:line="225"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Forward-looking statements represent our management's current beliefs and assumptions based on information currently available. Forward-looking statements involve numerous known and unknown risks, uncertainties and other factors that may cause our actual results, performance or achievements to be materially different from any future results, performance or achievements expressed or implied by the forward-looking statements. We discuss these risks and uncertainties in greater detail in the section entitled "Risk Factors" in Part I, Item 1A of this Annual Report, as well as in our other filings with the SEC. You should read this Annual Report, and the other documents that we file or have filed with the SEC, with the understanding that our actual future results may be materially different from the results expressed or implied by these forward-looking statements.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1"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3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References in this Annual Report on Form 10-K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receptor-ß, or THR-ß, agonist being developed as a once-daily oral pill that can potentially be used to treat a number of disease states with high unmet medical need, including non-alcoholic steatohepatitis, or NASH. For NASH, we enrolled 125 patients in a Phase 2 clinical trial. We achieved the 12-week primary endpoint for this Phase 2 clinical trial and reported the results in December 2017, and we reported positive topline 36-week results at the conclusion of the Phase 2 clinical trial in May 2018. There is an extension study underway in a subset of the patients that completed the main 36-week study. We are also developing MGL-3196 for dyslipidemia, which began with a study of a genetic dyslipidemia known as heterozygous familial hypercholesterolemia, or HeFH. We completed a Phase 2 clinical trial in 116 HeFH patients, and we reported the results in February 2018. In addition to the NASH and HeFH Phase 2 clinical trials, MGL-3196 has also been studied in seven completed Phase 1 trials in a total of 198 subjects. MGL-3196 appeared to be safe and was well-tolerated in these trials, which included a single ascending dose trial, a multiple ascending dose trial, two drug interaction trials with statins, a multiple dose mass balance study, a single dose relative bioavailability study of tablet formulations versus capsule formulation, and a multiple dose drug interaction and food effect study. Further, we have initiated a Phase 1 trial to study patients with varying degrees of hepatic impairment (including patients with mild, moderate and severe hepatic impairment).</w:t>
      </w:r>
    </w:p>
    <w:p>
      <w:pPr>
        <w:spacing w:after="0" w:line="178"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chart summarizes the status of our product candidate development programs for MGL-3196 and MGL-3745, a preclinical compound which has similar thyroid receptor selectivity to MGL-3196 and is thus a potential backup compound for MGL-3196: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2607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Phase 2 Clinical Trial in NASH</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successfully completed a Phase 2 clinical trial in NASH in 2018. In this clinical trial, MGL-3196 demonstrated statistical significance in the primary endpoint (p&lt;0.0001), the relative reduction of liver fat compared with baseline on magnetic resonance imaging-estimated proton density fat fraction, or MRI-PDFF, at 12-weeks which we reported in December 2017, and statistically significant results in multiple 36-week endpoints, including key secondary endpoints, reduction and resolution of NASH on liver biopsy as set forth in the table below, which we reported in May 2018.</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MGL-3196</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MRI-PDFF</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MGL-3196</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Responders(1)</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Placebo</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patients with baseline and end-of-study liver biopsies(2)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10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79"/>
              </w:rPr>
              <w:t>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 xml:space="preserve">&gt; </w:t>
            </w:r>
            <w:r>
              <w:rPr>
                <w:rFonts w:ascii="Arial" w:cs="Arial" w:eastAsia="Arial" w:hAnsi="Arial"/>
                <w:sz w:val="18"/>
                <w:szCs w:val="18"/>
                <w:b w:val="1"/>
                <w:bCs w:val="1"/>
                <w:color w:val="auto"/>
              </w:rPr>
              <w:t>2 Point Decrease in NAS</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56%</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70%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p=0.02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p=0.001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NASH Resolution</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1080" w:type="dxa"/>
            <w:vAlign w:val="bottom"/>
            <w:gridSpan w:val="2"/>
          </w:tcPr>
          <w:p>
            <w:pPr>
              <w:jc w:val="center"/>
              <w:ind w:left="72"/>
              <w:spacing w:after="0"/>
              <w:rPr>
                <w:sz w:val="20"/>
                <w:szCs w:val="20"/>
                <w:color w:val="auto"/>
              </w:rPr>
            </w:pPr>
            <w:r>
              <w:rPr>
                <w:rFonts w:ascii="Arial" w:cs="Arial" w:eastAsia="Arial" w:hAnsi="Arial"/>
                <w:sz w:val="18"/>
                <w:szCs w:val="18"/>
                <w:color w:val="auto"/>
                <w:w w:val="88"/>
              </w:rPr>
              <w:t>39%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p=0.02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p=0.001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MGL-3196 MRI-PDFF Responders = MGL-3196 treated patients with &gt;=30% relative fat reduction on Week 12 MRI-PDFF</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include one end-of-study liver biopsy that was inadequate</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MGL-3196 treated patients with greater than or equal to 30% fat reduction on MRI-PDFF at 12-weeks demonstrated a higher percentage of nonalcoholic fatty liver disease activity score, or NAS, reduction and NASH resolution. In patients with NASH resolution, 35% of MGL-3196 treated patients and no placebo patients had a baseline NAS greater than or equal to five. In MGL-3196 patients with NASH resolution, fibrosis also resolved in 50% of such patients and was decreased statistically significantly relative to all placebo patients.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Further, 36-week results from our Phase 2 clinical trial in NASH showed:</w:t>
      </w:r>
    </w:p>
    <w:p>
      <w:pPr>
        <w:spacing w:after="0" w:line="239" w:lineRule="exact"/>
        <w:rPr>
          <w:sz w:val="20"/>
          <w:szCs w:val="20"/>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Sustained, highly statistically significant (p&lt;0.0001) reduction in liver fat compared with placebo on 36-week MRI-PDFF and mean relative fat reduction of 37% with MGL-3196 treated patients in contrast with 8.5% with placebo patients;</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Sustained, statistically significant reductions (p&lt;0.0001) in MGL-3196 compared to placebo treated patients in low-density lipoprotein cholesterol (LDL-C) and apolipoprotein B (ApoB) of more than 20%, triglycerides (TG) of 36% and lipoprotein(a) of 37%;</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Statistically significant reductions in liver enzymes (ALT, AST and GGT) relative to placebo (all p=0.002) and a 40% reduction in ALT in patients with elevated baseline levels (p=0.01);</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Statistically significant reductions in fibrosis biomarkers in MGL-3196 treated patients as compared with placebo patients;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liver biopsy, fibrosis was reduced by at least one point in 23% of placebo patients and 29% of MGL-3196 treated patients;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Very good all subject tolerability: mostly mild and a few moderate adverse events, or AEs, which were balanced between drug treated patients and placebo patients;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incidence of a transient mild diarrhea at beginning of study, often a single episode, in MGL-3196 treated patients compared with placebo patients.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Phase 2 Clinical Trial in HeFH</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February 2018, we announced top-line results from our Phase 2 clinical trial in HeFH. In this trial, patients treated with MGL-3196 (placebo corrected) achieved highly significant (p&lt; 0.0001) LDL-C lowering of 18.8%, and 21% LDL-C lowering in those patients receiving an optimal dose of MGL-3196. LDL-C lowering was 28.5% in patients treated with MGL-3196 as compared to placebo in a prespecified group of patients who did not tolerate high intensity statin doses. Highly significant (p&lt;0.0001) and numerically similar results were observed with ApoB. Highly significant (p&lt;0.0001) TG (25-31%), apolipoprotein CIII (22.7%), and Lp(a) lowering (26-33%) were observed in all patients treated with MGL-3196 and certain prespecified subgroups, irrespective of statin treatment.</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MGL-3196 has been well-tolerated with mostly mild AEs and some moderate AEs, the numbers of which are balanced between placebo and drug-treatment groups. Fewer than seven percent of patients did not complete the study, and patients who discontinued for AEs, all mild to moderate, were balanced between drug-treated and placebo patients. There were two serious AEs in the study, both considered unrelated to treatment, one in a placebo and one in a drug-treated patient.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Product Candidate—MGL-3196</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Active thyroid hormone, known as T3, interacts with two nuclear receptors, THR-a, which is the predominant receptor expressed in most human tissues, including heart and bone, and THR-b, which has more restricted tissue expression, and is the predominant receptor responsible for metabolic actions in the liver, including both cholesterol- and TG-lowering. Selective activation of the THR-b receptor in liver tissue is believed to favorably affect cholesterol and lipoprotein levels via multiple mechanisms, which may be complementary to those of other lipid-lowering therapies such as statin drugs. We believe that these characteristics of THR-b activation by MGL-3196 will in turn lead to clinically meaningful reductions in LDL-C, and plasma and liver TGs.</w:t>
      </w:r>
    </w:p>
    <w:p>
      <w:pPr>
        <w:spacing w:after="0" w:line="17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believe that MGL-3196 is the first selective small molecule THR-b agonist compound. MGL-3196, along with other THR-b-selective small molecules, such as MGL-3745, a potential backup compound to MGL-3196, was discovered at Hoffmann-La Roche, or Roche, in Nutley, New Jersey, by utilizing a novel functional assay that, unlike a simple receptor binding assay, assessed the functional activity of compounds which interacted with thyroid hormone receptors. In a published study by us and Roche in the Journal of Medicinal Chemistry using this functional assay, MGL-3196 was shown to be highly selective for the THR-b receptor, with almost no effect on THR-a, unlike other compounds purported in published studies to be b-selective based on binding affinity, but which were shown to equally activate THR-a and THR-b in the novel functional assay.</w:t>
      </w:r>
    </w:p>
    <w:p>
      <w:pPr>
        <w:spacing w:after="0" w:line="17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believe that the b-selectivity and liver-targeting properties of MGL-3196 are critically important for MGL-3196's beneficial metabolic actions in the liver, and enable avoidance of safety issues associated with THR-a activation by thyroid hormone and/or less selective THR agonists in tissues such as heart and bone. In a variety of preclinical animal model studies, MGL-3196 showed enhanced safety relative to T3 or other thyroid agonists. In animal models, MGL-3196 demonstrated cholesterol lowering, liver TG lowering, and reduction of markers of NASH-related liver inflammation and fibrosis at drug levels similar to those that lowered LDL-C in human clinical trials, providing data to support the advancement of MGL-3196 into NASH and FH clinical trials. In chronic animal toxicology studies in dogs and rats, no effects on bone or cartilage histology were seen at any MGL-3196 dose in either species.</w:t>
      </w:r>
    </w:p>
    <w:p>
      <w:pPr>
        <w:spacing w:after="0" w:line="174"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believe that MGL-3196 may be the first THR-agonist product candidate in development for NASH or dyslipidemia that selectively targets the THR-b pathway and has shown a lack of liver enzyme elevations in Phase 1 and 2 clinical studies as well as an absence of bone and cartilage histologic findings in chronic animal toxicology studies.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MGL-3196 Clinical and Non-Clinical Development Program</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To date, we have completed a series of Phase 1 and 2 clinical studies, Phase 2-enabling preclinical good laboratory practice, or GLP, toxicology studies, and drug manufacturing studies to support further clinical development, including active pharmaceutical ingredient, or API, manufacturing and drug product development studies, drug metabolism studies, acute, subchronic and chronic animal toxicology studies, and other safety pharmacology and toxicology studies.</w:t>
      </w:r>
    </w:p>
    <w:p>
      <w:pPr>
        <w:spacing w:after="0" w:line="16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have completed Phase 1 studies with MGL-3196 in a total of 198 subjects to evaluate the safety, tolerability, pharmacokinetics and pharmacodynamic effects of MGL-3196. Our Phase 1 studies included randomized, placebo-controlled, double-blind, single and 14-day multiple-dose escalation studies, drug-interaction studies with statins, a study using radiolabeled MGL-3196, a study of a tablet versus capsule formulation of MGL-3196, and a multiple dose drug interaction and food effect study. In Phase 1 studies, MGL-3196 appeared safe and was well-tolerated at all doses tested. The results of these studies suggest that MGL-3196 has pharmacokinetic properties suitable for once-daily oral dosing. Further, we have initiated a Phase 1 hepatic impairment study which is currently ongoing.</w:t>
      </w:r>
    </w:p>
    <w:p>
      <w:pPr>
        <w:spacing w:after="0" w:line="19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multiple ascending dose study, lipid parameters were assessed as initial markers of MGL-3196 pharmacodynamic activity (Atherosclerosis 230:373-380, 2013). As illustrated in the figure below, daily doses of MGL-3196 ranging from 50 to 200 mg showed highly statistically significant reductions relative to placebo of up to 30% for LDL-C (range, p=.05-&lt;0.0001), 28% for non-high-density lipoprotein cholesterol, or non-HDL-C (range, p =0.027-p&lt;0.0001) and 24% for ApoB (range, p =0.008-0.0004), and statistical trends of up to 60% reduction in TG (range, p =0.13-0.016). The near maximal lipid effects were observed at a MGL-3196 dose of 80 mg once-daily. MGL-3196 was well-tolerated at all doses, with no dose-related adverse events or liver enzyme, electrocardiography or vital-sign changes. At the highest dose of MGL-3196 (200 mg), there was a reversible reduction of 20% in the level of a precursor hormone to T3, free T4, which was significantly different from placebo (p &lt; 0.0001) that may be explained by increased liver metabolism of free T4. There was no change in thyrotropin, a pituitary hormone that regulates the level and production of thyroid hormone by the thyroid gland or T3, or other evidence of central thyroid axis dysfunction at any dose of MGL-3196.</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in Lipids After 14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74460" cy="3104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446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Change from Baseline (CFB) by mean % CFB calculated for each individual subject 24 h after 14th dose; baseline value obtained just prior to first dose; ApoB, apolipoprotein B; Chol, total cholesterol; LDL-C, LDL cholesterol directly measured; Non-HDL-C, non-HDL cholesterol; TG, triglycerides (median %CFB).</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HeFH Phase 2 double-blind, placebo-controlled, multi-center clinical trial, 116 patients who were not at their LDL-C goal were randomized in a 2:1 ratio to receive either MGL-3196 or placebo, in addition to their current cholesterol lowering regimen, which included approximately 75% taking high intensity statins (20/40 mg rosuvastatin or 80 mg atorvastatin), and about two-thirds of patients also taking ezetimibe. Compared to placebo, MGL-3196 treated patients achieved highly significant (p&lt; 0.0001) LDL-C lowering of 18.8%, and 21% LDL-C lowering in those on an optimal dose of MGL-3196. LDL-C lowering was 28.5% in MGL-3196 treated compared to placebo in a prespecified group of patients who did not tolerate high intensity statin doses. Highly significant (p&lt;0.0001) and numerically similar results were observed with ApoB. Highly significant reductions (p&lt;0.0001) in TG (25-31%), ApoCIII (22.7%) and Lp(a) (26-33%) were observed in all MGL-3196 treated patients and prespecified subgroups, irrespective of statin treatment.</w:t>
      </w:r>
    </w:p>
    <w:p>
      <w:pPr>
        <w:spacing w:after="0" w:line="172"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the NASH Phase 2 double-blind, placebo-controlled, multi-center clinical trial, 125 patients 18 years of age and older with liver biopsy-confirmed NASH were randomized at approximately 25 clinical sites in the United States. Patients were randomized to receive either placebo (N=41) or MGL-3196 (N=84). The starting dose in MGL-3196-treated patients was 80 mg once a day. The study employed an adaptive dosing design whereby, in a blinded fashion, the dose could be adjusted by small amounts (i.e. 20 mg up or down) or remain at 80 mg in each MGL-3196-treated patient based on a pharmacokinetic analysis of drug level performed in each patient at 2 weeks. The primary endpoint of the study was the reduction of liver fat at 12 weeks compared with baseline (relative change), assessed by MRI-PDFF, with efficacy confirmed at the end of the trial (36 weeks) by repeat MRI-PDFF and conventional liver biopsy to examine histological evidence for the resolution of NASH. Other secondary endpoints included changes in clinically relevant biomarkers at 12 and 36 weeks, improvement in fibrosis by at least one stage with no worsening of steatohepatitis, and safety and tolerability.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MGL-3196 demonstrated statistical significance (p&lt;0.0001) in the primary endpoint, the relative reduction of liver fat on MRI-PDFF at 12 weeks. At 36 weeks, statistically significant results were demonstrated in multiple histology endpoints including key secondary endpoints related to the reduction and resolution of NASH (see Table on page 3). At 36 weeks, MGL-3196 treated patients demonstrated sustained, statistically significant (p&lt;0.0001) reductions compared to placebo treated patients in LDL-C and ApoB of more than 20%, TGs of 36% and Lp(a) of 37%. In addition, MGL-3196 demonstrated statistically significant reductions in liver enzymes (ALT, AST and GGT) relative to placebo (all p=0.002).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113030</wp:posOffset>
            </wp:positionV>
            <wp:extent cx="5351145" cy="2521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5114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goal is to become a leading biopharmaceutical company developing and commercializing innovative liver-directed, b-selective thyroid hormone receptor agonists for the treatment of cardio-metabolic and liver disease, fibrosis and inflammation. A key element is building a multi-therapy NASH focused company. To achieve our goal, we plan to:</w:t>
      </w:r>
    </w:p>
    <w:p>
      <w:pPr>
        <w:spacing w:after="0" w:line="208" w:lineRule="exact"/>
        <w:rPr>
          <w:sz w:val="20"/>
          <w:szCs w:val="20"/>
          <w:color w:val="auto"/>
        </w:rPr>
      </w:pPr>
    </w:p>
    <w:p>
      <w:pPr>
        <w:ind w:left="1080" w:right="8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Complete clinical development and seek regulatory approval of MGL-3196 in NASH. </w:t>
      </w:r>
      <w:r>
        <w:rPr>
          <w:rFonts w:ascii="Arial" w:cs="Arial" w:eastAsia="Arial" w:hAnsi="Arial"/>
          <w:sz w:val="18"/>
          <w:szCs w:val="18"/>
          <w:color w:val="auto"/>
        </w:rPr>
        <w:t>We successfully completed a Phase 2 clinical trial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NASH in 2018. NASH is a disease driven by the growing epidemic of obesity, with a significant unmet need for approved therapies that are effective and well tolerated. We believe MGL-3196 is an excellent candidate for the chronic treatment of NASH due to its safety profile and first-in-class dual mechanism of action targeting fibrosis-generating cells.</w:t>
      </w:r>
    </w:p>
    <w:p>
      <w:pPr>
        <w:spacing w:after="0" w:line="224"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commercial capabilities to market MGL-3196 as a leading treatment for NASH. </w:t>
      </w:r>
      <w:r>
        <w:rPr>
          <w:rFonts w:ascii="Arial" w:cs="Arial" w:eastAsia="Arial" w:hAnsi="Arial"/>
          <w:sz w:val="16"/>
          <w:szCs w:val="16"/>
          <w:color w:val="auto"/>
        </w:rPr>
        <w:t>If approved, we may choose either to establish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organization with technical expertise and supporting distribution capabilities to commercialize MGL-3196, or to collaborate with one or more third parties to accomplish these tasks. Patients with NASH are primarily managed by a concentrated group of liver specialists in the United States and Europe. We believe this will enable us to launch MGL-3196 in NASH in a cost-effective, targeted manner.</w:t>
      </w:r>
    </w:p>
    <w:p>
      <w:pPr>
        <w:spacing w:after="0" w:line="180"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pipeline through additional indications for MGL-3196 potentially including orphan indications. </w:t>
      </w:r>
      <w:r>
        <w:rPr>
          <w:rFonts w:ascii="Arial" w:cs="Arial" w:eastAsia="Arial" w:hAnsi="Arial"/>
          <w:sz w:val="16"/>
          <w:szCs w:val="16"/>
          <w:color w:val="auto"/>
        </w:rPr>
        <w:t>We believe that MGL-3196 has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 to be an effective treatment for other disease indications that are rare diseases or may be designated rare diseases, including homozygous familial hypercholesterolemia, or HoFH and severe HeFH, and we may pursue orphan drug designation where possible.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Nonalcoholic Fatty Liver Disease and Nonalcoholic Steatohepatitis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Market Opportunity</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NASH is a serious inflammatory form of nonalcoholic fatty liver disease, or NAFLD. NAFLD has become the most common liver disease in the United States and other developed countries and is characterized by an accumulation of fat in the liver with no other apparent causes. The rising worldwide prevalence of obesity-related disorders has contributed to a rapid increase in the global prevalence of NASH and NAFLD. In the United States, NAFLD is estimated to affect approximately 27% to 34% of the population, or an estimated 86 million to 108 million people, and approximately 10% to 20% of those will progress from NAFLD to NASH. Current estimates place NASH prevalence at approximately 9 million to 15 million people in the United States, or three percent to five percent of the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addition to the accumulation of fat in the liver, NASH is characterized by inflammation and cellular damage with or without fibrosis, the first stage of liver scarring, which may ultimately progress to cirrhosis. NASH is a severe condition that can lead to fibrosis and eventually progress to cirrhosis, portal hypertension, esophageal varices, ascites, liver cancer and liver failure. 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liver failure, then liver transplantation is the only treatment alternative.</w:t>
      </w:r>
    </w:p>
    <w:p>
      <w:pPr>
        <w:spacing w:after="0" w:line="174"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Centers for Disease Control and Prevention projects the prevalence of obesity to increase from 34% of the United States population to 42% of the United States population by 2030. Driven by this epidemic of obesity, NASH is projected to become the leading cause of liver transplants by 2020. Given the extremely limited availability of organ donors and high transplant costs, NASH patients who require transplantation will place a significant economic burden on the healthcare system. As such, there is a significant unmet medical need for well-tolerated oral treatments for NASH. Because there are currently no therapeutic products approved for the treatment of NASH, the market size is difficult to estimate. However, based on our analysis of multiple market assessments, we estimate that the addressable NASH population is several million patients worldwide, and that NASH could become a multi-billion dollar market able to support multiple approved drug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in NASH</w:t>
      </w:r>
    </w:p>
    <w:p>
      <w:pPr>
        <w:spacing w:after="0" w:line="225"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We are developing MGL-3196 for NASH. Based on the scientific literature in human and animal studies, we believe that NASH livers in humans frequently have a deficiency in THR-b activity that leads to features of NASH, including fatty liver, inflammation and fibrosis, and that treatment with MGL-3196 will replace this hormone deficiency and be an effective NASH treatment. We believe that MGL-3196 is an excellent candidate for the chronic treatment of NASH because of its safety and tolerability profile observed to date in healthy subjects, its effects in reducing cardiovascular risk factors such as LDL-C and TGs in early-stage clinical trials, and its multiple beneficial effects in animal models of NASH. CVD is the most common cause of death in patients with NASH. We have completed multiple studies in animal models of metabolic diseases, dyslipidemia and NASH in which MGL-3196 demonstrated a statistically significant reduction in liver TGs, insulin resistance, liver enzymes (which may be elevated in NASH), and markers of inflammation and fibrosis (Figures). The figures below show the beneficial effects of MGL-3196 to reduce these parameters in NASH animal models. We believe that MGL-3196 will treat the underlying lipotoxicity that drives the inflammation and liver cell damage observed in NASH patients, and after the underlying lipotoxicity is treated, NASH-related liver fibrosis will resolve as the liver regenerates.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Preclinical NASH Animal Model Study</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Upper panels: 24d study in 17 wk old DIO mice (po, qd) on high fat diet (HFD) 13 wks;</w:t>
      </w:r>
    </w:p>
    <w:p>
      <w:pPr>
        <w:spacing w:after="0" w:line="44"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lower panels: 24d study in 40 wk old DIO mice on HFD 35 wks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144145</wp:posOffset>
            </wp:positionV>
            <wp:extent cx="5720080" cy="3121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2008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Preclinical NASH Animal Model Gene Expression Study</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25 week study in DIO, lean control mice and HFD mice treated with 0.1 to 3 mg/kg</w:t>
      </w:r>
    </w:p>
    <w:p>
      <w:pPr>
        <w:spacing w:after="0" w:line="44"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MGL-3196 or Rosiglitazone (3mg/kg)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144145</wp:posOffset>
            </wp:positionV>
            <wp:extent cx="5771515" cy="3164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151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"HFD", lane 1 means HFD gene expression normalized to mean Lean; Lanes (2-7) mean gene expression normalized to mean of DIO; "Rosi" (rosiglitazone, 3 mg/kg, 24 weeks); TIMP1 tissue inhibitor metalloproteinase; CTGF connective tissue growth factor; SMA smooth muscle actin; SAA serum amyloid A; CRP C-reactive protein; Red, higher expression; blue decreased expression.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NASH Phase 2 Clinical Plan</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2016, we initiated a Phase 2 proof of concept clinical trial in patients with liver biopsy documented NASH, including those with type-2 diabetes, dyslipidemia and hypertension. In the study we randomized 125 NASH patients 2:1, MGL-3196 or placebo QD in a double-blind, placebo-controlled, study of once-daily MGL-3196 versus placebo in patients with NASH, including those with type-2 diabetes. Patients continued treatment through 36 weeks. The study was conducted in the United States. The primary endpoint was to evaluate the efficacy of MGL-3196 as measured by the reduction of liver fat at 12 weeks, and the secondary endpoint was to evaluate the efficacy of MGL-3196 as measured by a reduction of NASH, which was assessed by liver biopsy, at 36 weeks. Other secondary and exploratory endpoints included safety and tolerability, and effects on serum biomarkers at 12 and 36 weeks, lipid parameters, and biomarker measures of insulin sensitivity. We reached our top-line analysis of the primary endpoint in December 2017, and we reached our top-line analysis of the secondary endpoint (NASH assessment on liver biopsy) in May 2018.</w:t>
      </w:r>
    </w:p>
    <w:p>
      <w:pPr>
        <w:spacing w:after="0" w:line="172"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 September 2013, the American Association for the Study of Liver Disease and the FDA conducted a joint workshop focused on trial designs and endpoints in drug and diagnostic development for liver disease secondary to NAFLD, including NASH. In December 2014, the journal Hepatology accepted for publication a manuscript summarizing the workshop output, including potentially acceptable surrogate endpoints for clinical studies supporting the approval of agents for NASH and liver fibrosis. We believe that our Phase 2 NASH study design incorporated surrogate secondary endpoints consistent with the current FDA requirements for demonstration of efficacy in registrational trials. Following completion of our Phase 2 clinical trial of MGL-3196 in NASH patients, we requested, and have had, an end of Phase 2 meeting with the FDA, and we expect to initiate a Phase 3 study in NASH before the end of the first quarter of 2019.</w:t>
      </w:r>
    </w:p>
    <w:p>
      <w:pPr>
        <w:spacing w:after="0" w:line="15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cannot be certain what efficacy endpoints and other elements the FDA or other regulatory agencies would require for approval of MGL-3196 in NASH. However, currently there are ongoing Phase 3 clinical trials of compounds to treat NASH by other companies in which it is contemplated that accelerated approval of the compounds under FDA subpart H, which provides for accelerated approval of certain new drug products that have been studied for their safety and effectiveness in treating serious or life-threatening illnesses and that provide meaningful therapeutic benefit to patients over existing treatments, would be based on the surrogate endpoint of histological evidence of NASH resolution without the worsening of fibrosis. It is expected that these trials would continue after approval to confirm the long term clinical benefit of NASH resolution based on a reduction in patients progressing to cirrhosis and other liver related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Dyslipidemia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Market Opportunity</w:t>
      </w:r>
    </w:p>
    <w:p>
      <w:pPr>
        <w:spacing w:after="0" w:line="225"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Patients with NASH, and its more prevalent precursor, NAFLD, are at heightened cardiovascular risk. Patients suffering from these conditions die more frequently from cardiovascular events than from their liver disease. Multiple factors contribute to this risk, including elevated levels of LDL-C and other atherogenic lipoproteins. Excess liver fat itself is also a significant cardiovascular risk factor. Patients with NASH and NAFLD, however, may not undergo a biopsy to confirm a NASH diagnosis until they reach the more advanced stages of fibrosis (F2 - F4). A significant segment of this large group of patients also suffer from diabetes and metabolic syndrome, and have lipid levels that are above target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despite treatment with established therapies. These patients may benefit from therapy to lower their lipid levels in addition to excess liver fat, in order to reduce their cardiovascular risk.</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our studies to date in patients with NASH and patients with HeFH, have demonstrated the pleiotropic activity of MGL-3196 and the potential of the drug to reduce an array of atherogenic lipoproteins, including LDL-C, ApoB, TG, ApoCIII, and Lp(a). As a result, we intend to also focus our development of MGL-3196 on patients with NAFLD and earlier stages of NASH fibrosis who have elevated lipid levels, and thus address patients across the entire NASH and NAFLD spectrum.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MGL-3196 in Familial Hypercholesterolemia (FH)</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FH is a genetic disorder characterized by aggressive and early onset CVD. In people with FH, genetic mutations make the liver incapable of metabolizing or removing excess LDL-C, causing very high LDL-C levels in the blood. There are two forms of FH: HoFH, a less common condition where mutation is inherited from both parents, and HeFH, a more common condition where mutation is inherited from just one parent. The vast majority of the cholesterol circulating in a person's body is produced by the liver. Cholesterol is a necessary component in the structure and function of human cells. Individuals with FH are unable to recycle this natural supply of cholesterol that their bodies are constantly producing. Therefore, the cholesterol levels of an individual with FH are exceedingly high. Over time, the elevated blood cholesterol can lead to blockages in the arteries of the heart and/or brain. The longer a person experiences high LDL-C, the more likely he or she will be to experience a cardiovascular event (</w:t>
      </w:r>
      <w:r>
        <w:rPr>
          <w:rFonts w:ascii="Arial" w:cs="Arial" w:eastAsia="Arial" w:hAnsi="Arial"/>
          <w:sz w:val="16"/>
          <w:szCs w:val="16"/>
          <w:i w:val="1"/>
          <w:iCs w:val="1"/>
          <w:color w:val="auto"/>
        </w:rPr>
        <w:t>i.e.</w:t>
      </w:r>
      <w:r>
        <w:rPr>
          <w:rFonts w:ascii="Arial" w:cs="Arial" w:eastAsia="Arial" w:hAnsi="Arial"/>
          <w:sz w:val="16"/>
          <w:szCs w:val="16"/>
          <w:color w:val="auto"/>
        </w:rPr>
        <w:t>, heart attack or stroke).</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preclinical animal studies MGL-3196 lowered LDL-C in a variety of species as a monotherapy and also when dosed in combination with statins. MGL-3196 also showed the potential to lower Lp(a), a severely atherogenic particle that is frequently elevated in patients with FH. A previous THR agonist, eprotirome, demonstrated clinical proof of concept for the THR target in Phase 2 and Phase 3 FH clinical trials by significantly lowering LDL-C and Lp(a) in patients with HeFH who were on standard treatments such as statins and ezetimibe. The development of eprotirome ceased during the Phase 3 FH trial due to liver toxicity observed in the trial as well as eprotirome-induced cartilage damage seen in chronic toxicology studies in dogs. Because of its high level of THR-b selectivity, its liver-targeting properties, and its absence of findings in chronic animal toxicology studies, we believe that MGL-3196 will avoid the toxicity issues of previous THR agonist compounds and may be a beneficial treatment for FH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MGL-3196 FH Phase 2 Clinical Plan</w:t>
      </w:r>
    </w:p>
    <w:p>
      <w:pPr>
        <w:spacing w:after="0" w:line="225" w:lineRule="exact"/>
        <w:rPr>
          <w:sz w:val="20"/>
          <w:szCs w:val="20"/>
          <w:color w:val="auto"/>
        </w:rPr>
      </w:pPr>
    </w:p>
    <w:p>
      <w:pPr>
        <w:jc w:val="both"/>
        <w:ind w:right="120" w:firstLine="351"/>
        <w:spacing w:after="0" w:line="284" w:lineRule="auto"/>
        <w:rPr>
          <w:sz w:val="20"/>
          <w:szCs w:val="20"/>
          <w:color w:val="auto"/>
        </w:rPr>
      </w:pPr>
      <w:r>
        <w:rPr>
          <w:rFonts w:ascii="Arial" w:cs="Arial" w:eastAsia="Arial" w:hAnsi="Arial"/>
          <w:sz w:val="16"/>
          <w:szCs w:val="16"/>
          <w:color w:val="auto"/>
        </w:rPr>
        <w:t>In February 2017, we initiated a Phase 2 clinical trial of MGL-3196 for the treatment of HeFH. In the study we randomized HeFH patients 2:1, MGL-3196 or placebo QD in double-blind, placebo-controlled fashion. Patients continued treatment through 12 weeks. The study was conducted in Europe. In this 12 week clinical trial, the primary endpoint was to evaluate the efficacy of MGL-3196 as measured by the percent reduction in LDL-C as compared with placebo.</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Secondary endpoints included safety and tolerability, and evaluated the efficacy of MGL-3196 to reduce a variety of lipid parameters, including non-HDL-C, ApoB, TGs, Lp(a), apoA/B, and lipoprotein particles. In February 2018, we announced positive results from the 12 week Phase 2 clinical trial of MGL-3196 for the treatment of HeFH. MGL-3196 treated patients achieved highly significant reductions in LDL-C, ApoB, TG, ApoCIII, and Lp(a) in all patients and prespecified subgroups.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231" w:lineRule="exact"/>
        <w:rPr>
          <w:sz w:val="20"/>
          <w:szCs w:val="20"/>
          <w:color w:val="auto"/>
        </w:rPr>
      </w:pPr>
    </w:p>
    <w:p>
      <w:pPr>
        <w:ind w:right="540" w:firstLine="348"/>
        <w:spacing w:after="0" w:line="370" w:lineRule="auto"/>
        <w:rPr>
          <w:sz w:val="20"/>
          <w:szCs w:val="20"/>
          <w:color w:val="auto"/>
        </w:rPr>
      </w:pPr>
      <w:r>
        <w:rPr>
          <w:rFonts w:ascii="Arial" w:cs="Arial" w:eastAsia="Arial" w:hAnsi="Arial"/>
          <w:sz w:val="15"/>
          <w:szCs w:val="15"/>
          <w:color w:val="auto"/>
        </w:rPr>
        <w:t>VIA Pharmaceuticals, Inc., or VIA, entered into a research, development and commercialization agreement, or the Roche Agreement, with Roche, on December 18, 2008. We subsequently assumed all of VIA's rights in, to and under, and all of VIA's obligations under, the Roche Agreement pursuant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asset purchase agreement, dated September 14, 2011. Pursuant to the terms of the Roche Agreement, we, as successor-in-interest to VIA, assumed control of all development and commercialization of MGL-3196 and will hold exclusive worldwide rights for all potential indications. Under the Roche Agreement, Roche exclusively licensed certain patent rights and know-how relating to MGL-3196 in exchange for consideration consisting of an upfront payment, milestone payments, the remainder of which total $10 million and are tied to future commencement of Phase 3 clinical trials and regulatory approval in the United States and Europe of MGL-3196 or any derivative product, and single-digit royalty payments based on net sales of MGL-3196 and any derivative products, subject to certain reductions. In 2011, we commenced Phase 1 clinical trials and subsequently paid Roche a related milestone payment. In October 2016, we commenced a Phase 2 study in NASH and subsequently paid Roche a related milestone payment. Except as described above, we have not achieved any additional product development or regulatory milestones under the Roche Agreement and have generated no net sales of products developed from MGL-3196.</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Pursuant to the Roche Agreement, we must use commercially reasonable efforts to conduct clinical and commercial development programs for products containing MGL-3196. If we determine that it is not reasonable to continue clinical trials or other development of MGL-3196, we may elect to cease further development and Roche may terminate the license. If we determine not to pursue the development or commercialization of MGL-3196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MGL-3196, or (ii) ten years after the first sale of a product containing MGL-3196.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potential competitors may have substantially greater financial, technical, and personnel resources than us. In addition, many of these competitors have significantly greater commercial infrastructures. Our ability to compete successfully will depend largely on our ability to leverage our collective experience in drug discovery, development and commercialization to:</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 and develop medicines that are differentiated from other products in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patent and/or proprietary protection for our products and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 commercial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commercialize our drugs, if approved;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high-quality research, development and commercial personnel.</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There are currently no therapeutic products approved for the treatment of NASH. There are several commercially available products that are currently used off-label for NASH, such as vitamin E, an antioxidant, insulin sensitizers, such as pioglitazone, anti-hyperlipidemic agents, such as gemfibrozil, pentoxifylline, ursodiol and others. In addition, there are numerous drugs in development for the treatment of NASH. We are aware of several companies that have product candidates in clinical development for the treatment of NASH, including Intercept Pharmaceuticals, Inc., Gilead Sciences, Inc., Galectin Therapeutics, Inc., Allergan plc / Tobira Pharmaceuticals, Inc., Galmed Medical</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Research Ltd., Genfit Corp., Cirius Therapeutics, Novartis AG, Novo Nordisk A/S, Takeda, Immuron Ltd., Shire plc, Boehringer Ingelheim GmbH, Bristol-Myers Squibb, Pfizer, Inc., Sanofi S.A., NGM Biopharmaceutical, and Conatus Pharmaceuticals Inc., and there are other companies with candidates in earlier stages of development. Given MGL-3196's actions on the underlying biological pathways across the spectrum of early to late stages of NASH, its CV beneficial effects, and its complementary mechanism to other therapies, we believe that MGL-3196 has the potential to be used alone or in combination with some of these potential NASH products.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are several marketed products, both generic and proprietary, available for the treatment of HoFH and HeFH. We believe that MGL-3196 has the potential to be used in combination with several of these products. Available marketed products include: various statins, Merck's ezetimibe, Aegerion's lomitapide, Ionis' mipomersen, Amgen's evolocumab and Sanofi/Regeneron's alirocumab. In addition, there are multiple drugs in development for the treatment of FH, including Gemphire's gemcabene, Merck's anacetrapib, Esperion's ETC-1002, and drugs at an earlier stage of development. Given MGL-3196's pleoitropic lipid-lowering actions, its complementary mechanism to statins and other lipid-lowering drugs, and its potential for lowering Lp(a), we believe that MGL-3196 has the potential to be used in combination with the standard of care to treat patients with HoFH and HeFH.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Because we are focused on discovery and development of our product candidates, we currently have no sales, marketing or distribution capabilities in order to commercialize any approved product candidates. If our product candidates are approved, we intend either to establish a sales and marketing organization with technical expertise and supporting distribution capabilities to commercialize our products, or to outsource this function to a third party.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rely, on third-party contract manufacturers, or CMOs, for the manufacture of any product candidates that we may develop for larger-scale preclinical and clinical testing, as well as for commercial quantities of any drug candidates that are approved.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Our research and development expenses were $25.4 million for the year ended December 31, 2018, $24.4 million for the year ended December 31, 2017, and $15.9 million for year ended December 31, 2016. The increase in research and development expenses was primarily due to the advancement of clinical programs to Phase 2 studies, further API manufacturing studies and the continuation of preclinical studies. We expect research and development expenses to increase over time as we advance our clinical and preclinical development programs for MGL-3196.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success will depend in part on our ability to obtain and maintain patent and other proprietary protection for our current and future product candidates, technology and know-how, to operate without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infringing on the proprietary rights of others, and to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important to the development of our business.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own or co-own: two United States and seven foreign issued patents and allowed patent applications; and two United States and 26 foreign pending patent applications, each of which relates to composition-of-matter of MGL-3196, including certain dosage forms, and its use in the treatment of key disease indications. Our current patent portfolio covers the United States and certain other jurisdictions worldwide. In addition, pursuant to the Roche Agreement, Roche granted us an exclusive license to certain United States and foreign patents and patent applications owned by Roche and Roche know-how relating to MGL-3196. The Roche Agreement imposes various diligence, milestone payment, royalty payment, insurance, indemnification, and other obligations on us.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Issued United States patents directed to MGL-3196, including certain dosage forms, have statutory expiration dates between 2026 and 2033, excluding any patent term extensions that might be available following the grant of marketing authorizations. Issued patents outside of the United States directed to MGL-3196, including certain dosage forms, have statutory expiration dates between 2026 and 2033. We have pending patent applications for MGL-3196 that, if issued, would be expected to expire in the United States and in countries outside of the United States between 2026 and 2033, excluding any patent term adjustment that might be available following the grant of the patent and any patent term extensions that might be available following the grant of marketing authorizations.</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trademarks are protected under the common law and/or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Some of MGL-3196's target disease indications are rare diseases or may be designated rare diseases, including HoFH and severe HeFH, and we plan to pursue orphan drug designation where possible. If granted, each such designation might provide for regulatory exclusivity for seven years in the United States and ten years in the EU from the date of product approval for individual indications.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or NDA, process before it may be legally marketed in the United States, and must be approved by foreign regulatory authorities via various procedures before it can be marketed in the applicable country. The animal and other non-clinical data and the results of human clinical trials performed under an Investigational New Drug application, or IND, and under similar foreign applications will become part of the NDA.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or biologic may be marketed in the United States generally involves the following:</w:t>
      </w:r>
    </w:p>
    <w:p>
      <w:pPr>
        <w:spacing w:after="0" w:line="187"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GLP or other applicable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 to establish the safety and efficacy of the proposed drug for its intended use;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completion of registration batches and validation of the manufacturing process to show ability to consistently produce quality batches of product;</w:t>
      </w:r>
    </w:p>
    <w:p>
      <w:pPr>
        <w:spacing w:after="0" w:line="261"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a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Once a pharmaceutical candidate is identified for development, it enters the preclinical testing stage. Preclinical tests include laboratory evaluations of product chemistry, toxicity and formulation, as well as animal studies, to assess the safety and quality of the product. Animal studies must be performed in compliance with FDA's GLP regulations and the U.S. Department of Agriculture's Animal Welfare Act. An IND sponsor must submit the results of the preclinical tests, together with manufacturing information and analytical data,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30 days after receipt by the FDA, unless the FDA, within the 30-day time period, places the clinical trial on a clinical hold or a partial clinical hold. In such a case, the IND sponsor and the FDA must resolve any outstanding concerns before the clinical trial can begin. Clinical holds also may be imposed by the FDA at any time before or during studies due to safety concerns or non-compliance, or other reasons.</w:t>
      </w:r>
    </w:p>
    <w:p>
      <w:pPr>
        <w:spacing w:after="0" w:line="19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All clinical trials must be conducted under the supervision of one or more qualified investigators in accordance with good clinical practice regulations. They must be conducted under protocols detailing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or animal test results that suggest a significant risk to human subjects. An institutional review board, or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39" w:lineRule="exact"/>
        <w:rPr>
          <w:sz w:val="20"/>
          <w:szCs w:val="20"/>
          <w:color w:val="auto"/>
        </w:rPr>
      </w:pPr>
    </w:p>
    <w:p>
      <w:pPr>
        <w:jc w:val="both"/>
        <w:ind w:left="1080" w:hanging="532"/>
        <w:spacing w:after="0" w:line="335"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Phase 1: </w:t>
      </w:r>
      <w:r>
        <w:rPr>
          <w:rFonts w:ascii="Arial" w:cs="Arial" w:eastAsia="Arial" w:hAnsi="Arial"/>
          <w:sz w:val="15"/>
          <w:szCs w:val="15"/>
          <w:color w:val="auto"/>
        </w:rPr>
        <w:t>The product candidate is initially introduced into healthy human subjects and tested for safety, dosage tolerance, absorption, metabolism,</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and excretion. In the case of some products for severe or life-threatening diseases, such as cancer, especially when the product may be too inherently toxic to ethically administer to healthy volunteers, the initial human testing is often conducted in patients with the target diseases.</w:t>
      </w:r>
    </w:p>
    <w:p>
      <w:pPr>
        <w:spacing w:after="0" w:line="169" w:lineRule="exact"/>
        <w:rPr>
          <w:rFonts w:ascii="Arial" w:cs="Arial" w:eastAsia="Arial" w:hAnsi="Arial"/>
          <w:sz w:val="15"/>
          <w:szCs w:val="15"/>
          <w:color w:val="auto"/>
        </w:rPr>
      </w:pPr>
    </w:p>
    <w:p>
      <w:pPr>
        <w:ind w:left="1080" w:right="12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This phase involves studies in a limited patient population to identify possible adverse effects and safety risks, to preliminarily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the efficacy of the product for specific targeted diseases and to determine dosage tolerance and optimal dosage.</w:t>
      </w:r>
    </w:p>
    <w:p>
      <w:pPr>
        <w:spacing w:after="0" w:line="152" w:lineRule="exact"/>
        <w:rPr>
          <w:rFonts w:ascii="Arial" w:cs="Arial" w:eastAsia="Arial" w:hAnsi="Arial"/>
          <w:sz w:val="16"/>
          <w:szCs w:val="16"/>
          <w:color w:val="auto"/>
        </w:rPr>
      </w:pPr>
    </w:p>
    <w:p>
      <w:pPr>
        <w:ind w:left="1080" w:right="40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This phase involves trials undertaken to further evaluate dosage, clinical efficacy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studies are intended to establish the overall risk-benefit ratio of the product candidate and provide, if appropriate, an adequate basis for product approval and product labeling.</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 Further, success in either preclinical studies or early-stage clinical trials does not assure success in later-stage clinical trials. Sponsors of all controlled clinical trials, except for Phase 1 trials, are required to submit certain clinical trial information for inclusion in the public clinical trial registry and results data bank maintained by the National Institutes of Health, which are publicly available at http://clinicaltrials.gov.</w:t>
      </w:r>
    </w:p>
    <w:p>
      <w:pPr>
        <w:spacing w:after="0" w:line="20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Review and Approval Processes</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user fees; a waiver of such fees may be obtained under certain limited circumstances. The FDA conducts a preliminary review of all NDAs submitted to ensure that they are sufficiently complete for substantive review before it accepts them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 The FDA may issue a complete response letter, which generally outlines the deficiencies in the submission and may require additional clinical or other data or impose other conditions that must be met in order to secure final approval of the NDA, or an approval letter following satisfactory completion of all aspects of the review process.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studies to ensure data integrity and compliance with applicable GCP requirements.</w:t>
      </w:r>
    </w:p>
    <w:p>
      <w:pPr>
        <w:spacing w:after="0" w:line="17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NDAs receive either standard or priority review. A drug representing a significant improvement in treatment, prevention or diagnosis of disease may receive priority review. Priority review for an NDA for a new molecular entity will be six months from the date that the NDA is filed. The FDA has ten months in which to complete its initial review of a standard new molecular entity NDA. The FDA does not always meet its goal dates and in certain circumstances the goal date may be extended. In addition, products studied for their safety and effectiveness in treating serious or life-threatening illnesses and which provide meaningful therapeutic benefit over existing treatments, may receive accelerated approval. In that situation, the product may be approved on the basis of adequate and well-controlled clinical trials establishing that the drug product has an effect on a surrogate endpoint that is reasonably likely to predict clinical benefit or on the basis of an effect on a clinical endpoint that can be measured earlier than irreversible morbidity or mortality, or IMM, that is reasonably likely to predict an effect on IMM or other clinical benefit. As a condition of approval, the FDA may require that a sponsor of a drug receiving accelerated approval perform adequate and well-controlled post-marketing clinical trials. Priority review and accelerated approval do not change the standards for approval, but may expedite the approval process.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dosages or patient populations,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197"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Food and Drug Administration Safety and Innovation Act, or FDASIA, which was enacted in 2012, made permanent the Pediatric Research Equity Act, or PREA, which requires a sponsor to conduct pediatric studies for most drugs and biologics, for a new active ingredient, new indication, new dosage form, new dosing regimen or new route of administration. Under PREA,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174"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Pediatric exclusivity is another type of marketing exclusivity available in the United States. The FDASIA made permanent the Best Pharmaceuticals for Children Act, or BPCA, which provides for an additional six months of marketing 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72"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The FDA also administers a clinical research grants program, whereby researchers may compete for funding to conduct clinical trials to support the approval of drugs, biologics, medical devices, and medical foods for rare diseases and conditions. A product does not have to be designated as an orphan drug to be eligible for the grant program. An application for an orphan grant should propose one discrete clinical study to facilitate FDA approval of the product for a rare disease or condition. The study may address an unapproved new product or an unapproved new use for a product already on the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 and Accelerated Approval</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such a disease or condition. Under the fast track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w:t>
      </w:r>
    </w:p>
    <w:p>
      <w:pPr>
        <w:spacing w:after="0" w:line="19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Under the fast track program, the FDA may designate a drug for fast-track status if it is intended to treat a serious or life-threatening illness and nonclinical or clinical data demonstrate the potential to address an unmet medical need. Similarly, the agency may designate a drug for accelerated approval if it treats a serious condition and generally provides meaningful therapeutic benefit to patients over existing treatments based upon a surrogate endpoint that is reasonably likely to predict clinical benefit, or on a clinical endpoint that can be measured earlier than IMM, that is reasonably likely to predict an effect on IMM or other clinical benefit, taking into account the severity, rarity, or prevalence of the condition and the availability or lack of alternative treatments.</w:t>
      </w:r>
    </w:p>
    <w:p>
      <w:pPr>
        <w:spacing w:after="0" w:line="170"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All promotional materials for drug candidates approved under accelerated regulations are subject to prior review by the FDA.</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FDASIA, Congress encouraged the FDA to utilize innovative and flexible approaches to the assessment of products under accelerated approval. The law required the FDA to issue related draft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guidance within a year after the law's enactment and also promulgate confirming regulatory changes. In May 2014, the FDA published a Guidance for Industry entitled, "Expedited Programs for Serious Conditions-Drugs and Biologics" which provides guidance on FDA programs that are intended to facilitate and expedite development and review of new drugs as well as threshold criteria generally applicable to concluding that a drug is a candidate for these expedited development and review programs. In addition to the Fast Track, accelerated approval and priority review programs discussed above, the FDA also provided guidance on a new program for Breakthrough Therapy designation. A request for Breakthrough Therapy designation should be submitted concurrently with, or as an amendment to an IND. The FDA has already granted this designation to over 30 new drugs and has approved several.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the product or even complete withdrawal of the product from the market.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181"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70"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its products. Whether or not we obtain FDA approval for a product, we must obtain approval by the comparable regulatory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authorities of foreign countries or economic areas, such as the 28-member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Under EU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EMA where it will be evaluated by the Committee for Medicinal Products for Human Use and a favorable opinion typically results in the grant by the European Commission of a single marketing authorization that is valid for all EU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w:t>
      </w:r>
    </w:p>
    <w:p>
      <w:pPr>
        <w:spacing w:after="0" w:line="170"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w:t>
      </w:r>
    </w:p>
    <w:p>
      <w:pPr>
        <w:spacing w:after="0" w:line="161"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28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181"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in the United States, a sponsor may apply for designation of a product as an orphan drug for the treatment of a specific indication in the EU before the application for marketing authorization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Third-party payors are increasingly challenging the prices charged for, examining the medical necessity of, and assessing the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4"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by the Health Care and Education Affordability Reconciliation Act, or collectively, ACA,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7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As of February 21, 2019, we had seventeen full-time employees, including twelve engaged in research, development, and regulatory activities, and five in executive, general and administrative functions, and multiple part-time consultants.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were incorporated in Delaware in September 2011. Our principal executive offices are located at 200 Barr Harbor Drive, Suite 400, West Conshohocken, PA 19428. Our Internet website address is www.madrigalpharma.com. No portion of our website is incorporated by reference into this Annual Report on Form 10-K.</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advise you to read this Annual Report on Form 10-K in conjunction with other reports and documents that we file from time to time with the SEC. In particular, please read our definitive proxy statement, which will be filed with the SEC in connection with our 2019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139"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incur significant losses for the foreseeable future as we continue our clinical trial and development programs for MGL-3196 and other future product candidates. As of December 31, 2018, we had an accumulated deficit of approximately $139.3 million. Losses have principally resulted from costs incurred in our preclinical and clinical trials, research and development programs and from our general and administrative expenses. As of December 31, 2018, we had cash, cash equivalents and marketable securities of approximately $483.7 million. In the future, we intend to continue to conduct research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development, clinical testing, regulatory compliance and, if MGL-3196 or other future product candidates are approved, sales and marketing activities that, together with anticipated general and administrative expenses, will likely result in us incurring further significant losses for the foreseeable future.</w:t>
      </w:r>
    </w:p>
    <w:p>
      <w:pPr>
        <w:spacing w:after="0" w:line="139"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currently generate no revenue from product sales, and we may never be able to commercialize MGL-3196 or other future product candidates. We do not currently have the required approvals to market MGL-3196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197"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b w:val="1"/>
          <w:bCs w:val="1"/>
          <w:i w:val="1"/>
          <w:iCs w:val="1"/>
          <w:color w:val="auto"/>
        </w:rPr>
        <w:t>Our business depends on the success of MGL-3196, which is still in clinical development and has not completed a pivotal trial. If we are unable to obtain regulatory approval for and successfully commercialize MGL-3196, or we experience significant delays in doing so, our business will be materially harmed.</w:t>
      </w:r>
    </w:p>
    <w:p>
      <w:pPr>
        <w:spacing w:after="0" w:line="11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To date, the sole focus of our product development has been MGL-3196, a liver-directed selective thyroid hormone receptor beta agonist for potential use in non-alcoholic steatohepatitis, or NASH, and familial hypercholesterolemia, or FH. Successful continued development and ultimate regulatory approval of MGL-3196 for NASH or dyslipidemia is critical to the future success of our business. We have invested, and will continue to invest, a significant portion of our time and financial resources in the clinical development of MGL-3196. We will need to raise sufficient funds to successfully complete our clinical development program for MGL-3196 in NASH and dyslipidemia. The future regulatory and commercial success of MGL-3196 is subject to a number of risks, including the following:</w:t>
      </w:r>
    </w:p>
    <w:p>
      <w:pPr>
        <w:spacing w:after="0" w:line="212" w:lineRule="exact"/>
        <w:rPr>
          <w:sz w:val="20"/>
          <w:szCs w:val="20"/>
          <w:color w:val="auto"/>
        </w:rPr>
      </w:pPr>
    </w:p>
    <w:p>
      <w:pPr>
        <w:ind w:left="1080" w:right="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have sufficient financial and other resources to complete the necessary clinical trials for MGL-3196, including, but not limited to, our planned registrational clinical trials to obtain drug approval;</w:t>
      </w:r>
    </w:p>
    <w:p>
      <w:pPr>
        <w:spacing w:after="0" w:line="212" w:lineRule="exact"/>
        <w:rPr>
          <w:rFonts w:ascii="Arial" w:cs="Arial" w:eastAsia="Arial" w:hAnsi="Arial"/>
          <w:sz w:val="18"/>
          <w:szCs w:val="18"/>
          <w:color w:val="auto"/>
        </w:rPr>
      </w:pPr>
    </w:p>
    <w:p>
      <w:pPr>
        <w:jc w:val="both"/>
        <w:ind w:left="1080" w:right="20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mechanism of action of MGL-3196 is complex and we do not know the degree to which it will translate into a therapeutic benefit, if any, in NASH, dyslipidemia or any other indication, and we do not know the degree to which the complex mechanism of action may contribute to long term safety issues or adverse events, if any, when MGL-3196 is taken for prolonged periods such as in the treatment of NASH, dyslipidemia or any other indication;</w:t>
      </w:r>
    </w:p>
    <w:p>
      <w:pPr>
        <w:spacing w:after="0" w:line="210"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adequate evidence from clinical trials of efficacy and safety for MGL-3196 in NASH, dyslipidemia or any other indication;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do not know the degree to which MGL-3196 will be accepted as a therapy by physicians, patients and payors, even if approved;</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our clinical programs for MGL-3196, we may experience variability in patients, adjustments to clinical trial procedures and the need for additional clinical trial sites, which could delay our clinical trial progress;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bodies for marketing approval;</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in our clinical trials may die or suffer other adverse effects for reasons that may or may not be related to MGL-3196, which could delay or prevent further clinical development;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standards implemented by clinical or regulatory agencies may change at any time;</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be certain what efficacy endpoints FDA or foreign clinical or regulatory agencies may require in a Phase 3 clinical trial of NASH or dyslipidemia or for approval of our product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760"/>
        <w:spacing w:after="0" w:line="268" w:lineRule="auto"/>
        <w:rPr>
          <w:sz w:val="20"/>
          <w:szCs w:val="20"/>
          <w:color w:val="auto"/>
        </w:rPr>
      </w:pPr>
      <w:r>
        <w:rPr>
          <w:rFonts w:ascii="Arial" w:cs="Arial" w:eastAsia="Arial" w:hAnsi="Arial"/>
          <w:sz w:val="18"/>
          <w:szCs w:val="18"/>
          <w:color w:val="auto"/>
        </w:rPr>
        <w:t>candidates; we also cannot be certain if we will be able to gain accelerated approval of any of our product candidates based on surrogate endpoints;</w:t>
      </w:r>
    </w:p>
    <w:p>
      <w:pPr>
        <w:spacing w:after="0" w:line="199" w:lineRule="exact"/>
        <w:rPr>
          <w:sz w:val="20"/>
          <w:szCs w:val="20"/>
          <w:color w:val="auto"/>
        </w:rPr>
      </w:pPr>
    </w:p>
    <w:p>
      <w:pPr>
        <w:ind w:left="1080" w:right="10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foreign clinical or regulatory agencies will likely require efficacy endpoints for Phase 3 clinical trials for the treatment of NASH or dyslipidemia that differ from the endpoints of our current Phase 2 trials and the results of our Phase 3 clinical trials may not be as favorable as the results we have observed to date in our current trials;</w:t>
      </w:r>
    </w:p>
    <w:p>
      <w:pPr>
        <w:spacing w:after="0" w:line="221"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differences in the design of our planned Phase 3 clinical trials of the treatment of NASH, including the use of a new tablet formulation of MGL-3196 and the inclusion of patients with more advanced NASH, could cause the results of our Phase 3 trials to be less favorable than the results we observed in our Phase 2 trials in NASH;</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obtain accelerated approval of a product candidate based on a surrogate endpoint, we will likely be required to conduct a post-approval clinical outcomes trial to confirm the clinical benefit of the product candidate and if the post-approval trial is not successful we may not be able to continue marketing the product;</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cannot be certain of the number and type of clinical trials and non-clinical studies that FDA or other regulatory agencies will require in order to approve MGL-3196 for NASH or dyslipidemia;</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approved for NASH, MGL-3196 will likely compete with the off-label use of currently marketed products and other therapies in development that may reach approval for NASH prior to MGL-3196;</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approved for dyslipidemia, MGL-3196 will likely compete with currently approved and marketed products and other therapies in development that may reach approval for dyslipidemia prior to MGL-3196;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maintain or enforce our patents and other intellectual property rights.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MGL-3196,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MGL-3196. If we or any of our future development partners are unable to develop, or obtain regulatory approval for, or, if approved, successfully commercialize MGL-3196, we may not be able to generate sufficient revenue to continue our business.</w:t>
      </w:r>
    </w:p>
    <w:p>
      <w:pPr>
        <w:spacing w:after="0" w:line="17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MGL-3196, may not have favorable results in later clinical trials or receive regulatory approval.</w:t>
      </w:r>
    </w:p>
    <w:p>
      <w:pPr>
        <w:spacing w:after="0" w:line="16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its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conducted in broader patient populations and involve different study designs. For instance, our Phase 1 results and our Phase 2 primary endpoint results in NASH may not be predictive of any future Phase 2 results or of results in any Phase 3 clinical trial in NASH. Furthermore, our future trials will need to demonstrate sufficient safety and efficacy in significantly larger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72"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13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Because MGL-3196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MGL-3196 has not yet received regulatory approval for the treatment of NASH, dyslipidemia or any other indication, and unexpected problems may arise that could cause us to delay, suspend or terminate our development efforts in any or all indications. Further, MGL-3196 has not yet demonstrated efficacy in patients with NASH or dyslipidemia, and the long-term safety consequences of a liver-directed thyroid hormone receptor beta agonist are not known. Regulatory approval of new product candidates such as MGL-3196 can be more expensive and take longer than approval for candidates for the treatment of more well-understood diseases with previously approved products.</w:t>
      </w:r>
    </w:p>
    <w:p>
      <w:pPr>
        <w:spacing w:after="0" w:line="197"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11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any of the following, could delay or impede completely the completion of our ongoing and planned clinical trials and negatively affect our ability to obtain regulatory approval for, and to market and sell, a particular product candidate:</w:t>
      </w:r>
    </w:p>
    <w:p>
      <w:pPr>
        <w:spacing w:after="0" w:line="211"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imposed on us by the FDA or other regulatory authorities regarding the scope or design of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supply of our product candidates or other materials necessary to conduct and complete our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 enrollment and retention rate of subjects in our clinical trials;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serious and unexpected drug-related side effects related to the product candidate being tested.</w:t>
      </w:r>
    </w:p>
    <w:p>
      <w:pPr>
        <w:spacing w:after="0" w:line="225"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do not know whether our clinical trials will begin as planned, will need to be restructured, will enroll an adequate number of patients on time, or will be completed on schedule, if at all.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167"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11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We may not be able to initiate, continue, or complete clinical trials required by the FDA or foreign regulatory agencies for MGL-3196 if we are unable to locate and enroll a sufficient number of eligible patients to participate in these clinical trials. We expect our Phase 3 clinical trials of MGL-3196 will require that we enroll significantly more patients than were enrolled in our Phase 2 trials. Patient enrollment, a significant factor in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 patients have had delays in recruiting patients for their trials. In the proposed clinical trials, patient willingness to undergo a liver biopsy in our NASH trials, and identification of patients willing to participate in our dyslipidemia trials, are also risk factors. Potential patients for MGL-3196 may not be adequately diagnosed or identified with the diseases which we are targeting or may not meet the entry criteria for our studies.</w:t>
      </w:r>
    </w:p>
    <w:p>
      <w:pPr>
        <w:spacing w:after="0" w:line="17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MGL-3196 and statins in 39 normal healthy volunteers, which showed MGL-3196 to have a favorable safety profile and to be well-tolerated. We have completed a Phase 2 clinical trial in NASH including patients taking low dose statins. We have also completed a Phase 2 clinical trial in HeFH including patients taking high dose statins. In general, drug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interactions between MGL-3196 and statins and any other drug that might result in adverse events could delay development in later clinical trials.</w:t>
      </w:r>
    </w:p>
    <w:p>
      <w:pPr>
        <w:spacing w:after="0" w:line="248"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will be required to identify and enroll a sufficient number of patients for each of our planned clinical trials of MGL-3196 for NASH and dyslipidemia indications, respectively. We also may encounter difficulties in identifying and enrolling NASH patients and dyslipidemia patients with a stage of disease appropriate for our future clinical trials. We may not be able to initiate or continue clinical trials if we are unable to locate a sufficient number of eligible patients to participate in the clinical trials required by the FDA or other foreign regulatory agencies.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9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19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13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we fail to comply with the regulatory requirements of the FDA and other applicable domestic and foreign regulatory authorities, or previously unknown problems with any approved product,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manufacturer, or manufacturing process are discovered, we could be subject to administrative or judicially imposed sanctions, including:</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seizures or detentions;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pressure to initiate voluntary product recalls;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regulatory approvals;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 and our product candidates may become obsolete.</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 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MGL-3196.</w:t>
      </w:r>
    </w:p>
    <w:p>
      <w:pPr>
        <w:spacing w:after="0" w:line="198"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3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its treatments for a variety of reasons including:</w:t>
      </w:r>
    </w:p>
    <w:p>
      <w:pPr>
        <w:spacing w:after="0" w:line="180"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market introduction of competitive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of clinical safety and efficacy compared to other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or no coverage by third-party payers;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in the label of the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ineffective marketing and distribution support of its products.</w:t>
      </w:r>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186" w:lineRule="exact"/>
        <w:rPr>
          <w:sz w:val="20"/>
          <w:szCs w:val="20"/>
          <w:color w:val="auto"/>
        </w:rPr>
      </w:pPr>
    </w:p>
    <w:p>
      <w:pPr>
        <w:jc w:val="both"/>
        <w:ind w:right="100" w:firstLine="341"/>
        <w:spacing w:after="0" w:line="306" w:lineRule="auto"/>
        <w:rPr>
          <w:sz w:val="20"/>
          <w:szCs w:val="20"/>
          <w:color w:val="auto"/>
        </w:rPr>
      </w:pPr>
      <w:r>
        <w:rPr>
          <w:rFonts w:ascii="Arial" w:cs="Arial" w:eastAsia="Arial" w:hAnsi="Arial"/>
          <w:sz w:val="16"/>
          <w:szCs w:val="16"/>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uncertainty associated with pharmaceutical reimbursement and related matters may adversely affect our business.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70"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7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March 2010, the Patient Protection and Affordable Care Act, or ACA, became law in the United States. The goal of ACA is to reduce the cost of healthcare and substantially change the way healthcare is financed by both government and private insurers. While we cannot predict what impact on federal reimbursement policies this legislation will have in general or on our business specifically, the ACA may result in downward pressure on pharmaceutical reimbursement, which could negatively affect market acceptance of, and the price we may charge for, any products we develop that receives regulatory approval. We also cannot predict the impact of ACA on us as many of the ACA reforms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require the promulgation of detailed regulations implementing the statutory provisions, which have not yet been fully implemented.</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21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products may be used;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70"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170"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employees, contractors, vendors and partners may engage in misconduct or other improper activities, including noncompliance with regulatory standards and requirements and insider trading.</w:t>
      </w:r>
    </w:p>
    <w:p>
      <w:pPr>
        <w:spacing w:after="0" w:line="186"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174"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1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74"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225"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Although the development and commercialization of MGL-3196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186"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are highly dependent on principal members of our management team, including our Chief Executive Officer, Paul A. Friedman, M.D., and our Chief Medical Officer and Executive Vice President, Research and Development,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72"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currently have no marketing, sales or distribution infrastructure with respect to our product candidates. If we are unable to develop our sales, marketing and distribution capabilities on our own or through collaborations with marketing partners, we will not be successful in commercializing our product candidates.</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currently have no marketing, sales or distribution capabilities and have limited sales or marketing experience within our organization. If our product candidate, MGL-3196, is approved, we intend either to establish a sales and marketing organization with technical expertise and supporting distribution capabilities to commercialize MGL-3196, or to outsource this function to a third party. Either of these options would be expensive and time-consuming. Some or all of these costs may be incurred in advance of any approval of MGL-3196.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MGL-3196 and other future product candidates.</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Even if we obtain FDA approval of MGL-3196 or any other future product candidate, we may never obtain approval or commercialize our products outside of the United States, which would limit our ability to realize their full market potential.</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by extending the term of patents covering each of our product candidates, our business may be materially harmed.</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our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17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product with orphan drug exclusivity or where the manufacturer is unable to assure sufficient product quantity.</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18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Federal false claims, false statements and civil monetary penalties laws prohibit, among others,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351"/>
        <w:spacing w:after="0" w:line="306" w:lineRule="auto"/>
        <w:rPr>
          <w:sz w:val="20"/>
          <w:szCs w:val="20"/>
          <w:color w:val="auto"/>
        </w:rPr>
      </w:pPr>
      <w:r>
        <w:rPr>
          <w:rFonts w:ascii="Arial" w:cs="Arial" w:eastAsia="Arial" w:hAnsi="Arial"/>
          <w:sz w:val="16"/>
          <w:szCs w:val="16"/>
          <w:color w:val="auto"/>
        </w:rPr>
        <w:t>In addition, we and/or our partners may be subject to patient data privacy and security regulation, including the Health Insurance Portability and Accountability Act of 1996, as amended by the Health Information Technology for Economic and Clinical Health Act, and their respective implementing regulations, which impose specified requirements relating to the privacy, security and transmission of individually identifiable health information.</w:t>
      </w:r>
    </w:p>
    <w:p>
      <w:pPr>
        <w:spacing w:after="0" w:line="16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61"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11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94" w:lineRule="exact"/>
        <w:rPr>
          <w:sz w:val="20"/>
          <w:szCs w:val="20"/>
          <w:color w:val="auto"/>
        </w:rPr>
      </w:pPr>
    </w:p>
    <w:p>
      <w:pPr>
        <w:ind w:right="240" w:firstLine="348"/>
        <w:spacing w:after="0" w:line="291" w:lineRule="auto"/>
        <w:rPr>
          <w:sz w:val="20"/>
          <w:szCs w:val="20"/>
          <w:color w:val="auto"/>
        </w:rPr>
      </w:pPr>
      <w:r>
        <w:rPr>
          <w:rFonts w:ascii="Arial" w:cs="Arial" w:eastAsia="Arial" w:hAnsi="Arial"/>
          <w:sz w:val="16"/>
          <w:szCs w:val="16"/>
          <w:color w:val="auto"/>
        </w:rPr>
        <w:t>The FDA requires us and our third-party service providers to comply with regulations and standards, commonly referred to as good clinical practices, or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relied on, and expect to continue to rely on, third-party manufacturers to produce our product candidates.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our product candidates.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72"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9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In addition,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liability insurance may not be sufficient in type or amount to cover us against claims related to security breaches, cyberattacks and other related breaches.</w:t>
      </w:r>
    </w:p>
    <w:p>
      <w:pPr>
        <w:spacing w:after="0" w:line="24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a license to MGL-3196 granted to us by Roche.</w:t>
      </w:r>
    </w:p>
    <w:p>
      <w:pPr>
        <w:spacing w:after="0" w:line="186"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entered into a Research, Development and Commercialization Agreement, or the Roche Agreement, with Hoffmann-La Roche, or Roche, on December 18, 2008. Pursuant to the terms of the Roche Agreement, we assumed control of all development and commercialization of MGL-3196 and hold exclusive worldwide rights for all potential indications. Under the Roche Agreement, Roche exclusively licensed certain patent rights and know-how relating to MGL-3196 in exchange for consideration consisting of an upfront payment, milestone payments tied to the achievement of product development and regulatory milestones, and royalty payments based on net sales of products containing MGL-3196 or another licensed product, subject to certain reductions. We must use commercially reasonable efforts to conduct clinical and commercial development programs for products containing MGL-3196. If we determine that it is not reasonable to continue clinical trials or other development of MGL-3196, we may elect to cease further development and Roche may terminate the license. If we determine not to pursue the development or commercialization of MGL-3196 in certain jurisdictions, including the United States, Roche may terminate the license for such territories. The Roche Agreement will expire, unless earlier terminated pursuant to other provisions thereof, on the last to occur of (i) the expiration of the last valid claim of a licensed patent covering the manufacture, use or sale of products containing MGL-3196, or (ii) ten years after the first sale of a product containing MGL-3196.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Roche Agreement, Roche controls prosecution of the licensed patent rights, although we have a right to comment.</w:t>
      </w:r>
    </w:p>
    <w:p>
      <w:pPr>
        <w:spacing w:after="0" w:line="225"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We do not have, nor have we had, any material disputes with Roche regarding the Roche Agreement. However, if there is any future dispute between us and Roche regarding the parties' rights under the Roche Agreement, our ability to develop and commercialize MGL-3196, or any other product candidate covered by the Roche Agreement, may be materially harmed. Any uncured, material breach under the Roche Agreement could result in our loss of exclusive rights to MGL-3196 and may lead to a complete termination of the Roche Agreement and force us to cease product development efforts for MGL-3196.</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153"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and collaborators;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25"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94" w:lineRule="exact"/>
        <w:rPr>
          <w:sz w:val="20"/>
          <w:szCs w:val="20"/>
          <w:color w:val="auto"/>
        </w:rPr>
      </w:pPr>
    </w:p>
    <w:p>
      <w:pPr>
        <w:ind w:right="40" w:firstLine="348"/>
        <w:spacing w:after="0" w:line="285" w:lineRule="auto"/>
        <w:rPr>
          <w:sz w:val="20"/>
          <w:szCs w:val="20"/>
          <w:color w:val="auto"/>
        </w:rPr>
      </w:pPr>
      <w:r>
        <w:rPr>
          <w:rFonts w:ascii="Arial" w:cs="Arial" w:eastAsia="Arial" w:hAnsi="Arial"/>
          <w:sz w:val="16"/>
          <w:szCs w:val="16"/>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Composition-of-matter patents on the biological or chemical active pharmaceutical ingredients are generally considered to offer the strongest protection of intellectual property and provide the broadest scope of patent protection for pharmaceutical products, as such patents provide protection without regard to any method of use or any method of manufacturing. While we have licensed rights to issued composition-of-matter patents in the United States and other jurisdictions for MGL-3196, we cannot be certain that the claims in issued composition-of-matter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will not be enforced against those making and marketing a product that has the same active pharmaceutical ingredient in a different formulation that is not claimed in the formulation patent. Method-of-use patents protect the use of a product for the specified method or for treatment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licensed composition-of-matter patent licensed from Roche for MGL-3196 is expected to expire in the United States in 2026. Our co-owned patents and pending patent applications that cover our particular solid form, dosage, method of manufacturing, and uses of MGL-3196 to treat various indications are expected to expire in 2033.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188" w:lineRule="exact"/>
        <w:rPr>
          <w:sz w:val="20"/>
          <w:szCs w:val="20"/>
          <w:color w:val="auto"/>
        </w:rPr>
      </w:pPr>
    </w:p>
    <w:p>
      <w:pPr>
        <w:ind w:left="1080" w:right="20" w:hanging="532"/>
        <w:spacing w:after="0" w:line="298"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38"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and our licensor(s) may not have been the first to make the inventions covered by pending patent applications or issued patents;</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licensor(s) may not have been the first to file patent applications for our product candidates or the compositions developed, or for their uses;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identical, similar or alternative products or compositions and uses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licensor(s)' disclosures in patent applications may not be sufficient to meet the statutory requirements for patentability;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others may design around our owned and licensed patent claims to produce competitive products which fall outside of the scope of the patents;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identify prior art or other bases which could invalidate our or licensor(s)' patents;</w:t>
      </w:r>
    </w:p>
    <w:p>
      <w:pPr>
        <w:spacing w:after="0" w:line="238" w:lineRule="exact"/>
        <w:rPr>
          <w:rFonts w:ascii="Arial" w:cs="Arial" w:eastAsia="Arial" w:hAnsi="Arial"/>
          <w:sz w:val="18"/>
          <w:szCs w:val="18"/>
          <w:color w:val="auto"/>
        </w:rPr>
      </w:pPr>
    </w:p>
    <w:p>
      <w:pPr>
        <w:jc w:val="both"/>
        <w:ind w:left="1080" w:right="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187"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86"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72" w:lineRule="exact"/>
        <w:rPr>
          <w:sz w:val="20"/>
          <w:szCs w:val="20"/>
          <w:color w:val="auto"/>
        </w:rPr>
      </w:pPr>
    </w:p>
    <w:p>
      <w:pPr>
        <w:ind w:right="1220"/>
        <w:spacing w:after="0" w:line="268" w:lineRule="auto"/>
        <w:rPr>
          <w:sz w:val="20"/>
          <w:szCs w:val="20"/>
          <w:color w:val="auto"/>
        </w:rPr>
      </w:pPr>
      <w:r>
        <w:rPr>
          <w:rFonts w:ascii="Arial" w:cs="Arial" w:eastAsia="Arial" w:hAnsi="Arial"/>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18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MGL-3196 or our other product candidates. Moreover, because patent applications can 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20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us from commercializing MGL-3196 for NASH or dyslipidemia or our other product candidates until the asserted patent expires or is held finally invalid or not infringed in a court of law;</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Although no third party has asserted a claim of patent infringement against us as of the filing date of this report, others may hold proprietary rights that could prevent MGL-3196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MGL-3196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MGL-3196 or our other product candidates, which could harm our business, financial condition and operating results.</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Moreover, we may be subject to a third party preissuance submission of prior art to the USPTO or in addition to interference proceedings,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would lose at least part, and perhaps all, of the patent protection on such product candidate. Such a loss of patent protection would have a material adverse impact on our business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obtaining or maintaining necessary rights to our product candidates through acquisitions and in-licenses.</w:t>
      </w:r>
    </w:p>
    <w:p>
      <w:pPr>
        <w:spacing w:after="0" w:line="248"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7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17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86"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While we have licensed from Roche issued composition-of-matter patents directed at MGL-3196 in the United States and other countries, filing, prosecuting and defending patents on MGL-3196 in all countries throughout the world would be prohibitively expensive, and our intellectual property rights in some countries outside the United States can be less extensive than those in the United States.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MGL-3196, and our patents or other intellectual property rights may not be effective or sufficient to prevent them from competing.</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fail to obtain the capital necessary to fund all of our planned operations, we may be unable to successfully develop and commercialize MGL-3196 and other future product candidates.</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believe that our existing cash and cash equivalents will be sufficient to fund our current operations through at least the next 12 months, we may require additional working capital in order to complete the remaining clinical development for MGL-3196 and our other product candidates through potential regulatory approval and through potential commercialization of these product candidates. We expect our spending levels to increase in connection with our clinical trials of MGL-3196 as well as other corporate activities. The amount and timing of any expenditure needed to implement our development and commercialization programs will depend on numerous factors, including:</w:t>
      </w:r>
    </w:p>
    <w:p>
      <w:pPr>
        <w:spacing w:after="0" w:line="210" w:lineRule="exact"/>
        <w:rPr>
          <w:sz w:val="20"/>
          <w:szCs w:val="20"/>
          <w:color w:val="auto"/>
        </w:rPr>
      </w:pPr>
    </w:p>
    <w:p>
      <w:pPr>
        <w:jc w:val="both"/>
        <w:ind w:left="1080" w:right="36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type, number, scope, progress, expansion costs, results of and timing of our future clinical trials or the need for additional clinical trials of MGL-3196 for NASH and dyslipidemia or any of our other product candidates which we are pursuing or may choose to pursue in the future;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and timing of obtaining regulatory approval for MGL-3196 for NASH and dyslipidemia and any of our other product candidates;</w:t>
      </w:r>
    </w:p>
    <w:p>
      <w:pPr>
        <w:spacing w:after="0" w:line="261" w:lineRule="exact"/>
        <w:rPr>
          <w:rFonts w:ascii="Arial" w:cs="Arial" w:eastAsia="Arial" w:hAnsi="Arial"/>
          <w:sz w:val="16"/>
          <w:szCs w:val="16"/>
          <w:color w:val="auto"/>
        </w:rPr>
      </w:pPr>
    </w:p>
    <w:p>
      <w:pPr>
        <w:ind w:left="1080" w:right="6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obtaining or maintaining manufacturing for MGL-3196 for NASH and dyslipidemia and any of our other product candidates, including commercial manufacturing if any product candidate is approved;</w:t>
      </w:r>
    </w:p>
    <w:p>
      <w:pPr>
        <w:spacing w:after="0" w:line="212" w:lineRule="exact"/>
        <w:rPr>
          <w:rFonts w:ascii="Arial" w:cs="Arial" w:eastAsia="Arial" w:hAnsi="Arial"/>
          <w:sz w:val="18"/>
          <w:szCs w:val="18"/>
          <w:color w:val="auto"/>
        </w:rPr>
      </w:pPr>
    </w:p>
    <w:p>
      <w:pPr>
        <w:ind w:left="5620" w:right="440" w:hanging="5072"/>
        <w:spacing w:after="0" w:line="519" w:lineRule="auto"/>
        <w:tabs>
          <w:tab w:leader="none" w:pos="10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reimbursement capabilities and enhanced internal controls over financial reporting;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 agreements and other partnerships;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any new product candidates that we may develop, in-license or acquire;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operating as a public company.</w:t>
      </w:r>
    </w:p>
    <w:p>
      <w:pPr>
        <w:spacing w:after="0" w:line="225"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Some of these factors are outside of our control. Our existing capital resources may not be sufficient to enable us to fund the completion of all planned clinical trials and commercialization objectives for our product candidates. As a result, we may need to raise substantial additional funds in the future.</w:t>
      </w:r>
    </w:p>
    <w:p>
      <w:pPr>
        <w:spacing w:after="0" w:line="116"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In addition, the issuance of additional shares by us, or the possibility of such issuance, may cause the market price of our shares to decline.</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we are unable to obtain additional funding on a timely basis, we may be unable to complete planned clinical trials for MGL-3196 for NASH and dyslipidemia and any of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 in addition to global and industry-wide events:</w:t>
      </w:r>
    </w:p>
    <w:p>
      <w:pPr>
        <w:spacing w:after="0" w:line="22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losses we may incur;</w:t>
      </w:r>
    </w:p>
    <w:p>
      <w:pPr>
        <w:spacing w:after="0" w:line="238" w:lineRule="exact"/>
        <w:rPr>
          <w:rFonts w:ascii="Arial" w:cs="Arial" w:eastAsia="Arial" w:hAnsi="Arial"/>
          <w:sz w:val="18"/>
          <w:szCs w:val="18"/>
          <w:color w:val="auto"/>
        </w:rPr>
      </w:pPr>
    </w:p>
    <w:p>
      <w:pPr>
        <w:ind w:left="5620" w:right="1760" w:hanging="5072"/>
        <w:spacing w:after="0" w:line="519" w:lineRule="auto"/>
        <w:tabs>
          <w:tab w:leader="none" w:pos="10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patent or other proprietary rights owned or licensed by us, our collaborative partners or our competitors;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concern as to the safety and efficacy of products developed by us or others;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due to one or more of the foregoing factors in one or more future quarters, our results of operations may fall below the expectations of securities analysts and investors. In that event, the market price of our common stock could materially decline.</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 small number of our stockholders own a substantial amount of our outstanding common stock and may be deemed to have substantial control over us; therefore, your ability to influence corporate matters may be limited.</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Certain stockholders affiliated and associated with our officers and directors collectively own approximately 39.1% of our outstanding common stock as of December 31, 2018 and acting together, may have the ability to substantially affect matters submitted to our stockholders for approval. This concentration of ownership may have the effect of delaying, deferring or preventing a strategic transaction, even if such a transaction would benefit other stockholders.</w:t>
      </w:r>
    </w:p>
    <w:p>
      <w:pPr>
        <w:spacing w:after="0" w:line="16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3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70"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139"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December 31, 2018, there were 1,969,797 shares of Series A Convertible Preferred stock outstanding, all of which are readily convertible into common stock at the option of the holders. In addition, there are an additional 1,132,618 shares of our common stock issuable upon the exercise of outstanding stock options. Sales of a substantial number of shares of our common stock or other equity-related securities in the public markets, could depress the market price of our common stock.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sales also may impair our ability to raise capital through the sale of additional shares in the future at a time and price that our management deems acceptable, if at all.</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lease our approximately 2,500 square-foot corporate headquarters facility located in West Conshohocken, Pennsylvania. We believe our facility is adequate for our current needs. Our lease expires in June 2019. We plan to acquire additional space as our business continues to grow. We continue to evaluate our facility requirements and believe that appropriate space will be available to accommodate our future needs.</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currently not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The term "Private Madrigal" refers to Madrigal Pharmaceuticals, Inc. prior to the consummation of the Merger.</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Our common stock has traded on the Nasdaq stock market under the symbol "MDGL" since July 25, 2016, the trading date following the consummation of our merger with Private Madrigal. Prior to July 25, 2016, our common stock was traded on the Nasdaq stock market under the symbol "SNTA."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February 14, 2018, there were approximately 24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January 1, 2014 and December 31, 2018, with the cumulative total return of (a) the Nasdaq Biotechnology Index and (b) the Nasdaq Composite Index, over the same period. This graph assumes the investment of $100 on January 1, 2014 in our common stock, the Nasdaq Biotechnology Index and the Nasdaq Composite Index and assumes the reinvestment of dividends, if any. The vertical line on July 21, 2016 notes the date of the Merger.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123190</wp:posOffset>
            </wp:positionV>
            <wp:extent cx="5737225" cy="3198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3722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Information about our equity compensation plans is incorporated herein by reference to Item 12 of Part III of this Annual Report on Form 10-K.</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i w:val="1"/>
          <w:iCs w:val="1"/>
          <w:color w:val="auto"/>
        </w:rPr>
        <w:t>The statements of operations data for the years ended December 31, 2018, 2017 and 2016 and the balance sheet data as of December 31, 2018 and 2017 have been derived from our audited financial statements included elsewhere in this Annual Report on Form 10-K. The statements of operations data for the year ended December 31, 2015 and 2014 and the balance sheet data as of December 31, 2016, 2015 and 2014 have been derived from our audited financial statements not included in this Annual Report on Form 10-K. The following selected financial data should be read in conjunction with our "Management's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Discussion and Analysis of Financial Condition and Results of Operations" and financial statements and related notes to those statements included elsewhere in this Annual Report on Form 10-K.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0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15"/>
              <w:spacing w:after="0" w:line="142" w:lineRule="exact"/>
              <w:rPr>
                <w:sz w:val="20"/>
                <w:szCs w:val="20"/>
                <w:color w:val="auto"/>
              </w:rPr>
            </w:pPr>
            <w:r>
              <w:rPr>
                <w:rFonts w:ascii="Arial" w:cs="Arial" w:eastAsia="Arial" w:hAnsi="Arial"/>
                <w:sz w:val="14"/>
                <w:szCs w:val="14"/>
                <w:b w:val="1"/>
                <w:bCs w:val="1"/>
                <w:color w:val="auto"/>
                <w:w w:val="83"/>
              </w:rPr>
              <w:t>2016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080" w:type="dxa"/>
            <w:vAlign w:val="bottom"/>
            <w:gridSpan w:val="6"/>
          </w:tcPr>
          <w:p>
            <w:pPr>
              <w:jc w:val="right"/>
              <w:ind w:right="15"/>
              <w:spacing w:after="0" w:line="142" w:lineRule="exact"/>
              <w:rPr>
                <w:sz w:val="20"/>
                <w:szCs w:val="20"/>
                <w:color w:val="auto"/>
              </w:rPr>
            </w:pPr>
            <w:r>
              <w:rPr>
                <w:rFonts w:ascii="Arial" w:cs="Arial" w:eastAsia="Arial" w:hAnsi="Arial"/>
                <w:sz w:val="14"/>
                <w:szCs w:val="14"/>
                <w:b w:val="1"/>
                <w:bCs w:val="1"/>
                <w:color w:val="auto"/>
                <w:w w:val="86"/>
              </w:rPr>
              <w:t>except per share</w:t>
            </w:r>
          </w:p>
        </w:tc>
        <w:tc>
          <w:tcPr>
            <w:tcW w:w="940" w:type="dxa"/>
            <w:vAlign w:val="bottom"/>
            <w:gridSpan w:val="5"/>
          </w:tcPr>
          <w:p>
            <w:pPr>
              <w:jc w:val="right"/>
              <w:ind w:right="375"/>
              <w:spacing w:after="0" w:line="142" w:lineRule="exact"/>
              <w:rPr>
                <w:sz w:val="20"/>
                <w:szCs w:val="20"/>
                <w:color w:val="auto"/>
              </w:rPr>
            </w:pPr>
            <w:r>
              <w:rPr>
                <w:rFonts w:ascii="Arial" w:cs="Arial" w:eastAsia="Arial" w:hAnsi="Arial"/>
                <w:sz w:val="14"/>
                <w:szCs w:val="14"/>
                <w:b w:val="1"/>
                <w:bCs w:val="1"/>
                <w:color w:val="auto"/>
                <w:w w:val="72"/>
              </w:rPr>
              <w:t>amounts)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Consolidated Statements of Operations Data: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40,682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(32,062)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(25,223)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(32,811)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(31,154)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(26,388)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20" w:type="dxa"/>
            <w:vAlign w:val="bottom"/>
            <w:vMerge w:val="restart"/>
          </w:tcPr>
          <w:p>
            <w:pPr>
              <w:ind w:left="160"/>
              <w:spacing w:after="0"/>
              <w:rPr>
                <w:sz w:val="20"/>
                <w:szCs w:val="20"/>
                <w:color w:val="auto"/>
              </w:rPr>
            </w:pPr>
            <w:r>
              <w:rPr>
                <w:rFonts w:ascii="Arial" w:cs="Arial" w:eastAsia="Arial" w:hAnsi="Arial"/>
                <w:sz w:val="18"/>
                <w:szCs w:val="18"/>
                <w:color w:val="auto"/>
              </w:rPr>
              <w:t>Net loss per common share: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Basic and diluted net loss per common share</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(2.22)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(5.07)</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w w:val="95"/>
              </w:rPr>
              <w:t>Basic and diluted weighted average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common shares outstanding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14,796,712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4"/>
              </w:rPr>
              <w:t>12,244,939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4"/>
              </w:rPr>
              <w:t>5,204,644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171,012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166,469</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1"/>
          </w:tcPr>
          <w:p>
            <w:pPr>
              <w:jc w:val="center"/>
              <w:ind w:left="427"/>
              <w:spacing w:after="0"/>
              <w:rPr>
                <w:sz w:val="20"/>
                <w:szCs w:val="20"/>
                <w:color w:val="auto"/>
              </w:rPr>
            </w:pPr>
            <w:r>
              <w:rPr>
                <w:rFonts w:ascii="Arial" w:cs="Arial" w:eastAsia="Arial" w:hAnsi="Arial"/>
                <w:sz w:val="14"/>
                <w:szCs w:val="14"/>
                <w:b w:val="1"/>
                <w:bCs w:val="1"/>
                <w:color w:val="auto"/>
                <w:w w:val="85"/>
              </w:rPr>
              <w:t>Years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w w:val="89"/>
              </w:rPr>
              <w:t>Cash, cash equivalents and marketable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483,718</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191,527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485,428</w:t>
            </w: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8,444</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42,263</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(139,272)</w:t>
            </w:r>
          </w:p>
        </w:tc>
        <w:tc>
          <w:tcPr>
            <w:tcW w:w="108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(106,461)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(75,307)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(48,920)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(42,075)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476,984</w:t>
            </w: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182,259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(48,913)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(42,069)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134"/>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The Risk Factors in Part I, Item 1A and disclosures under "Cautionary Note Regarding Forward-Looking Statements" within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 The term "Synta" refers to Synta Pharmaceuticals Corp. prior to the consummation of the Merger described herein. Unless otherwise indicated, references to the terms "Madrigal," the "Company," "we," "our" and "us" refer to Private Madrigal prior to the consummation of the Merger described herein and Madrigal Pharmaceuticals, Inc. (formerly known as Synta Pharmaceuticals Corp.) upon the consummation of the Merger described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40" w:firstLine="348"/>
        <w:spacing w:after="0" w:line="286"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receptor-ß, or THR-ß, agonist being developed as a once-daily oral pill that can potentially be used to treat a number of disease states with high unmet medical need, including non-alcoholic steatohepatitis, or NASH. For NASH, we enrolled 125 patients in a Phase 2 clinical trial. We achieved the 12-week primary endpoint for this Phase 2 clinical trial and reported the results in December 2017, and we reported positive topline 36-week results at the conclusion of the Phase 2 clinical trial in May 2018. We have an ongoing 36-week, open-label extension study in 31 participating NASH patients from the Phase 2 clinical trial, which includes 14 patients who received placebo in the main study. We are also developing MGL-3196 for dyslipidemia, which began with a study of a genetic dyslipidemia known as heterozygous familial hypercholesterolemia, or HeFH. We enrolled 116 patients and completed a Phase 2 clinical trial in HeFH patients, and we reported the results in February 2018. In addition to the NASH and HeFH Phase 2 clinical trials, MGL-3196 has also been studied in seven completed Phase 1 trials in a total of 198 subjects. MGL-3196 appeared to be safe and was well-tolerated in these trials, which included a single ascending dose trial, a multiple ascending dose trial, two drug interaction trials with statins, a multiple dose mass balance study, a single dose relative bioavailability study of tablet formulations versus capsule formulation, and a multiple dose drug interaction and food effect study.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Developments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October 2016, we initiated a Phase 2 clinical trial in NASH ([NCT02912260] at www.ClinicalTrials.gov). The randomized, double-blind, placebo-controlled, multi-center Phase 2 study enrolled 125 patients 18 years of age and older with biopsy-confirmed NASH. Patients were randomized to receive either placebo or MGL-3196, twice as many receiving MGL-3196 as placebo. Efficacy was confirmed at the end of the trial (36 weeks) by repeat Magnetic Resonance Imaging—Proton Density Fat Fraction, or MRI-PDFF, and conventional liver biopsy to examine histological evidence for the resolution of NASH. Recent published data show a high correlation of reduction of liver fat measured by MRI-PDFF to NASH scoring on liver biopsy. Other secondary endpoints included changes in clinically relevant biomarkers at 12 and 36 weeks, improvement in fibrosis by at least one stage with no worsening of steatohepatitis, and safety and tolerability. We reached our top-line analysis of the primary endpoint in December 2017, and we reached our top-line analysis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multiple 36-week endpoints, including key secondary endpoints, reduction and resolution of NASH on liver biopsy, in May 2018.</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February 2017, we initiated a Phase 2 clinical trial in HeFH ([NCT03038022] at www.ClinicalTrials.gov). The 12-week, randomized, double-blind, placebo-controlled, multi-center Phase 2 clinical trial enrolled 116 patients with HeFH in several European countries. Patients were randomized in a 2:1 ratio to receive either MGL-3196 or placebo, in addition to their current drug regimen (including high dose statins and/or ezetimibe). The primary endpoint of the study was reduction of LDL cholesterol, with secondary endpoints including reductions in TGs, Lp(a), and ApoB, as well as safety. Lp(a) is a severely atherogenic lipid particle, commonly elevated in familial hypercholesterolemia patients, the levels of which are not adequately reduced by existing lipid lowering therapies. THR-b agonism is one of the few therapeutic approaches that can substantially lower Lp(a). In February 2018, we announced positive results from the 12 week Phase 2 clinical trial in HeFH.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July 22, 2016, Synta completed its business combination with Private Madrigal in accordance with the terms of an Agreement and Plan of Merger and Reorganization, dated as of April 13, 2016, or the Merger Agreement. Pursuant to the Merger Agreement, Synta formed a wholly-owned subsidiary that merged with and into Private Madrigal, with Private Madrigal surviving the merger and becoming a wholly-owned subsidiary of Synta, or the Merger. In connection with, and prior to the consummation of, the Merger, Synta effected a 1-for-35 reverse stock split of its common stock, or the Reverse Stock Split, and, following the Merger, changed its name to "Madrigal Pharmaceuticals, Inc." All shares and per share amounts have been retrospectively adjusted to give effect to the Reverse Stock Split, except as otherwise disclosed. Following the consummation of the Merger, our business became the business conducted by Private Madrigal prior to the consummation of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2016, 2017,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are comprised of costs incurred in performing research and development activities, including internal costs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(including stock-based compensation), costs for consultants, and other costs associated with our preclinical and clinical programs. In particular, we have conducted safety studies in animals, optimized and implemented API manufacturing, and conducted Phase 1 and 2 clinical trials, all of which are considered research and development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recognize stock-based compensation expense based on the grant date fair value of stock options granted to employees, officers and directors. We use the Black-Scholes option pricing model, with an estimated forfeiture rate, to determine the grant date fair value as our management believes it is the most appropriate valuation method for its option grants. The Black-Scholes model requires inputs for risk-free interest rate, dividend yield, volatility and expected lives of the options.</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Certain of the employee stock options granted by us are structured to qualify as incentive stock options, or ISOs. Under current tax regulations, we do not receive a tax deduction for the issuance, exercise or disposition of ISOs if the employee meets certain holding requirements. If the employee does not meet the holding requirements, a disqualifying disposition occurs, at which time we may receive a tax deduction. We do not record tax benefits related to ISOs unless and until a disqualifying disposition is reported. In the event of a disqualifying disposition, the entire tax benefit is recorded as a reduction of income tax expense. We have not recognized any income tax benefit for its share-based compensation arrangements due to the fact that we do not believe it is more likely than not it will realize the related deferred tax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generate any revenue during the years ended December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comparative results of our operating expenses for the years ended December 31, 2018 and 2017 (in thousands):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5"/>
          </w:tcPr>
          <w:p>
            <w:pPr>
              <w:ind w:left="240"/>
              <w:spacing w:after="0"/>
              <w:rPr>
                <w:sz w:val="20"/>
                <w:szCs w:val="20"/>
                <w:color w:val="auto"/>
              </w:rPr>
            </w:pPr>
            <w:r>
              <w:rPr>
                <w:rFonts w:ascii="Arial" w:cs="Arial" w:eastAsia="Arial" w:hAnsi="Arial"/>
                <w:sz w:val="14"/>
                <w:szCs w:val="14"/>
                <w:b w:val="1"/>
                <w:bCs w:val="1"/>
                <w:color w:val="auto"/>
              </w:rPr>
              <w:t>2018 to 2017</w:t>
            </w:r>
          </w:p>
        </w:tc>
      </w:t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ind w:left="380"/>
              <w:spacing w:after="0"/>
              <w:rPr>
                <w:sz w:val="20"/>
                <w:szCs w:val="20"/>
                <w:color w:val="auto"/>
              </w:rPr>
            </w:pPr>
            <w:r>
              <w:rPr>
                <w:rFonts w:ascii="Arial" w:cs="Arial" w:eastAsia="Arial" w:hAnsi="Arial"/>
                <w:sz w:val="14"/>
                <w:szCs w:val="14"/>
                <w:b w:val="1"/>
                <w:bCs w:val="1"/>
                <w:color w:val="auto"/>
                <w:w w:val="81"/>
              </w:rPr>
              <w:t>Change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25,389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24,390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15,293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7,672</w:t>
            </w:r>
          </w:p>
        </w:tc>
        <w:tc>
          <w:tcPr>
            <w:tcW w:w="520" w:type="dxa"/>
            <w:vAlign w:val="bottom"/>
          </w:tcPr>
          <w:p>
            <w:pPr>
              <w:jc w:val="right"/>
              <w:spacing w:after="0"/>
              <w:rPr>
                <w:sz w:val="20"/>
                <w:szCs w:val="20"/>
                <w:color w:val="auto"/>
              </w:rPr>
            </w:pPr>
            <w:r>
              <w:rPr>
                <w:rFonts w:ascii="Arial" w:cs="Arial" w:eastAsia="Arial" w:hAnsi="Arial"/>
                <w:sz w:val="18"/>
                <w:szCs w:val="18"/>
                <w:color w:val="auto"/>
              </w:rPr>
              <w:t>7,621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1275%</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0"/>
        </w:trPr>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32,811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31,154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research and development expenses were $25.4 million for the year ended December 31, 2018 compared to $24.4 million for the year ended December 31, 2017. Research and development expenses increased by $1.0 million in the 2018 period due primarily to an increase in non-cash stock compensation from stock option awards partially offset by a decrease related to our Phase 2 clinical trials due to the completion of treatment in 2018. We expect our research and development expenses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increase over the next several years as we advance our clinical and preclinical development programs for MGL-3196 and as we increase our research and development efforts in connection therewith.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general and administrative expenses were $15.3 million for the year ended December 31, 2018 compared to $7.7 million for the year ended December 31, 2017. General and administrative expenses increased by $7.6 million in the 2018 period due primarily to an increase in non-cash stock compensation from stock option awards. We expect our general and administrative expenses to increase over the next several years as we advance our clinical and preclinical development programs for MGL-3196 and continue operating as a public company, both of which will likely result in an increase in our headcount, consulting services, and certain overhead needed to support those efforts.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w:t>
      </w:r>
    </w:p>
    <w:p>
      <w:pPr>
        <w:spacing w:after="0" w:line="225"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Our interest income was $7.7 million for the year ended December 31, 2018 compared to $0.6 million of interest expense for the year ended December 31, 2017. The increase in interest income was due primarily to a higher average principal balance in our investment account in 2018 and increased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generate any revenue during the years ended December 31,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provides comparative results of our operating expenses for the years ended December 31, 2017 and 2016 (in thousands):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5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2017 to 2016</w:t>
            </w:r>
          </w:p>
        </w:tc>
      </w:t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24,390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15,933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7,672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9,290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r>
      <w:tr>
        <w:trPr>
          <w:trHeight w:val="20"/>
        </w:trPr>
        <w:tc>
          <w:tcPr>
            <w:tcW w:w="4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31,154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26,388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Our research and development expenses were $24.4 million for the year ended December 31, 2017 compared to $15.9 million for the year ended December 31, 2016. Research and development expenses increased by $8.5 million in the 2017 period due primarily to the expenses incurred to conduct and support the two Phase 2 studies for MGL-3196, which commenced in the fourth quarter of 2016 and the first quarter of 2017, respectively. Our increased research and development expenses include an $8.5 million increase in contract research organization costs directly associated with the two Phase 2 studies. These increases were partially offset by lower stock based compensation expense in 2017, due to the expense incurred in 2016 from the Change in Control Bonus Plan resulting from the Merger. We expect our research and development expenses to increase over time as we advance our clinical and preclinical development.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Our general and administrative expenses were $7.7 million for the year ended December 31, 2017 compared to $9.3 million for the year ended December 31, 2016. General and administrative expenses decreased by $1.6 million in the 2017 period due primarily to expenses incurred in 2016 from the Merger, including $0.6 million from the Change in Control Bonus Plan related to the Merger and $2.1 million in other costs associated with the Merger. These Merger costs were partially offset by increases in 2017 from increased compensation expense and expenses related to operating as a public company. We believe that our general and administrative expenses may increase over time as we advance our clinical and preclinical development programs for MGL-3196 and continue operating as a public company, both of which will likely result in an increase in our headcount, consulting services, and certain overhead needed to support those efforts.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interest income was $0.6 million for the year ended December 31, 2017 compared to $1.2 million of interest expense for the year ended December 31, 2016. The change in interest expense (income) was due primarily to the conversion of all outstanding promissory notes to equity upon the consummation of the Merger in 2016, and a higher average principal balance in our investment account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97"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of December 31, 2018, we had cash, cash equivalents and marketable securities totaling $483.7 million compared to $191.5 million as of December 31, 2017, with the increase primarily attributable to our completion of an underwritten public offering of our common stock in June 2018, in which 1,079,580 shares of our common stock were sold at a public offering price of $305.00 per share. Net proceeds after deducting underwriting discounts and commissions and other estimated offering expenses, were appropriately $311.8 million.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December 31, 2018 will be sufficient to fund our operations past one year from the issuance of the financial statements contained herein. Future 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cash flow activity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(22,317)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(17,608)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(380,076)</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(22,006)</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21,993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314,335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173,805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14,454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(91,248)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129,482</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18,839</w:t>
            </w:r>
          </w:p>
        </w:tc>
        <w:tc>
          <w:tcPr>
            <w:tcW w:w="160" w:type="dxa"/>
            <w:vAlign w:val="bottom"/>
          </w:tcPr>
          <w:p>
            <w:pPr>
              <w:spacing w:after="0"/>
              <w:rPr>
                <w:sz w:val="18"/>
                <w:szCs w:val="18"/>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Net cash used in operating activities was $25.5 million, $22.3 million, and $17.6 million for the years ended December 31, 2018, 2017 and 2016, respectively. The use of cash in these periods resulted primarily from our losses from operations, as adjusted for non-cash charges for stock-based compensation, and changes in our working capital accounts.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Net cash used in investing activities was $380.1 million for the year ended December 31, 2018 and consisted primarily of $614.4 million of purchases of marketable securities for our investment portfolio, partially offset by $234.3 million from sales and maturities of marketable securities.</w:t>
      </w:r>
    </w:p>
    <w:p>
      <w:pPr>
        <w:spacing w:after="0" w:line="139"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Net cash used in investing activities was $22.0 million for the year ended December 31, 2017 and consisted primarily of $70.2 million of purchases of marketable securities for our investment portfolio, partially offset by $48.3 million from sales and maturities of marketable securities.</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Net cash provided by investing activities was $22.0 million for the year ended December 31, 2016 and consisted primarily of $5.8 million in cash provided from the Merger, and a net increase of $15.4 million from the sales and maturities in our investment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Net cash provided by financing activities was $314.3 million for the year ended December 31, 2018 and consisted primarily consisted of sales of our common stock in the June 2018 Registered Offering and the exercise of stock options.</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Net cash provided by financing activities was $173.8 million for the year ended December 31, 2017 and consisted primarily of net proceeds from sales of our common stock under the October 2015 Sales Agreement, sales of our common stock and our preferred stock in the June 2017 Offering, and sales of our common stock in the December 2017 Registered Offering.</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Net cash provided by financing activities was $14.5 million for the year ended December 31, 2016 and consisted primarily of net proceeds from the issuance of related party convertible notes and net proceeds from the sale of our common stock under the October 2015 Sales Agreement.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we had contractual obligations and commercial commitments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3"/>
              </w:rPr>
              <w:t>Less Than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1 - 3 Years</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7"/>
              </w:rPr>
              <w:t>4 - 5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5"/>
              </w:rPr>
              <w:t>Operating Leases</w:t>
            </w: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2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110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leases relates to our corporate headquarters facility located in West Conshohocken, Pennsylvania.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have no product revenues and depend on funds raised through other sources. One source of funding is through future debt or equity offerings.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raise funds in this manner depends upon, among other things, capital market forces affecting our stock price.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Inflation has not had a material effect on our business, financial condition or results of operations during the years ended December 31, 2018, 2017 or 2016.</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information required by this Item 8 is referred to in Item 15, listed in the Index to Financial Statements as a part of this Annual Report on Form 10-K, and is incorporated herein by this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ind w:right="560" w:firstLine="351"/>
        <w:spacing w:after="0" w:line="306" w:lineRule="auto"/>
        <w:rPr>
          <w:sz w:val="20"/>
          <w:szCs w:val="20"/>
          <w:color w:val="auto"/>
        </w:rPr>
      </w:pPr>
      <w:r>
        <w:rPr>
          <w:rFonts w:ascii="Arial" w:cs="Arial" w:eastAsia="Arial" w:hAnsi="Arial"/>
          <w:sz w:val="16"/>
          <w:szCs w:val="16"/>
          <w:color w:val="auto"/>
        </w:rPr>
        <w:t>Under the supervision of our principal executive officer and principal financial officer, we evaluated the effectiveness of our disclosure controls and procedures as of the end of the period covered by this Report. Based on that evaluation, our principal executive officer and principal financial officer have concluded that our disclosure controls and procedures were effective at the reasonable assurance level as of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w:t>
      </w:r>
    </w:p>
    <w:p>
      <w:pPr>
        <w:spacing w:after="0" w:line="3" w:lineRule="exact"/>
        <w:rPr>
          <w:sz w:val="20"/>
          <w:szCs w:val="20"/>
          <w:color w:val="auto"/>
        </w:rPr>
      </w:pPr>
    </w:p>
    <w:p>
      <w:pPr>
        <w:ind w:firstLine="8"/>
        <w:spacing w:after="0" w:line="252" w:lineRule="auto"/>
        <w:tabs>
          <w:tab w:leader="none" w:pos="2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management, including our principal executive officer and our principal financial officer, assessed the effectiveness of our internal control over financial reporting as of December 31, 2018. In making this assessment, our management used the criteria set forth in the "Internal Control—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Integrated Framework" issued by the Committee of Sponsoring Organizations of the Treadway Commission (2013 framework). Based on its assessment under that framework, our management concluded that our internal control over financial reporting was effective as of December 31, 2018.</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2018, as stated in its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2018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intend to file our definitive Proxy Statement for our next Annual Meeting of Stockholders, pursuant to Regulation 14A of the Securities Exchange Act of 1934, as amended, or the 2019 Proxy Statement, no later than April 30, 2019, and certain information to be included in the 2019 Proxy Statement is incorporated herein by reference.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this item concerning our directors, executive officers, Section 16 compliance and corporate governance matters is incorporated by reference in our 2019 Proxy Statement.</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required by this item regarding executive compensation is incorporated by reference in our 2019 Proxy Statement.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in our 2019 Proxy Statement.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this item regarding certain relationships and related transactions is incorporated by reference in our 2019 Proxy Statement.</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The information required by this item regarding principal accounting fees and services is incorporated by reference in our 2019 Proxy Statement.</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08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7080" w:type="dxa"/>
            <w:vAlign w:val="bottom"/>
          </w:tcPr>
          <w:p>
            <w:pPr>
              <w:ind w:left="228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w:t>
            </w:r>
          </w:p>
        </w:tc>
        <w:tc>
          <w:tcPr>
            <w:tcW w:w="7080" w:type="dxa"/>
            <w:vAlign w:val="bottom"/>
          </w:tcPr>
          <w:p>
            <w:pPr>
              <w:ind w:left="380"/>
              <w:spacing w:after="0"/>
              <w:rPr>
                <w:sz w:val="20"/>
                <w:szCs w:val="20"/>
                <w:color w:val="auto"/>
              </w:rPr>
            </w:pPr>
            <w:r>
              <w:rPr>
                <w:rFonts w:ascii="Arial" w:cs="Arial" w:eastAsia="Arial" w:hAnsi="Arial"/>
                <w:sz w:val="18"/>
                <w:szCs w:val="18"/>
                <w:b w:val="1"/>
                <w:bCs w:val="1"/>
                <w:color w:val="auto"/>
              </w:rPr>
              <w:t>EXHIBITS AND FINANCIAL STATEMENT SCHEDULES</w:t>
            </w:r>
          </w:p>
        </w:tc>
      </w:tr>
      <w:tr>
        <w:trPr>
          <w:trHeight w:val="426"/>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15(a)</w:t>
            </w:r>
          </w:p>
        </w:tc>
        <w:tc>
          <w:tcPr>
            <w:tcW w:w="7080" w:type="dxa"/>
            <w:vAlign w:val="bottom"/>
          </w:tcPr>
          <w:p>
            <w:pPr>
              <w:ind w:left="380"/>
              <w:spacing w:after="0"/>
              <w:rPr>
                <w:sz w:val="20"/>
                <w:szCs w:val="20"/>
                <w:color w:val="auto"/>
              </w:rPr>
            </w:pPr>
            <w:r>
              <w:rPr>
                <w:rFonts w:ascii="Arial" w:cs="Arial" w:eastAsia="Arial" w:hAnsi="Arial"/>
                <w:sz w:val="18"/>
                <w:szCs w:val="18"/>
                <w:color w:val="auto"/>
                <w:w w:val="93"/>
              </w:rPr>
              <w:t>The following documents are filed as part of, or incorporated by reference into, this Annual</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rPr>
              <w:t>Report on Form 10-K:</w:t>
            </w:r>
          </w:p>
        </w:tc>
      </w:tr>
      <w:tr>
        <w:trPr>
          <w:trHeight w:val="426"/>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15(a)(1) and (2)</w:t>
            </w:r>
          </w:p>
        </w:tc>
        <w:tc>
          <w:tcPr>
            <w:tcW w:w="7080" w:type="dxa"/>
            <w:vAlign w:val="bottom"/>
          </w:tcPr>
          <w:p>
            <w:pPr>
              <w:ind w:left="380"/>
              <w:spacing w:after="0"/>
              <w:rPr>
                <w:sz w:val="20"/>
                <w:szCs w:val="20"/>
                <w:color w:val="auto"/>
              </w:rPr>
            </w:pPr>
            <w:r>
              <w:rPr>
                <w:rFonts w:ascii="Arial" w:cs="Arial" w:eastAsia="Arial" w:hAnsi="Arial"/>
                <w:sz w:val="18"/>
                <w:szCs w:val="18"/>
                <w:color w:val="auto"/>
                <w:w w:val="89"/>
              </w:rPr>
              <w:t>The Consolidated Financial Statements beginning on page F-1 are filed as part of this Annual</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w w:val="92"/>
              </w:rPr>
              <w:t>Report on Form 10-K. Other financial statement schedules have been omitted because the</w:t>
            </w:r>
          </w:p>
        </w:tc>
      </w:tr>
      <w:tr>
        <w:trPr>
          <w:trHeight w:val="216"/>
        </w:trPr>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w w:val="94"/>
              </w:rPr>
              <w:t>information required to be presented in them is not applicable or is shown in the financial</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rPr>
              <w:t>statements or related notes.</w:t>
            </w:r>
          </w:p>
        </w:tc>
      </w:tr>
      <w:tr>
        <w:trPr>
          <w:trHeight w:val="426"/>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15(a)(3)</w:t>
            </w:r>
          </w:p>
        </w:tc>
        <w:tc>
          <w:tcPr>
            <w:tcW w:w="7080" w:type="dxa"/>
            <w:vAlign w:val="bottom"/>
          </w:tcPr>
          <w:p>
            <w:pPr>
              <w:ind w:left="380"/>
              <w:spacing w:after="0"/>
              <w:rPr>
                <w:sz w:val="20"/>
                <w:szCs w:val="20"/>
                <w:color w:val="auto"/>
              </w:rPr>
            </w:pPr>
            <w:r>
              <w:rPr>
                <w:rFonts w:ascii="Arial" w:cs="Arial" w:eastAsia="Arial" w:hAnsi="Arial"/>
                <w:sz w:val="18"/>
                <w:szCs w:val="18"/>
                <w:color w:val="auto"/>
                <w:w w:val="89"/>
              </w:rPr>
              <w:t>We have filed, or incorporated into this Annual Report on Form 10-K by reference, the exhibits</w:t>
            </w:r>
          </w:p>
        </w:tc>
      </w:tr>
      <w:tr>
        <w:trPr>
          <w:trHeight w:val="222"/>
        </w:trPr>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080" w:type="dxa"/>
            <w:vAlign w:val="bottom"/>
          </w:tcPr>
          <w:p>
            <w:pPr>
              <w:ind w:left="380"/>
              <w:spacing w:after="0"/>
              <w:rPr>
                <w:sz w:val="20"/>
                <w:szCs w:val="20"/>
                <w:color w:val="auto"/>
              </w:rPr>
            </w:pPr>
            <w:r>
              <w:rPr>
                <w:rFonts w:ascii="Arial" w:cs="Arial" w:eastAsia="Arial" w:hAnsi="Arial"/>
                <w:sz w:val="18"/>
                <w:szCs w:val="18"/>
                <w:color w:val="auto"/>
              </w:rPr>
              <w:t>listed on the accompanying Exhibit Index.</w:t>
            </w:r>
          </w:p>
        </w:tc>
      </w:tr>
      <w:tr>
        <w:trPr>
          <w:trHeight w:val="432"/>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15(b)</w:t>
            </w:r>
          </w:p>
        </w:tc>
        <w:tc>
          <w:tcPr>
            <w:tcW w:w="7080" w:type="dxa"/>
            <w:vAlign w:val="bottom"/>
          </w:tcPr>
          <w:p>
            <w:pPr>
              <w:ind w:left="380"/>
              <w:spacing w:after="0"/>
              <w:rPr>
                <w:sz w:val="20"/>
                <w:szCs w:val="20"/>
                <w:color w:val="auto"/>
              </w:rPr>
            </w:pPr>
            <w:r>
              <w:rPr>
                <w:rFonts w:ascii="Arial" w:cs="Arial" w:eastAsia="Arial" w:hAnsi="Arial"/>
                <w:sz w:val="18"/>
                <w:szCs w:val="18"/>
                <w:color w:val="auto"/>
              </w:rPr>
              <w:t>See Item 15(a)(3) above.</w:t>
            </w:r>
          </w:p>
        </w:tc>
      </w:tr>
      <w:tr>
        <w:trPr>
          <w:trHeight w:val="432"/>
        </w:trPr>
        <w:tc>
          <w:tcPr>
            <w:tcW w:w="30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Item 15(c)</w:t>
            </w:r>
          </w:p>
        </w:tc>
        <w:tc>
          <w:tcPr>
            <w:tcW w:w="7080" w:type="dxa"/>
            <w:vAlign w:val="bottom"/>
          </w:tcPr>
          <w:p>
            <w:pPr>
              <w:ind w:left="380"/>
              <w:spacing w:after="0"/>
              <w:rPr>
                <w:sz w:val="20"/>
                <w:szCs w:val="20"/>
                <w:color w:val="auto"/>
              </w:rPr>
            </w:pPr>
            <w:r>
              <w:rPr>
                <w:rFonts w:ascii="Arial" w:cs="Arial" w:eastAsia="Arial" w:hAnsi="Arial"/>
                <w:sz w:val="18"/>
                <w:szCs w:val="18"/>
                <w:color w:val="auto"/>
              </w:rPr>
              <w:t>See Item 15(a)(2) above.</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list of exhibits filed as part of, or incorporated by reference into,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by</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1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540" w:type="dxa"/>
            <w:vAlign w:val="bottom"/>
            <w:gridSpan w:val="12"/>
          </w:tcPr>
          <w:p>
            <w:pPr>
              <w:jc w:val="center"/>
              <w:ind w:right="2080"/>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gridSpan w:val="13"/>
          </w:tcPr>
          <w:p>
            <w:pPr>
              <w:jc w:val="center"/>
              <w:ind w:right="40"/>
              <w:spacing w:after="0"/>
              <w:rPr>
                <w:sz w:val="20"/>
                <w:szCs w:val="20"/>
                <w:color w:val="auto"/>
              </w:rPr>
            </w:pPr>
            <w:r>
              <w:rPr>
                <w:rFonts w:ascii="Arial" w:cs="Arial" w:eastAsia="Arial" w:hAnsi="Arial"/>
                <w:sz w:val="14"/>
                <w:szCs w:val="14"/>
                <w:b w:val="1"/>
                <w:bCs w:val="1"/>
                <w:color w:val="auto"/>
                <w:w w:val="85"/>
              </w:rPr>
              <w:t>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w:t>
            </w:r>
          </w:p>
        </w:tc>
      </w:tr>
      <w:tr>
        <w:trPr>
          <w:trHeight w:val="169"/>
        </w:trPr>
        <w:tc>
          <w:tcPr>
            <w:tcW w:w="1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auto"/>
            </w:tcBorders>
            <w:gridSpan w:val="13"/>
          </w:tcPr>
          <w:p>
            <w:pPr>
              <w:spacing w:after="0" w:line="170"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Underwriting Agreement, dated December 18, 2017, by and</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12/21/17</w:t>
            </w:r>
          </w:p>
        </w:tc>
        <w:tc>
          <w:tcPr>
            <w:tcW w:w="160" w:type="dxa"/>
            <w:vAlign w:val="bottom"/>
          </w:tcPr>
          <w:p>
            <w:pPr>
              <w:spacing w:after="0"/>
              <w:rPr>
                <w:sz w:val="14"/>
                <w:szCs w:val="14"/>
                <w:color w:val="auto"/>
              </w:rPr>
            </w:pPr>
          </w:p>
        </w:tc>
        <w:tc>
          <w:tcPr>
            <w:tcW w:w="880" w:type="dxa"/>
            <w:vAlign w:val="bottom"/>
            <w:tcBorders>
              <w:top w:val="single" w:sz="8" w:color="auto"/>
            </w:tcBorders>
          </w:tcPr>
          <w:p>
            <w:pPr>
              <w:jc w:val="right"/>
              <w:ind w:right="47"/>
              <w:spacing w:after="0" w:line="170" w:lineRule="exact"/>
              <w:rPr>
                <w:sz w:val="20"/>
                <w:szCs w:val="20"/>
                <w:color w:val="auto"/>
              </w:rPr>
            </w:pPr>
            <w:r>
              <w:rPr>
                <w:rFonts w:ascii="Arial" w:cs="Arial" w:eastAsia="Arial" w:hAnsi="Arial"/>
                <w:sz w:val="18"/>
                <w:szCs w:val="18"/>
                <w:color w:val="auto"/>
                <w:w w:val="85"/>
              </w:rPr>
              <w:t>001-33277</w:t>
            </w:r>
          </w:p>
        </w:tc>
        <w:tc>
          <w:tcPr>
            <w:tcW w:w="110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0" w:type="dxa"/>
            <w:vAlign w:val="bottom"/>
            <w:tcBorders>
              <w:top w:val="single" w:sz="8" w:color="0000EE"/>
            </w:tcBorders>
            <w:gridSpan w:val="9"/>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between the Registrant and Goldman Sachs &amp; Co. LLC as</w:t>
              </w:r>
            </w:hyperlink>
          </w:p>
        </w:tc>
        <w:tc>
          <w:tcPr>
            <w:tcW w:w="4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1.1)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Representative of the Underwriters set forth therein.</w:t>
              </w:r>
            </w:hyperlink>
          </w:p>
        </w:tc>
        <w:tc>
          <w:tcPr>
            <w:tcW w:w="5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1.1</w:t>
            </w:r>
          </w:p>
        </w:tc>
        <w:tc>
          <w:tcPr>
            <w:tcW w:w="160" w:type="dxa"/>
            <w:vAlign w:val="bottom"/>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7"/>
              </w:rPr>
            </w:pPr>
            <w:hyperlink r:id="rId84">
              <w:r>
                <w:rPr>
                  <w:rFonts w:ascii="Arial" w:cs="Arial" w:eastAsia="Arial" w:hAnsi="Arial"/>
                  <w:sz w:val="18"/>
                  <w:szCs w:val="18"/>
                  <w:color w:val="0000EE"/>
                  <w:w w:val="87"/>
                </w:rPr>
                <w:t>Underwriting Agreement, dated June 6, 2018, by and between</w:t>
              </w:r>
            </w:hyperlink>
          </w:p>
        </w:tc>
        <w:tc>
          <w:tcPr>
            <w:tcW w:w="2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06/08/18</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the Registrant, Goldman Sachs &amp; Co. LLC as Representative of</w:t>
              </w:r>
            </w:hyperlink>
          </w:p>
        </w:tc>
        <w:tc>
          <w:tcPr>
            <w:tcW w:w="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1.1)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gridSpan w:val="14"/>
          </w:tcPr>
          <w:p>
            <w:pPr>
              <w:spacing w:after="0" w:line="196" w:lineRule="exact"/>
              <w:rPr>
                <w:rFonts w:ascii="Arial" w:cs="Arial" w:eastAsia="Arial" w:hAnsi="Arial"/>
                <w:sz w:val="18"/>
                <w:szCs w:val="18"/>
                <w:color w:val="0000EE"/>
                <w:w w:val="89"/>
              </w:rPr>
            </w:pPr>
            <w:hyperlink r:id="rId84">
              <w:r>
                <w:rPr>
                  <w:rFonts w:ascii="Arial" w:cs="Arial" w:eastAsia="Arial" w:hAnsi="Arial"/>
                  <w:sz w:val="18"/>
                  <w:szCs w:val="18"/>
                  <w:color w:val="0000EE"/>
                  <w:w w:val="89"/>
                </w:rPr>
                <w:t>the Underwriters set forth therein, and the selling stockholders of</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the Registrant named therein.</w:t>
              </w:r>
            </w:hyperlink>
          </w:p>
        </w:tc>
        <w:tc>
          <w:tcPr>
            <w:tcW w:w="250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w w:val="99"/>
              </w:rPr>
            </w:pPr>
            <w:hyperlink r:id="rId85">
              <w:r>
                <w:rPr>
                  <w:rFonts w:ascii="Arial" w:cs="Arial" w:eastAsia="Arial" w:hAnsi="Arial"/>
                  <w:sz w:val="18"/>
                  <w:szCs w:val="18"/>
                  <w:color w:val="0000EE"/>
                  <w:w w:val="99"/>
                </w:rPr>
                <w:t>Agreement and Plan of Merger and Reorganization, dated</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DEFA14A;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04/14/16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r:id="rId85">
              <w:r>
                <w:rPr>
                  <w:rFonts w:ascii="Arial" w:cs="Arial" w:eastAsia="Arial" w:hAnsi="Arial"/>
                  <w:sz w:val="18"/>
                  <w:szCs w:val="18"/>
                  <w:color w:val="0000EE"/>
                  <w:w w:val="87"/>
                </w:rPr>
                <w:t>April 13, 2016, by and among Synta Pharmaceuticals Corp., the</w:t>
              </w:r>
            </w:hyperlink>
          </w:p>
        </w:tc>
        <w:tc>
          <w:tcPr>
            <w:tcW w:w="1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0" w:type="dxa"/>
            <w:vAlign w:val="bottom"/>
            <w:gridSpan w:val="1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Registrant and Saffron Merger Sub, Inc.</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2.1)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rPr>
            </w:pPr>
            <w:hyperlink r:id="rId86">
              <w:r>
                <w:rPr>
                  <w:rFonts w:ascii="Arial" w:cs="Arial" w:eastAsia="Arial" w:hAnsi="Arial"/>
                  <w:sz w:val="18"/>
                  <w:szCs w:val="18"/>
                  <w:color w:val="0000EE"/>
                </w:rPr>
                <w:t>Restated Certificate of Incorporation of the Registrant.</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4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w w:val="91"/>
              </w:rPr>
              <w:t>(Exhibit 3.1)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4600" w:type="dxa"/>
            <w:vAlign w:val="bottom"/>
            <w:gridSpan w:val="14"/>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Certificate of Designation of Preferences, Rights and Limitations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06/21/17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of Series A Convertible Preferred Stock.</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(Exhibit 3.1)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top w:val="single" w:sz="8" w:color="0000EE"/>
            </w:tcBorders>
            <w:gridSpan w:val="4"/>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1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16"/>
          </w:tcPr>
          <w:p>
            <w:pPr>
              <w:jc w:val="center"/>
              <w:ind w:right="1880"/>
              <w:spacing w:after="0" w:line="149" w:lineRule="exact"/>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19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1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17"/>
          </w:tcPr>
          <w:p>
            <w:pPr>
              <w:jc w:val="center"/>
              <w:ind w:right="1640"/>
              <w:spacing w:after="0"/>
              <w:rPr>
                <w:sz w:val="20"/>
                <w:szCs w:val="20"/>
                <w:color w:val="auto"/>
              </w:rPr>
            </w:pPr>
            <w:r>
              <w:rPr>
                <w:rFonts w:ascii="Arial" w:cs="Arial" w:eastAsia="Arial" w:hAnsi="Arial"/>
                <w:sz w:val="14"/>
                <w:szCs w:val="14"/>
                <w:b w:val="1"/>
                <w:bCs w:val="1"/>
                <w:color w:val="auto"/>
                <w:w w:val="88"/>
              </w:rPr>
              <w:t>Description</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19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w:t>
            </w:r>
          </w:p>
        </w:tc>
      </w:tr>
      <w:tr>
        <w:trPr>
          <w:trHeight w:val="169"/>
        </w:trPr>
        <w:tc>
          <w:tcPr>
            <w:tcW w:w="1160" w:type="dxa"/>
            <w:vAlign w:val="bottom"/>
          </w:tcPr>
          <w:p>
            <w:pPr>
              <w:spacing w:after="0"/>
              <w:rPr>
                <w:sz w:val="14"/>
                <w:szCs w:val="14"/>
                <w:color w:val="auto"/>
              </w:rPr>
            </w:pPr>
          </w:p>
        </w:tc>
        <w:tc>
          <w:tcPr>
            <w:tcW w:w="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auto"/>
            </w:tcBorders>
            <w:gridSpan w:val="20"/>
          </w:tcPr>
          <w:p>
            <w:pPr>
              <w:spacing w:after="0" w:line="170" w:lineRule="exact"/>
              <w:rPr>
                <w:rFonts w:ascii="Arial" w:cs="Arial" w:eastAsia="Arial" w:hAnsi="Arial"/>
                <w:sz w:val="18"/>
                <w:szCs w:val="18"/>
                <w:color w:val="0000EE"/>
              </w:rPr>
            </w:pPr>
            <w:hyperlink r:id="rId90">
              <w:r>
                <w:rPr>
                  <w:rFonts w:ascii="Arial" w:cs="Arial" w:eastAsia="Arial" w:hAnsi="Arial"/>
                  <w:sz w:val="18"/>
                  <w:szCs w:val="18"/>
                  <w:color w:val="0000EE"/>
                </w:rPr>
                <w:t>Bylaws of the Registrant, as amended April 13, 2016.</w:t>
              </w:r>
            </w:hyperlink>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DEFA14A;</w:t>
            </w:r>
          </w:p>
        </w:tc>
        <w:tc>
          <w:tcPr>
            <w:tcW w:w="160" w:type="dxa"/>
            <w:vAlign w:val="bottom"/>
          </w:tcPr>
          <w:p>
            <w:pPr>
              <w:spacing w:after="0"/>
              <w:rPr>
                <w:sz w:val="14"/>
                <w:szCs w:val="14"/>
                <w:color w:val="auto"/>
              </w:rPr>
            </w:pPr>
          </w:p>
        </w:tc>
        <w:tc>
          <w:tcPr>
            <w:tcW w:w="6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04/14/16</w:t>
            </w: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14"/>
                <w:szCs w:val="14"/>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(Exhibit 3.1)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2"/>
        </w:trPr>
        <w:tc>
          <w:tcPr>
            <w:tcW w:w="6340" w:type="dxa"/>
            <w:vAlign w:val="bottom"/>
            <w:gridSpan w:val="25"/>
          </w:tcPr>
          <w:p>
            <w:pPr>
              <w:ind w:left="1140"/>
              <w:spacing w:after="0"/>
              <w:rPr>
                <w:sz w:val="20"/>
                <w:szCs w:val="20"/>
                <w:color w:val="auto"/>
              </w:rPr>
            </w:pPr>
            <w:r>
              <w:rPr>
                <w:rFonts w:ascii="Arial" w:cs="Arial" w:eastAsia="Arial" w:hAnsi="Arial"/>
                <w:sz w:val="18"/>
                <w:szCs w:val="18"/>
                <w:b w:val="1"/>
                <w:bCs w:val="1"/>
                <w:i w:val="1"/>
                <w:iCs w:val="1"/>
                <w:color w:val="auto"/>
              </w:rPr>
              <w:t>Equity Agreements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4320" w:type="dxa"/>
            <w:vAlign w:val="bottom"/>
            <w:gridSpan w:val="22"/>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Sales Agreement, dated October 16, 2015, by and between</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10/16/15</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the Registrant and Cowen and Company, LLC.</w:t>
              </w:r>
            </w:hyperlink>
          </w:p>
        </w:tc>
        <w:tc>
          <w:tcPr>
            <w:tcW w:w="20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52"/>
              <w:spacing w:after="0"/>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24"/>
                <w:szCs w:val="24"/>
                <w:color w:val="auto"/>
              </w:rPr>
            </w:pPr>
          </w:p>
        </w:tc>
        <w:tc>
          <w:tcPr>
            <w:tcW w:w="4260" w:type="dxa"/>
            <w:vAlign w:val="bottom"/>
            <w:tcBorders>
              <w:bottom w:val="single" w:sz="8" w:color="0000EE"/>
            </w:tcBorders>
            <w:gridSpan w:val="19"/>
          </w:tcPr>
          <w:p>
            <w:pPr>
              <w:spacing w:after="0"/>
              <w:rPr>
                <w:rFonts w:ascii="Arial" w:cs="Arial" w:eastAsia="Arial" w:hAnsi="Arial"/>
                <w:sz w:val="18"/>
                <w:szCs w:val="18"/>
                <w:color w:val="0000EE"/>
                <w:w w:val="86"/>
              </w:rPr>
            </w:pPr>
            <w:hyperlink r:id="rId92">
              <w:r>
                <w:rPr>
                  <w:rFonts w:ascii="Arial" w:cs="Arial" w:eastAsia="Arial" w:hAnsi="Arial"/>
                  <w:sz w:val="18"/>
                  <w:szCs w:val="18"/>
                  <w:color w:val="0000EE"/>
                  <w:w w:val="86"/>
                </w:rPr>
                <w:t>Securities Purchase Agreement, dated June 20, 2017, by and</w:t>
              </w:r>
            </w:hyperlink>
          </w:p>
        </w:tc>
        <w:tc>
          <w:tcPr>
            <w:tcW w:w="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06/21/17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among the Registrant and the investors party thereto,</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92">
              <w:r>
                <w:rPr>
                  <w:rFonts w:ascii="Arial" w:cs="Arial" w:eastAsia="Arial" w:hAnsi="Arial"/>
                  <w:sz w:val="18"/>
                  <w:szCs w:val="18"/>
                  <w:color w:val="0000EE"/>
                  <w:w w:val="88"/>
                </w:rPr>
                <w:t>including the Registration Rights Agreement attached as</w:t>
              </w:r>
            </w:hyperlink>
          </w:p>
        </w:tc>
        <w:tc>
          <w:tcPr>
            <w:tcW w:w="34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Exhibit B thereto.</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40" w:type="dxa"/>
            <w:vAlign w:val="bottom"/>
            <w:gridSpan w:val="4"/>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1"/>
        </w:trPr>
        <w:tc>
          <w:tcPr>
            <w:tcW w:w="7100" w:type="dxa"/>
            <w:vAlign w:val="bottom"/>
            <w:gridSpan w:val="27"/>
          </w:tcPr>
          <w:p>
            <w:pPr>
              <w:ind w:left="1140"/>
              <w:spacing w:after="0"/>
              <w:rPr>
                <w:sz w:val="20"/>
                <w:szCs w:val="20"/>
                <w:color w:val="auto"/>
              </w:rPr>
            </w:pPr>
            <w:r>
              <w:rPr>
                <w:rFonts w:ascii="Arial" w:cs="Arial" w:eastAsia="Arial" w:hAnsi="Arial"/>
                <w:sz w:val="18"/>
                <w:szCs w:val="18"/>
                <w:b w:val="1"/>
                <w:bCs w:val="1"/>
                <w:i w:val="1"/>
                <w:iCs w:val="1"/>
                <w:color w:val="auto"/>
                <w:w w:val="84"/>
              </w:rPr>
              <w:t>Agreements with Respect to Collaborations, Licenses, Research and Development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1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40" w:type="dxa"/>
            <w:vAlign w:val="bottom"/>
          </w:tcPr>
          <w:p>
            <w:pPr>
              <w:spacing w:after="0"/>
              <w:rPr>
                <w:sz w:val="24"/>
                <w:szCs w:val="24"/>
                <w:color w:val="auto"/>
              </w:rPr>
            </w:pPr>
          </w:p>
        </w:tc>
        <w:tc>
          <w:tcPr>
            <w:tcW w:w="4240" w:type="dxa"/>
            <w:vAlign w:val="bottom"/>
            <w:tcBorders>
              <w:bottom w:val="single" w:sz="8" w:color="0000EE"/>
            </w:tcBorders>
            <w:gridSpan w:val="18"/>
          </w:tcPr>
          <w:p>
            <w:pPr>
              <w:spacing w:after="0"/>
              <w:rPr>
                <w:rFonts w:ascii="Arial" w:cs="Arial" w:eastAsia="Arial" w:hAnsi="Arial"/>
                <w:sz w:val="18"/>
                <w:szCs w:val="18"/>
                <w:color w:val="0000EE"/>
                <w:w w:val="88"/>
              </w:rPr>
            </w:pPr>
            <w:hyperlink r:id="rId93">
              <w:r>
                <w:rPr>
                  <w:rFonts w:ascii="Arial" w:cs="Arial" w:eastAsia="Arial" w:hAnsi="Arial"/>
                  <w:sz w:val="18"/>
                  <w:szCs w:val="18"/>
                  <w:color w:val="0000EE"/>
                  <w:w w:val="88"/>
                </w:rPr>
                <w:t>Research, Development and Commercialization Agreement,</w:t>
              </w:r>
            </w:hyperlink>
          </w:p>
        </w:tc>
        <w:tc>
          <w:tcPr>
            <w:tcW w:w="8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11/14/16</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dated December 18, 2008, by and between Hoffmann-La</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(Exhibit 10.5)</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Roche, Inc., F. Hoffmann-La Roche Ltd and the Registrant.</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2020" w:type="dxa"/>
            <w:vAlign w:val="bottom"/>
            <w:gridSpan w:val="3"/>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1"/>
        </w:trPr>
        <w:tc>
          <w:tcPr>
            <w:tcW w:w="6340" w:type="dxa"/>
            <w:vAlign w:val="bottom"/>
            <w:gridSpan w:val="25"/>
          </w:tcPr>
          <w:p>
            <w:pPr>
              <w:ind w:left="1140"/>
              <w:spacing w:after="0"/>
              <w:rPr>
                <w:sz w:val="20"/>
                <w:szCs w:val="20"/>
                <w:color w:val="auto"/>
              </w:rPr>
            </w:pPr>
            <w:r>
              <w:rPr>
                <w:rFonts w:ascii="Arial" w:cs="Arial" w:eastAsia="Arial" w:hAnsi="Arial"/>
                <w:sz w:val="18"/>
                <w:szCs w:val="18"/>
                <w:b w:val="1"/>
                <w:bCs w:val="1"/>
                <w:i w:val="1"/>
                <w:iCs w:val="1"/>
                <w:color w:val="auto"/>
              </w:rPr>
              <w:t>Equity Compensation Plans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10.4*</w:t>
            </w:r>
          </w:p>
        </w:tc>
        <w:tc>
          <w:tcPr>
            <w:tcW w:w="140" w:type="dxa"/>
            <w:vAlign w:val="bottom"/>
          </w:tcPr>
          <w:p>
            <w:pPr>
              <w:spacing w:after="0"/>
              <w:rPr>
                <w:sz w:val="24"/>
                <w:szCs w:val="24"/>
                <w:color w:val="auto"/>
              </w:rPr>
            </w:pPr>
          </w:p>
        </w:tc>
        <w:tc>
          <w:tcPr>
            <w:tcW w:w="4320" w:type="dxa"/>
            <w:vAlign w:val="bottom"/>
            <w:gridSpan w:val="22"/>
          </w:tcPr>
          <w:p>
            <w:pPr>
              <w:spacing w:after="0"/>
              <w:rPr>
                <w:rFonts w:ascii="Arial" w:cs="Arial" w:eastAsia="Arial" w:hAnsi="Arial"/>
                <w:sz w:val="18"/>
                <w:szCs w:val="18"/>
                <w:color w:val="0000EE"/>
              </w:rPr>
            </w:pPr>
            <w:hyperlink r:id="rId94">
              <w:r>
                <w:rPr>
                  <w:rFonts w:ascii="Arial" w:cs="Arial" w:eastAsia="Arial" w:hAnsi="Arial"/>
                  <w:sz w:val="18"/>
                  <w:szCs w:val="18"/>
                  <w:color w:val="0000EE"/>
                </w:rPr>
                <w:t>Amended and Restated 2006 Stock Plan.</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06/21/10</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10.5*</w:t>
            </w:r>
          </w:p>
        </w:tc>
        <w:tc>
          <w:tcPr>
            <w:tcW w:w="140" w:type="dxa"/>
            <w:vAlign w:val="bottom"/>
          </w:tcPr>
          <w:p>
            <w:pPr>
              <w:spacing w:after="0"/>
              <w:rPr>
                <w:sz w:val="24"/>
                <w:szCs w:val="24"/>
                <w:color w:val="auto"/>
              </w:rPr>
            </w:pPr>
          </w:p>
        </w:tc>
        <w:tc>
          <w:tcPr>
            <w:tcW w:w="3920" w:type="dxa"/>
            <w:vAlign w:val="bottom"/>
            <w:tcBorders>
              <w:bottom w:val="single" w:sz="8" w:color="0000EE"/>
            </w:tcBorders>
            <w:gridSpan w:val="12"/>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Form of Incentive Stock Option Agreement under 2006</w:t>
              </w:r>
            </w:hyperlink>
          </w:p>
        </w:tc>
        <w:tc>
          <w:tcPr>
            <w:tcW w:w="40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Stock 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10.2(a))</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10.6*</w:t>
            </w:r>
          </w:p>
        </w:tc>
        <w:tc>
          <w:tcPr>
            <w:tcW w:w="140" w:type="dxa"/>
            <w:vAlign w:val="bottom"/>
          </w:tcPr>
          <w:p>
            <w:pPr>
              <w:spacing w:after="0"/>
              <w:rPr>
                <w:sz w:val="24"/>
                <w:szCs w:val="24"/>
                <w:color w:val="auto"/>
              </w:rPr>
            </w:pPr>
          </w:p>
        </w:tc>
        <w:tc>
          <w:tcPr>
            <w:tcW w:w="4320" w:type="dxa"/>
            <w:vAlign w:val="bottom"/>
            <w:gridSpan w:val="22"/>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Form of Nonqualified Stock Option Agreement under 2006</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Stock Plan.</w:t>
              </w:r>
            </w:hyperlink>
          </w:p>
        </w:tc>
        <w:tc>
          <w:tcPr>
            <w:tcW w:w="10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10.2(b))</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10.7*</w:t>
            </w:r>
          </w:p>
        </w:tc>
        <w:tc>
          <w:tcPr>
            <w:tcW w:w="140" w:type="dxa"/>
            <w:vAlign w:val="bottom"/>
          </w:tcPr>
          <w:p>
            <w:pPr>
              <w:spacing w:after="0"/>
              <w:rPr>
                <w:sz w:val="24"/>
                <w:szCs w:val="24"/>
                <w:color w:val="auto"/>
              </w:rPr>
            </w:pPr>
          </w:p>
        </w:tc>
        <w:tc>
          <w:tcPr>
            <w:tcW w:w="4320" w:type="dxa"/>
            <w:vAlign w:val="bottom"/>
            <w:gridSpan w:val="22"/>
          </w:tcPr>
          <w:p>
            <w:pPr>
              <w:spacing w:after="0"/>
              <w:rPr>
                <w:rFonts w:ascii="Arial" w:cs="Arial" w:eastAsia="Arial" w:hAnsi="Arial"/>
                <w:sz w:val="18"/>
                <w:szCs w:val="18"/>
                <w:color w:val="0000EE"/>
                <w:w w:val="88"/>
              </w:rPr>
            </w:pPr>
            <w:hyperlink r:id="rId97">
              <w:r>
                <w:rPr>
                  <w:rFonts w:ascii="Arial" w:cs="Arial" w:eastAsia="Arial" w:hAnsi="Arial"/>
                  <w:sz w:val="18"/>
                  <w:szCs w:val="18"/>
                  <w:color w:val="0000EE"/>
                  <w:w w:val="88"/>
                </w:rPr>
                <w:t>Form of Restricted Stock Agreement under 2006 Stock Plan.</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w w:val="92"/>
              </w:rPr>
              <w:t>(Exhibit 10.2(c))</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4"/>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10.8*</w:t>
            </w:r>
          </w:p>
        </w:tc>
        <w:tc>
          <w:tcPr>
            <w:tcW w:w="140" w:type="dxa"/>
            <w:vAlign w:val="bottom"/>
          </w:tcPr>
          <w:p>
            <w:pPr>
              <w:spacing w:after="0"/>
              <w:rPr>
                <w:sz w:val="24"/>
                <w:szCs w:val="24"/>
                <w:color w:val="auto"/>
              </w:rPr>
            </w:pPr>
          </w:p>
        </w:tc>
        <w:tc>
          <w:tcPr>
            <w:tcW w:w="4300" w:type="dxa"/>
            <w:vAlign w:val="bottom"/>
            <w:tcBorders>
              <w:bottom w:val="single" w:sz="8" w:color="0000EE"/>
            </w:tcBorders>
            <w:gridSpan w:val="21"/>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Nonqualified Stock Option Agreement for Directors</w:t>
              </w:r>
            </w:hyperlink>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20" w:type="dxa"/>
            <w:vAlign w:val="bottom"/>
            <w:gridSpan w:val="22"/>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under 2006 Stock Plan.</w:t>
              </w:r>
            </w:hyperlink>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5"/>
              </w:rPr>
              <w:t>10.9*</w:t>
            </w:r>
          </w:p>
        </w:tc>
        <w:tc>
          <w:tcPr>
            <w:tcW w:w="140" w:type="dxa"/>
            <w:vAlign w:val="bottom"/>
          </w:tcPr>
          <w:p>
            <w:pPr>
              <w:spacing w:after="0"/>
              <w:rPr>
                <w:sz w:val="24"/>
                <w:szCs w:val="24"/>
                <w:color w:val="auto"/>
              </w:rPr>
            </w:pPr>
          </w:p>
        </w:tc>
        <w:tc>
          <w:tcPr>
            <w:tcW w:w="4320" w:type="dxa"/>
            <w:vAlign w:val="bottom"/>
            <w:gridSpan w:val="22"/>
          </w:tcPr>
          <w:p>
            <w:pPr>
              <w:spacing w:after="0"/>
              <w:rPr>
                <w:rFonts w:ascii="Arial" w:cs="Arial" w:eastAsia="Arial" w:hAnsi="Arial"/>
                <w:sz w:val="18"/>
                <w:szCs w:val="18"/>
                <w:color w:val="0000EE"/>
                <w:w w:val="97"/>
              </w:rPr>
            </w:pPr>
            <w:hyperlink r:id="rId99">
              <w:r>
                <w:rPr>
                  <w:rFonts w:ascii="Arial" w:cs="Arial" w:eastAsia="Arial" w:hAnsi="Arial"/>
                  <w:sz w:val="18"/>
                  <w:szCs w:val="18"/>
                  <w:color w:val="0000EE"/>
                  <w:w w:val="97"/>
                </w:rPr>
                <w:t>Form of Restricted Stock Agreement for Non-Employee</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S-1/A</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01/23/07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89"/>
              </w:rPr>
              <w:t>333-138894</w:t>
            </w:r>
          </w:p>
        </w:tc>
        <w:tc>
          <w:tcPr>
            <w:tcW w:w="11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Directors under 2006 Stock Plan.</w:t>
              </w:r>
            </w:hyperlink>
          </w:p>
        </w:tc>
        <w:tc>
          <w:tcPr>
            <w:tcW w:w="36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2"/>
              </w:rPr>
              <w:t>(Exhibit 10.2(e))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12"/>
        </w:trPr>
        <w:tc>
          <w:tcPr>
            <w:tcW w:w="1880" w:type="dxa"/>
            <w:vAlign w:val="bottom"/>
            <w:gridSpan w:val="2"/>
          </w:tcPr>
          <w:p>
            <w:pPr>
              <w:jc w:val="center"/>
              <w:ind w:left="1032"/>
              <w:spacing w:after="0"/>
              <w:rPr>
                <w:sz w:val="20"/>
                <w:szCs w:val="20"/>
                <w:color w:val="auto"/>
              </w:rPr>
            </w:pPr>
            <w:r>
              <w:rPr>
                <w:rFonts w:ascii="Arial" w:cs="Arial" w:eastAsia="Arial" w:hAnsi="Arial"/>
                <w:sz w:val="18"/>
                <w:szCs w:val="18"/>
                <w:color w:val="auto"/>
                <w:w w:val="92"/>
              </w:rPr>
              <w:t>10.10*</w:t>
            </w:r>
          </w:p>
        </w:tc>
        <w:tc>
          <w:tcPr>
            <w:tcW w:w="140" w:type="dxa"/>
            <w:vAlign w:val="bottom"/>
          </w:tcPr>
          <w:p>
            <w:pPr>
              <w:spacing w:after="0"/>
              <w:rPr>
                <w:sz w:val="24"/>
                <w:szCs w:val="24"/>
                <w:color w:val="auto"/>
              </w:rPr>
            </w:pPr>
          </w:p>
        </w:tc>
        <w:tc>
          <w:tcPr>
            <w:tcW w:w="2340" w:type="dxa"/>
            <w:vAlign w:val="bottom"/>
            <w:tcBorders>
              <w:top w:val="single" w:sz="8" w:color="0000EE"/>
            </w:tcBorders>
            <w:gridSpan w:val="7"/>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Amended 2015 Stock Plan</w:t>
              </w:r>
            </w:hyperlink>
          </w:p>
        </w:tc>
        <w:tc>
          <w:tcPr>
            <w:tcW w:w="1980" w:type="dxa"/>
            <w:vAlign w:val="bottom"/>
            <w:gridSpan w:val="1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07/05/17</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9"/>
              </w:rPr>
              <w:t>001-33277</w:t>
            </w:r>
          </w:p>
        </w:tc>
        <w:tc>
          <w:tcPr>
            <w:tcW w:w="1100" w:type="dxa"/>
            <w:vAlign w:val="bottom"/>
          </w:tcPr>
          <w:p>
            <w:pPr>
              <w:spacing w:after="0"/>
              <w:rPr>
                <w:sz w:val="24"/>
                <w:szCs w:val="24"/>
                <w:color w:val="auto"/>
              </w:rPr>
            </w:pPr>
          </w:p>
        </w:tc>
      </w:tr>
      <w:tr>
        <w:trPr>
          <w:trHeight w:val="235"/>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color w:val="auto"/>
              </w:rPr>
              <w:t>(Exhibit 10.1)</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75"/>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60" w:type="dxa"/>
            <w:vAlign w:val="bottom"/>
            <w:gridSpan w:val="13"/>
          </w:tcPr>
          <w:p>
            <w:pPr>
              <w:jc w:val="right"/>
              <w:ind w:right="1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20" w:type="dxa"/>
            <w:vAlign w:val="bottom"/>
            <w:gridSpan w:val="7"/>
          </w:tcPr>
          <w:p>
            <w:pPr>
              <w:jc w:val="center"/>
              <w:ind w:right="1920"/>
              <w:spacing w:after="0"/>
              <w:rPr>
                <w:sz w:val="20"/>
                <w:szCs w:val="20"/>
                <w:color w:val="auto"/>
              </w:rPr>
            </w:pPr>
            <w:r>
              <w:rPr>
                <w:rFonts w:ascii="Arial" w:cs="Arial" w:eastAsia="Arial" w:hAnsi="Arial"/>
                <w:sz w:val="14"/>
                <w:szCs w:val="14"/>
                <w:b w:val="1"/>
                <w:bCs w:val="1"/>
                <w:color w:val="auto"/>
                <w:w w:val="94"/>
              </w:rPr>
              <w:t>Exhibit</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center"/>
              <w:ind w:right="1200"/>
              <w:spacing w:after="0"/>
              <w:rPr>
                <w:sz w:val="20"/>
                <w:szCs w:val="20"/>
                <w:color w:val="auto"/>
              </w:rPr>
            </w:pPr>
            <w:r>
              <w:rPr>
                <w:rFonts w:ascii="Arial" w:cs="Arial" w:eastAsia="Arial" w:hAnsi="Arial"/>
                <w:sz w:val="14"/>
                <w:szCs w:val="14"/>
                <w:b w:val="1"/>
                <w:bCs w:val="1"/>
                <w:color w:val="auto"/>
                <w:w w:val="88"/>
              </w:rPr>
              <w:t>Description</w:t>
            </w:r>
          </w:p>
        </w:tc>
      </w:tr>
      <w:tr>
        <w:trPr>
          <w:trHeight w:val="169"/>
        </w:trPr>
        <w:tc>
          <w:tcPr>
            <w:tcW w:w="720" w:type="dxa"/>
            <w:vAlign w:val="bottom"/>
          </w:tcPr>
          <w:p>
            <w:pPr>
              <w:jc w:val="center"/>
              <w:spacing w:after="0" w:line="170" w:lineRule="exact"/>
              <w:rPr>
                <w:sz w:val="20"/>
                <w:szCs w:val="20"/>
                <w:color w:val="auto"/>
              </w:rPr>
            </w:pPr>
            <w:r>
              <w:rPr>
                <w:rFonts w:ascii="Arial" w:cs="Arial" w:eastAsia="Arial" w:hAnsi="Arial"/>
                <w:sz w:val="18"/>
                <w:szCs w:val="18"/>
                <w:color w:val="auto"/>
                <w:w w:val="92"/>
              </w:rPr>
              <w:t>10.11*</w:t>
            </w:r>
          </w:p>
        </w:tc>
        <w:tc>
          <w:tcPr>
            <w:tcW w:w="160" w:type="dxa"/>
            <w:vAlign w:val="bottom"/>
          </w:tcPr>
          <w:p>
            <w:pPr>
              <w:spacing w:after="0"/>
              <w:rPr>
                <w:sz w:val="14"/>
                <w:szCs w:val="14"/>
                <w:color w:val="auto"/>
              </w:rPr>
            </w:pPr>
          </w:p>
        </w:tc>
        <w:tc>
          <w:tcPr>
            <w:tcW w:w="4420" w:type="dxa"/>
            <w:vAlign w:val="bottom"/>
            <w:gridSpan w:val="10"/>
          </w:tcPr>
          <w:p>
            <w:pPr>
              <w:spacing w:after="0" w:line="170"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Form of Incentive Stock Option Agreement under Amended</w:t>
              </w:r>
            </w:hyperlink>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2015 Stock Plan.</w:t>
              </w:r>
            </w:hyperlink>
          </w:p>
        </w:tc>
        <w:tc>
          <w:tcPr>
            <w:tcW w:w="20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10.12*</w:t>
            </w:r>
          </w:p>
        </w:tc>
        <w:tc>
          <w:tcPr>
            <w:tcW w:w="160" w:type="dxa"/>
            <w:vAlign w:val="bottom"/>
          </w:tcPr>
          <w:p>
            <w:pPr>
              <w:spacing w:after="0"/>
              <w:rPr>
                <w:sz w:val="24"/>
                <w:szCs w:val="24"/>
                <w:color w:val="auto"/>
              </w:rPr>
            </w:pPr>
          </w:p>
        </w:tc>
        <w:tc>
          <w:tcPr>
            <w:tcW w:w="3780" w:type="dxa"/>
            <w:vAlign w:val="bottom"/>
            <w:tcBorders>
              <w:bottom w:val="single" w:sz="8" w:color="0000EE"/>
            </w:tcBorders>
            <w:gridSpan w:val="5"/>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Form of Nonqualified Stock Option Agreement under</w:t>
              </w:r>
            </w:hyperlink>
          </w:p>
        </w:tc>
        <w:tc>
          <w:tcPr>
            <w:tcW w:w="64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20" w:type="dxa"/>
            <w:vAlign w:val="bottom"/>
            <w:gridSpan w:val="1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Amended 2015 Stock Plan.</w:t>
              </w:r>
            </w:hyperlink>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10.13*</w:t>
            </w:r>
          </w:p>
        </w:tc>
        <w:tc>
          <w:tcPr>
            <w:tcW w:w="160" w:type="dxa"/>
            <w:vAlign w:val="bottom"/>
          </w:tcPr>
          <w:p>
            <w:pPr>
              <w:spacing w:after="0"/>
              <w:rPr>
                <w:sz w:val="24"/>
                <w:szCs w:val="24"/>
                <w:color w:val="auto"/>
              </w:rPr>
            </w:pPr>
          </w:p>
        </w:tc>
        <w:tc>
          <w:tcPr>
            <w:tcW w:w="4420" w:type="dxa"/>
            <w:vAlign w:val="bottom"/>
            <w:gridSpan w:val="10"/>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Form of Restricted Stock Agreement under Amended 2015</w:t>
              </w:r>
            </w:hyperlink>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Stock Plan.</w:t>
              </w:r>
            </w:hyperlink>
          </w:p>
        </w:tc>
        <w:tc>
          <w:tcPr>
            <w:tcW w:w="28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10.14*</w:t>
            </w:r>
          </w:p>
        </w:tc>
        <w:tc>
          <w:tcPr>
            <w:tcW w:w="160" w:type="dxa"/>
            <w:vAlign w:val="bottom"/>
          </w:tcPr>
          <w:p>
            <w:pPr>
              <w:spacing w:after="0"/>
              <w:rPr>
                <w:sz w:val="24"/>
                <w:szCs w:val="24"/>
                <w:color w:val="auto"/>
              </w:rPr>
            </w:pPr>
          </w:p>
        </w:tc>
        <w:tc>
          <w:tcPr>
            <w:tcW w:w="4280" w:type="dxa"/>
            <w:vAlign w:val="bottom"/>
            <w:tcBorders>
              <w:bottom w:val="single" w:sz="8" w:color="0000EE"/>
            </w:tcBorders>
            <w:gridSpan w:val="9"/>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Form of Nonqualified Stock Option Agreement for Directors</w:t>
              </w:r>
            </w:hyperlink>
          </w:p>
        </w:tc>
        <w:tc>
          <w:tcPr>
            <w:tcW w:w="1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under Amended 2015 Stock Plan.</w:t>
              </w:r>
            </w:hyperlink>
          </w:p>
        </w:tc>
        <w:tc>
          <w:tcPr>
            <w:tcW w:w="2060" w:type="dxa"/>
            <w:vAlign w:val="bottom"/>
            <w:gridSpan w:val="6"/>
          </w:tcPr>
          <w:p>
            <w:pPr>
              <w:spacing w:after="0"/>
              <w:rPr>
                <w:sz w:val="17"/>
                <w:szCs w:val="17"/>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10.15*</w:t>
            </w:r>
          </w:p>
        </w:tc>
        <w:tc>
          <w:tcPr>
            <w:tcW w:w="160" w:type="dxa"/>
            <w:vAlign w:val="bottom"/>
          </w:tcPr>
          <w:p>
            <w:pPr>
              <w:spacing w:after="0"/>
              <w:rPr>
                <w:sz w:val="24"/>
                <w:szCs w:val="24"/>
                <w:color w:val="auto"/>
              </w:rPr>
            </w:pPr>
          </w:p>
        </w:tc>
        <w:tc>
          <w:tcPr>
            <w:tcW w:w="4420" w:type="dxa"/>
            <w:vAlign w:val="bottom"/>
            <w:gridSpan w:val="10"/>
          </w:tcPr>
          <w:p>
            <w:pPr>
              <w:spacing w:after="0"/>
              <w:rPr>
                <w:rFonts w:ascii="Arial" w:cs="Arial" w:eastAsia="Arial" w:hAnsi="Arial"/>
                <w:sz w:val="18"/>
                <w:szCs w:val="18"/>
                <w:color w:val="0000EE"/>
                <w:w w:val="95"/>
              </w:rPr>
            </w:pPr>
            <w:hyperlink r:id="rId107">
              <w:r>
                <w:rPr>
                  <w:rFonts w:ascii="Arial" w:cs="Arial" w:eastAsia="Arial" w:hAnsi="Arial"/>
                  <w:sz w:val="18"/>
                  <w:szCs w:val="18"/>
                  <w:color w:val="0000EE"/>
                  <w:w w:val="95"/>
                </w:rPr>
                <w:t>Form of Restricted Stock Unit Agreement under Amended</w:t>
              </w:r>
            </w:hyperlink>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2015 Stock Plan.</w:t>
              </w:r>
            </w:hyperlink>
          </w:p>
        </w:tc>
        <w:tc>
          <w:tcPr>
            <w:tcW w:w="320" w:type="dxa"/>
            <w:vAlign w:val="bottom"/>
            <w:gridSpan w:val="4"/>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Agreements with Executive Officers and Directors</w:t>
      </w:r>
    </w:p>
    <w:p>
      <w:pPr>
        <w:spacing w:after="0" w:line="225" w:lineRule="exact"/>
        <w:rPr>
          <w:sz w:val="20"/>
          <w:szCs w:val="20"/>
          <w:color w:val="auto"/>
        </w:rPr>
      </w:pPr>
    </w:p>
    <w:p>
      <w:pPr>
        <w:ind w:left="1260"/>
        <w:spacing w:after="0"/>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08">
        <w:r>
          <w:rPr>
            <w:rFonts w:ascii="Arial" w:cs="Arial" w:eastAsia="Arial" w:hAnsi="Arial"/>
            <w:sz w:val="16"/>
            <w:szCs w:val="16"/>
            <w:u w:val="single" w:color="auto"/>
            <w:color w:val="0000EE"/>
          </w:rPr>
          <w:t>Non-Qualified Stock Option Agreement, dated February 27,</w:t>
        </w:r>
      </w:hyperlink>
    </w:p>
    <w:p>
      <w:pPr>
        <w:spacing w:after="0" w:line="15" w:lineRule="exact"/>
        <w:rPr>
          <w:sz w:val="20"/>
          <w:szCs w:val="20"/>
          <w:color w:val="auto"/>
        </w:rPr>
      </w:pPr>
    </w:p>
    <w:p>
      <w:pPr>
        <w:ind w:left="2020"/>
        <w:spacing w:after="0"/>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2008, by and between the Registrant and Keith R. Gollust.</w:t>
        </w:r>
      </w:hyperlink>
    </w:p>
    <w:p>
      <w:pPr>
        <w:spacing w:after="0" w:line="242" w:lineRule="exact"/>
        <w:rPr>
          <w:sz w:val="20"/>
          <w:szCs w:val="20"/>
          <w:color w:val="auto"/>
        </w:rPr>
      </w:pPr>
    </w:p>
    <w:p>
      <w:pPr>
        <w:jc w:val="center"/>
        <w:ind w:left="1100"/>
        <w:spacing w:after="0"/>
        <w:tabs>
          <w:tab w:leader="none" w:pos="260" w:val="left"/>
        </w:tabs>
        <w:rPr>
          <w:rFonts w:ascii="Arial" w:cs="Arial" w:eastAsia="Arial" w:hAnsi="Arial"/>
          <w:sz w:val="15"/>
          <w:szCs w:val="15"/>
          <w:u w:val="single" w:color="auto"/>
          <w:color w:val="0000EE"/>
        </w:rPr>
      </w:pPr>
      <w:r>
        <w:rPr>
          <w:rFonts w:ascii="Arial" w:cs="Arial" w:eastAsia="Arial" w:hAnsi="Arial"/>
          <w:sz w:val="18"/>
          <w:szCs w:val="18"/>
          <w:color w:val="auto"/>
        </w:rPr>
        <w:t>10.20*</w:t>
      </w:r>
      <w:r>
        <w:rPr>
          <w:sz w:val="20"/>
          <w:szCs w:val="20"/>
          <w:color w:val="auto"/>
        </w:rPr>
        <w:tab/>
      </w:r>
      <w:hyperlink r:id="rId109">
        <w:r>
          <w:rPr>
            <w:rFonts w:ascii="Arial" w:cs="Arial" w:eastAsia="Arial" w:hAnsi="Arial"/>
            <w:sz w:val="15"/>
            <w:szCs w:val="15"/>
            <w:u w:val="single" w:color="auto"/>
            <w:color w:val="0000EE"/>
          </w:rPr>
          <w:t>Letter Agreement, dated November 24, 2014, between Synta</w:t>
        </w:r>
      </w:hyperlink>
    </w:p>
    <w:p>
      <w:pPr>
        <w:spacing w:after="0" w:line="15" w:lineRule="exact"/>
        <w:rPr>
          <w:sz w:val="20"/>
          <w:szCs w:val="20"/>
          <w:color w:val="auto"/>
        </w:rPr>
      </w:pPr>
    </w:p>
    <w:p>
      <w:pPr>
        <w:jc w:val="center"/>
        <w:ind w:left="1040"/>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Pharmaceuticals Corp. and Marc R. Schneebaum</w:t>
        </w:r>
      </w:hyperlink>
    </w:p>
    <w:p>
      <w:pPr>
        <w:spacing w:after="0" w:line="219" w:lineRule="exact"/>
        <w:rPr>
          <w:sz w:val="20"/>
          <w:szCs w:val="20"/>
          <w:color w:val="auto"/>
        </w:rPr>
      </w:pPr>
    </w:p>
    <w:p>
      <w:pPr>
        <w:ind w:left="2020" w:right="280" w:hanging="760"/>
        <w:spacing w:after="0" w:line="259" w:lineRule="auto"/>
        <w:tabs>
          <w:tab w:leader="none" w:pos="20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10">
        <w:r>
          <w:rPr>
            <w:rFonts w:ascii="Arial" w:cs="Arial" w:eastAsia="Arial" w:hAnsi="Arial"/>
            <w:sz w:val="18"/>
            <w:szCs w:val="18"/>
            <w:u w:val="single" w:color="auto"/>
            <w:color w:val="0000EE"/>
          </w:rPr>
          <w:t>Severance and Change of Control Agreement, dated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November 24, 2014, between Synta Pharmaceuticals Corp.</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and Marc R. Schneebaum.</w:t>
        </w:r>
      </w:hyperlink>
    </w:p>
    <w:p>
      <w:pPr>
        <w:spacing w:after="0" w:line="194" w:lineRule="exact"/>
        <w:rPr>
          <w:rFonts w:ascii="Arial" w:cs="Arial" w:eastAsia="Arial" w:hAnsi="Arial"/>
          <w:sz w:val="18"/>
          <w:szCs w:val="18"/>
          <w:u w:val="single" w:color="auto"/>
          <w:color w:val="0000EE"/>
        </w:rPr>
      </w:pPr>
    </w:p>
    <w:p>
      <w:pPr>
        <w:ind w:left="2020" w:right="220" w:hanging="760"/>
        <w:spacing w:after="0" w:line="332" w:lineRule="auto"/>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11">
        <w:r>
          <w:rPr>
            <w:rFonts w:ascii="Arial" w:cs="Arial" w:eastAsia="Arial" w:hAnsi="Arial"/>
            <w:sz w:val="16"/>
            <w:szCs w:val="16"/>
            <w:u w:val="single" w:color="auto"/>
            <w:color w:val="0000EE"/>
          </w:rPr>
          <w:t>Form of Indemnification Agreement between the Registrant</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and certain directors and executive officers.</w:t>
        </w:r>
      </w:hyperlink>
    </w:p>
    <w:p>
      <w:pPr>
        <w:spacing w:after="0" w:line="139" w:lineRule="exact"/>
        <w:rPr>
          <w:sz w:val="20"/>
          <w:szCs w:val="20"/>
          <w:color w:val="auto"/>
        </w:rPr>
      </w:pPr>
    </w:p>
    <w:p>
      <w:pPr>
        <w:ind w:left="2020" w:right="140" w:hanging="760"/>
        <w:spacing w:after="0" w:line="306" w:lineRule="auto"/>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12">
        <w:r>
          <w:rPr>
            <w:rFonts w:ascii="Arial" w:cs="Arial" w:eastAsia="Arial" w:hAnsi="Arial"/>
            <w:sz w:val="16"/>
            <w:szCs w:val="16"/>
            <w:u w:val="single" w:color="auto"/>
            <w:color w:val="0000EE"/>
          </w:rPr>
          <w:t>Non-Qualified Stock Option Agreement (outside of the</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Amended and Restated 2006 Stock Plan), dated December 8,</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2014, between the Registrant and Marc Schneebaum.</w:t>
        </w:r>
      </w:hyperlink>
    </w:p>
    <w:p>
      <w:pPr>
        <w:spacing w:after="0" w:line="377" w:lineRule="exact"/>
        <w:rPr>
          <w:rFonts w:ascii="Arial" w:cs="Arial" w:eastAsia="Arial" w:hAnsi="Arial"/>
          <w:sz w:val="16"/>
          <w:szCs w:val="16"/>
          <w:u w:val="single" w:color="auto"/>
          <w:color w:val="0000EE"/>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395"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line="201" w:lineRule="exact"/>
              <w:rPr>
                <w:sz w:val="20"/>
                <w:szCs w:val="20"/>
                <w:color w:val="auto"/>
              </w:rPr>
            </w:pPr>
            <w:r>
              <w:rPr>
                <w:rFonts w:ascii="Arial" w:cs="Arial" w:eastAsia="Arial" w:hAnsi="Arial"/>
                <w:sz w:val="18"/>
                <w:szCs w:val="18"/>
                <w:color w:val="auto"/>
              </w:rPr>
              <w:t>Form 10-K</w:t>
            </w:r>
          </w:p>
        </w:tc>
        <w:tc>
          <w:tcPr>
            <w:tcW w:w="16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8"/>
              </w:rPr>
              <w:t>03/31/17</w:t>
            </w:r>
          </w:p>
        </w:tc>
        <w:tc>
          <w:tcPr>
            <w:tcW w:w="160" w:type="dxa"/>
            <w:vAlign w:val="bottom"/>
          </w:tcPr>
          <w:p>
            <w:pPr>
              <w:spacing w:after="0"/>
              <w:rPr>
                <w:sz w:val="17"/>
                <w:szCs w:val="17"/>
                <w:color w:val="auto"/>
              </w:rPr>
            </w:pPr>
          </w:p>
        </w:tc>
        <w:tc>
          <w:tcPr>
            <w:tcW w:w="880" w:type="dxa"/>
            <w:vAlign w:val="bottom"/>
          </w:tcPr>
          <w:p>
            <w:pPr>
              <w:jc w:val="right"/>
              <w:ind w:right="47"/>
              <w:spacing w:after="0" w:line="201" w:lineRule="exact"/>
              <w:rPr>
                <w:sz w:val="20"/>
                <w:szCs w:val="20"/>
                <w:color w:val="auto"/>
              </w:rPr>
            </w:pPr>
            <w:r>
              <w:rPr>
                <w:rFonts w:ascii="Arial" w:cs="Arial" w:eastAsia="Arial" w:hAnsi="Arial"/>
                <w:sz w:val="18"/>
                <w:szCs w:val="18"/>
                <w:color w:val="auto"/>
                <w:w w:val="85"/>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1"/>
              </w:rPr>
              <w:t>(Exhibit 10.10)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1"/>
              </w:rPr>
              <w:t>(Exhibit 10.11)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1"/>
              </w:rPr>
              <w:t>(Exhibit 10.12)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03/31/17</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1"/>
              </w:rPr>
              <w:t>(Exhibit 10.13)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10-Q</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05/10/16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858"/>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03/20/08</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12/04/14</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12/04/14</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42"/>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07/22/16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9"/>
              </w:rPr>
              <w:t>(Exhibit 10.2)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Form 10-K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03/12/15</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w w:val="91"/>
              </w:rPr>
              <w:t>(Exhibit 10.46)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ectPr>
          <w:pgSz w:w="11900" w:h="16838" w:orient="portrait"/>
          <w:cols w:equalWidth="0" w:num="2">
            <w:col w:w="6460" w:space="160"/>
            <w:col w:w="3700"/>
          </w:cols>
          <w:pgMar w:left="240" w:top="131" w:right="1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80" w:type="dxa"/>
            <w:vAlign w:val="bottom"/>
            <w:gridSpan w:val="13"/>
          </w:tcPr>
          <w:p>
            <w:pPr>
              <w:jc w:val="center"/>
              <w:ind w:right="2060"/>
              <w:spacing w:after="0"/>
              <w:rPr>
                <w:sz w:val="20"/>
                <w:szCs w:val="20"/>
                <w:color w:val="auto"/>
              </w:rPr>
            </w:pPr>
            <w:r>
              <w:rPr>
                <w:rFonts w:ascii="Arial" w:cs="Arial" w:eastAsia="Arial" w:hAnsi="Arial"/>
                <w:sz w:val="14"/>
                <w:szCs w:val="14"/>
                <w:b w:val="1"/>
                <w:bCs w:val="1"/>
                <w:color w:val="auto"/>
                <w:w w:val="89"/>
              </w:rPr>
              <w:t>Exhibit</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4"/>
          </w:tcPr>
          <w:p>
            <w:pPr>
              <w:jc w:val="center"/>
              <w:ind w:right="1420"/>
              <w:spacing w:after="0"/>
              <w:rPr>
                <w:sz w:val="20"/>
                <w:szCs w:val="20"/>
                <w:color w:val="auto"/>
              </w:rPr>
            </w:pPr>
            <w:r>
              <w:rPr>
                <w:rFonts w:ascii="Arial" w:cs="Arial" w:eastAsia="Arial" w:hAnsi="Arial"/>
                <w:sz w:val="14"/>
                <w:szCs w:val="14"/>
                <w:b w:val="1"/>
                <w:bCs w:val="1"/>
                <w:color w:val="auto"/>
                <w:w w:val="85"/>
              </w:rPr>
              <w:t>Description</w:t>
            </w:r>
          </w:p>
        </w:tc>
      </w:tr>
      <w:tr>
        <w:trPr>
          <w:trHeight w:val="169"/>
        </w:trPr>
        <w:tc>
          <w:tcPr>
            <w:tcW w:w="720" w:type="dxa"/>
            <w:vAlign w:val="bottom"/>
          </w:tcPr>
          <w:p>
            <w:pPr>
              <w:jc w:val="center"/>
              <w:spacing w:after="0" w:line="170" w:lineRule="exact"/>
              <w:rPr>
                <w:sz w:val="20"/>
                <w:szCs w:val="20"/>
                <w:color w:val="auto"/>
              </w:rPr>
            </w:pPr>
            <w:r>
              <w:rPr>
                <w:rFonts w:ascii="Arial" w:cs="Arial" w:eastAsia="Arial" w:hAnsi="Arial"/>
                <w:sz w:val="18"/>
                <w:szCs w:val="18"/>
                <w:color w:val="auto"/>
                <w:w w:val="92"/>
              </w:rPr>
              <w:t>10.26*</w:t>
            </w:r>
          </w:p>
        </w:tc>
        <w:tc>
          <w:tcPr>
            <w:tcW w:w="1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220" w:type="dxa"/>
            <w:vAlign w:val="bottom"/>
            <w:tcBorders>
              <w:bottom w:val="single" w:sz="8" w:color="0000EE"/>
            </w:tcBorders>
            <w:gridSpan w:val="13"/>
          </w:tcPr>
          <w:p>
            <w:pPr>
              <w:spacing w:after="0" w:line="170" w:lineRule="exact"/>
              <w:rPr>
                <w:rFonts w:ascii="Arial" w:cs="Arial" w:eastAsia="Arial" w:hAnsi="Arial"/>
                <w:sz w:val="18"/>
                <w:szCs w:val="18"/>
                <w:color w:val="0000EE"/>
                <w:w w:val="87"/>
              </w:rPr>
            </w:pPr>
            <w:hyperlink r:id="rId114">
              <w:r>
                <w:rPr>
                  <w:rFonts w:ascii="Arial" w:cs="Arial" w:eastAsia="Arial" w:hAnsi="Arial"/>
                  <w:sz w:val="18"/>
                  <w:szCs w:val="18"/>
                  <w:color w:val="0000EE"/>
                  <w:w w:val="87"/>
                </w:rPr>
                <w:t>Letter Agreement, dated April 13, 2016, by and between the</w:t>
              </w:r>
            </w:hyperlink>
          </w:p>
        </w:tc>
        <w:tc>
          <w:tcPr>
            <w:tcW w:w="300" w:type="dxa"/>
            <w:vAlign w:val="bottom"/>
            <w:gridSpan w:val="3"/>
          </w:tcPr>
          <w:p>
            <w:pPr>
              <w:spacing w:after="0"/>
              <w:rPr>
                <w:sz w:val="14"/>
                <w:szCs w:val="14"/>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Company and Paul A. Friedman, M.D.</w:t>
              </w:r>
            </w:hyperlink>
          </w:p>
        </w:tc>
        <w:tc>
          <w:tcPr>
            <w:tcW w:w="1800" w:type="dxa"/>
            <w:vAlign w:val="bottom"/>
            <w:gridSpan w:val="10"/>
          </w:tcPr>
          <w:p>
            <w:pPr>
              <w:spacing w:after="0"/>
              <w:rPr>
                <w:sz w:val="17"/>
                <w:szCs w:val="17"/>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10.27*</w:t>
            </w:r>
          </w:p>
        </w:tc>
        <w:tc>
          <w:tcPr>
            <w:tcW w:w="14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8"/>
              </w:rPr>
            </w:pPr>
            <w:hyperlink r:id="rId115">
              <w:r>
                <w:rPr>
                  <w:rFonts w:ascii="Arial" w:cs="Arial" w:eastAsia="Arial" w:hAnsi="Arial"/>
                  <w:sz w:val="18"/>
                  <w:szCs w:val="18"/>
                  <w:color w:val="0000EE"/>
                  <w:w w:val="88"/>
                </w:rPr>
                <w:t>Letter Agreement, dated April 13, 2016, by and between the</w:t>
              </w:r>
            </w:hyperlink>
          </w:p>
        </w:tc>
        <w:tc>
          <w:tcPr>
            <w:tcW w:w="3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Company and Rebecca Taub, M.D.</w:t>
              </w:r>
            </w:hyperlink>
          </w:p>
        </w:tc>
        <w:tc>
          <w:tcPr>
            <w:tcW w:w="2060" w:type="dxa"/>
            <w:vAlign w:val="bottom"/>
            <w:gridSpan w:val="12"/>
          </w:tcPr>
          <w:p>
            <w:pPr>
              <w:spacing w:after="0"/>
              <w:rPr>
                <w:sz w:val="17"/>
                <w:szCs w:val="17"/>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40" w:type="dxa"/>
            <w:vAlign w:val="bottom"/>
          </w:tcPr>
          <w:p>
            <w:pPr>
              <w:spacing w:after="0"/>
              <w:rPr>
                <w:sz w:val="24"/>
                <w:szCs w:val="24"/>
                <w:color w:val="auto"/>
              </w:rPr>
            </w:pPr>
          </w:p>
        </w:tc>
        <w:tc>
          <w:tcPr>
            <w:tcW w:w="14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List of Subsidiaries.</w:t>
              </w:r>
            </w:hyperlink>
          </w:p>
        </w:tc>
        <w:tc>
          <w:tcPr>
            <w:tcW w:w="3120" w:type="dxa"/>
            <w:vAlign w:val="bottom"/>
            <w:gridSpan w:val="14"/>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40" w:type="dxa"/>
            <w:vAlign w:val="bottom"/>
          </w:tcPr>
          <w:p>
            <w:pPr>
              <w:spacing w:after="0"/>
              <w:rPr>
                <w:sz w:val="24"/>
                <w:szCs w:val="24"/>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Consent of PricewaterhouseCoopers LLP, Independent</w:t>
              </w:r>
            </w:hyperlink>
          </w:p>
        </w:tc>
        <w:tc>
          <w:tcPr>
            <w:tcW w:w="66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17"/>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Registered Public Accounting Firm.</w:t>
              </w:r>
            </w:hyperlink>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4540" w:type="dxa"/>
            <w:vAlign w:val="bottom"/>
            <w:gridSpan w:val="17"/>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Certification of Principal Executive Officer required by</w:t>
              </w:r>
            </w:hyperlink>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17"/>
          </w:tcPr>
          <w:p>
            <w:pPr>
              <w:spacing w:after="0" w:line="19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Rule 13a-14(a) or Rule 15d-14(a) of the Securities Exchange</w:t>
              </w:r>
            </w:hyperlink>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05">
              <w:r>
                <w:rPr>
                  <w:rFonts w:ascii="Arial" w:cs="Arial" w:eastAsia="Arial" w:hAnsi="Arial"/>
                  <w:sz w:val="18"/>
                  <w:szCs w:val="18"/>
                  <w:color w:val="0000EE"/>
                  <w:w w:val="87"/>
                </w:rPr>
                <w:t>Act of 1934, as adopted pursuant to Section 302 of the</w:t>
              </w:r>
            </w:hyperlink>
          </w:p>
        </w:tc>
        <w:tc>
          <w:tcPr>
            <w:tcW w:w="440" w:type="dxa"/>
            <w:vAlign w:val="bottom"/>
            <w:tcBorders>
              <w:top w:val="single" w:sz="8" w:color="0000EE"/>
            </w:tcBorders>
            <w:gridSpan w:val="7"/>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Sarbanes-Oxley Act of 2002.</w:t>
              </w:r>
            </w:hyperlink>
          </w:p>
        </w:tc>
        <w:tc>
          <w:tcPr>
            <w:tcW w:w="2480" w:type="dxa"/>
            <w:vAlign w:val="bottom"/>
            <w:gridSpan w:val="13"/>
          </w:tcPr>
          <w:p>
            <w:pPr>
              <w:spacing w:after="0"/>
              <w:rPr>
                <w:sz w:val="17"/>
                <w:szCs w:val="17"/>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38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Principal Financial Officer pursuant to</w:t>
              </w:r>
            </w:hyperlink>
          </w:p>
        </w:tc>
        <w:tc>
          <w:tcPr>
            <w:tcW w:w="68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40" w:type="dxa"/>
            <w:vAlign w:val="bottom"/>
            <w:gridSpan w:val="17"/>
          </w:tcPr>
          <w:p>
            <w:pPr>
              <w:spacing w:after="0" w:line="196"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Rule 13a-14(a) or Rule 15d-14(a) of the Securities Exchange</w:t>
              </w:r>
            </w:hyperlink>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Act of 1934, as adopted pursuant to Section 302 of the</w:t>
              </w:r>
            </w:hyperlink>
          </w:p>
        </w:tc>
        <w:tc>
          <w:tcPr>
            <w:tcW w:w="440" w:type="dxa"/>
            <w:vAlign w:val="bottom"/>
            <w:tcBorders>
              <w:top w:val="single" w:sz="8" w:color="0000EE"/>
            </w:tcBorders>
            <w:gridSpan w:val="7"/>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Sarbanes-Oxley Act of 2002.</w:t>
              </w:r>
            </w:hyperlink>
          </w:p>
        </w:tc>
        <w:tc>
          <w:tcPr>
            <w:tcW w:w="2480" w:type="dxa"/>
            <w:vAlign w:val="bottom"/>
            <w:gridSpan w:val="13"/>
          </w:tcPr>
          <w:p>
            <w:pPr>
              <w:spacing w:after="0"/>
              <w:rPr>
                <w:sz w:val="17"/>
                <w:szCs w:val="17"/>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40" w:type="dxa"/>
            <w:vAlign w:val="bottom"/>
          </w:tcPr>
          <w:p>
            <w:pPr>
              <w:spacing w:after="0"/>
              <w:rPr>
                <w:sz w:val="24"/>
                <w:szCs w:val="24"/>
                <w:color w:val="auto"/>
              </w:rPr>
            </w:pPr>
          </w:p>
        </w:tc>
        <w:tc>
          <w:tcPr>
            <w:tcW w:w="4100" w:type="dxa"/>
            <w:vAlign w:val="bottom"/>
            <w:tcBorders>
              <w:bottom w:val="single" w:sz="8" w:color="0000EE"/>
            </w:tcBorders>
            <w:gridSpan w:val="13"/>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Certifications of Principal Executive Officer and Principal</w:t>
              </w:r>
            </w:hyperlink>
          </w:p>
        </w:tc>
        <w:tc>
          <w:tcPr>
            <w:tcW w:w="44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Financial Officer pursuant to 18 U.S.C. Section 1350, as</w:t>
              </w:r>
            </w:hyperlink>
          </w:p>
        </w:tc>
        <w:tc>
          <w:tcPr>
            <w:tcW w:w="560" w:type="dxa"/>
            <w:vAlign w:val="bottom"/>
            <w:gridSpan w:val="5"/>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adopted pursuant to Section 906 of the Sarbanes-Oxley Act of</w:t>
              </w:r>
            </w:hyperlink>
          </w:p>
        </w:tc>
        <w:tc>
          <w:tcPr>
            <w:tcW w:w="16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16">
              <w:r>
                <w:rPr>
                  <w:rFonts w:ascii="Arial" w:cs="Arial" w:eastAsia="Arial" w:hAnsi="Arial"/>
                  <w:sz w:val="18"/>
                  <w:szCs w:val="18"/>
                  <w:color w:val="0000EE"/>
                  <w:w w:val="84"/>
                </w:rPr>
                <w:t>2002.</w:t>
              </w:r>
            </w:hyperlink>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1"/>
        </w:trPr>
        <w:tc>
          <w:tcPr>
            <w:tcW w:w="720" w:type="dxa"/>
            <w:vAlign w:val="bottom"/>
          </w:tcPr>
          <w:p>
            <w:pPr>
              <w:jc w:val="center"/>
              <w:spacing w:after="0"/>
              <w:rPr>
                <w:sz w:val="20"/>
                <w:szCs w:val="20"/>
                <w:color w:val="auto"/>
              </w:rPr>
            </w:pPr>
            <w:r>
              <w:rPr>
                <w:rFonts w:ascii="Arial" w:cs="Arial" w:eastAsia="Arial" w:hAnsi="Arial"/>
                <w:sz w:val="18"/>
                <w:szCs w:val="18"/>
                <w:color w:val="auto"/>
                <w:w w:val="89"/>
              </w:rPr>
              <w:t>101.INS</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40" w:type="dxa"/>
            <w:vAlign w:val="bottom"/>
          </w:tcPr>
          <w:p>
            <w:pPr>
              <w:spacing w:after="0"/>
              <w:rPr>
                <w:sz w:val="24"/>
                <w:szCs w:val="24"/>
                <w:color w:val="auto"/>
              </w:rPr>
            </w:pPr>
          </w:p>
        </w:tc>
        <w:tc>
          <w:tcPr>
            <w:tcW w:w="454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675"/>
        </w:trPr>
        <w:tc>
          <w:tcPr>
            <w:tcW w:w="720" w:type="dxa"/>
            <w:vAlign w:val="bottom"/>
          </w:tcPr>
          <w:p>
            <w:pPr>
              <w:spacing w:after="0"/>
              <w:rPr>
                <w:sz w:val="24"/>
                <w:szCs w:val="24"/>
                <w:color w:val="auto"/>
              </w:rPr>
            </w:pPr>
          </w:p>
        </w:tc>
        <w:tc>
          <w:tcPr>
            <w:tcW w:w="3980" w:type="dxa"/>
            <w:vAlign w:val="bottom"/>
            <w:gridSpan w:val="9"/>
          </w:tcPr>
          <w:p>
            <w:pPr>
              <w:jc w:val="right"/>
              <w:ind w:right="6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60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84"/>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Filed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line="201" w:lineRule="exact"/>
              <w:rPr>
                <w:sz w:val="20"/>
                <w:szCs w:val="20"/>
                <w:color w:val="auto"/>
              </w:rPr>
            </w:pPr>
            <w:r>
              <w:rPr>
                <w:rFonts w:ascii="Arial" w:cs="Arial" w:eastAsia="Arial" w:hAnsi="Arial"/>
                <w:sz w:val="18"/>
                <w:szCs w:val="18"/>
                <w:color w:val="auto"/>
              </w:rPr>
              <w:t>Form 8-K</w:t>
            </w:r>
          </w:p>
        </w:tc>
        <w:tc>
          <w:tcPr>
            <w:tcW w:w="160" w:type="dxa"/>
            <w:vAlign w:val="bottom"/>
          </w:tcPr>
          <w:p>
            <w:pPr>
              <w:spacing w:after="0"/>
              <w:rPr>
                <w:sz w:val="17"/>
                <w:szCs w:val="17"/>
                <w:color w:val="auto"/>
              </w:rPr>
            </w:pP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88"/>
              </w:rPr>
              <w:t>07/22/16</w:t>
            </w:r>
          </w:p>
        </w:tc>
        <w:tc>
          <w:tcPr>
            <w:tcW w:w="160" w:type="dxa"/>
            <w:vAlign w:val="bottom"/>
          </w:tcPr>
          <w:p>
            <w:pPr>
              <w:spacing w:after="0"/>
              <w:rPr>
                <w:sz w:val="17"/>
                <w:szCs w:val="17"/>
                <w:color w:val="auto"/>
              </w:rPr>
            </w:pPr>
          </w:p>
        </w:tc>
        <w:tc>
          <w:tcPr>
            <w:tcW w:w="880" w:type="dxa"/>
            <w:vAlign w:val="bottom"/>
          </w:tcPr>
          <w:p>
            <w:pPr>
              <w:jc w:val="right"/>
              <w:ind w:right="47"/>
              <w:spacing w:after="0" w:line="201" w:lineRule="exact"/>
              <w:rPr>
                <w:sz w:val="20"/>
                <w:szCs w:val="20"/>
                <w:color w:val="auto"/>
              </w:rPr>
            </w:pPr>
            <w:r>
              <w:rPr>
                <w:rFonts w:ascii="Arial" w:cs="Arial" w:eastAsia="Arial" w:hAnsi="Arial"/>
                <w:sz w:val="18"/>
                <w:szCs w:val="18"/>
                <w:color w:val="auto"/>
                <w:w w:val="85"/>
              </w:rPr>
              <w:t>001-33277</w:t>
            </w:r>
          </w:p>
        </w:tc>
      </w:tr>
      <w:tr>
        <w:trPr>
          <w:trHeight w:val="222"/>
        </w:trPr>
        <w:tc>
          <w:tcPr>
            <w:tcW w:w="6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w w:val="92"/>
              </w:rPr>
              <w:t>(Exhibit 10.3)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rPr>
              <w:t>Form 8-K</w:t>
            </w:r>
          </w:p>
        </w:tc>
        <w:tc>
          <w:tcPr>
            <w:tcW w:w="8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07/22/16</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001-33277</w:t>
            </w:r>
          </w:p>
        </w:tc>
      </w:tr>
      <w:tr>
        <w:trPr>
          <w:trHeight w:val="222"/>
        </w:trPr>
        <w:tc>
          <w:tcPr>
            <w:tcW w:w="60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color w:val="auto"/>
                <w:w w:val="92"/>
              </w:rPr>
              <w:t>(Exhibit 10.4)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32"/>
        </w:trPr>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48"/>
        </w:trPr>
        <w:tc>
          <w:tcPr>
            <w:tcW w:w="600" w:type="dxa"/>
            <w:vAlign w:val="bottom"/>
          </w:tcPr>
          <w:p>
            <w:pPr>
              <w:jc w:val="center"/>
              <w:spacing w:after="0"/>
              <w:rPr>
                <w:sz w:val="20"/>
                <w:szCs w:val="20"/>
                <w:color w:val="auto"/>
              </w:rPr>
            </w:pPr>
            <w:r>
              <w:rPr>
                <w:rFonts w:ascii="Arial" w:cs="Arial" w:eastAsia="Arial" w:hAnsi="Arial"/>
                <w:sz w:val="18"/>
                <w:szCs w:val="18"/>
                <w:color w:val="auto"/>
              </w:rPr>
              <w:t>X</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560" w:space="160"/>
            <w:col w:w="3600"/>
          </w:cols>
          <w:pgMar w:left="240" w:top="131" w:right="1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Reference herein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 File /</w:t>
            </w:r>
          </w:p>
        </w:tc>
      </w:tr>
      <w:tr>
        <w:trPr>
          <w:trHeight w:val="149"/>
        </w:trPr>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700" w:type="dxa"/>
            <w:vAlign w:val="bottom"/>
          </w:tcPr>
          <w:p>
            <w:pPr>
              <w:jc w:val="center"/>
              <w:ind w:right="1052"/>
              <w:spacing w:after="0" w:line="149" w:lineRule="exact"/>
              <w:rPr>
                <w:sz w:val="20"/>
                <w:szCs w:val="20"/>
                <w:color w:val="auto"/>
              </w:rPr>
            </w:pPr>
            <w:r>
              <w:rPr>
                <w:rFonts w:ascii="Arial" w:cs="Arial" w:eastAsia="Arial" w:hAnsi="Arial"/>
                <w:sz w:val="14"/>
                <w:szCs w:val="14"/>
                <w:b w:val="1"/>
                <w:bCs w:val="1"/>
                <w:color w:val="auto"/>
                <w:w w:val="89"/>
              </w:rPr>
              <w:t>Exhibit</w:t>
            </w:r>
          </w:p>
        </w:tc>
        <w:tc>
          <w:tcPr>
            <w:tcW w:w="1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Filed</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from Form or</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Filing</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6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jc w:val="center"/>
              <w:ind w:right="1052"/>
              <w:spacing w:after="0"/>
              <w:rPr>
                <w:sz w:val="20"/>
                <w:szCs w:val="20"/>
                <w:color w:val="auto"/>
              </w:rPr>
            </w:pPr>
            <w:r>
              <w:rPr>
                <w:rFonts w:ascii="Arial" w:cs="Arial" w:eastAsia="Arial" w:hAnsi="Arial"/>
                <w:sz w:val="14"/>
                <w:szCs w:val="14"/>
                <w:b w:val="1"/>
                <w:bCs w:val="1"/>
                <w:color w:val="auto"/>
                <w:w w:val="85"/>
              </w:rPr>
              <w:t>Description</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1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Schedule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5"/>
              </w:rPr>
              <w:t>101.PRE</w:t>
            </w:r>
          </w:p>
        </w:tc>
        <w:tc>
          <w:tcPr>
            <w:tcW w:w="160" w:type="dxa"/>
            <w:vAlign w:val="bottom"/>
          </w:tcPr>
          <w:p>
            <w:pPr>
              <w:spacing w:after="0"/>
              <w:rPr>
                <w:sz w:val="17"/>
                <w:szCs w:val="17"/>
                <w:color w:val="auto"/>
              </w:rPr>
            </w:pPr>
          </w:p>
        </w:tc>
        <w:tc>
          <w:tcPr>
            <w:tcW w:w="3820" w:type="dxa"/>
            <w:vAlign w:val="bottom"/>
            <w:gridSpan w:val="2"/>
          </w:tcPr>
          <w:p>
            <w:pPr>
              <w:spacing w:after="0" w:line="201" w:lineRule="exact"/>
              <w:rPr>
                <w:sz w:val="20"/>
                <w:szCs w:val="20"/>
                <w:color w:val="auto"/>
              </w:rPr>
            </w:pPr>
            <w:r>
              <w:rPr>
                <w:rFonts w:ascii="Arial" w:cs="Arial" w:eastAsia="Arial" w:hAnsi="Arial"/>
                <w:sz w:val="18"/>
                <w:szCs w:val="18"/>
                <w:color w:val="auto"/>
                <w:w w:val="94"/>
              </w:rPr>
              <w:t>XBRL Taxonomy Extension Presentation Linkbase</w:t>
            </w:r>
          </w:p>
        </w:tc>
        <w:tc>
          <w:tcPr>
            <w:tcW w:w="18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720" w:type="dxa"/>
            <w:vAlign w:val="bottom"/>
          </w:tcPr>
          <w:p>
            <w:pPr>
              <w:spacing w:after="0"/>
              <w:rPr>
                <w:sz w:val="19"/>
                <w:szCs w:val="19"/>
                <w:color w:val="auto"/>
              </w:rPr>
            </w:pPr>
          </w:p>
        </w:tc>
        <w:tc>
          <w:tcPr>
            <w:tcW w:w="3980" w:type="dxa"/>
            <w:vAlign w:val="bottom"/>
            <w:gridSpan w:val="3"/>
          </w:tcPr>
          <w:p>
            <w:pPr>
              <w:ind w:left="140"/>
              <w:spacing w:after="0"/>
              <w:rPr>
                <w:sz w:val="20"/>
                <w:szCs w:val="20"/>
                <w:color w:val="auto"/>
              </w:rPr>
            </w:pPr>
            <w:r>
              <w:rPr>
                <w:rFonts w:ascii="Arial" w:cs="Arial" w:eastAsia="Arial" w:hAnsi="Arial"/>
                <w:sz w:val="18"/>
                <w:szCs w:val="18"/>
                <w:color w:val="auto"/>
              </w:rPr>
              <w:t>Document.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compensatory plan or arrangement.</w:t>
      </w:r>
    </w:p>
    <w:p>
      <w:pPr>
        <w:spacing w:after="0" w:line="252" w:lineRule="exact"/>
        <w:rPr>
          <w:sz w:val="20"/>
          <w:szCs w:val="20"/>
          <w:color w:val="auto"/>
        </w:rPr>
      </w:pPr>
    </w:p>
    <w:p>
      <w:pPr>
        <w:ind w:left="1680" w:hanging="531"/>
        <w:spacing w:after="0" w:line="256" w:lineRule="auto"/>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w:t>
      </w:r>
    </w:p>
    <w:p>
      <w:pPr>
        <w:spacing w:after="0" w:line="211" w:lineRule="exact"/>
        <w:rPr>
          <w:sz w:val="20"/>
          <w:szCs w:val="20"/>
          <w:color w:val="auto"/>
        </w:rPr>
      </w:pPr>
    </w:p>
    <w:p>
      <w:pPr>
        <w:ind w:left="1680" w:right="80" w:hanging="531"/>
        <w:spacing w:after="0" w:line="268" w:lineRule="auto"/>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portions of these documents have been filed separately with the Securities and Exchange Commission pursuant to a request for confidential treatment.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MADRIGAL PHARMACEUTICALS INC.</w:t>
      </w:r>
    </w:p>
    <w:p>
      <w:pPr>
        <w:spacing w:after="0" w:line="258" w:lineRule="exact"/>
        <w:rPr>
          <w:sz w:val="20"/>
          <w:szCs w:val="20"/>
          <w:color w:val="auto"/>
        </w:rPr>
      </w:pPr>
    </w:p>
    <w:p>
      <w:pPr>
        <w:spacing w:after="0"/>
        <w:tabs>
          <w:tab w:leader="none" w:pos="4520" w:val="left"/>
          <w:tab w:leader="none" w:pos="5880" w:val="left"/>
        </w:tabs>
        <w:rPr>
          <w:sz w:val="20"/>
          <w:szCs w:val="20"/>
          <w:color w:val="auto"/>
        </w:rPr>
      </w:pPr>
      <w:r>
        <w:rPr>
          <w:rFonts w:ascii="Arial" w:cs="Arial" w:eastAsia="Arial" w:hAnsi="Arial"/>
          <w:sz w:val="18"/>
          <w:szCs w:val="18"/>
          <w:color w:val="auto"/>
        </w:rPr>
        <w:t>Date: 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71120</wp:posOffset>
            </wp:positionV>
            <wp:extent cx="2675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Paul A. Friedman, M.D.</w:t>
      </w:r>
    </w:p>
    <w:p>
      <w:pPr>
        <w:spacing w:after="0" w:line="15" w:lineRule="exact"/>
        <w:rPr>
          <w:sz w:val="20"/>
          <w:szCs w:val="20"/>
          <w:color w:val="auto"/>
        </w:rPr>
      </w:pPr>
    </w:p>
    <w:p>
      <w:pPr>
        <w:jc w:val="center"/>
        <w:ind w:left="26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2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Paul A. Friedman, M.D. and Marc R. Schneebaum,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Exchange Act, as amended, this Report has been signed below by the following persons on behalf of the registrant and in the capacities and on the dates indicated.</w:t>
      </w:r>
    </w:p>
    <w:p>
      <w:pPr>
        <w:spacing w:after="0" w:line="182" w:lineRule="exact"/>
        <w:rPr>
          <w:sz w:val="20"/>
          <w:szCs w:val="20"/>
          <w:color w:val="auto"/>
        </w:rPr>
      </w:pPr>
    </w:p>
    <w:p>
      <w:pPr>
        <w:ind w:left="258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Paul A. Friedman, M.D.</w:t>
      </w:r>
    </w:p>
    <w:p>
      <w:pPr>
        <w:spacing w:after="0" w:line="266"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Marc R. Schneebaum</w:t>
      </w:r>
    </w:p>
    <w:p>
      <w:pPr>
        <w:spacing w:after="0" w:line="266"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/s/ REBECCA TAUB,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2123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78"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Rebecca Taub, M.D.</w:t>
      </w:r>
    </w:p>
    <w:p>
      <w:pPr>
        <w:spacing w:after="0" w:line="252" w:lineRule="exact"/>
        <w:rPr>
          <w:sz w:val="20"/>
          <w:szCs w:val="20"/>
          <w:color w:val="auto"/>
        </w:rPr>
      </w:pPr>
    </w:p>
    <w:p>
      <w:pPr>
        <w:jc w:val="center"/>
        <w:ind w:left="1680"/>
        <w:spacing w:after="0"/>
        <w:rPr>
          <w:sz w:val="20"/>
          <w:szCs w:val="20"/>
          <w:color w:val="auto"/>
        </w:rPr>
      </w:pPr>
      <w:r>
        <w:rPr>
          <w:rFonts w:ascii="Arial" w:cs="Arial" w:eastAsia="Arial" w:hAnsi="Arial"/>
          <w:sz w:val="16"/>
          <w:szCs w:val="16"/>
          <w:color w:val="auto"/>
        </w:rPr>
        <w:t>/s/ FRED B. CRAVES,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85725</wp:posOffset>
            </wp:positionV>
            <wp:extent cx="22123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Fred B. Craves,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Chairman of the Board of Directors and Chief</w:t>
            </w:r>
          </w:p>
        </w:tc>
        <w:tc>
          <w:tcPr>
            <w:tcW w:w="1580" w:type="dxa"/>
            <w:vAlign w:val="bottom"/>
            <w:vMerge w:val="restart"/>
          </w:tcPr>
          <w:p>
            <w:pPr>
              <w:ind w:left="280"/>
              <w:spacing w:after="0"/>
              <w:rPr>
                <w:sz w:val="20"/>
                <w:szCs w:val="20"/>
                <w:color w:val="auto"/>
              </w:rPr>
            </w:pPr>
            <w:r>
              <w:rPr>
                <w:rFonts w:ascii="Arial" w:cs="Arial" w:eastAsia="Arial" w:hAnsi="Arial"/>
                <w:sz w:val="18"/>
                <w:szCs w:val="18"/>
                <w:color w:val="auto"/>
                <w:w w:val="86"/>
              </w:rPr>
              <w:t>February 27, 2019</w:t>
            </w:r>
          </w:p>
        </w:tc>
        <w:tc>
          <w:tcPr>
            <w:tcW w:w="0" w:type="dxa"/>
            <w:vAlign w:val="bottom"/>
          </w:tcPr>
          <w:p>
            <w:pPr>
              <w:spacing w:after="0"/>
              <w:rPr>
                <w:sz w:val="1"/>
                <w:szCs w:val="1"/>
                <w:color w:val="auto"/>
              </w:rPr>
            </w:pPr>
          </w:p>
        </w:tc>
      </w:tr>
      <w:tr>
        <w:trPr>
          <w:trHeight w:val="114"/>
        </w:trPr>
        <w:tc>
          <w:tcPr>
            <w:tcW w:w="3640" w:type="dxa"/>
            <w:vAlign w:val="bottom"/>
            <w:vMerge w:val="restart"/>
          </w:tcPr>
          <w:p>
            <w:pPr>
              <w:spacing w:after="0"/>
              <w:rPr>
                <w:sz w:val="20"/>
                <w:szCs w:val="20"/>
                <w:color w:val="auto"/>
              </w:rPr>
            </w:pPr>
            <w:r>
              <w:rPr>
                <w:rFonts w:ascii="Arial" w:cs="Arial" w:eastAsia="Arial" w:hAnsi="Arial"/>
                <w:sz w:val="18"/>
                <w:szCs w:val="18"/>
                <w:color w:val="auto"/>
                <w:w w:val="99"/>
              </w:rPr>
              <w:t>Executive Officer (Principal Executive Officer)</w:t>
            </w: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4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w:t>
      </w:r>
    </w:p>
    <w:p>
      <w:pPr>
        <w:spacing w:after="0" w:line="15"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Officer (Principal Accounting and Financial</w:t>
      </w:r>
      <w:r>
        <w:rPr>
          <w:sz w:val="20"/>
          <w:szCs w:val="20"/>
          <w:color w:val="auto"/>
        </w:rPr>
        <w:tab/>
      </w:r>
      <w:r>
        <w:rPr>
          <w:rFonts w:ascii="Arial" w:cs="Arial" w:eastAsia="Arial" w:hAnsi="Arial"/>
          <w:sz w:val="15"/>
          <w:szCs w:val="15"/>
          <w:color w:val="auto"/>
        </w:rPr>
        <w:t>February 27,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8" w:lineRule="exact"/>
        <w:rPr>
          <w:sz w:val="20"/>
          <w:szCs w:val="20"/>
          <w:color w:val="auto"/>
        </w:rPr>
      </w:pPr>
    </w:p>
    <w:p>
      <w:pPr>
        <w:spacing w:after="0"/>
        <w:tabs>
          <w:tab w:leader="none" w:pos="39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39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2019</w:t>
      </w:r>
    </w:p>
    <w:p>
      <w:pPr>
        <w:spacing w:after="0" w:line="200" w:lineRule="exact"/>
        <w:rPr>
          <w:sz w:val="20"/>
          <w:szCs w:val="20"/>
          <w:color w:val="auto"/>
        </w:rPr>
      </w:pPr>
    </w:p>
    <w:p>
      <w:pPr>
        <w:spacing w:after="0" w:line="2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080" w:space="720"/>
            <w:col w:w="6580"/>
          </w:cols>
          <w:pgMar w:left="240" w:top="131"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8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4"/>
              </w:rPr>
              <w:t>/s/ KENNETH M. BATE</w:t>
            </w: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900" w:type="dxa"/>
            <w:vAlign w:val="bottom"/>
            <w:vMerge w:val="restart"/>
          </w:tcPr>
          <w:p>
            <w:pPr>
              <w:ind w:left="3200"/>
              <w:spacing w:after="0" w:line="202" w:lineRule="exact"/>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89"/>
              </w:rPr>
              <w:t>Kenneth M. Bate</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5"/>
              </w:rPr>
              <w:t>/s/ KEITH R. GOLLUST</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900" w:type="dxa"/>
            <w:vAlign w:val="bottom"/>
            <w:vMerge w:val="restart"/>
          </w:tcPr>
          <w:p>
            <w:pPr>
              <w:ind w:left="3200"/>
              <w:spacing w:after="0" w:line="202" w:lineRule="exact"/>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2"/>
              </w:rPr>
              <w:t>Keith R. Gollust</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7"/>
              </w:rPr>
              <w:t>/s/ DAVID MILLIGAN, PH.D.</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900" w:type="dxa"/>
            <w:vAlign w:val="bottom"/>
            <w:vMerge w:val="restart"/>
          </w:tcPr>
          <w:p>
            <w:pPr>
              <w:ind w:left="3200"/>
              <w:spacing w:after="0" w:line="202" w:lineRule="exact"/>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3"/>
              </w:rPr>
              <w:t>David Milligan, Ph.D.</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3"/>
              </w:rPr>
              <w:t>/s/ RICHARD S. LEVY, M.D.</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8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Director</w:t>
            </w:r>
          </w:p>
        </w:tc>
        <w:tc>
          <w:tcPr>
            <w:tcW w:w="5900" w:type="dxa"/>
            <w:vAlign w:val="bottom"/>
            <w:vMerge w:val="restart"/>
          </w:tcPr>
          <w:p>
            <w:pPr>
              <w:ind w:left="3200"/>
              <w:spacing w:after="0" w:line="202" w:lineRule="exact"/>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60" w:type="dxa"/>
            <w:vAlign w:val="bottom"/>
            <w:gridSpan w:val="2"/>
          </w:tcPr>
          <w:p>
            <w:pPr>
              <w:jc w:val="center"/>
              <w:ind w:right="832"/>
              <w:spacing w:after="0"/>
              <w:rPr>
                <w:sz w:val="20"/>
                <w:szCs w:val="20"/>
                <w:color w:val="auto"/>
              </w:rPr>
            </w:pPr>
            <w:r>
              <w:rPr>
                <w:rFonts w:ascii="Arial" w:cs="Arial" w:eastAsia="Arial" w:hAnsi="Arial"/>
                <w:sz w:val="18"/>
                <w:szCs w:val="18"/>
                <w:color w:val="auto"/>
                <w:w w:val="91"/>
              </w:rPr>
              <w:t>Richard S. Levy, M.D.</w:t>
            </w:r>
          </w:p>
        </w:tc>
        <w:tc>
          <w:tcPr>
            <w:tcW w:w="5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00" w:type="dxa"/>
            <w:vAlign w:val="bottom"/>
          </w:tcPr>
          <w:p>
            <w:pPr>
              <w:ind w:lef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80" w:type="dxa"/>
            <w:vAlign w:val="bottom"/>
            <w:gridSpan w:val="8"/>
            <w:vMerge w:val="restart"/>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Report of Independent Registered Public Accounting Firm</w:t>
              </w:r>
            </w:hyperlink>
          </w:p>
        </w:tc>
        <w:tc>
          <w:tcPr>
            <w:tcW w:w="428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80" w:type="dxa"/>
            <w:vAlign w:val="bottom"/>
            <w:gridSpan w:val="8"/>
            <w:vMerge w:val="continue"/>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1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280" w:type="dxa"/>
            <w:vAlign w:val="bottom"/>
            <w:gridSpan w:val="8"/>
          </w:tcPr>
          <w:p>
            <w:pPr>
              <w:spacing w:after="0" w:line="184"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Balance Sheets</w:t>
              </w:r>
            </w:hyperlink>
          </w:p>
        </w:tc>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3"/>
          </w:tcPr>
          <w:p>
            <w:pPr>
              <w:spacing w:after="0" w:line="184" w:lineRule="exact"/>
              <w:rPr>
                <w:rFonts w:ascii="Arial" w:cs="Arial" w:eastAsia="Arial" w:hAnsi="Arial"/>
                <w:sz w:val="18"/>
                <w:szCs w:val="18"/>
                <w:color w:val="0000EE"/>
              </w:rPr>
            </w:pPr>
            <w:hyperlink w:anchor="page77">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Operations</w:t>
              </w:r>
            </w:hyperlink>
          </w:p>
        </w:tc>
        <w:tc>
          <w:tcPr>
            <w:tcW w:w="1520" w:type="dxa"/>
            <w:vAlign w:val="bottom"/>
            <w:gridSpan w:val="6"/>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78">
              <w:r>
                <w:rPr>
                  <w:rFonts w:ascii="Arial" w:cs="Arial" w:eastAsia="Arial" w:hAnsi="Arial"/>
                  <w:sz w:val="18"/>
                  <w:szCs w:val="18"/>
                  <w:color w:val="0000EE"/>
                  <w:w w:val="81"/>
                </w:rPr>
                <w:t>F-5</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28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Comprehensive Loss</w:t>
              </w:r>
            </w:hyperlink>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top w:val="single" w:sz="8" w:color="0000EE"/>
            </w:tcBorders>
            <w:gridSpan w:val="6"/>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Consolidated Statements of Stockholders' Equity</w:t>
              </w:r>
            </w:hyperlink>
          </w:p>
        </w:tc>
        <w:tc>
          <w:tcPr>
            <w:tcW w:w="820" w:type="dxa"/>
            <w:vAlign w:val="bottom"/>
            <w:gridSpan w:val="2"/>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80">
              <w:r>
                <w:rPr>
                  <w:rFonts w:ascii="Arial" w:cs="Arial" w:eastAsia="Arial" w:hAnsi="Arial"/>
                  <w:sz w:val="18"/>
                  <w:szCs w:val="18"/>
                  <w:color w:val="0000EE"/>
                  <w:w w:val="81"/>
                </w:rPr>
                <w:t>F-7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w:t>
              </w:r>
            </w:hyperlink>
          </w:p>
        </w:tc>
        <w:tc>
          <w:tcPr>
            <w:tcW w:w="840" w:type="dxa"/>
            <w:vAlign w:val="bottom"/>
            <w:gridSpan w:val="3"/>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81">
              <w:r>
                <w:rPr>
                  <w:rFonts w:ascii="Arial" w:cs="Arial" w:eastAsia="Arial" w:hAnsi="Arial"/>
                  <w:sz w:val="18"/>
                  <w:szCs w:val="18"/>
                  <w:color w:val="0000EE"/>
                  <w:w w:val="81"/>
                </w:rPr>
                <w:t>F-8</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80" w:type="dxa"/>
            <w:vAlign w:val="bottom"/>
            <w:gridSpan w:val="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3"/>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F-9</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Madrigal Pharmaceuticals,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 xml:space="preserve">We have audited the accompanying consolidated balance sheets of Madrigal Pharmaceuticals, Inc. and its subsidiaries (the "Company") as of December 31, 2018 and 2017, and the related consolidated statements of operations, of comprehensive loss, of stockholders'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7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426,339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485,201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192,012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w w:val="91"/>
              </w:rPr>
              <w:t>Preferred stock, par value $0.0001 per share authorized: 5,000,000 shares at December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w w:val="91"/>
              </w:rPr>
              <w:t>2018 and December 31, 2017; 1,969,797 shares issued and outstanding at December 31,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2018 and December 31, 2017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Common stock, par value $0.0001 per share authorized: 200,000,000 at December 31, 2018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and December 31, 2017; 15,409,023 and 14,227,634 shares issued and outstanding at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2018 and December 31, 2017, respectively</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(139,272)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(106,461)</w:t>
            </w: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192,313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(32,811)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(31,154)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0"/>
              </w:rPr>
              <w:t>Basic and diluted weighted average number of common shares outstanding</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14,796,712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12,244,939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5,204,644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(32,811)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(31,154)</w:t>
            </w:r>
          </w:p>
        </w:tc>
        <w:tc>
          <w:tcPr>
            <w:tcW w:w="2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6"/>
              </w:rPr>
              <w:t>(26,388)</w:t>
            </w: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(33,099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(31,210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(26,363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vMerge w:val="restart"/>
          </w:tcPr>
          <w:p>
            <w:pPr>
              <w:jc w:val="right"/>
              <w:ind w:right="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160" w:type="dxa"/>
            <w:vAlign w:val="bottom"/>
            <w:tcBorders>
              <w:bottom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Borders>
              <w:bottom w:val="single" w:sz="8" w:color="auto"/>
            </w:tcBorders>
            <w:gridSpan w:val="4"/>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paid-in</w:t>
            </w:r>
          </w:p>
        </w:tc>
        <w:tc>
          <w:tcPr>
            <w:tcW w:w="160" w:type="dxa"/>
            <w:vAlign w:val="bottom"/>
          </w:tcPr>
          <w:p>
            <w:pPr>
              <w:spacing w:after="0"/>
              <w:rPr>
                <w:sz w:val="5"/>
                <w:szCs w:val="5"/>
                <w:color w:val="auto"/>
              </w:rPr>
            </w:pPr>
          </w:p>
        </w:tc>
        <w:tc>
          <w:tcPr>
            <w:tcW w:w="10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0" w:type="dxa"/>
            <w:vAlign w:val="bottom"/>
          </w:tcPr>
          <w:p>
            <w:pPr>
              <w:spacing w:after="0"/>
              <w:rPr>
                <w:sz w:val="5"/>
                <w:szCs w:val="5"/>
                <w:color w:val="auto"/>
              </w:rPr>
            </w:pPr>
          </w:p>
        </w:tc>
        <w:tc>
          <w:tcPr>
            <w:tcW w:w="96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5"/>
                <w:szCs w:val="5"/>
                <w:color w:val="auto"/>
              </w:rPr>
            </w:pPr>
          </w:p>
        </w:tc>
        <w:tc>
          <w:tcPr>
            <w:tcW w:w="10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1"/>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7"/>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shd w:val="clear" w:color="auto" w:fill="CCEEFF"/>
          </w:tcPr>
          <w:p>
            <w:pPr>
              <w:jc w:val="right"/>
              <w:ind w:right="452"/>
              <w:spacing w:after="0" w:line="142" w:lineRule="exact"/>
              <w:rPr>
                <w:sz w:val="20"/>
                <w:szCs w:val="20"/>
                <w:color w:val="auto"/>
              </w:rPr>
            </w:pPr>
            <w:r>
              <w:rPr>
                <w:rFonts w:ascii="Arial" w:cs="Arial" w:eastAsia="Arial" w:hAnsi="Arial"/>
                <w:sz w:val="14"/>
                <w:szCs w:val="14"/>
                <w:color w:val="auto"/>
                <w:w w:val="84"/>
              </w:rPr>
              <w:t>Balance at December 31, 2015</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65"/>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176,158</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(48,919)</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(48,913)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Related party debt restructuring</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11,224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Conversion of convertible notes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and related accrued interest to</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7,087,186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47,592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47,593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Retirement of restricted stock</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(9,689)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Synta</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4,029,138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Issuance of shares to financial</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40"/>
              <w:spacing w:after="0" w:line="149" w:lineRule="exact"/>
              <w:rPr>
                <w:sz w:val="20"/>
                <w:szCs w:val="20"/>
                <w:color w:val="auto"/>
              </w:rPr>
            </w:pPr>
            <w:r>
              <w:rPr>
                <w:rFonts w:ascii="Arial" w:cs="Arial" w:eastAsia="Arial" w:hAnsi="Arial"/>
                <w:sz w:val="14"/>
                <w:szCs w:val="14"/>
                <w:color w:val="auto"/>
              </w:rPr>
              <w:t>advisors in connection with</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Merger</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79,101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Issuance of restricted common</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shares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208,255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Issuance of common shares in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40"/>
              <w:spacing w:after="0" w:line="149" w:lineRule="exact"/>
              <w:rPr>
                <w:sz w:val="20"/>
                <w:szCs w:val="20"/>
                <w:color w:val="auto"/>
              </w:rPr>
            </w:pPr>
            <w:r>
              <w:rPr>
                <w:rFonts w:ascii="Arial" w:cs="Arial" w:eastAsia="Arial" w:hAnsi="Arial"/>
                <w:sz w:val="14"/>
                <w:szCs w:val="14"/>
                <w:color w:val="auto"/>
              </w:rPr>
              <w:t>equity offerings, net of</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transaction costs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381,717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5,954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5,954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Compensation expense related to</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stock options for services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7,929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7,929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Unrealized loss on marketable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securities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(26,388)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(26,388)</w:t>
            </w:r>
          </w:p>
        </w:tc>
        <w:tc>
          <w:tcPr>
            <w:tcW w:w="0" w:type="dxa"/>
            <w:vAlign w:val="bottom"/>
          </w:tcPr>
          <w:p>
            <w:pPr>
              <w:spacing w:after="0"/>
              <w:rPr>
                <w:sz w:val="1"/>
                <w:szCs w:val="1"/>
                <w:color w:val="auto"/>
              </w:rPr>
            </w:pPr>
          </w:p>
        </w:tc>
      </w:tr>
      <w:tr>
        <w:trPr>
          <w:trHeight w:val="142"/>
        </w:trPr>
        <w:tc>
          <w:tcPr>
            <w:tcW w:w="2200" w:type="dxa"/>
            <w:vAlign w:val="bottom"/>
            <w:gridSpan w:val="2"/>
          </w:tcPr>
          <w:p>
            <w:pPr>
              <w:jc w:val="right"/>
              <w:ind w:right="452"/>
              <w:spacing w:after="0" w:line="142" w:lineRule="exact"/>
              <w:rPr>
                <w:sz w:val="20"/>
                <w:szCs w:val="20"/>
                <w:color w:val="auto"/>
              </w:rPr>
            </w:pPr>
            <w:r>
              <w:rPr>
                <w:rFonts w:ascii="Arial" w:cs="Arial" w:eastAsia="Arial" w:hAnsi="Arial"/>
                <w:sz w:val="14"/>
                <w:szCs w:val="14"/>
                <w:color w:val="auto"/>
                <w:w w:val="85"/>
              </w:rPr>
              <w:t>Balance at December 31, 2016</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Borders>
              <w:top w:val="single" w:sz="8" w:color="auto"/>
            </w:tcBorders>
          </w:tcPr>
          <w:p>
            <w:pPr>
              <w:jc w:val="right"/>
              <w:ind w:right="26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11,951,866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jc w:val="right"/>
              <w:ind w:right="22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111,691</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(75,307)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36,410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3"/>
              </w:rPr>
              <w:t>Issuance of common and preferred</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shares in equity offerings, net of</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transaction costs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1,969,797</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2,275,768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173,805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173,805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w w:val="97"/>
              </w:rPr>
              <w:t>Compensation expense related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stock options for services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3,254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3,254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Unrealized loss on marketable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securities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(31,154)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shd w:val="clear" w:color="auto" w:fill="CCEEFF"/>
          </w:tcPr>
          <w:p>
            <w:pPr>
              <w:jc w:val="right"/>
              <w:ind w:right="452"/>
              <w:spacing w:after="0" w:line="142" w:lineRule="exact"/>
              <w:rPr>
                <w:sz w:val="20"/>
                <w:szCs w:val="20"/>
                <w:color w:val="auto"/>
              </w:rPr>
            </w:pPr>
            <w:r>
              <w:rPr>
                <w:rFonts w:ascii="Arial" w:cs="Arial" w:eastAsia="Arial" w:hAnsi="Arial"/>
                <w:sz w:val="14"/>
                <w:szCs w:val="14"/>
                <w:color w:val="auto"/>
                <w:w w:val="84"/>
              </w:rPr>
              <w:t>Balance at December 31, 2017</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1,969,797</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5"/>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14,227,634</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288,750</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(106,461)</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182,259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rPr>
              <w:t>Issuance of common shares in</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40"/>
              <w:spacing w:after="0" w:line="149" w:lineRule="exact"/>
              <w:rPr>
                <w:sz w:val="20"/>
                <w:szCs w:val="20"/>
                <w:color w:val="auto"/>
              </w:rPr>
            </w:pPr>
            <w:r>
              <w:rPr>
                <w:rFonts w:ascii="Arial" w:cs="Arial" w:eastAsia="Arial" w:hAnsi="Arial"/>
                <w:sz w:val="14"/>
                <w:szCs w:val="14"/>
                <w:color w:val="auto"/>
              </w:rPr>
              <w:t>equity offering, excluding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240"/>
              <w:spacing w:after="0" w:line="149" w:lineRule="exact"/>
              <w:rPr>
                <w:sz w:val="20"/>
                <w:szCs w:val="20"/>
                <w:color w:val="auto"/>
              </w:rPr>
            </w:pPr>
            <w:r>
              <w:rPr>
                <w:rFonts w:ascii="Arial" w:cs="Arial" w:eastAsia="Arial" w:hAnsi="Arial"/>
                <w:sz w:val="14"/>
                <w:szCs w:val="14"/>
                <w:color w:val="auto"/>
                <w:w w:val="94"/>
              </w:rPr>
              <w:t>related parties, net of transaction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costs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1,079,580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311,824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311,825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Sale of common shares to related</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parties and exercise of common</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7"/>
              </w:rPr>
              <w:t>stock options, net of transaction</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costs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101,809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2,510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120"/>
              <w:spacing w:after="0" w:line="138" w:lineRule="exact"/>
              <w:rPr>
                <w:sz w:val="20"/>
                <w:szCs w:val="20"/>
                <w:color w:val="auto"/>
              </w:rPr>
            </w:pPr>
            <w:r>
              <w:rPr>
                <w:rFonts w:ascii="Arial" w:cs="Arial" w:eastAsia="Arial" w:hAnsi="Arial"/>
                <w:sz w:val="14"/>
                <w:szCs w:val="14"/>
                <w:color w:val="auto"/>
                <w:w w:val="97"/>
              </w:rPr>
              <w:t>Compensation expense related to</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240"/>
              <w:spacing w:after="0" w:line="159" w:lineRule="exact"/>
              <w:rPr>
                <w:sz w:val="20"/>
                <w:szCs w:val="20"/>
                <w:color w:val="auto"/>
              </w:rPr>
            </w:pPr>
            <w:r>
              <w:rPr>
                <w:rFonts w:ascii="Arial" w:cs="Arial" w:eastAsia="Arial" w:hAnsi="Arial"/>
                <w:sz w:val="14"/>
                <w:szCs w:val="14"/>
                <w:color w:val="auto"/>
              </w:rPr>
              <w:t>stock options for services</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13,489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13,489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Unrealized loss on marketable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securities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80" w:type="dxa"/>
            <w:vAlign w:val="bottom"/>
            <w:shd w:val="clear" w:color="auto" w:fill="CCEEFF"/>
          </w:tcPr>
          <w:p>
            <w:pPr>
              <w:jc w:val="right"/>
              <w:ind w:right="452"/>
              <w:spacing w:after="0" w:line="142" w:lineRule="exact"/>
              <w:rPr>
                <w:sz w:val="20"/>
                <w:szCs w:val="20"/>
                <w:color w:val="auto"/>
              </w:rPr>
            </w:pPr>
            <w:r>
              <w:rPr>
                <w:rFonts w:ascii="Arial" w:cs="Arial" w:eastAsia="Arial" w:hAnsi="Arial"/>
                <w:sz w:val="14"/>
                <w:szCs w:val="14"/>
                <w:color w:val="auto"/>
                <w:w w:val="84"/>
              </w:rPr>
              <w:t>Balance at December 31, 2018</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1,969,797</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5"/>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15,409,023</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1"/>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616,573</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(319)</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(139,272)</w:t>
            </w:r>
          </w:p>
        </w:tc>
        <w:tc>
          <w:tcPr>
            <w:tcW w:w="220" w:type="dxa"/>
            <w:vAlign w:val="bottom"/>
            <w:gridSpan w:val="2"/>
            <w:shd w:val="clear" w:color="auto" w:fill="CCEEFF"/>
          </w:tcPr>
          <w:p>
            <w:pPr>
              <w:jc w:val="right"/>
              <w:ind w:right="41"/>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476,984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(32,811)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(31,154)</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w w:val="91"/>
              </w:rPr>
              <w:t>PIK interest expense on convertible promissory notes payable—related parties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Other share based compensation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receivable—related parties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500"/>
              <w:spacing w:after="0"/>
              <w:rPr>
                <w:sz w:val="20"/>
                <w:szCs w:val="20"/>
                <w:color w:val="auto"/>
              </w:rPr>
            </w:pPr>
            <w:r>
              <w:rPr>
                <w:rFonts w:ascii="Arial" w:cs="Arial" w:eastAsia="Arial" w:hAnsi="Arial"/>
                <w:sz w:val="18"/>
                <w:szCs w:val="18"/>
                <w:color w:val="auto"/>
              </w:rPr>
              <w:t>Accrued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500"/>
              <w:spacing w:after="0"/>
              <w:rPr>
                <w:sz w:val="20"/>
                <w:szCs w:val="20"/>
                <w:color w:val="auto"/>
              </w:rPr>
            </w:pPr>
            <w:r>
              <w:rPr>
                <w:rFonts w:ascii="Arial" w:cs="Arial" w:eastAsia="Arial" w:hAnsi="Arial"/>
                <w:sz w:val="18"/>
                <w:szCs w:val="18"/>
                <w:color w:val="auto"/>
              </w:rPr>
              <w:t>Accrued interest—related party</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(22,317)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(17,608)</w:t>
            </w:r>
          </w:p>
        </w:tc>
        <w:tc>
          <w:tcPr>
            <w:tcW w:w="0" w:type="dxa"/>
            <w:vAlign w:val="bottom"/>
          </w:tcPr>
          <w:p>
            <w:pPr>
              <w:spacing w:after="0"/>
              <w:rPr>
                <w:sz w:val="1"/>
                <w:szCs w:val="1"/>
                <w:color w:val="auto"/>
              </w:rPr>
            </w:pPr>
          </w:p>
        </w:tc>
      </w:tr>
      <w:tr>
        <w:trPr>
          <w:trHeight w:val="209"/>
        </w:trPr>
        <w:tc>
          <w:tcPr>
            <w:tcW w:w="6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received from merger transaction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(614,358)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(70,211)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26,063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Purchases of property and equipment, net of disposals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the sale of property, equipment and other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Release of restricted cash</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(380,076)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(22,006)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Proceeds from issuances of stock, excluding related parties, net of transaction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173,805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w w:val="94"/>
              </w:rPr>
              <w:t>Proceeds from the sale of related party stock and exercise of common stock</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500"/>
              <w:spacing w:after="0"/>
              <w:rPr>
                <w:sz w:val="20"/>
                <w:szCs w:val="20"/>
                <w:color w:val="auto"/>
              </w:rPr>
            </w:pPr>
            <w:r>
              <w:rPr>
                <w:rFonts w:ascii="Arial" w:cs="Arial" w:eastAsia="Arial" w:hAnsi="Arial"/>
                <w:sz w:val="18"/>
                <w:szCs w:val="18"/>
                <w:color w:val="auto"/>
              </w:rPr>
              <w:t>options, net of transaction costs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convertible notes—related parties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173,805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(91,248)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18,839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148,627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of related party advances payable for convertible notes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Related party debt restructuring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Purchases of property and equipment in accounts payable at period end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7520" w:firstLine="8"/>
        <w:spacing w:after="0" w:line="504" w:lineRule="auto"/>
        <w:tabs>
          <w:tab w:leader="none" w:pos="17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Madrigal Pharmaceuticals, Inc. (the "Company" or "Madrigal") is a clinical-stage pharmaceutical company developing novel, high-quality, small-molecule drugs addressing major unmet needs in cardiovascular, metabolic, and liver diseases. The Company's lead compound, MGL-3196, is being advanced for non-alcoholic steatohepatitis ("NASH"), a liver disease that commonly affects people with metabolic diseases such as obesity and diabetes, and indications in dyslipidemia, potentially including genetic dyslipidemias such as familial hypercholesterolemia ("FH"). The Company initiated a Phase 2 study of MGL-3196 in NASH in October 2016. In February 2017, the Company initiated a Phase 2 study of MGL-3196 in patients with Heterozygous Familial Hypercholesterolemia ("HeFH"). Both Phase 2 studies were fully enrolled in 2017, the HeFH study was completed in February 2018, and the NASH study was completed in May 2018.</w:t>
      </w:r>
    </w:p>
    <w:p>
      <w:pPr>
        <w:spacing w:after="0" w:line="174"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Madrigal was originally incorporated as a private company ("Private Madrigal") on August 19, 2011 and commenced operations in September 2011. On July 22, 2016, Private Madrigal completed a reverse merger (the "Merger") into Synta Pharmaceuticals Corp. ("Synta") (see Note 3). Upon the consummation of the Merger, the historical financial statements of Private Madrigal became the Company's historical financial statements. Accordingly, the historical financial statements of Private Madrigal are included in the comparative prior periods. The Company, or Madrigal, as used in the accompanying notes to the consolidated financial statements, refers to Private Madrigal prior to the completion of the Merger and Public Madrigal subsequent to the completion of the Merger.</w:t>
      </w:r>
    </w:p>
    <w:p>
      <w:pPr>
        <w:spacing w:after="0" w:line="148" w:lineRule="exact"/>
        <w:rPr>
          <w:sz w:val="20"/>
          <w:szCs w:val="20"/>
          <w:color w:val="auto"/>
        </w:rPr>
      </w:pPr>
    </w:p>
    <w:p>
      <w:pPr>
        <w:ind w:right="7880" w:firstLine="8"/>
        <w:spacing w:after="0" w:line="504" w:lineRule="auto"/>
        <w:tabs>
          <w:tab w:leader="none" w:pos="17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short-term commercial paper and corporate bonds, which management believes are subject to minimal credit and market risk.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6940" w:firstLine="8"/>
        <w:spacing w:after="0" w:line="504" w:lineRule="auto"/>
        <w:tabs>
          <w:tab w:leader="none" w:pos="17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Marketable Securities</w:t>
      </w:r>
    </w:p>
    <w:p>
      <w:pPr>
        <w:spacing w:after="0" w:line="1"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2018, 2017 and 2016, the Company determined it did not have any securities that were other-than-temporarily impaired.</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2018, 2017 and 2016, the Company did not have any realized gains or losses on marketable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of December 31, 2018 and 2017, the Company's financial assets valued based on Level 1 inputs consisted of cash and cash equivalents in a money market fund and its financial assets valued based on Level 2 inputs consisted of high-grade corporate bonds and commercial paper. During the years ended December 31, 2018, 2017 and 2016, the Company did not have any transfers of financials assets between Levels 1 and 2. As of December 31, 2018 and 2017, the Company did not have any financial liabilities that were recorded at fair value on a recurring basis on the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and conducted Phase 1 &amp; 2 clinical trials, all of which are considered research and development expenditures.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31"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statements of operations. Patent expenses were approximately $226 thousand, $176 thousand and $242 thousand for the years ended December 31, 2018,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expected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6980" w:firstLine="8"/>
        <w:spacing w:after="0" w:line="504" w:lineRule="auto"/>
        <w:tabs>
          <w:tab w:leader="none" w:pos="17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spacing w:after="0" w:line="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years ended December 31, 2018, 2017 and 2016, diluted net loss per share is the same as basic net loss per share as the inclusion of weighted average shares of unvested restricted common stock and common stock issuable upon the exercise of stock options would be anti-dilutive.</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w w:val="90"/>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8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1,132,618</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976,777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784,011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52,063</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104,127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157,262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1,969,797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June 2018, The Financial Accounting Standards Board ("FASB") issued Accounting Standards Update ("ASU") No. 2018-07, "Improvements to Nonemployee Share-Based Payment Accounting" to simplify the accounting for share-based payment transactions with non-employees of the Company. The guidance within this accounting standard update generally requires that share-based payment transactions for acquiring goods or services from non-employees of the Company be accounted for under the same guidance and model as all other share-based payment transactions, including employees of the Company. For public business entities, ASU 2018-07 is effective for annual and interim reporting periods beginning after December 15, 2018, with early adoption permitted. The Company elected to early adopt the guidance within this accounting standard update in the second quarter of 2018. There was no significant impact from the adoption.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May 2017, the Financial Accounting Standards Board (the "FASB") issued Accounting Standards Update ("ASU") No. 2017-09, "Compensation—Stock Compensation (Topic 718): Scope of Modification Accounting," to provide clarity and reduce both diversity in practice, and cost and complexity when a change is made to the terms or conditions of a share-based payment award. For public business entities, ASU 2017-09 is effective for annual and interim reporting periods beginning after December 15, 2017, with early adoption permitted. The update should be applied prospectively to an award modified on or after the adoption date. There was no significant impact from the adoption.</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March 2016, the Financial Accounting Standards Board (the "FASB") issued Accounting Standards Update ("ASU") No. 2016-09, "Compensation— Stock Compensation (Topic 718): Improvements to Employee Share-Based Payment Accounting," which was designed to simplify several aspects of the accounting for share-based payment transactions, including, among other things, guidance related to accounting for income taxes, modification of the criteria for classification of awards as either equity awards or liability awards where an employer withholds shares from an employee's share-based award for tax withholding purposes, and classification on the statement of cash flows of cash payments to a tax authority by an employer that withholds shares from an employee's award for tax withholding purposes. The amendments in this ASU are effective for annual periods beginning after December 15, 2016, and interim periods within those annual periods. The Company adopted ASU No. 2016-09 effective January 1, 2017. There was no significant impact from the adoption of ASU No. 2016-09 because the Company currently maintains a 100% valuation allowance on its deferred tax assets.</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2015-16 provides that the amendments in the update should be applied retrospectively to all periods presented, unless deemed impracticable, in which case, prospective application is permitted. There was no significant impact from the adoption.</w:t>
      </w:r>
    </w:p>
    <w:p>
      <w:pPr>
        <w:spacing w:after="0" w:line="198" w:lineRule="exact"/>
        <w:rPr>
          <w:sz w:val="20"/>
          <w:szCs w:val="20"/>
          <w:color w:val="auto"/>
        </w:rPr>
      </w:pPr>
    </w:p>
    <w:p>
      <w:pPr>
        <w:ind w:right="20" w:firstLine="351"/>
        <w:spacing w:after="0" w:line="252"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current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There was no significant impact from the adoption.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w:t>
      </w:r>
    </w:p>
    <w:p>
      <w:pPr>
        <w:spacing w:after="0" w:line="23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 July 22, 2016, the Company, Synta and Saffron Merger Sub, Inc., a wholly-owned subsidiary of Synta ("Merger Sub"), completed their merger transaction pursuant to which Merger Sub merged with and into the Company with the Company becoming a wholly-owned subsidiary of Synta and the surviving corporation of the merger. Each outstanding share of private Madrigal common stock was converted into 0.1593 shares of common stock of the post-merger combined company. As a result, Synta issued 7.3 million shares of common stock to the stockholders of private Madrigal in exchange for common shares of private Madrigal. For accounting purposes, the Company is considered to be acquiring Synta in the merger. The Company was determined to be the accounting acquirer based upon the terms of the Merger Agreement and other factors including: (i) Madrigal security holders own approximately 64% of the voting interests of the combined company immediately following the closing of the merger; (ii) directors appointed by Madrigal hold a majority of board seats in the combined company; and (iii) Madrigal management hold a majority of the key positions in the management of the combined company. As the accounting acquirer, the Company's assets and liabilities continue to be recorded at their historical carrying amounts and the historical operations that will be reflected in the financial statements will be those of the Company.</w:t>
      </w:r>
    </w:p>
    <w:p>
      <w:pPr>
        <w:spacing w:after="0" w:line="17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Immediately prior to the closing of the merger, Synta completed a one-for-35 reverse stock split. Following the reverse stock split and the merger, the post-merger combined company had approximately 11.3 million shares outstanding and the former stockholders of the Company owned approximately 64% of the outstanding capital stock of the post-merger combined company. The impact of the recapitalization of the Company has been retroactively applied to all periods presented.</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the closing of the merger transaction, the Company incurred an expense for a success fee of $750 thousand in cash, plus settled $750 thousand for both parties in shares of the post-merger combined company's common stock with a third party financial advisor.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231"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Pursuant to the Merger Agreement, Synta issued to Madrigal stockholders a number of shares of Synta common stock representing approximately 64% of the outstanding shares of common stock of the combined company. The purchase price, which represents the consideration transferred to Synta stockholders in the reverse merger is calculated based on the number of shares of common stock of the combined company that Synta stockholders will own as of the closing of the merger, which consists of the following:</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of the combined company to be owned by Synta stockholders(1)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4,032,734</w:t>
            </w: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Multiplied by the fair value of Synta common stock(2)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9.48</w:t>
            </w:r>
          </w:p>
        </w:tc>
      </w:tr>
      <w:tr>
        <w:trPr>
          <w:trHeight w:val="20"/>
        </w:trPr>
        <w:tc>
          <w:tcPr>
            <w:tcW w:w="2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38,236</w:t>
            </w:r>
          </w:p>
        </w:tc>
      </w:tr>
      <w:tr>
        <w:trPr>
          <w:trHeight w:val="102"/>
        </w:trPr>
        <w:tc>
          <w:tcPr>
            <w:tcW w:w="2120" w:type="dxa"/>
            <w:vAlign w:val="bottom"/>
            <w:tcBorders>
              <w:bottom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right="140" w:hanging="540"/>
        <w:spacing w:after="0" w:line="294" w:lineRule="auto"/>
        <w:tabs>
          <w:tab w:leader="none" w:pos="2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number of shares of common stock of the combined company that Synta stockholders owned as of the closing of the merger pursuant to the Merger Agreement, including restricted stock awards and common stock underlying outstanding restricted stock units attributed to pre-combination services rendered by certain Synta employees and directors. This amount is calculated as 3,937,309 shares of Synta common stock outstanding as of July 22, 2016, including unvested restricted common stock, plus 95,425 shares of Synta common stock issuable pursuant to restricted stock units, net of tax</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(Continued)</w:t>
      </w:r>
    </w:p>
    <w:p>
      <w:pPr>
        <w:spacing w:after="0" w:line="231" w:lineRule="exact"/>
        <w:rPr>
          <w:sz w:val="20"/>
          <w:szCs w:val="20"/>
          <w:color w:val="auto"/>
        </w:rPr>
      </w:pPr>
    </w:p>
    <w:p>
      <w:pPr>
        <w:ind w:left="2260" w:right="80"/>
        <w:spacing w:after="0" w:line="259" w:lineRule="auto"/>
        <w:rPr>
          <w:sz w:val="20"/>
          <w:szCs w:val="20"/>
          <w:color w:val="auto"/>
        </w:rPr>
      </w:pPr>
      <w:r>
        <w:rPr>
          <w:rFonts w:ascii="Arial" w:cs="Arial" w:eastAsia="Arial" w:hAnsi="Arial"/>
          <w:sz w:val="18"/>
          <w:szCs w:val="18"/>
          <w:color w:val="auto"/>
        </w:rPr>
        <w:t>withholdings, that vested immediately upon closing of the merger. The number of shares of common stock Synta issued to Madrigal stockholders was 7,253,655, calculated pursuant to the terms of the Merger Agreement based on Synta's common stock outstanding as of July 22, 2016.</w:t>
      </w:r>
    </w:p>
    <w:p>
      <w:pPr>
        <w:spacing w:after="0" w:line="208" w:lineRule="exact"/>
        <w:rPr>
          <w:sz w:val="20"/>
          <w:szCs w:val="20"/>
          <w:color w:val="auto"/>
        </w:rPr>
      </w:pPr>
    </w:p>
    <w:p>
      <w:pPr>
        <w:ind w:left="2260" w:hanging="540"/>
        <w:spacing w:after="0" w:line="259" w:lineRule="auto"/>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fair value of Synta common stock used in determining the purchase price was $9.48, which was derived from the $0.2709 per share closing price of Synta common stock on July 21, 2016, the current price at the time of the closing, adjusted for the 1-for-35 reverse stock split.</w:t>
      </w:r>
    </w:p>
    <w:p>
      <w:pPr>
        <w:spacing w:after="0" w:line="19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Under the acquisition method of accounting, the total purchase price is allocated to the acquired tangible and intangible assets and assumed liabilities of Synta based on their estimated fair values as of the merger closing date. The excess of the purchase price over the fair value of assets acquired and liabilities assumed, if any, is allocated to goodwill. The allocation of the purchase price to the acquired assets and liabilities assumed of Synta based on the fair values as of July 22, 2016 is as follows, including measurement period adjustments since the fair values presented in the Company's Form 10-Q for the quarter ended September 30, 2016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Measurement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period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July 22 2016</w:t>
            </w:r>
          </w:p>
        </w:tc>
      </w:tr>
      <w:tr>
        <w:trPr>
          <w:trHeight w:val="161"/>
        </w:trPr>
        <w:tc>
          <w:tcPr>
            <w:tcW w:w="46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July 22, 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(As adjusted)</w:t>
            </w:r>
          </w:p>
        </w:tc>
        <w:tc>
          <w:tcPr>
            <w:tcW w:w="16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42,611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Prepaid expenses and other currents assets</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(7,019)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Term loans and capital lease obligations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38,236</w:t>
            </w:r>
          </w:p>
        </w:tc>
        <w:tc>
          <w:tcPr>
            <w:tcW w:w="1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Company's measurement period adjustments were complete as of December 31, 2016. As a result of the measurement period adjustments recorded above, there was no gain or losses on the disposed tangible or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Promissory Notes-Related Parties</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Immediately prior to the consummation of the merger, the September 14, 2011, September 16, 2011 and March 1, 2016 (amended and restated April 13, 2016) convertible note issuances outstanding totaling $47.6 million on July 22, including accrued but unpaid interest, were converted into 7.1 million shares of common stock on a post-split basis of the Company pursuant to their respective amended and restated terms (see Note 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Plan Awards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Pursuant to the terms of the Change in Control Bonus Plan, the participants therein received 0.6 million shares of common stock of the Company from certain former stockholders of the Company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connection with the merger, which represented 7.87% of Madrigal's common shares outstanding at the time of the merger. The Company recorded $5.4 million in stock compensation associated with the transaction (see Note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Following the consummation of the merger, the Company issued a combined 208,255 shares of restricted common stock and 557,386 stock options to purchase shares of common stock to the new Chief Executive Officer, Chief Medical Officer and Executive Vice President, Research and Development, and Chief Financial Officer and Senior Vice President.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Liquidity and Uncertainties</w:t>
      </w:r>
    </w:p>
    <w:p>
      <w:pPr>
        <w:spacing w:after="0" w:line="231" w:lineRule="exact"/>
        <w:rPr>
          <w:sz w:val="20"/>
          <w:szCs w:val="20"/>
          <w:color w:val="auto"/>
        </w:rPr>
      </w:pPr>
    </w:p>
    <w:p>
      <w:pPr>
        <w:jc w:val="both"/>
        <w:ind w:right="240" w:firstLine="348"/>
        <w:spacing w:after="0" w:line="298" w:lineRule="auto"/>
        <w:rPr>
          <w:sz w:val="20"/>
          <w:szCs w:val="20"/>
          <w:color w:val="auto"/>
        </w:rPr>
      </w:pPr>
      <w:r>
        <w:rPr>
          <w:rFonts w:ascii="Arial" w:cs="Arial" w:eastAsia="Arial" w:hAnsi="Arial"/>
          <w:sz w:val="16"/>
          <w:szCs w:val="16"/>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has incurred losses since inception, including approximately $32.8 million for the year ended December 31, 2018, resulting in an accumulated deficit of approximately $139.3 million and $106.5 million as of December 31, 2018 and 2017, respectively. Management expects to incur losses for the foreseeable future. To date, the Company has funded its operations primarily through the issuance of convertible debt (see Note 6), the proceeds from the Merger on July 22, 2016 (see Note 3), and proceeds from sales of the Company's common and Series A Convertible Preferred Stock (see Note 8).</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believes that its cash, cash equivalents and marketable securities at December 31, 2018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in which those concerns are relieved.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Marketable Securities</w:t>
      </w:r>
    </w:p>
    <w:p>
      <w:pPr>
        <w:spacing w:after="0" w:line="231" w:lineRule="exact"/>
        <w:rPr>
          <w:sz w:val="20"/>
          <w:szCs w:val="20"/>
          <w:color w:val="auto"/>
        </w:rPr>
      </w:pPr>
    </w:p>
    <w:p>
      <w:pPr>
        <w:ind w:right="520" w:firstLine="341"/>
        <w:spacing w:after="0" w:line="268"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December 31, 2018, 2017 and 2016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1"/>
                <w:szCs w:val="11"/>
                <w:color w:val="auto"/>
              </w:rPr>
            </w:pPr>
          </w:p>
        </w:tc>
        <w:tc>
          <w:tcPr>
            <w:tcW w:w="8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1"/>
              </w:rPr>
              <w:t>gains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(Level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8"/>
              </w:rPr>
              <w:t>Corporate debt securities due within 3 months of date of purchase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0"/>
              </w:rPr>
              <w:t>Corporate debt securities due within 1 year of date of purchase (Level 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426,658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426,339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ind w:left="1140"/>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484,037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483,718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1"/>
                <w:szCs w:val="11"/>
                <w:color w:val="auto"/>
              </w:rPr>
            </w:pPr>
          </w:p>
        </w:tc>
        <w:tc>
          <w:tcPr>
            <w:tcW w:w="8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Fair</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1"/>
              </w:rPr>
              <w:t>gains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(Level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145,902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145,902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8"/>
              </w:rPr>
              <w:t>Corporate debt securities due within 3 months of date of purchase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0"/>
              </w:rPr>
              <w:t>Corporate debt securities due within 1 year of date of purchase (Level 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ind w:left="1140"/>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191,558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191,527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vMerge w:val="restart"/>
          </w:tcPr>
          <w:p>
            <w:pPr>
              <w:ind w:left="4380"/>
              <w:spacing w:after="0"/>
              <w:rPr>
                <w:sz w:val="20"/>
                <w:szCs w:val="20"/>
                <w:color w:val="auto"/>
              </w:rPr>
            </w:pPr>
            <w:r>
              <w:rPr>
                <w:rFonts w:ascii="Arial" w:cs="Arial" w:eastAsia="Arial" w:hAnsi="Arial"/>
                <w:sz w:val="18"/>
                <w:szCs w:val="18"/>
                <w:color w:val="auto"/>
              </w:rPr>
              <w:t>F-17</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Marketable Securities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Cost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value</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Cash (Level 1)</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ind w:right="409"/>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5,651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1"/>
              </w:rPr>
              <w:t>Corporate debt securities due within 3 months of date of purchase (Level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19,145</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19,145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5"/>
              </w:rPr>
              <w:t>Corporate debt securities due within 1 year of date of purchase (Level 2)</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21,330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25</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21,355</w:t>
            </w:r>
          </w:p>
        </w:tc>
        <w:tc>
          <w:tcPr>
            <w:tcW w:w="160" w:type="dxa"/>
            <w:vAlign w:val="bottom"/>
            <w:shd w:val="clear" w:color="auto" w:fill="CCEEFF"/>
          </w:tcPr>
          <w:p>
            <w:pPr>
              <w:spacing w:after="0"/>
              <w:rPr>
                <w:sz w:val="18"/>
                <w:szCs w:val="18"/>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40,475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25</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40,500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Promissory Notes—Related Parties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Prior to the Merger, the Company was financed via issuances of convertible promissory notes, designated as "the September 14, 2011 Notes", "the September 16, 2011 Notes", and "the March 1, 2016 Notes", respectively (collectively "the Notes"). The Notes accrued interest at 8% per annum, compounded monthly, and were collateralized by all assets of the Company.</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Effective April 13, 2016, in connection with execution of the Merger Agreement, the Notes were amended and restated, primarily to provide for mandatory conversion upon completion of the Merger. On that same date, the lenders collectively waived all accrued and unpaid interest under all of the convertible notes. The total accrued and waived interest amounted to $13.7 million. The lenders also agreed that no additional interest on these notes would be accrued through the date on which the Merger was consummated or terminated. Also on April 13, 2016, the Company reduced the convertible notes payable by the waived accrued interest less $2.5 million of accrued interest for the period April 14, 2016 through the maturity date of December 31, 2016, as required under Troubled Debt Restructuring accounting guidance. The net waived interest of $11.2 million was recorded as an increase in Additional Paid in Capital ("APIC") at the time of the amendment, as the notes were held by related parties. The remaining $2.5 million of accrued interest was recorded as an increase in APIC upon conversion at the Merger.</w:t>
      </w:r>
    </w:p>
    <w:p>
      <w:pPr>
        <w:spacing w:after="0" w:line="172"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During the period March 1, 2016 through the Merger, the lenders provided convertible promissory note financing of $8.5 million in cash. Additionally, on April 13, 2016, one of the lenders exchanged $0.5 million of Advances Payable for an equal amount of convertible promissory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Advances Payable—Related Party</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On June 29, 2015 and July 30, 2015 a related party agreed to advance the Company a total of $500 thousand to be used for working capital requirements. The advances accrued interest at a rate of four percent (4%) per annum compounded annually. On April 13, 2016, these advances were exchanged for $500 thousand in convertible promissory notes payable and all accrued interest was waived (see Note 6).</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8980" w:firstLine="8"/>
        <w:spacing w:after="0" w:line="504"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spacing w:after="0" w:line="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2018 Registered Offering of Common Stock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June 2018, the Company entered into an underwriting agreement with Goldman Sachs &amp; Co. LLC, as representative of the several underwriters named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therein (the "June 2018 Underwriters"), relating to an underwritten public offering (the "June 2018 Offering") of 1,079,580 shares of the Company's common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stock, including 95,973 shares of the Company's common stock purchased by the June 2018 Underwriters pursuant to a 30-day option to purchase such additional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shares granted therein, at a public offering price of $305.00 per share. The June 2018 Offering resulted in gross proceeds to the Company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$329.3 million, and net proceeds to the Company of approximately $311.8 million, after deducting the June 2018 Underwriters' discount and other offering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June 2018 Offering closed on June 11,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Registered Offering of Common Stock</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December 2017, the Company entered into an underwriting agreement (the "Underwriting Agreement") with Goldman Sachs &amp; Co. LLC, as representative of the several underwriters named therein (the "Underwriters"), relating to an underwritten public offering (the "December 2017 Offering") of 1,731,929 shares of the Company's common stock, including 225,904 shares of the Company's common stock purchased by the Underwriters pursuant to a 30-day option to purchase such additional shares granted therein, at a public offering price of $83.00 per share. The December 2017 Offering resulted in gross proceeds to the Company of approximately $143.8 million, and net proceeds to the Company of approximately $135.7 million, after deducting the Underwriters' discount and other estimated offering expenses payable by the Company. The December 2017 Offering closed on December 21,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Private Placement Offering and Series A Convertible Preferred Stock</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"June 2017 Offering"). Under the terms of the Purchase Agreement, the Company sold 328,300 shares of its common stock at a price of $15.23 per share, and 1,969,797 shares of its Series A Convertible Preferred Stock (the "Series A Preferred Stock") at a price of $15.23 per share. The June 2017 Offering resulted in gross proceeds to the Company of approximately $35.0 million, and net proceeds to the Company of approximately $34.9 million. The June 2017 Offering closed on June 23, 2017.</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(Deficit) (Continued)</w:t>
      </w:r>
    </w:p>
    <w:p>
      <w:pPr>
        <w:spacing w:after="0" w:line="231"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right="820" w:firstLine="351"/>
        <w:spacing w:after="0" w:line="305" w:lineRule="auto"/>
        <w:rPr>
          <w:sz w:val="20"/>
          <w:szCs w:val="20"/>
          <w:color w:val="auto"/>
        </w:rPr>
      </w:pPr>
      <w:r>
        <w:rPr>
          <w:rFonts w:ascii="Arial" w:cs="Arial" w:eastAsia="Arial" w:hAnsi="Arial"/>
          <w:sz w:val="15"/>
          <w:szCs w:val="15"/>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w:t>
      </w:r>
    </w:p>
    <w:p>
      <w:pPr>
        <w:spacing w:after="0" w:line="287" w:lineRule="auto"/>
        <w:rPr>
          <w:sz w:val="20"/>
          <w:szCs w:val="20"/>
          <w:color w:val="auto"/>
        </w:rPr>
      </w:pPr>
      <w:r>
        <w:rPr>
          <w:rFonts w:ascii="Arial" w:cs="Arial" w:eastAsia="Arial" w:hAnsi="Arial"/>
          <w:sz w:val="16"/>
          <w:szCs w:val="16"/>
          <w:color w:val="auto"/>
        </w:rPr>
        <w:t>$100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7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of December 31, 2018, 597,256 shares have been sold under the October 2015 Sales Agreement for an aggregate of approximately $9.6 million in gross proceeds. Net proceeds to the Company were approximately $9.4 million after deducting commissions and other transactions costs. Of those shares sold, no shares were sold in 2018 and 215,539 shares were sold in 2017 for an aggregate of approximately $3.5 million in gross proceeds, and $3.4 million in net proceeds. Approximately $90.4 million remained reserved under the Company's shelf registration statement and the applicable prospectus supplement for possible future issuance under the October 2015 Sales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June 2015, upon obtaining stockholder approval at its annual shareholder meeting, the Company implemented its new 2015 Stock Plan. The 2015 Stock Plan replaced the 2006 Stock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which was terminated upon adoption of the 2015 Stock Plan. Shares of common stock reserved for outstanding awards under the 2006 Stock Plan that lapse or are cancelled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 stock on the date of grant and expire no later than ten years from the date the option is granted. As of December 31, 2018, the Company had options outstanding to purchase 1,132,618 shares of its common stock, which includes options outstanding under its 2006 Stock Plan that was terminated in June 2015. As of December 31, 2018, 1,200,845 shares were available for future issuance.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stock option activity during the twelve months ended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1"/>
              </w:rPr>
              <w:t>exercise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price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976,777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Options 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266,400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174.13</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Options cancelled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(8,750)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113.81</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623,657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12.31</w:t>
            </w:r>
          </w:p>
        </w:tc>
        <w:tc>
          <w:tcPr>
            <w:tcW w:w="1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7.59</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63,221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total cash received by the Company as a result of stock option exercises was $2.1 million in the year ended December 31, 2018 and $0.0 in each of the years ended December 31, 2017 and 2016. The total intrinsic value of options exercised was $18.8 million in the year ended December 31, 2018. The weighted-average grant date fair values, based on the Black-Scholes option model, of options granted during the year ended December 31, 2018, 2017 and 2016 was $137.49, $13.30 and $7.50,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unvested restricted share activity during the year ended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exercise</w:t>
            </w:r>
          </w:p>
        </w:tc>
      </w:tr>
      <w:tr>
        <w:trPr>
          <w:trHeight w:val="161"/>
        </w:trPr>
        <w:tc>
          <w:tcPr>
            <w:tcW w:w="6260" w:type="dxa"/>
            <w:vAlign w:val="bottom"/>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price</w:t>
            </w:r>
          </w:p>
        </w:tc>
        <w:tc>
          <w:tcPr>
            <w:tcW w:w="160" w:type="dxa"/>
            <w:vAlign w:val="bottom"/>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(52,064)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r>
      <w:tr>
        <w:trPr>
          <w:trHeight w:val="20"/>
        </w:trPr>
        <w:tc>
          <w:tcPr>
            <w:tcW w:w="6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r>
      <w:tr>
        <w:trPr>
          <w:trHeight w:val="20"/>
        </w:trPr>
        <w:tc>
          <w:tcPr>
            <w:tcW w:w="6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during the years ended December 31, 2018, 2017 and 2016 was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Change in control bonus plan (see note 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13,489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stock-based compensation expense included in net loss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13,489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Unrecognized stock-based compensation expense as of December 31, 2018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3"/>
          </w:tcPr>
          <w:p>
            <w:pPr>
              <w:jc w:val="center"/>
              <w:ind w:right="18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Unrecognized</w:t>
            </w:r>
          </w:p>
        </w:tc>
        <w:tc>
          <w:tcPr>
            <w:tcW w:w="264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stock</w:t>
            </w:r>
          </w:p>
        </w:tc>
        <w:tc>
          <w:tcPr>
            <w:tcW w:w="2640" w:type="dxa"/>
            <w:vAlign w:val="bottom"/>
            <w:gridSpan w:val="3"/>
          </w:tcPr>
          <w:p>
            <w:pPr>
              <w:jc w:val="center"/>
              <w:ind w:right="188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640" w:type="dxa"/>
            <w:vAlign w:val="bottom"/>
            <w:gridSpan w:val="3"/>
          </w:tcPr>
          <w:p>
            <w:pPr>
              <w:jc w:val="center"/>
              <w:ind w:right="1860"/>
              <w:spacing w:after="0" w:line="149" w:lineRule="exact"/>
              <w:rPr>
                <w:sz w:val="20"/>
                <w:szCs w:val="20"/>
                <w:color w:val="auto"/>
              </w:rPr>
            </w:pPr>
            <w:r>
              <w:rPr>
                <w:rFonts w:ascii="Arial" w:cs="Arial" w:eastAsia="Arial" w:hAnsi="Arial"/>
                <w:sz w:val="14"/>
                <w:szCs w:val="14"/>
                <w:b w:val="1"/>
                <w:bCs w:val="1"/>
                <w:color w:val="auto"/>
                <w:w w:val="88"/>
              </w:rPr>
              <w:t>period</w:t>
            </w:r>
          </w:p>
        </w:tc>
      </w:tr>
      <w:tr>
        <w:trPr>
          <w:trHeight w:val="161"/>
        </w:trPr>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2"/>
              </w:rPr>
              <w:t>expense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6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Restricted stock</w:t>
            </w: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23,918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640" w:type="dxa"/>
            <w:vAlign w:val="bottom"/>
            <w:gridSpan w:val="2"/>
          </w:tcPr>
          <w:p>
            <w:pPr>
              <w:jc w:val="right"/>
              <w:ind w:right="1886"/>
              <w:spacing w:after="0"/>
              <w:rPr>
                <w:sz w:val="20"/>
                <w:szCs w:val="20"/>
                <w:color w:val="auto"/>
              </w:rPr>
            </w:pPr>
            <w:r>
              <w:rPr>
                <w:rFonts w:ascii="Arial" w:cs="Arial" w:eastAsia="Arial" w:hAnsi="Arial"/>
                <w:sz w:val="18"/>
                <w:szCs w:val="18"/>
                <w:color w:val="auto"/>
              </w:rPr>
              <w:t>F-22</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9060" w:firstLine="8"/>
        <w:spacing w:after="0" w:line="605" w:lineRule="auto"/>
        <w:tabs>
          <w:tab w:leader="none" w:pos="263" w:val="left"/>
        </w:tabs>
        <w:numPr>
          <w:ilvl w:val="0"/>
          <w:numId w:val="37"/>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 Related Party Financing</w:t>
      </w:r>
    </w:p>
    <w:p>
      <w:pPr>
        <w:spacing w:after="0" w:line="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For the years ended December 31, 2018, 2017 and 2016, the Company incurred approximately $0.0, $0.0 and $1.2 million, respectively of interest expense to related party lenders which was subsequently waived (see Note 6). This debt was converted to equity at the time of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Company had a consulting agreement with its former Chief Executive Officer ("CEO"), who is also a stockholder of the Company. The consulting agreement automatically renewed monthly unless terminated. The consulting agreement could be terminated upon fifteen (15) day notice by the Company or the CEO. The consultant was paid $0 for the years ended December 31, 2018 and 2017, respectively, and $93 thousand for the year ended December 31, 2016. On July 22, 2016, this consulting agreement was replaced by an employment agreement for the position of Chief Medical Officer ("CMO") upon the completion of the Merger (see Note 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years ended December 31, 2018, 2017 and 2016.</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During 2018, the Company has entered into several customary contractual arrangements and letters of intent in preparation for and in support of the Phase 2 and 3 clinical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At December 31, 2018, the Company had federal net operating loss ("NOL") carryforwards of approximately $54.6 million and state operating loss carryforwards of approximately $43.3 million, available to reduce future taxable income, which expire between 2031 and 2037. The Company has unused federal research and development carryforwards of approximately $3.3 million which will begin to expire in 2031.</w:t>
      </w:r>
    </w:p>
    <w:p>
      <w:pPr>
        <w:spacing w:after="0" w:line="19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determined that an ownership change likely occurred for Madrigal during the year ended December 31, 2017. The net operating losses are expected to be subject to an annual limitation; however, none of these NOLs is expected to expire before becoming available to reduce future taxable income.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has analyzed the tax effect of the merger and concluded that an ownership change did take place for IRC 382 purposes. Based on the value of the business, Synta's federal net operating losses and R&amp;D credits are no longer available to be used by the Company. Further, the Company has concluded that the transaction did not trigger an ownership change for Madrigal.</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$17.5 million for the year ended December 31, 2018. Changes in the deferred tax asset will be recorded as an income tax benefit or expense on the accompanying consolidated statements of operations.</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Entities are also required to evaluate, measure, recognize and disclose any uncertain income tax provisions taken on their income tax returns. The Company has analyzed its tax positions and has concluded that as of December 31, 2018 there were no uncertain positions. The 2012 through 2017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2018.</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Temporary differences that give rise to deferred tax assets and liabilities are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42"/>
        </w:trPr>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270</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Gains on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r>
      <w:tr>
        <w:trPr>
          <w:trHeight w:val="210"/>
        </w:trPr>
        <w:tc>
          <w:tcPr>
            <w:tcW w:w="518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Charitable Contributions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Property, Plant &amp;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12,749</w:t>
            </w:r>
          </w:p>
        </w:tc>
      </w:tr>
      <w:tr>
        <w:trPr>
          <w:trHeight w:val="21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R&amp;D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4,226</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R&amp;D Credit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846</w:t>
            </w: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before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18,822</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(38,948)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(21,419)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(18,539)</w:t>
            </w: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Differences between the effective income tax rate and the US statutory rate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5"/>
          </w:tcPr>
          <w:p>
            <w:pPr>
              <w:jc w:val="right"/>
              <w:ind w:right="3"/>
              <w:spacing w:after="0"/>
              <w:rPr>
                <w:sz w:val="20"/>
                <w:szCs w:val="20"/>
                <w:color w:val="auto"/>
              </w:rPr>
            </w:pPr>
            <w:r>
              <w:rPr>
                <w:rFonts w:ascii="Arial" w:cs="Arial" w:eastAsia="Arial" w:hAnsi="Arial"/>
                <w:sz w:val="14"/>
                <w:szCs w:val="14"/>
                <w:b w:val="1"/>
                <w:bCs w:val="1"/>
                <w:color w:val="auto"/>
                <w:w w:val="85"/>
              </w:rPr>
              <w:t>For the years ended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federal statutory rate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4"/>
              </w:rPr>
              <w:t>(6,890)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Non-deductible interest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4"/>
              </w:rPr>
              <w:t>(3,415)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Transaction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reform, change in federal tax rate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Nondeductible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3"/>
              </w:rPr>
              <w:t>State income taxes benefit before valuation allowance, net of federal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4"/>
              </w:rPr>
              <w:t>(5,460)</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Increase in domestic valuation allowance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2,880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4"/>
              </w:rPr>
              <w:t>(1,604)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adjustments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vMerge w:val="restart"/>
          </w:tcPr>
          <w:p>
            <w:pPr>
              <w:ind w:left="3820"/>
              <w:spacing w:after="0"/>
              <w:rPr>
                <w:sz w:val="20"/>
                <w:szCs w:val="20"/>
                <w:color w:val="auto"/>
              </w:rPr>
            </w:pPr>
            <w:r>
              <w:rPr>
                <w:rFonts w:ascii="Arial" w:cs="Arial" w:eastAsia="Arial" w:hAnsi="Arial"/>
                <w:sz w:val="18"/>
                <w:szCs w:val="18"/>
                <w:color w:val="auto"/>
              </w:rPr>
              <w:t>F-25</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Quarterly Financial Data (unaudited)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present a summary of quarterly results of operations for 2018 and 2017 (in thousands, except shares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per common share: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Basic and diluted weighted average number of common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14,127,868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14,383,720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15,307,872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15,348,358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loss per common share:</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3"/>
              </w:rPr>
              <w:t>Basic and diluted weighted average number of common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11,955,739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12,039,005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12,378,622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12,597,864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80" w:type="dxa"/>
            <w:vAlign w:val="bottom"/>
            <w:gridSpan w:val="4"/>
          </w:tcPr>
          <w:p>
            <w:pPr>
              <w:jc w:val="right"/>
              <w:ind w:right="820"/>
              <w:spacing w:after="0"/>
              <w:rPr>
                <w:sz w:val="20"/>
                <w:szCs w:val="20"/>
                <w:color w:val="auto"/>
              </w:rPr>
            </w:pPr>
            <w:r>
              <w:rPr>
                <w:rFonts w:ascii="Arial" w:cs="Arial" w:eastAsia="Arial" w:hAnsi="Arial"/>
                <w:sz w:val="18"/>
                <w:szCs w:val="18"/>
                <w:color w:val="auto"/>
              </w:rPr>
              <w:t>F-26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rPr>
          <w:rFonts w:ascii="Arial" w:cs="Arial" w:eastAsia="Arial" w:hAnsi="Arial"/>
          <w:sz w:val="22"/>
          <w:szCs w:val="22"/>
          <w:color w:val="0000EE"/>
        </w:rPr>
      </w:pPr>
      <w:hyperlink w:anchor="page1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SUBSIDIARIES OF MADRIGAL PHARMACEUTICALS,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Synta Securities Corp., a Massachusetts securities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Limited Incorporated, a United Kingdom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Synta Pharmaceuticals (Bermuda) Ltd., a Bermuda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Canticle Pharmaceuticals,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2">
            <w:col w:w="9740" w:space="720"/>
            <w:col w:w="920"/>
          </w:cols>
          <w:pgMar w:left="240" w:top="361" w:right="27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SUBSIDIARIES OF MADRIGAL PHARMACEUTICALS, INC.</w:t>
        </w:r>
      </w:hyperlink>
    </w:p>
    <w:p>
      <w:pPr>
        <w:sectPr>
          <w:pgSz w:w="11900" w:h="16838" w:orient="portrait"/>
          <w:cols w:equalWidth="0" w:num="1">
            <w:col w:w="10219"/>
          </w:cols>
          <w:pgMar w:left="240" w:top="820" w:right="1440" w:bottom="1440" w:gutter="0" w:footer="0" w:header="0"/>
        </w:sectPr>
      </w:pPr>
    </w:p>
    <w:bookmarkStart w:id="102" w:name="page103"/>
    <w:bookmarkEnd w:id="102"/>
    <w:p>
      <w:pPr>
        <w:spacing w:after="0"/>
        <w:rPr>
          <w:rFonts w:ascii="Arial" w:cs="Arial" w:eastAsia="Arial" w:hAnsi="Arial"/>
          <w:sz w:val="22"/>
          <w:szCs w:val="22"/>
          <w:color w:val="0000EE"/>
        </w:rPr>
      </w:pPr>
      <w:hyperlink w:anchor="page1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hereby consent to the incorporation by reference in the Registration Statements on Form S-3 (Nos. 333-225434, 333-219304) and Form S-8 (Nos. 333-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141903, 333-152824, 333-173862, 333-181117, 333-187243, 333-194477, 333-202680, 333-206128, 333-212615, 333-224503) of Madrigal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of our report dated February 27, 2019 relating to the financial statements and the effectiveness of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appears in this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04" w:name="page105"/>
    <w:bookmarkEnd w:id="104"/>
    <w:p>
      <w:pPr>
        <w:spacing w:after="0"/>
        <w:rPr>
          <w:rFonts w:ascii="Arial" w:cs="Arial" w:eastAsia="Arial" w:hAnsi="Arial"/>
          <w:sz w:val="22"/>
          <w:szCs w:val="22"/>
          <w:color w:val="0000EE"/>
        </w:rPr>
      </w:pPr>
      <w:hyperlink w:anchor="page1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PRINCIPAL EXECUTIVE OFFICER PURSUANT TO SECURITIES EXCHANGE ACT RULES 13A-14(a) AND 15D-14(a) 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39"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Madrigal Pharmaceuticals,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 of the Board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CERTIFICATION OF PRINCIPAL EXECUTIVE OFFICER PURSUANT TO SECURITIES EXCHANGE ACT RULES 13A-14(a) AND 15D-14(a) AS</w:t>
        </w:r>
      </w:hyperlink>
      <w:r>
        <w:rPr>
          <w:rFonts w:ascii="Arial" w:cs="Arial" w:eastAsia="Arial" w:hAnsi="Arial"/>
          <w:sz w:val="18"/>
          <w:szCs w:val="18"/>
          <w:u w:val="single" w:color="auto"/>
          <w:color w:val="0000EE"/>
        </w:rPr>
        <w:t xml:space="preserve"> </w:t>
      </w:r>
      <w:hyperlink w:anchor="page105">
        <w:r>
          <w:rPr>
            <w:rFonts w:ascii="Arial" w:cs="Arial" w:eastAsia="Arial" w:hAnsi="Arial"/>
            <w:sz w:val="18"/>
            <w:szCs w:val="18"/>
            <w:u w:val="single" w:color="auto"/>
            <w:color w:val="0000EE"/>
          </w:rPr>
          <w:t>ADOPTED PURSUANT TO SECTION 302 OF THE SARBANES-OXLEY ACT OF 2002</w:t>
        </w:r>
      </w:hyperlink>
    </w:p>
    <w:p>
      <w:pPr>
        <w:sectPr>
          <w:pgSz w:w="11900" w:h="16838" w:orient="portrait"/>
          <w:cols w:equalWidth="0" w:num="1">
            <w:col w:w="10840"/>
          </w:cols>
          <w:pgMar w:left="240" w:top="820" w:right="819" w:bottom="1440" w:gutter="0" w:footer="0" w:header="0"/>
        </w:sectPr>
      </w:pPr>
    </w:p>
    <w:bookmarkStart w:id="106" w:name="page107"/>
    <w:bookmarkEnd w:id="106"/>
    <w:p>
      <w:pPr>
        <w:spacing w:after="0"/>
        <w:rPr>
          <w:rFonts w:ascii="Arial" w:cs="Arial" w:eastAsia="Arial" w:hAnsi="Arial"/>
          <w:sz w:val="22"/>
          <w:szCs w:val="22"/>
          <w:color w:val="0000EE"/>
        </w:rPr>
      </w:pPr>
      <w:hyperlink w:anchor="page10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39"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Madrigal Pharmaceuticals,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905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 (Principal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CERTIFICATION OF PRINCIPAL FINANCIAL OFFICER PURSUANT TO SECURITIES EXCHANGE ACT RULES 13A-14(A) AND 15D-14(A) AS</w:t>
        </w:r>
      </w:hyperlink>
      <w:r>
        <w:rPr>
          <w:rFonts w:ascii="Arial" w:cs="Arial" w:eastAsia="Arial" w:hAnsi="Arial"/>
          <w:sz w:val="18"/>
          <w:szCs w:val="18"/>
          <w:u w:val="single" w:color="auto"/>
          <w:color w:val="0000EE"/>
        </w:rPr>
        <w:t xml:space="preserve"> </w:t>
      </w:r>
      <w:hyperlink w:anchor="page107">
        <w:r>
          <w:rPr>
            <w:rFonts w:ascii="Arial" w:cs="Arial" w:eastAsia="Arial" w:hAnsi="Arial"/>
            <w:sz w:val="18"/>
            <w:szCs w:val="18"/>
            <w:u w:val="single" w:color="auto"/>
            <w:color w:val="0000EE"/>
          </w:rPr>
          <w:t>ADOPTED PURSUANT TO SECTION 302 OF THE SARBANES-OXLEY ACT OF 2002</w:t>
        </w:r>
      </w:hyperlink>
    </w:p>
    <w:p>
      <w:pPr>
        <w:sectPr>
          <w:pgSz w:w="11900" w:h="16838" w:orient="portrait"/>
          <w:cols w:equalWidth="0" w:num="1">
            <w:col w:w="10900"/>
          </w:cols>
          <w:pgMar w:left="240" w:top="820" w:right="759" w:bottom="1440" w:gutter="0" w:footer="0" w:header="0"/>
        </w:sectPr>
      </w:pPr>
    </w:p>
    <w:bookmarkStart w:id="108" w:name="page109"/>
    <w:bookmarkEnd w:id="108"/>
    <w:p>
      <w:pPr>
        <w:spacing w:after="0"/>
        <w:rPr>
          <w:rFonts w:ascii="Arial" w:cs="Arial" w:eastAsia="Arial" w:hAnsi="Arial"/>
          <w:sz w:val="22"/>
          <w:szCs w:val="22"/>
          <w:color w:val="0000EE"/>
        </w:rPr>
      </w:pPr>
      <w:hyperlink w:anchor="page1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Annual Report on Form 10-K for the fiscal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94"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Dated: February 27, 2019</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Paul A. Friedman, M.D.</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46" w:lineRule="exact"/>
        <w:rPr>
          <w:sz w:val="20"/>
          <w:szCs w:val="20"/>
          <w:color w:val="auto"/>
        </w:rPr>
      </w:pPr>
    </w:p>
    <w:p>
      <w:pPr>
        <w:ind w:left="1140"/>
        <w:spacing w:after="0"/>
        <w:tabs>
          <w:tab w:leader="none" w:pos="5880" w:val="left"/>
        </w:tabs>
        <w:rPr>
          <w:sz w:val="20"/>
          <w:szCs w:val="20"/>
          <w:color w:val="auto"/>
        </w:rPr>
      </w:pPr>
      <w:r>
        <w:rPr>
          <w:rFonts w:ascii="Arial" w:cs="Arial" w:eastAsia="Arial" w:hAnsi="Arial"/>
          <w:sz w:val="18"/>
          <w:szCs w:val="18"/>
          <w:color w:val="auto"/>
        </w:rPr>
        <w:t>Dated: February 27, 2019</w:t>
      </w:r>
      <w:r>
        <w:rPr>
          <w:sz w:val="20"/>
          <w:szCs w:val="20"/>
          <w:color w:val="auto"/>
        </w:rPr>
        <w:tab/>
      </w:r>
      <w:r>
        <w:rPr>
          <w:rFonts w:ascii="Arial" w:cs="Arial" w:eastAsia="Arial" w:hAnsi="Arial"/>
          <w:sz w:val="16"/>
          <w:szCs w:val="16"/>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Marc R. Schneebaum</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Senior Vice President and Chief Financial Officer (Principal</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Accounting and Financial Officer)</w:t>
      </w:r>
    </w:p>
    <w:p>
      <w:pPr>
        <w:spacing w:after="0" w:line="219"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CERTIFICATIONS PURSUANT TO 18 U.S.C. SECTION 1350, AS ADOPTED PURSUANT TO SECTION 906 OF THE SARBANES-OXLEY ACT OF 2002</w:t>
        </w:r>
      </w:hyperlink>
    </w:p>
    <w:sectPr>
      <w:pgSz w:w="11900" w:h="16838" w:orient="portrait"/>
      <w:cols w:equalWidth="0" w:num="1">
        <w:col w:w="11400"/>
      </w:cols>
      <w:pgMar w:left="240" w:top="8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1."/>
      <w:numFmt w:val="decimal"/>
      <w:start w:val="2"/>
    </w:lvl>
  </w:abstractNum>
  <w:abstractNum w:abstractNumId="32">
    <w:nsid w:val="5072367"/>
    <w:multiLevelType w:val="hybridMultilevel"/>
    <w:lvl w:ilvl="0">
      <w:lvlJc w:val="left"/>
      <w:lvlText w:val="%1."/>
      <w:numFmt w:val="decimal"/>
      <w:start w:val="2"/>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2"/>
    </w:lvl>
  </w:abstractNum>
  <w:abstractNum w:abstractNumId="35">
    <w:nsid w:val="7724C67E"/>
    <w:multiLevelType w:val="hybridMultilevel"/>
    <w:lvl w:ilvl="0">
      <w:lvlJc w:val="left"/>
      <w:lvlText w:val="%1."/>
      <w:numFmt w:val="decimal"/>
      <w:start w:val="8"/>
    </w:lvl>
  </w:abstractNum>
  <w:abstractNum w:abstractNumId="36">
    <w:nsid w:val="5C482A97"/>
    <w:multiLevelType w:val="hybridMultilevel"/>
    <w:lvl w:ilvl="0">
      <w:lvlJc w:val="left"/>
      <w:lvlText w:val="%1."/>
      <w:numFmt w:val="decimal"/>
      <w:start w:val="10"/>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13"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83" Type="http://schemas.openxmlformats.org/officeDocument/2006/relationships/hyperlink" Target="http://www.sec.gov/Archives/edgar/data/1157601/000110465917074616/a17-28424_4ex1d1.htm" TargetMode="External"/><Relationship Id="rId84" Type="http://schemas.openxmlformats.org/officeDocument/2006/relationships/hyperlink" Target="http://www.sec.gov/Archives/edgar/data/1157601/000110465918039204/a18-15071_1ex1d1.htm" TargetMode="External"/><Relationship Id="rId85" Type="http://schemas.openxmlformats.org/officeDocument/2006/relationships/hyperlink" Target="http://www.sec.gov/Archives/edgar/data/1157601/000110465916111349/a16-8380_1ex2d1.htm" TargetMode="External"/><Relationship Id="rId86" Type="http://schemas.openxmlformats.org/officeDocument/2006/relationships/hyperlink" Target="http://www.sec.gov/Archives/edgar/data/1157601/000104746917002260/a2231593zex-3_1.htm" TargetMode="External"/><Relationship Id="rId87" Type="http://schemas.openxmlformats.org/officeDocument/2006/relationships/hyperlink" Target="http://www.sec.gov/Archives/edgar/data/1157601/000110465917040552/a17-15516_1ex3d1.htm" TargetMode="External"/><Relationship Id="rId90" Type="http://schemas.openxmlformats.org/officeDocument/2006/relationships/hyperlink" Target="http://www.sec.gov/Archives/edgar/data/1157601/000110465916111349/a16-8380_1ex3d1.htm" TargetMode="External"/><Relationship Id="rId91" Type="http://schemas.openxmlformats.org/officeDocument/2006/relationships/hyperlink" Target="http://www.sec.gov/Archives/edgar/data/1157601/000110465915071102/a15-16899_5ex10d1.htm" TargetMode="External"/><Relationship Id="rId92" Type="http://schemas.openxmlformats.org/officeDocument/2006/relationships/hyperlink" Target="http://www.sec.gov/Archives/edgar/data/1157601/000110465917040552/a17-15516_1ex10d1.htm" TargetMode="External"/><Relationship Id="rId93" Type="http://schemas.openxmlformats.org/officeDocument/2006/relationships/hyperlink" Target="http://www.sec.gov/Archives/edgar/data/1157601/000110465916156989/a16-17137_1ex10d5.htm" TargetMode="External"/><Relationship Id="rId94" Type="http://schemas.openxmlformats.org/officeDocument/2006/relationships/hyperlink" Target="http://www.sec.gov/Archives/edgar/data/1157601/000104746910006043/a2199175zex-10_1.htm" TargetMode="External"/><Relationship Id="rId95" Type="http://schemas.openxmlformats.org/officeDocument/2006/relationships/hyperlink" Target="http://www.sec.gov/Archives/edgar/data/1157601/000104746907000315/a2175618zex-10_2a.txt" TargetMode="External"/><Relationship Id="rId96" Type="http://schemas.openxmlformats.org/officeDocument/2006/relationships/hyperlink" Target="http://www.sec.gov/Archives/edgar/data/1157601/000104746907000315/a2175618zex-10_2b.txt" TargetMode="External"/><Relationship Id="rId97" Type="http://schemas.openxmlformats.org/officeDocument/2006/relationships/hyperlink" Target="http://www.sec.gov/Archives/edgar/data/1157601/000104746907000315/a2175618zex-10_2c.txt" TargetMode="External"/><Relationship Id="rId98" Type="http://schemas.openxmlformats.org/officeDocument/2006/relationships/hyperlink" Target="http://www.sec.gov/Archives/edgar/data/1157601/000104746907000315/a2175618zex-10_2d.txt" TargetMode="External"/><Relationship Id="rId99" Type="http://schemas.openxmlformats.org/officeDocument/2006/relationships/hyperlink" Target="http://www.sec.gov/Archives/edgar/data/1157601/000104746907000315/a2175618zex-10_2e.txt" TargetMode="External"/><Relationship Id="rId100" Type="http://schemas.openxmlformats.org/officeDocument/2006/relationships/hyperlink" Target="http://www.sec.gov/Archives/edgar/data/1157601/000104746917004401/a2232615zex-10_1.htm" TargetMode="External"/><Relationship Id="rId103" Type="http://schemas.openxmlformats.org/officeDocument/2006/relationships/hyperlink" Target="http://www.sec.gov/Archives/edgar/data/1157601/000104746917002260/a2231593zex-10_10.htm" TargetMode="External"/><Relationship Id="rId104" Type="http://schemas.openxmlformats.org/officeDocument/2006/relationships/hyperlink" Target="http://www.sec.gov/Archives/edgar/data/1157601/000104746917002260/a2231593zex-10_11.htm" TargetMode="External"/><Relationship Id="rId105" Type="http://schemas.openxmlformats.org/officeDocument/2006/relationships/hyperlink" Target="http://www.sec.gov/Archives/edgar/data/1157601/000104746917002260/a2231593zex-10_12.htm" TargetMode="External"/><Relationship Id="rId106" Type="http://schemas.openxmlformats.org/officeDocument/2006/relationships/hyperlink" Target="http://www.sec.gov/Archives/edgar/data/1157601/000104746917002260/a2231593zex-10_13.htm" TargetMode="External"/><Relationship Id="rId107" Type="http://schemas.openxmlformats.org/officeDocument/2006/relationships/hyperlink" Target="http://www.sec.gov/Archives/edgar/data/1157601/000110465916119512/a16-6596_1ex10d1.htm" TargetMode="External"/><Relationship Id="rId108" Type="http://schemas.openxmlformats.org/officeDocument/2006/relationships/hyperlink" Target="http://www.sec.gov/Archives/edgar/data/1157601/000104746908003112/a2182521zex-10_4.htm" TargetMode="External"/><Relationship Id="rId109" Type="http://schemas.openxmlformats.org/officeDocument/2006/relationships/hyperlink" Target="http://www.sec.gov/Archives/edgar/data/1157601/000110465914084924/a14-25615_1ex10d3.htm" TargetMode="External"/><Relationship Id="rId110" Type="http://schemas.openxmlformats.org/officeDocument/2006/relationships/hyperlink" Target="http://www.sec.gov/Archives/edgar/data/1157601/000110465914084924/a14-25615_1ex10d4.htm" TargetMode="External"/><Relationship Id="rId111" Type="http://schemas.openxmlformats.org/officeDocument/2006/relationships/hyperlink" Target="http://www.sec.gov/Archives/edgar/data/1157601/000110465916133914/a16-15258_1ex10d2.htm" TargetMode="External"/><Relationship Id="rId112" Type="http://schemas.openxmlformats.org/officeDocument/2006/relationships/hyperlink" Target="http://www.sec.gov/Archives/edgar/data/1157601/000104746915002022/a2223524zex-10_46.htm" TargetMode="External"/><Relationship Id="rId114" Type="http://schemas.openxmlformats.org/officeDocument/2006/relationships/hyperlink" Target="http://www.sec.gov/Archives/edgar/data/1157601/000110465916133914/a16-15258_1ex10d3.htm" TargetMode="External"/><Relationship Id="rId115" Type="http://schemas.openxmlformats.org/officeDocument/2006/relationships/hyperlink" Target="http://www.sec.gov/Archives/edgar/data/1157601/000110465916133914/a16-15258_1ex10d4.htm" TargetMode="External"/><Relationship Id="rId116" Type="http://schemas.openxmlformats.org/officeDocument/2006/relationships/hyperlink" Target="http://www.sec.gov/Archives/edgar/data/a2237824zex-3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2019-12-28T16:00:20Z</dcterms:created>
  <dcterms:modified xsi:type="dcterms:W3CDTF">2019-12-28T16:00:20Z</dcterms:modified>
</cp:coreProperties>
</file>