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89"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120650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4" w:lineRule="exact"/>
        <w:rPr>
          <w:sz w:val="24"/>
          <w:szCs w:val="24"/>
          <w:color w:val="auto"/>
        </w:rPr>
      </w:pPr>
    </w:p>
    <w:p>
      <w:pPr>
        <w:jc w:val="center"/>
        <w:ind w:right="-19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131445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9"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7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640" w:right="42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7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41"/>
          <w:szCs w:val="41"/>
          <w:b w:val="1"/>
          <w:bCs w:val="1"/>
          <w:color w:val="auto"/>
        </w:rPr>
        <w:t>MADRIGAL PHARMACEUTICALS, INC.</w:t>
      </w:r>
    </w:p>
    <w:p>
      <w:pPr>
        <w:spacing w:after="0" w:line="5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0" w:lineRule="exact"/>
        <w:rPr>
          <w:sz w:val="24"/>
          <w:szCs w:val="24"/>
          <w:color w:val="auto"/>
        </w:rPr>
      </w:pPr>
    </w:p>
    <w:tbl>
      <w:tblPr>
        <w:tblLayout w:type="fixed"/>
        <w:tblInd w:w="920" w:type="dxa"/>
        <w:tblCellMar>
          <w:top w:w="0" w:type="dxa"/>
          <w:left w:w="0" w:type="dxa"/>
          <w:bottom w:w="0" w:type="dxa"/>
          <w:right w:w="0" w:type="dxa"/>
        </w:tblCellMar>
      </w:tblPr>
      <w:tr>
        <w:trPr>
          <w:trHeight w:val="194"/>
        </w:trPr>
        <w:tc>
          <w:tcPr>
            <w:tcW w:w="1020" w:type="dxa"/>
            <w:vAlign w:val="bottom"/>
          </w:tcPr>
          <w:p>
            <w:pPr>
              <w:spacing w:after="0"/>
              <w:rPr>
                <w:sz w:val="16"/>
                <w:szCs w:val="16"/>
                <w:color w:val="auto"/>
              </w:rPr>
            </w:pPr>
          </w:p>
        </w:tc>
        <w:tc>
          <w:tcPr>
            <w:tcW w:w="3020" w:type="dxa"/>
            <w:vAlign w:val="bottom"/>
            <w:gridSpan w:val="2"/>
          </w:tcPr>
          <w:p>
            <w:pPr>
              <w:jc w:val="center"/>
              <w:ind w:right="890"/>
              <w:spacing w:after="0"/>
              <w:rPr>
                <w:sz w:val="20"/>
                <w:szCs w:val="20"/>
                <w:color w:val="auto"/>
              </w:rPr>
            </w:pPr>
            <w:r>
              <w:rPr>
                <w:rFonts w:ascii="Arial" w:cs="Arial" w:eastAsia="Arial" w:hAnsi="Arial"/>
                <w:sz w:val="16"/>
                <w:szCs w:val="16"/>
                <w:b w:val="1"/>
                <w:bCs w:val="1"/>
                <w:color w:val="auto"/>
                <w:w w:val="91"/>
              </w:rPr>
              <w:t>Delaware</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80" w:type="dxa"/>
            <w:vAlign w:val="bottom"/>
          </w:tcPr>
          <w:p>
            <w:pPr>
              <w:jc w:val="right"/>
              <w:ind w:right="1244"/>
              <w:spacing w:after="0"/>
              <w:rPr>
                <w:sz w:val="20"/>
                <w:szCs w:val="20"/>
                <w:color w:val="auto"/>
              </w:rPr>
            </w:pPr>
            <w:r>
              <w:rPr>
                <w:rFonts w:ascii="Arial" w:cs="Arial" w:eastAsia="Arial" w:hAnsi="Arial"/>
                <w:sz w:val="16"/>
                <w:szCs w:val="16"/>
                <w:b w:val="1"/>
                <w:bCs w:val="1"/>
                <w:color w:val="auto"/>
              </w:rPr>
              <w:t>04-3508648</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020" w:type="dxa"/>
            <w:vAlign w:val="bottom"/>
            <w:gridSpan w:val="2"/>
          </w:tcPr>
          <w:p>
            <w:pPr>
              <w:jc w:val="center"/>
              <w:ind w:right="89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80" w:type="dxa"/>
            <w:vAlign w:val="bottom"/>
          </w:tcPr>
          <w:p>
            <w:pPr>
              <w:jc w:val="center"/>
              <w:ind w:right="64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4"/>
        </w:trPr>
        <w:tc>
          <w:tcPr>
            <w:tcW w:w="1020" w:type="dxa"/>
            <w:vAlign w:val="bottom"/>
          </w:tcPr>
          <w:p>
            <w:pPr>
              <w:spacing w:after="0"/>
              <w:rPr>
                <w:sz w:val="16"/>
                <w:szCs w:val="16"/>
                <w:color w:val="auto"/>
              </w:rPr>
            </w:pPr>
          </w:p>
        </w:tc>
        <w:tc>
          <w:tcPr>
            <w:tcW w:w="3020" w:type="dxa"/>
            <w:vAlign w:val="bottom"/>
            <w:gridSpan w:val="2"/>
          </w:tcPr>
          <w:p>
            <w:pPr>
              <w:jc w:val="center"/>
              <w:ind w:right="890"/>
              <w:spacing w:after="0"/>
              <w:rPr>
                <w:sz w:val="20"/>
                <w:szCs w:val="20"/>
                <w:color w:val="auto"/>
              </w:rPr>
            </w:pPr>
            <w:r>
              <w:rPr>
                <w:rFonts w:ascii="Arial" w:cs="Arial" w:eastAsia="Arial" w:hAnsi="Arial"/>
                <w:sz w:val="14"/>
                <w:szCs w:val="14"/>
                <w:b w:val="1"/>
                <w:bCs w:val="1"/>
                <w:color w:val="auto"/>
                <w:w w:val="94"/>
              </w:rPr>
              <w:t>incorporation or organization)</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80" w:type="dxa"/>
            <w:vAlign w:val="bottom"/>
          </w:tcPr>
          <w:p>
            <w:pPr>
              <w:jc w:val="center"/>
              <w:ind w:right="644"/>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3020" w:type="dxa"/>
            <w:vAlign w:val="bottom"/>
            <w:gridSpan w:val="2"/>
          </w:tcPr>
          <w:p>
            <w:pPr>
              <w:jc w:val="center"/>
              <w:ind w:right="890"/>
              <w:spacing w:after="0"/>
              <w:rPr>
                <w:sz w:val="20"/>
                <w:szCs w:val="20"/>
                <w:color w:val="auto"/>
              </w:rPr>
            </w:pPr>
            <w:r>
              <w:rPr>
                <w:rFonts w:ascii="Arial" w:cs="Arial" w:eastAsia="Arial" w:hAnsi="Arial"/>
                <w:sz w:val="16"/>
                <w:szCs w:val="16"/>
                <w:b w:val="1"/>
                <w:bCs w:val="1"/>
                <w:color w:val="auto"/>
                <w:w w:val="92"/>
              </w:rPr>
              <w:t>Four Tower Bridge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200 Barr Harbor Drive, Suite 200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West Conshohocken, Pennsylvania</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80" w:type="dxa"/>
            <w:vAlign w:val="bottom"/>
          </w:tcPr>
          <w:p>
            <w:pPr>
              <w:jc w:val="right"/>
              <w:ind w:right="1424"/>
              <w:spacing w:after="0"/>
              <w:rPr>
                <w:sz w:val="20"/>
                <w:szCs w:val="20"/>
                <w:color w:val="auto"/>
              </w:rPr>
            </w:pPr>
            <w:r>
              <w:rPr>
                <w:rFonts w:ascii="Arial" w:cs="Arial" w:eastAsia="Arial" w:hAnsi="Arial"/>
                <w:sz w:val="16"/>
                <w:szCs w:val="16"/>
                <w:b w:val="1"/>
                <w:bCs w:val="1"/>
                <w:color w:val="auto"/>
              </w:rPr>
              <w:t>19428</w:t>
            </w:r>
          </w:p>
        </w:tc>
        <w:tc>
          <w:tcPr>
            <w:tcW w:w="0" w:type="dxa"/>
            <w:vAlign w:val="bottom"/>
          </w:tcPr>
          <w:p>
            <w:pPr>
              <w:spacing w:after="0"/>
              <w:rPr>
                <w:sz w:val="1"/>
                <w:szCs w:val="1"/>
                <w:color w:val="auto"/>
              </w:rPr>
            </w:pPr>
          </w:p>
        </w:tc>
      </w:tr>
      <w:tr>
        <w:trPr>
          <w:trHeight w:val="186"/>
        </w:trPr>
        <w:tc>
          <w:tcPr>
            <w:tcW w:w="4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at December 31, 2018)</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80" w:type="dxa"/>
            <w:vAlign w:val="bottom"/>
          </w:tcPr>
          <w:p>
            <w:pPr>
              <w:jc w:val="center"/>
              <w:ind w:right="644"/>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40" w:type="dxa"/>
            <w:vAlign w:val="bottom"/>
            <w:gridSpan w:val="5"/>
          </w:tcPr>
          <w:p>
            <w:pPr>
              <w:jc w:val="center"/>
              <w:ind w:right="1804"/>
              <w:spacing w:after="0"/>
              <w:rPr>
                <w:sz w:val="20"/>
                <w:szCs w:val="20"/>
                <w:color w:val="auto"/>
              </w:rPr>
            </w:pPr>
            <w:r>
              <w:rPr>
                <w:rFonts w:ascii="Arial" w:cs="Arial" w:eastAsia="Arial" w:hAnsi="Arial"/>
                <w:sz w:val="18"/>
                <w:szCs w:val="18"/>
                <w:b w:val="1"/>
                <w:bCs w:val="1"/>
                <w:color w:val="auto"/>
                <w:w w:val="89"/>
              </w:rPr>
              <w:t>Registrant’s telephone number, including area code: (267)824-2827</w:t>
            </w: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4"/>
                <w:szCs w:val="24"/>
                <w:color w:val="auto"/>
              </w:rPr>
            </w:pPr>
          </w:p>
        </w:tc>
        <w:tc>
          <w:tcPr>
            <w:tcW w:w="8340" w:type="dxa"/>
            <w:vAlign w:val="bottom"/>
            <w:gridSpan w:val="6"/>
          </w:tcPr>
          <w:p>
            <w:pPr>
              <w:jc w:val="center"/>
              <w:ind w:right="724"/>
              <w:spacing w:after="0"/>
              <w:rPr>
                <w:sz w:val="20"/>
                <w:szCs w:val="20"/>
                <w:color w:val="auto"/>
              </w:rPr>
            </w:pPr>
            <w:r>
              <w:rPr>
                <w:rFonts w:ascii="Arial" w:cs="Arial" w:eastAsia="Arial" w:hAnsi="Arial"/>
                <w:sz w:val="18"/>
                <w:szCs w:val="18"/>
                <w:b w:val="1"/>
                <w:bCs w:val="1"/>
                <w:color w:val="auto"/>
                <w:w w:val="89"/>
              </w:rPr>
              <w:t>Former name, former address and former fiscal year, if changed since last report:</w:t>
            </w: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40" w:type="dxa"/>
            <w:vAlign w:val="bottom"/>
            <w:gridSpan w:val="5"/>
          </w:tcPr>
          <w:p>
            <w:pPr>
              <w:jc w:val="center"/>
              <w:ind w:right="1804"/>
              <w:spacing w:after="0"/>
              <w:rPr>
                <w:sz w:val="20"/>
                <w:szCs w:val="20"/>
                <w:color w:val="auto"/>
              </w:rPr>
            </w:pPr>
            <w:r>
              <w:rPr>
                <w:rFonts w:ascii="Arial" w:cs="Arial" w:eastAsia="Arial" w:hAnsi="Arial"/>
                <w:sz w:val="18"/>
                <w:szCs w:val="18"/>
                <w:b w:val="1"/>
                <w:bCs w:val="1"/>
                <w:color w:val="auto"/>
                <w:w w:val="89"/>
              </w:rPr>
              <w:t>Securities registered pursuant to Section 12(b) of the Exchange Act:</w:t>
            </w:r>
          </w:p>
        </w:tc>
        <w:tc>
          <w:tcPr>
            <w:tcW w:w="0" w:type="dxa"/>
            <w:vAlign w:val="bottom"/>
          </w:tcPr>
          <w:p>
            <w:pPr>
              <w:spacing w:after="0"/>
              <w:rPr>
                <w:sz w:val="1"/>
                <w:szCs w:val="1"/>
                <w:color w:val="auto"/>
              </w:rPr>
            </w:pPr>
          </w:p>
        </w:tc>
      </w:tr>
      <w:tr>
        <w:trPr>
          <w:trHeight w:val="189"/>
        </w:trPr>
        <w:tc>
          <w:tcPr>
            <w:tcW w:w="1020" w:type="dxa"/>
            <w:vAlign w:val="bottom"/>
            <w:vMerge w:val="restart"/>
          </w:tcPr>
          <w:p>
            <w:pPr>
              <w:spacing w:after="0"/>
              <w:rPr>
                <w:sz w:val="20"/>
                <w:szCs w:val="20"/>
                <w:color w:val="auto"/>
              </w:rPr>
            </w:pPr>
            <w:r>
              <w:rPr>
                <w:rFonts w:ascii="Arial" w:cs="Arial" w:eastAsia="Arial" w:hAnsi="Arial"/>
                <w:sz w:val="16"/>
                <w:szCs w:val="16"/>
                <w:b w:val="1"/>
                <w:bCs w:val="1"/>
                <w:color w:val="auto"/>
                <w:w w:val="82"/>
              </w:rPr>
              <w:t>Common Stock,</w:t>
            </w:r>
          </w:p>
        </w:tc>
        <w:tc>
          <w:tcPr>
            <w:tcW w:w="1100" w:type="dxa"/>
            <w:vAlign w:val="bottom"/>
          </w:tcPr>
          <w:p>
            <w:pPr>
              <w:spacing w:after="0"/>
              <w:rPr>
                <w:sz w:val="20"/>
                <w:szCs w:val="20"/>
                <w:color w:val="auto"/>
              </w:rPr>
            </w:pPr>
            <w:r>
              <w:rPr>
                <w:rFonts w:ascii="Arial" w:cs="Arial" w:eastAsia="Arial" w:hAnsi="Arial"/>
                <w:sz w:val="14"/>
                <w:szCs w:val="14"/>
                <w:b w:val="1"/>
                <w:bCs w:val="1"/>
                <w:color w:val="auto"/>
                <w:w w:val="89"/>
              </w:rPr>
              <w:t>Title of each class</w:t>
            </w: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92"/>
              </w:rPr>
              <w:t>Trading Symbol(s)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8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20" w:type="dxa"/>
            <w:vAlign w:val="bottom"/>
            <w:vMerge w:val="continue"/>
          </w:tcPr>
          <w:p>
            <w:pPr>
              <w:spacing w:after="0"/>
              <w:rPr>
                <w:sz w:val="17"/>
                <w:szCs w:val="17"/>
                <w:color w:val="auto"/>
              </w:rPr>
            </w:pPr>
          </w:p>
        </w:tc>
        <w:tc>
          <w:tcPr>
            <w:tcW w:w="3020" w:type="dxa"/>
            <w:vAlign w:val="bottom"/>
            <w:gridSpan w:val="2"/>
          </w:tcPr>
          <w:p>
            <w:pPr>
              <w:ind w:left="140"/>
              <w:spacing w:after="0"/>
              <w:rPr>
                <w:sz w:val="20"/>
                <w:szCs w:val="20"/>
                <w:color w:val="auto"/>
              </w:rPr>
            </w:pPr>
            <w:r>
              <w:rPr>
                <w:rFonts w:ascii="Arial" w:cs="Arial" w:eastAsia="Arial" w:hAnsi="Arial"/>
                <w:sz w:val="16"/>
                <w:szCs w:val="16"/>
                <w:b w:val="1"/>
                <w:bCs w:val="1"/>
                <w:color w:val="auto"/>
              </w:rPr>
              <w:t>$0.0001 Par Value Per Share</w:t>
            </w:r>
          </w:p>
        </w:tc>
        <w:tc>
          <w:tcPr>
            <w:tcW w:w="120" w:type="dxa"/>
            <w:vAlign w:val="bottom"/>
            <w:vMerge w:val="continue"/>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MDGL</w:t>
            </w:r>
          </w:p>
        </w:tc>
        <w:tc>
          <w:tcPr>
            <w:tcW w:w="1380" w:type="dxa"/>
            <w:vAlign w:val="bottom"/>
            <w:vMerge w:val="continue"/>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7"/>
              </w:rPr>
              <w:t>The NASDAQ Stock Market LLC</w:t>
            </w:r>
          </w:p>
        </w:tc>
        <w:tc>
          <w:tcPr>
            <w:tcW w:w="0" w:type="dxa"/>
            <w:vAlign w:val="bottom"/>
          </w:tcPr>
          <w:p>
            <w:pPr>
              <w:spacing w:after="0"/>
              <w:rPr>
                <w:sz w:val="1"/>
                <w:szCs w:val="1"/>
                <w:color w:val="auto"/>
              </w:rPr>
            </w:pPr>
          </w:p>
        </w:tc>
      </w:tr>
    </w:tbl>
    <w:p>
      <w:pPr>
        <w:spacing w:after="0" w:line="4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137795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5" w:lineRule="exact"/>
        <w:rPr>
          <w:sz w:val="24"/>
          <w:szCs w:val="24"/>
          <w:color w:val="auto"/>
        </w:rPr>
      </w:pPr>
    </w:p>
    <w:p>
      <w:pPr>
        <w:ind w:left="540"/>
        <w:spacing w:after="0" w:line="161" w:lineRule="exact"/>
        <w:tabs>
          <w:tab w:leader="none" w:pos="7400" w:val="left"/>
          <w:tab w:leader="none" w:pos="796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left="540"/>
        <w:spacing w:after="0" w:line="161" w:lineRule="exact"/>
        <w:tabs>
          <w:tab w:leader="none" w:pos="8140" w:val="left"/>
          <w:tab w:leader="none" w:pos="870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9" w:lineRule="exact"/>
        <w:rPr>
          <w:sz w:val="24"/>
          <w:szCs w:val="24"/>
          <w:color w:val="auto"/>
        </w:rPr>
      </w:pPr>
    </w:p>
    <w:p>
      <w:pPr>
        <w:ind w:left="200" w:right="80" w:firstLine="331"/>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left="200" w:right="40" w:firstLine="331"/>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left="200" w:right="100" w:firstLine="331"/>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240" w:top="230" w:right="439" w:bottom="1440" w:gutter="0" w:footer="0" w:header="0"/>
        </w:sectPr>
      </w:pPr>
    </w:p>
    <w:p>
      <w:pPr>
        <w:spacing w:after="0" w:line="52" w:lineRule="exact"/>
        <w:rPr>
          <w:sz w:val="24"/>
          <w:szCs w:val="24"/>
          <w:color w:val="auto"/>
        </w:rPr>
      </w:pPr>
    </w:p>
    <w:p>
      <w:pPr>
        <w:ind w:left="20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33"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both"/>
        <w:spacing w:after="0" w:line="201" w:lineRule="exact"/>
        <w:rPr>
          <w:sz w:val="20"/>
          <w:szCs w:val="20"/>
          <w:color w:val="auto"/>
        </w:rPr>
      </w:pPr>
      <w:r>
        <w:rPr>
          <w:rFonts w:ascii="MS PGothic" w:cs="MS PGothic" w:eastAsia="MS PGothic" w:hAnsi="MS PGothic"/>
          <w:sz w:val="14"/>
          <w:szCs w:val="14"/>
          <w:color w:val="auto"/>
        </w:rPr>
        <w:t>☐ ☐</w:t>
      </w:r>
    </w:p>
    <w:p>
      <w:pPr>
        <w:spacing w:after="0" w:line="32" w:lineRule="exact"/>
        <w:rPr>
          <w:sz w:val="24"/>
          <w:szCs w:val="24"/>
          <w:color w:val="auto"/>
        </w:rPr>
      </w:pPr>
    </w:p>
    <w:p>
      <w:pPr>
        <w:sectPr>
          <w:pgSz w:w="11900" w:h="16838" w:orient="portrait"/>
          <w:cols w:equalWidth="0" w:num="8">
            <w:col w:w="1500" w:space="60"/>
            <w:col w:w="1140" w:space="720"/>
            <w:col w:w="960" w:space="80"/>
            <w:col w:w="1320" w:space="720"/>
            <w:col w:w="1220" w:space="60"/>
            <w:col w:w="940" w:space="720"/>
            <w:col w:w="1580" w:space="60"/>
            <w:col w:w="140"/>
          </w:cols>
          <w:pgMar w:left="240" w:top="230" w:right="439" w:bottom="1440" w:gutter="0" w:footer="0" w:header="0"/>
          <w:type w:val="continuous"/>
        </w:sectPr>
      </w:pPr>
    </w:p>
    <w:p>
      <w:pPr>
        <w:ind w:left="200" w:right="20" w:firstLine="33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540"/>
        <w:spacing w:after="0" w:line="161" w:lineRule="exact"/>
        <w:tabs>
          <w:tab w:leader="none" w:pos="7200" w:val="left"/>
          <w:tab w:leader="none" w:pos="77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9" w:lineRule="exact"/>
        <w:rPr>
          <w:sz w:val="24"/>
          <w:szCs w:val="24"/>
          <w:color w:val="auto"/>
        </w:rPr>
      </w:pPr>
    </w:p>
    <w:p>
      <w:pPr>
        <w:ind w:left="200" w:right="240" w:firstLine="331"/>
        <w:spacing w:after="0" w:line="264" w:lineRule="auto"/>
        <w:rPr>
          <w:sz w:val="20"/>
          <w:szCs w:val="20"/>
          <w:color w:val="auto"/>
        </w:rPr>
      </w:pPr>
      <w:r>
        <w:rPr>
          <w:rFonts w:ascii="Arial" w:cs="Arial" w:eastAsia="Arial" w:hAnsi="Arial"/>
          <w:sz w:val="13"/>
          <w:szCs w:val="13"/>
          <w:color w:val="auto"/>
        </w:rPr>
        <w:t>The aggregate market value of the voting stock held by non-affiliates of the registrant based upon the closing sale price of the registrant’s common stock on June 28, 2019 (the last business day of the registrant’s most recently completed second fiscal quarter), as reported on the Nasdaq Global Market, was $884,202,105. For purposes of this calculation, directors and executive officers of the registrant have been deemed affiliates. This determination of affiliate status is not necessarily a conclusive determination for other purposes.</w:t>
      </w:r>
    </w:p>
    <w:p>
      <w:pPr>
        <w:spacing w:after="0" w:line="20" w:lineRule="exact"/>
        <w:rPr>
          <w:sz w:val="24"/>
          <w:szCs w:val="24"/>
          <w:color w:val="auto"/>
        </w:rPr>
      </w:pPr>
    </w:p>
    <w:p>
      <w:pPr>
        <w:ind w:left="540"/>
        <w:spacing w:after="0"/>
        <w:rPr>
          <w:sz w:val="20"/>
          <w:szCs w:val="20"/>
          <w:color w:val="auto"/>
        </w:rPr>
      </w:pPr>
      <w:r>
        <w:rPr>
          <w:rFonts w:ascii="Arial" w:cs="Arial" w:eastAsia="Arial" w:hAnsi="Arial"/>
          <w:sz w:val="14"/>
          <w:szCs w:val="14"/>
          <w:color w:val="auto"/>
        </w:rPr>
        <w:t>As of February 21, 2020 the registrant had 15,429,154 shares of common stock outstanding.</w:t>
      </w:r>
    </w:p>
    <w:p>
      <w:pPr>
        <w:spacing w:after="0" w:line="5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90" w:lineRule="exact"/>
        <w:rPr>
          <w:sz w:val="24"/>
          <w:szCs w:val="24"/>
          <w:color w:val="auto"/>
        </w:rPr>
      </w:pPr>
    </w:p>
    <w:p>
      <w:pPr>
        <w:ind w:left="200" w:right="20" w:firstLine="331"/>
        <w:spacing w:after="0" w:line="264" w:lineRule="auto"/>
        <w:rPr>
          <w:sz w:val="20"/>
          <w:szCs w:val="20"/>
          <w:color w:val="auto"/>
        </w:rPr>
      </w:pPr>
      <w:r>
        <w:rPr>
          <w:rFonts w:ascii="Arial" w:cs="Arial" w:eastAsia="Arial" w:hAnsi="Arial"/>
          <w:sz w:val="13"/>
          <w:szCs w:val="13"/>
          <w:color w:val="auto"/>
        </w:rPr>
        <w:t>Certain information required by Part III, Items 10-14 of this Form 10-K is incorporated by reference to the registrant’s definitive Proxy Statement for the 2020 Annual Meeting of Stockholders to be filed with the Securities and Exchange Commission pursuant to Regulation 14A not later than 120 days after the end of the fiscal year covered by this Form 10-K, provided that if such Proxy Statement is not filed within such period, such information will be included in an amendment to this Form 10-K to be filed within such 120-day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93345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80" w:type="dxa"/>
            <w:vAlign w:val="bottom"/>
            <w:gridSpan w:val="9"/>
          </w:tcPr>
          <w:p>
            <w:pPr>
              <w:ind w:left="4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6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6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40" w:type="dxa"/>
            <w:vAlign w:val="bottom"/>
          </w:tcPr>
          <w:p>
            <w:pPr>
              <w:ind w:left="36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7900" w:type="dxa"/>
            <w:vAlign w:val="bottom"/>
            <w:gridSpan w:val="21"/>
          </w:tcPr>
          <w:p>
            <w:pPr>
              <w:spacing w:after="0"/>
              <w:rPr>
                <w:sz w:val="16"/>
                <w:szCs w:val="16"/>
                <w:color w:val="auto"/>
              </w:rPr>
            </w:pPr>
          </w:p>
        </w:tc>
        <w:tc>
          <w:tcPr>
            <w:tcW w:w="7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1A.</w:t>
            </w:r>
          </w:p>
        </w:tc>
        <w:tc>
          <w:tcPr>
            <w:tcW w:w="8540" w:type="dxa"/>
            <w:vAlign w:val="bottom"/>
            <w:gridSpan w:val="2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1B.</w:t>
            </w:r>
          </w:p>
        </w:tc>
        <w:tc>
          <w:tcPr>
            <w:tcW w:w="8540" w:type="dxa"/>
            <w:vAlign w:val="bottom"/>
            <w:gridSpan w:val="2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Unresolved Staff Comments</w:t>
              </w:r>
            </w:hyperlink>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Properties</w:t>
              </w:r>
            </w:hyperlink>
          </w:p>
        </w:tc>
        <w:tc>
          <w:tcPr>
            <w:tcW w:w="6500" w:type="dxa"/>
            <w:vAlign w:val="bottom"/>
            <w:gridSpan w:val="11"/>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Legal Proceedings</w:t>
              </w:r>
            </w:hyperlink>
          </w:p>
        </w:tc>
        <w:tc>
          <w:tcPr>
            <w:tcW w:w="7200" w:type="dxa"/>
            <w:vAlign w:val="bottom"/>
            <w:gridSpan w:val="16"/>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4.</w:t>
            </w:r>
          </w:p>
        </w:tc>
        <w:tc>
          <w:tcPr>
            <w:tcW w:w="8540" w:type="dxa"/>
            <w:vAlign w:val="bottom"/>
            <w:gridSpan w:val="2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40" w:type="dxa"/>
            <w:vAlign w:val="bottom"/>
          </w:tcPr>
          <w:p>
            <w:pPr>
              <w:ind w:left="360"/>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line="190"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Market for Registrant’s Common Equity, Related Stockholder Matters and Issuer Purchases of Equity Securities</w:t>
              </w:r>
            </w:hyperlink>
          </w:p>
        </w:tc>
        <w:tc>
          <w:tcPr>
            <w:tcW w:w="460" w:type="dxa"/>
            <w:vAlign w:val="bottom"/>
          </w:tcPr>
          <w:p>
            <w:pPr>
              <w:spacing w:after="0"/>
              <w:rPr>
                <w:sz w:val="16"/>
                <w:szCs w:val="16"/>
                <w:color w:val="auto"/>
              </w:rPr>
            </w:pPr>
          </w:p>
        </w:tc>
        <w:tc>
          <w:tcPr>
            <w:tcW w:w="7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6.</w:t>
            </w:r>
          </w:p>
        </w:tc>
        <w:tc>
          <w:tcPr>
            <w:tcW w:w="8540" w:type="dxa"/>
            <w:vAlign w:val="bottom"/>
            <w:gridSpan w:val="2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Selected Financial Data</w:t>
              </w:r>
            </w:hyperlink>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Management’s Discussion and Analysis of Financial Condition and Results of Operations</w:t>
              </w:r>
            </w:hyperlink>
          </w:p>
        </w:tc>
        <w:tc>
          <w:tcPr>
            <w:tcW w:w="2080" w:type="dxa"/>
            <w:vAlign w:val="bottom"/>
            <w:gridSpan w:val="4"/>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Quantitative and Qualitative Disclosures About Market Risk</w:t>
              </w:r>
            </w:hyperlink>
          </w:p>
        </w:tc>
        <w:tc>
          <w:tcPr>
            <w:tcW w:w="4180" w:type="dxa"/>
            <w:vAlign w:val="bottom"/>
            <w:gridSpan w:val="6"/>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8.</w:t>
            </w:r>
          </w:p>
        </w:tc>
        <w:tc>
          <w:tcPr>
            <w:tcW w:w="8540" w:type="dxa"/>
            <w:vAlign w:val="bottom"/>
            <w:gridSpan w:val="2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Financial Statements and Supplementary Data</w:t>
              </w:r>
            </w:hyperlink>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9.</w:t>
            </w:r>
          </w:p>
        </w:tc>
        <w:tc>
          <w:tcPr>
            <w:tcW w:w="8540" w:type="dxa"/>
            <w:vAlign w:val="bottom"/>
            <w:gridSpan w:val="2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Changes in and Disagreements With Accountants on Accounting and Financial Disclosure</w:t>
              </w:r>
            </w:hyperlink>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2040" w:type="dxa"/>
            <w:vAlign w:val="bottom"/>
            <w:gridSpan w:val="3"/>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6780" w:type="dxa"/>
            <w:vAlign w:val="bottom"/>
            <w:gridSpan w:val="13"/>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40" w:type="dxa"/>
            <w:vAlign w:val="bottom"/>
          </w:tcPr>
          <w:p>
            <w:pPr>
              <w:ind w:left="360"/>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5"/>
          </w:tcPr>
          <w:p>
            <w:pPr>
              <w:spacing w:after="0" w:line="190"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Directors, Executive Officers and Corporate Governance</w:t>
              </w:r>
            </w:hyperlink>
          </w:p>
        </w:tc>
        <w:tc>
          <w:tcPr>
            <w:tcW w:w="4440" w:type="dxa"/>
            <w:vAlign w:val="bottom"/>
            <w:gridSpan w:val="7"/>
          </w:tcPr>
          <w:p>
            <w:pPr>
              <w:spacing w:after="0"/>
              <w:rPr>
                <w:sz w:val="16"/>
                <w:szCs w:val="16"/>
                <w:color w:val="auto"/>
              </w:rPr>
            </w:pPr>
          </w:p>
        </w:tc>
        <w:tc>
          <w:tcPr>
            <w:tcW w:w="7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11.</w:t>
            </w:r>
          </w:p>
        </w:tc>
        <w:tc>
          <w:tcPr>
            <w:tcW w:w="8540" w:type="dxa"/>
            <w:vAlign w:val="bottom"/>
            <w:gridSpan w:val="2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Executive Compensation</w:t>
              </w:r>
            </w:hyperlink>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Security Ownership of Certain Beneficial Owners and Management and Related Stockholder Matters</w:t>
              </w:r>
            </w:hyperlink>
          </w:p>
        </w:tc>
        <w:tc>
          <w:tcPr>
            <w:tcW w:w="1240" w:type="dxa"/>
            <w:vAlign w:val="bottom"/>
            <w:gridSpan w:val="2"/>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13.</w:t>
            </w:r>
          </w:p>
        </w:tc>
        <w:tc>
          <w:tcPr>
            <w:tcW w:w="8540" w:type="dxa"/>
            <w:vAlign w:val="bottom"/>
            <w:gridSpan w:val="2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Certain Relationships and Related Transactions and Director Independence</w:t>
              </w:r>
            </w:hyperlink>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14.</w:t>
            </w:r>
          </w:p>
        </w:tc>
        <w:tc>
          <w:tcPr>
            <w:tcW w:w="54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Principal Accountant Fees and Services</w:t>
              </w:r>
            </w:hyperlink>
          </w:p>
        </w:tc>
        <w:tc>
          <w:tcPr>
            <w:tcW w:w="3140" w:type="dxa"/>
            <w:vAlign w:val="bottom"/>
            <w:gridSpan w:val="5"/>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40" w:type="dxa"/>
            <w:vAlign w:val="bottom"/>
          </w:tcPr>
          <w:p>
            <w:pPr>
              <w:ind w:left="360"/>
              <w:spacing w:after="0" w:line="190"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3"/>
          </w:tcPr>
          <w:p>
            <w:pPr>
              <w:spacing w:after="0" w:line="190"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Exhibits and Financial Statement Schedules</w:t>
              </w:r>
            </w:hyperlink>
          </w:p>
        </w:tc>
        <w:tc>
          <w:tcPr>
            <w:tcW w:w="5380" w:type="dxa"/>
            <w:vAlign w:val="bottom"/>
            <w:gridSpan w:val="9"/>
          </w:tcPr>
          <w:p>
            <w:pPr>
              <w:spacing w:after="0"/>
              <w:rPr>
                <w:sz w:val="16"/>
                <w:szCs w:val="16"/>
                <w:color w:val="auto"/>
              </w:rPr>
            </w:pPr>
          </w:p>
        </w:tc>
        <w:tc>
          <w:tcPr>
            <w:tcW w:w="7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640" w:type="dxa"/>
            <w:vAlign w:val="bottom"/>
          </w:tcPr>
          <w:p>
            <w:pPr>
              <w:ind w:left="360"/>
              <w:spacing w:after="0" w:line="196" w:lineRule="exact"/>
              <w:rPr>
                <w:sz w:val="20"/>
                <w:szCs w:val="20"/>
                <w:color w:val="auto"/>
              </w:rPr>
            </w:pPr>
            <w:r>
              <w:rPr>
                <w:rFonts w:ascii="Arial" w:cs="Arial" w:eastAsia="Arial" w:hAnsi="Arial"/>
                <w:sz w:val="18"/>
                <w:szCs w:val="18"/>
                <w:color w:val="auto"/>
              </w:rPr>
              <w:t>Item 16.</w:t>
            </w:r>
          </w:p>
        </w:tc>
        <w:tc>
          <w:tcPr>
            <w:tcW w:w="8540" w:type="dxa"/>
            <w:vAlign w:val="bottom"/>
            <w:gridSpan w:val="2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Form 10-K Summary</w:t>
              </w:r>
            </w:hyperlink>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69">
              <w:r>
                <w:rPr>
                  <w:rFonts w:ascii="Arial" w:cs="Arial" w:eastAsia="Arial" w:hAnsi="Arial"/>
                  <w:sz w:val="18"/>
                  <w:szCs w:val="18"/>
                  <w:color w:val="0000EE"/>
                  <w:w w:val="85"/>
                </w:rPr>
                <w:t>Signatures</w:t>
              </w:r>
            </w:hyperlink>
          </w:p>
        </w:tc>
        <w:tc>
          <w:tcPr>
            <w:tcW w:w="780" w:type="dxa"/>
            <w:vAlign w:val="bottom"/>
            <w:tcBorders>
              <w:top w:val="single" w:sz="8" w:color="0000EE"/>
            </w:tcBorders>
            <w:gridSpan w:val="4"/>
          </w:tcPr>
          <w:p>
            <w:pPr>
              <w:spacing w:after="0"/>
              <w:rPr>
                <w:sz w:val="17"/>
                <w:szCs w:val="17"/>
                <w:color w:val="auto"/>
              </w:rPr>
            </w:pPr>
          </w:p>
        </w:tc>
        <w:tc>
          <w:tcPr>
            <w:tcW w:w="7000" w:type="dxa"/>
            <w:vAlign w:val="bottom"/>
            <w:gridSpan w:val="15"/>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ectPr>
          <w:pgSz w:w="11900" w:h="16838" w:orient="portrait"/>
          <w:cols w:equalWidth="0" w:num="1">
            <w:col w:w="11140"/>
          </w:cols>
          <w:pgMar w:left="240" w:top="486"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This Annual Report on Form 10-K for the fiscal year ended December 31, 2019, includes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other than statements of historical fact are forward-looking statements. Forward-looking statements in this Annual Report can be identified by words such as “anticipates,” “believes,” “seeks,” “estimates,” “expects,” “future,” “intends,” “may,” “might,” “plans,” “potential,” “predicts, “projects,” “forecasts,” “goal,” “continue,” “should,” “could,” “will,” “would,” or other forms of these words or similar words or expressions or the negative expression thereof. In particular, forward-looking statements contained in or incorporated by reference to this Annual Report relate to, among other things,</w:t>
      </w:r>
    </w:p>
    <w:p>
      <w:pPr>
        <w:spacing w:after="0" w:line="70" w:lineRule="exact"/>
        <w:rPr>
          <w:sz w:val="20"/>
          <w:szCs w:val="20"/>
          <w:color w:val="auto"/>
        </w:rPr>
      </w:pPr>
    </w:p>
    <w:p>
      <w:pPr>
        <w:ind w:left="1060" w:right="8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or estimated future results, including the risks and uncertainties associated with our future operating performance and financial position,</w:t>
      </w:r>
    </w:p>
    <w:p>
      <w:pPr>
        <w:spacing w:after="0" w:line="62"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possible or assumed future results of operations and expenses, business strategies and plans, capital needs and financing plans, market trends, competitive position, industry environment and potential growth opportunities,</w:t>
      </w:r>
    </w:p>
    <w:p>
      <w:pPr>
        <w:spacing w:after="0" w:line="62"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clinical trials, research and development activities, and the timing and results associated with the future development of our lead product candidate, MGL-3196 (resmetirom),</w:t>
      </w:r>
    </w:p>
    <w:p>
      <w:pPr>
        <w:spacing w:after="0" w:line="62" w:lineRule="exact"/>
        <w:rPr>
          <w:rFonts w:ascii="Arial" w:cs="Arial" w:eastAsia="Arial" w:hAnsi="Arial"/>
          <w:sz w:val="18"/>
          <w:szCs w:val="18"/>
          <w:color w:val="auto"/>
        </w:rPr>
      </w:pPr>
    </w:p>
    <w:p>
      <w:pPr>
        <w:ind w:left="1060" w:right="360" w:hanging="316"/>
        <w:spacing w:after="0" w:line="34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primary and secondary study endpoints for resmetirom, the potential for achieving such endpoints and projections, including those regarding potential future NASH resolution, safety, fibrosis treatment, cardiovascular effects and lipid treatment with resmetirom,</w:t>
      </w:r>
    </w:p>
    <w:p>
      <w:pPr>
        <w:spacing w:after="0" w:line="15" w:lineRule="exact"/>
        <w:rPr>
          <w:rFonts w:ascii="Arial" w:cs="Arial" w:eastAsia="Arial" w:hAnsi="Arial"/>
          <w:sz w:val="16"/>
          <w:szCs w:val="16"/>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Optimal dosing levels for resmetirom and projections regarding potential NASH or NAFLD patient benefits with resmetirom,</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and acceptance of our products,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Research, development and commercialization of new products,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Obtaining and maintaining regulatory approvals, including, but not limited to, potential regulatory delays or rejections,</w:t>
      </w:r>
    </w:p>
    <w:p>
      <w:pPr>
        <w:spacing w:after="0" w:line="117" w:lineRule="exact"/>
        <w:rPr>
          <w:rFonts w:ascii="Arial" w:cs="Arial" w:eastAsia="Arial" w:hAnsi="Arial"/>
          <w:sz w:val="18"/>
          <w:szCs w:val="18"/>
          <w:color w:val="auto"/>
        </w:rPr>
      </w:pPr>
    </w:p>
    <w:p>
      <w:pPr>
        <w:ind w:left="1060" w:right="220" w:hanging="316"/>
        <w:spacing w:after="0" w:line="31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meeting the objectives of clinical studies, including, but not limited to our ability to achieve enrollment objectives concerning patient number (including an adequate safety database) and/or timing for our studies, any delays or failures in enrollment, the occurrence of adverse safety events, and the risks of successfully conducting trials that are substantially larger than our past trials,</w:t>
      </w:r>
    </w:p>
    <w:p>
      <w:pPr>
        <w:spacing w:after="0" w:line="38" w:lineRule="exact"/>
        <w:rPr>
          <w:rFonts w:ascii="Arial" w:cs="Arial" w:eastAsia="Arial" w:hAnsi="Arial"/>
          <w:sz w:val="16"/>
          <w:szCs w:val="16"/>
          <w:color w:val="auto"/>
        </w:rPr>
      </w:pPr>
    </w:p>
    <w:p>
      <w:pPr>
        <w:ind w:left="1060" w:right="14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ability to accomplish our business development objectives and realize the anticipated benefit of any such transactions, and</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underlying any of the foregoing.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caution you that the foregoing list may not include all of the forward-looking statements made in this Annual Report.</w:t>
      </w:r>
    </w:p>
    <w:p>
      <w:pPr>
        <w:spacing w:after="0" w:line="225"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Forward-looking statements represent our management’s current beliefs and assumptions based on information currently available. Forward-looking statements involve numerous known and unknown risks, uncertainties and other factors that may cause our actual results, performance or achievements to be materially different from any future results, performance or achievements expressed or implied by the forward-looking statements. We discuss these risks and uncertainties in greater detail in the section entitled “Risk Factors” in</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60"/>
          </w:cols>
          <w:pgMar w:left="24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Part I, Item 1A of this Annual Report, as well as in our other filings with the SEC. You should read this Annual Report, and the other documents that we file or have filed with the SEC, with the understanding that our actual future results may be materially different from the results expressed or implied by these forward-looking statements.</w:t>
      </w:r>
    </w:p>
    <w:p>
      <w:pPr>
        <w:spacing w:after="0" w:line="181"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47" w:lineRule="exact"/>
        <w:rPr>
          <w:sz w:val="20"/>
          <w:szCs w:val="20"/>
          <w:color w:val="auto"/>
        </w:rPr>
      </w:pPr>
    </w:p>
    <w:p>
      <w:pPr>
        <w:jc w:val="both"/>
        <w:ind w:left="200" w:right="160" w:firstLine="441"/>
        <w:spacing w:after="0" w:line="312" w:lineRule="auto"/>
        <w:rPr>
          <w:sz w:val="20"/>
          <w:szCs w:val="20"/>
          <w:color w:val="auto"/>
        </w:rPr>
      </w:pPr>
      <w:r>
        <w:rPr>
          <w:rFonts w:ascii="Arial" w:cs="Arial" w:eastAsia="Arial" w:hAnsi="Arial"/>
          <w:sz w:val="16"/>
          <w:szCs w:val="16"/>
          <w:color w:val="auto"/>
        </w:rPr>
        <w:t>Except as required by applicable law or the rules of the NASDAQ Stock Market, or NASDAQ,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86"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References in this Annual Report on Form 10-K to Madrigal, the Company, we, our and us refer to Madrigal Pharmaceuticals, Inc. “Madrigal” is a registered trademark of Madrigal Pharmaceuticals, Inc. in the U.S. and/or other countries. Other trademarks or service marks appearing in this report may be trademarks or service marks of other owners.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We are a clinical-stage biopharmaceutical company pursuing novel therapeutics that target a specific thyroid hormone receptor pathway in the liver, which is a key regulatory mechanism common to a spectrum of cardio-metabolic and fatty liver diseases with high unmet medical need. Our lead product candidate, MGL-3196 (resmetirom), is a proprietary, first-in-class, orally administered, small molecule, liver-directed, thyroid hormone receptor-ß (THR-ß) selective agonist being developed as a once-daily oral pill that can potentially be used to treat a number of disease states including non-alcoholic steatohepatitis, or NASH. A 36-week, Phase 2 clinical trial has been completed and the 12-week primary and secondary endpoints were achieved in the main study, results were reported in December 2017, and positive topline 36-week results were reported at the conclusion of the Phase 2 clinical trial in May 2018. There was an extension study in a subset of the patients that completed the main 36-week study, which was completed in 2019.</w:t>
      </w:r>
    </w:p>
    <w:p>
      <w:pPr>
        <w:spacing w:after="0" w:line="192"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On March 28, 2019 the Company announced that it had initiated the MAESTRO-NASH Phase 3 trial with its once daily, oral thyroid hormone receptor beta selective agonist, resmetirom. This double-blind, placebo-controlled study is currently being conducted at more than 150 sites in the United States and the rest of the world. Patients with liver biopsy confirmed NASH with stage 2 or 3 fibrosis are be randomized 1:1:1 to receive a single oral daily dose of placebo, resmetirom 80 mg or resmetirom 100 mg. A second liver biopsy at Week 52 in the first 900 patients will be the basis of filing for subpart H-accelerated approval; the primary endpoint will be the percent of patients treated with either dose of resmetirom as compared with placebo who achieve NASH resolution on the Week 52 liver biopsy, defined as the absence of hepatocyte ballooning (score=0), and minimal lobular inflammation (score 0-1), associated with at least a 2 point reduction in NAS,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 hepatic decompensation. The total anticipated enrollment is approximately 2,000 patients and will include up to 15% high risk F1 fibrosis stage NASH patients whose efficacy responses will be evaluated as exploratory endpoints.</w:t>
      </w:r>
    </w:p>
    <w:p>
      <w:pPr>
        <w:spacing w:after="0" w:line="1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On December 10, 2019 the Company announced it had opened for enrollment MAESTRO-NAFLD-1, a 52-week, double-blind, placebo controlled Phase 3 clinical study in 700 patients with biopsy-confirmed or presumed NASH recruited from sites in the U.S. Key endpoints are safety, including safety biomarkers, LDL cholesterol, lipid biomarkers, and fibrosis biomarkers. Except for serial liver biopsies, the study protocol is similar to the MAESTRO-NASH study with resmetirom doses of 80 mg or 100 mg or placebo and includes key secondary lipid, MRI-PDFF and NASH biomarker endpoints. In addition, MAESTRO-NAFLD-1 includes an open label arm in which up to 100 patients will be dosed with 100 mg resmetirom. The MAESTRO -NAFLD-1 study will help support the adequacy of the safety database at the time of NDA submission for subpart H approval for treatment of NASH in patients with F2 or F3 fibrosis (MAESTRO-NASH, NASH resolution surrogate endpoint).</w:t>
      </w:r>
    </w:p>
    <w:p>
      <w:pPr>
        <w:spacing w:after="0" w:line="178"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The Company has also completed a Phase 2 clinical trial in 116 patients with heterozygous familial hypercholesterolemia (HeFH), and we reported the results in February 2018. In addition to the NASH and HeFH Phase 2 clinical trials, resmetirom has also been studied in eight completed Phase 1 trials in a total of 219 healthy volunteers. Resmetirom appeared to be safe and was well-tolerated in these trials, which included a single ascending dose trial, a multiple ascending dose trial, two drug interaction trials with statins, a multiple dose mass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balance study, a single dose relative bioavailability study of tablet formulations versus capsule formulation, and a multiple dose drug interaction and food effect study. Further, we have initiated a Phase 1 trial to study patients with varying degrees of hepatic impairment (including patients with mild, moderate and severe hepatic impairment) and NASH patients.</w:t>
      </w:r>
    </w:p>
    <w:p>
      <w:pPr>
        <w:spacing w:after="0" w:line="181" w:lineRule="exact"/>
        <w:rPr>
          <w:sz w:val="20"/>
          <w:szCs w:val="20"/>
          <w:color w:val="auto"/>
        </w:rPr>
      </w:pPr>
    </w:p>
    <w:p>
      <w:pPr>
        <w:ind w:left="200" w:right="680" w:firstLine="441"/>
        <w:spacing w:after="0" w:line="342" w:lineRule="auto"/>
        <w:rPr>
          <w:sz w:val="20"/>
          <w:szCs w:val="20"/>
          <w:color w:val="auto"/>
        </w:rPr>
      </w:pPr>
      <w:r>
        <w:rPr>
          <w:rFonts w:ascii="Arial" w:cs="Arial" w:eastAsia="Arial" w:hAnsi="Arial"/>
          <w:sz w:val="16"/>
          <w:szCs w:val="16"/>
          <w:color w:val="auto"/>
        </w:rPr>
        <w:t>The following chart summarizes the status of our product candidate development programs for resmetirom and MGL-3745, a preclinical compound which has similar thyroid receptor selectivity to resmetirom and is thus a potential backup compound for resmetirom: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87630</wp:posOffset>
            </wp:positionV>
            <wp:extent cx="5188585" cy="2478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88585"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Developments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Initiation of MAESTRO-NASH Phase 3 clinical trial</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 March 28, 2019 the Company announced that it had initiated a Phase 3 trial in NASH with its once daily, oral thyroid hormone receptor beta selective agonist, MGL-3196 (resmetirom). This double-blind, placebo-controlled study will be conducted at more than 150 sites in the United States and the rest of the world. Patients with liver biopsy confirmed NASH with stage 2 or 3 fibrosis will be randomized 1:1:1 to receive a single oral daily dose of placebo, resmetirom 80 mg or resmetirom 100 mg. A second liver biopsy at week 52 in the first 900 patients will be the basis of filing for subpart H-accelerated approval; the primary endpoint will be the percent of patients treated with either dose of resmetirom as compared with placebo who achieve NASH resolution on the week 52 liver biopsy, defined as the absence of hepatocyte ballooning (score=0), and minimal lobular inflammation (score 0-1), associated with at least a 2 point reduction in NAS,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 hepatic decompensation. The total anticipated enrollment is approximately 2,000 patients and will include up to 15% high risk F1 fibrosis stage NASH patients whose efficacy responses will be evaluated as exploratory endpoints.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Initiation of MAESTRO-NAFLD-1 Phase 3 clinical trial</w:t>
      </w:r>
    </w:p>
    <w:p>
      <w:pPr>
        <w:spacing w:after="0" w:line="11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On December 10, 2019 the Company announced it had opened for enrollment MAESTRO-NAFLD-1, a 52-week, double-blind, placebo controlled Phase 3 clinical study in 700 patients with biopsy-confirmed or</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48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presumed NASH recruited from sites in the U.S. Key endpoints are safety, including safety biomarkers, LDL cholesterol, lipid biomarkers, and fibrosis biomarkers. Except for serial liver biopsies, the study protocol is similar to the MAESTRO-NASH study with resmetirom doses of 80 mg or 100 mg or placebo and includes key secondary lipid, MRI-PDFF and NASH biomarker endpoints. In addition, MAESTRO-NAFLD-1 includes an open label arm in which up to 100 patients will be dosed with 100 mg resmetirom. The MAESTRO -NAFLD-1 study will help support the adequacy of the safety database at the time of NDA submission for subpart H approval for treatment of NASH in patients with F2 or F3 fibrosis (MAESTRO-NASH, NASH resolution surrogate endpoint).</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MGL-3196 (resmetirom) Phase 2 Clinical Trial in NASH</w:t>
      </w:r>
    </w:p>
    <w:p>
      <w:pPr>
        <w:spacing w:after="0" w:line="117" w:lineRule="exact"/>
        <w:rPr>
          <w:sz w:val="20"/>
          <w:szCs w:val="20"/>
          <w:color w:val="auto"/>
        </w:rPr>
      </w:pPr>
    </w:p>
    <w:p>
      <w:pPr>
        <w:ind w:left="200" w:right="160" w:firstLine="441"/>
        <w:spacing w:after="0" w:line="267" w:lineRule="auto"/>
        <w:rPr>
          <w:sz w:val="20"/>
          <w:szCs w:val="20"/>
          <w:color w:val="auto"/>
        </w:rPr>
      </w:pPr>
      <w:r>
        <w:rPr>
          <w:rFonts w:ascii="Arial" w:cs="Arial" w:eastAsia="Arial" w:hAnsi="Arial"/>
          <w:sz w:val="17"/>
          <w:szCs w:val="17"/>
          <w:color w:val="auto"/>
        </w:rPr>
        <w:t>The Company successfully completed a Phase 2 clinical trial in NASH in 2018. In this clinical trial, resmetirom demonstrated statistical significance in the primary endpoint (p&lt;0.0001), the relative reduction of liver fat compared with baseline on magnetic resonance imaging-estimated proton density fat fraction, or MRI-PDFF, at 12-weeks which was reported in December 2017, and statistically significant results in multiple 36-week endpoints, including key secondary endpoints, reduction and resolution of NASH on liver biopsy as set forth in the table below, which was reported in May 2018. This clinical trial was published in the Lancet in November, 2019.</w:t>
      </w:r>
    </w:p>
    <w:tbl>
      <w:tblPr>
        <w:tblLayout w:type="fixed"/>
        <w:tblInd w:w="1080" w:type="dxa"/>
        <w:tblCellMar>
          <w:top w:w="0" w:type="dxa"/>
          <w:left w:w="0" w:type="dxa"/>
          <w:bottom w:w="0" w:type="dxa"/>
          <w:right w:w="0" w:type="dxa"/>
        </w:tblCellMar>
      </w:tblPr>
      <w:tr>
        <w:trPr>
          <w:trHeight w:val="133"/>
        </w:trPr>
        <w:tc>
          <w:tcPr>
            <w:tcW w:w="5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MGL-3196</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MGL-3196</w:t>
            </w:r>
          </w:p>
        </w:tc>
        <w:tc>
          <w:tcPr>
            <w:tcW w:w="7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MRI-PDFF</w:t>
            </w:r>
          </w:p>
        </w:tc>
        <w:tc>
          <w:tcPr>
            <w:tcW w:w="72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5"/>
              </w:rPr>
              <w:t>Placebo</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Responders(1)</w:t>
            </w:r>
          </w:p>
        </w:tc>
        <w:tc>
          <w:tcPr>
            <w:tcW w:w="7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58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Number of patients with baseline and end-of-study liver</w:t>
            </w:r>
          </w:p>
        </w:tc>
        <w:tc>
          <w:tcPr>
            <w:tcW w:w="700" w:type="dxa"/>
            <w:vAlign w:val="bottom"/>
            <w:tcBorders>
              <w:top w:val="single" w:sz="8" w:color="auto"/>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biopsies(2)</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1620" w:type="dxa"/>
            <w:vAlign w:val="bottom"/>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89"/>
              </w:rPr>
              <w:t>46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&gt;</w:t>
            </w:r>
            <w:r>
              <w:rPr>
                <w:rFonts w:ascii="Arial" w:cs="Arial" w:eastAsia="Arial" w:hAnsi="Arial"/>
                <w:sz w:val="18"/>
                <w:szCs w:val="18"/>
                <w:b w:val="1"/>
                <w:bCs w:val="1"/>
                <w:color w:val="auto"/>
              </w:rPr>
              <w:t>2 Point Decrease in NAS</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56%</w:t>
            </w:r>
          </w:p>
        </w:tc>
        <w:tc>
          <w:tcPr>
            <w:tcW w:w="1620" w:type="dxa"/>
            <w:vAlign w:val="bottom"/>
            <w:gridSpan w:val="2"/>
          </w:tcPr>
          <w:p>
            <w:pPr>
              <w:jc w:val="center"/>
              <w:ind w:left="690"/>
              <w:spacing w:after="0"/>
              <w:rPr>
                <w:sz w:val="20"/>
                <w:szCs w:val="20"/>
                <w:color w:val="auto"/>
              </w:rPr>
            </w:pPr>
            <w:r>
              <w:rPr>
                <w:rFonts w:ascii="Arial" w:cs="Arial" w:eastAsia="Arial" w:hAnsi="Arial"/>
                <w:sz w:val="18"/>
                <w:szCs w:val="18"/>
                <w:color w:val="auto"/>
                <w:w w:val="88"/>
              </w:rPr>
              <w:t>70%</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p=0.02</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p=0.001</w:t>
            </w: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NASH Resolution</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27%</w:t>
            </w:r>
          </w:p>
        </w:tc>
        <w:tc>
          <w:tcPr>
            <w:tcW w:w="1620" w:type="dxa"/>
            <w:vAlign w:val="bottom"/>
            <w:gridSpan w:val="2"/>
          </w:tcPr>
          <w:p>
            <w:pPr>
              <w:jc w:val="center"/>
              <w:ind w:left="690"/>
              <w:spacing w:after="0"/>
              <w:rPr>
                <w:sz w:val="20"/>
                <w:szCs w:val="20"/>
                <w:color w:val="auto"/>
              </w:rPr>
            </w:pPr>
            <w:r>
              <w:rPr>
                <w:rFonts w:ascii="Arial" w:cs="Arial" w:eastAsia="Arial" w:hAnsi="Arial"/>
                <w:sz w:val="18"/>
                <w:szCs w:val="18"/>
                <w:color w:val="auto"/>
                <w:w w:val="88"/>
              </w:rPr>
              <w:t>39%</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p=0.02</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p=0.001</w:t>
            </w: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resmetirom MRI-PDFF Responders = resmetirom treated patients with &gt;=30% relative fat reduction on Week 12 MRI-PDFF</w:t>
      </w:r>
    </w:p>
    <w:p>
      <w:pPr>
        <w:spacing w:after="0" w:line="117" w:lineRule="exact"/>
        <w:rPr>
          <w:rFonts w:ascii="Arial" w:cs="Arial" w:eastAsia="Arial" w:hAnsi="Arial"/>
          <w:sz w:val="18"/>
          <w:szCs w:val="18"/>
          <w:i w:val="1"/>
          <w:iCs w:val="1"/>
          <w:color w:val="auto"/>
        </w:rPr>
      </w:pPr>
    </w:p>
    <w:p>
      <w:pPr>
        <w:ind w:left="640" w:hanging="436"/>
        <w:spacing w:after="0"/>
        <w:tabs>
          <w:tab w:leader="none" w:pos="64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does not include one end-of-study liver biopsy that was inadequate</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Resmetirom treated patients with greater than or equal to 30% fat reduction on MRI-PDFF at 12-weeks demonstrated a higher percentage of nonalcoholic fatty liver disease activity score, or NAS, reduction and NASH resolution. In patients with NASH resolution, 35% of resmetirom treated patients and no placebo patients had a baseline NAS greater than or equal to five. In resmetirom patients with NASH resolution, fibrosis also resolved in 50% of such patients and was decreased statistically significantly relative to all placebo patients.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Further, 36-week results from our Phase 2 clinical trial in NASH showed:</w:t>
      </w:r>
    </w:p>
    <w:p>
      <w:pPr>
        <w:spacing w:after="0" w:line="117" w:lineRule="exact"/>
        <w:rPr>
          <w:sz w:val="20"/>
          <w:szCs w:val="20"/>
          <w:color w:val="auto"/>
        </w:rPr>
      </w:pPr>
    </w:p>
    <w:p>
      <w:pPr>
        <w:ind w:left="1060" w:right="2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Sustained, highly statistically significant (p&lt;0.0001) reduction in liver fat compared with placebo on 36-week MRI-PDFF and mean relative fat reduction of 37% with resmetirom treated patients in contrast with 8.5% with placebo patients;</w:t>
      </w:r>
    </w:p>
    <w:p>
      <w:pPr>
        <w:spacing w:after="0" w:line="62" w:lineRule="exact"/>
        <w:rPr>
          <w:rFonts w:ascii="Arial" w:cs="Arial" w:eastAsia="Arial" w:hAnsi="Arial"/>
          <w:sz w:val="18"/>
          <w:szCs w:val="18"/>
          <w:color w:val="auto"/>
        </w:rPr>
      </w:pPr>
    </w:p>
    <w:p>
      <w:pPr>
        <w:ind w:left="1060" w:right="420" w:hanging="316"/>
        <w:spacing w:after="0" w:line="34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Sustained, statistically significant reductions (p&lt;0.0001) in resmetirom compared to placebo treated patients in low-density lipoprotein cholesterol (LDL-C) and apolipoprotein B (ApoB) of more than 20%, triglycerides (TG) of 36% and lipoprotein(a) of 37%;</w:t>
      </w:r>
    </w:p>
    <w:p>
      <w:pPr>
        <w:spacing w:after="0" w:line="15" w:lineRule="exact"/>
        <w:rPr>
          <w:rFonts w:ascii="Arial" w:cs="Arial" w:eastAsia="Arial" w:hAnsi="Arial"/>
          <w:sz w:val="16"/>
          <w:szCs w:val="16"/>
          <w:color w:val="auto"/>
        </w:rPr>
      </w:pPr>
    </w:p>
    <w:p>
      <w:pPr>
        <w:ind w:left="1060" w:right="18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Statistically significant reductions in liver enzymes (ALT, AST and GGT) relative to placebo (all p=0.002) and a 40% reduction in ALT in patients with elevated baseline levels (p=0.01);</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Statistically significant reductions in fibrosis biomarkers in MGL-3196 treated patients as compared with placebo patients;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liver biopsy, fibrosis was reduced by at least one point in 23% of placebo patients and 29% of resmetirom treated patients;</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8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52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Very good all subject tolerability: mostly mild and a few moderate adverse events, or AEs, which were balanced between drug treated patients and placebo patients; and</w:t>
      </w:r>
    </w:p>
    <w:p>
      <w:pPr>
        <w:spacing w:after="0" w:line="62"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incidence of a transient mild diarrhea at beginning of study, often a single episode, in resmetirom treated patients compared with placebo patients.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MGL-3196 (resmetirom) Phase 2 Clinical Trial in HeFH</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In February 2018, we announced top-line results from our Phase 2 clinical trial in HeFH. In this trial, patients treated with resmetirom (placebo corrected) achieved highly significant (p&lt; 0.0001) LDL-C lowering of 18.8%, and 21% LDL-C lowering in those patients receiving an optimal dose of resmetirom. LDL-C lowering was 28.5% in patients treated with resmetirom as compared to placebo in a prespecified group of patients who did not tolerate high intensity statin doses. Highly significant (p&lt;0.0001) and numerically similar results were observed with ApoB. Highly significant (p&lt;0.0001) TG (25-31%), apolipoprotein CIII (22.7%), and Lp(a) lowering (26-33%) were observed in all patients treated with resmetirom and certain prespecified subgroups, irrespective of statin treatment.</w:t>
      </w:r>
    </w:p>
    <w:p>
      <w:pPr>
        <w:spacing w:after="0" w:line="193"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Resmetirom has been well-tolerated with mostly mild AEs and some moderate AEs, the numbers of which are balanced between placebo and drug-treatment groups. Fewer than seven percent of patients did not complete the study, and patients who discontinued for AEs, all mild to moderate, were balanced between drug-treated and placebo patients. There were two serious AEs in the study, both considered unrelated to treatment, one in a placebo and one in a drug-treated patient.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Lead Product Candidate—MGL-3196 (resmetirom)</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believe that resmetirom may be the first THR-agonist product candidate in development for NASH that selectively targets the THR-ß pathway. Active thyroid hormone, known as T3, interacts with two nuclear receptors, THR-α, which is the predominant receptor expressed in most human tissues, including heart and bone, and THR-ß, which has more restricted tissue expression, and is the predominant receptor responsible for metabolic actions in the liver, including both cholesterol- and TG-lowering. Selective activation of the THR-ß receptor in liver tissue is believed to favorably affect cholesterol and lipoprotein levels via multiple mechanisms, which may be complementary to those of other lipid-lowering therapies such as statin drugs. We believe that these characteristics of THR-ß activation by resmetirom will in turn lead to clinically meaningful reductions in LDL-C, and plasma and liver TGs.</w:t>
      </w:r>
    </w:p>
    <w:p>
      <w:pPr>
        <w:spacing w:after="0" w:line="18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believe that resmetirom is the first selective small molecule THR-ß agonist compound. Resmetirom, along with MGL-3745, a potential backup compound to resmetirom, was discovered at Hoffmann-La Roche, or Roche, in Nutley, New Jersey, by utilizing a novel functional assay that, unlike a simple receptor binding assay, assessed the functional activity of compounds which interacted with thyroid hormone receptors. In a published study by Madrigal and Roche in the Journal of Medicinal Chemistry using this functional assay, resmetirom was shown to be highly selective for the THR-ß receptor, with almost no effect on THR-α, unlike other compounds purported in published studies to be ß -selective based on binding affinity, but which were shown to equally activate THR-α and THR-ß in the novel functional assay.</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believe that the ß-selectivity and liver-targeting properties of resmetirom are critically important for resmetirom’s beneficial metabolic actions in the liver, and enable avoidance of safety issues associated with THR-α activation by thyroid hormone and/or less selective THR agonists in tissues such as heart and bone. In a variety of preclinical animal model studies, resmetirom showed enhanced safety relative to T3 or other thyroid agonists. In animal models, resmetirom demonstrated cholesterol lowering, liver TG lowering, and reduction of markers of NASH-related liver inflammation and fibrosis at drug levels similar to those that lowered LDL-C in human clinical trials, providing data to support the advancement of resmetirom into NASH and FH clinical trials. In chronic animal toxicology studies in dogs and rats, no effects on bone or cartilage histology were seen at any resmetirom dose in either species.</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Resmetirom did not increase liver enzymes in Phase 1 studies and there were no bone and cartilage histologic findings in chronic animal toxicology studies.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MGL-3196 (resmetirom) Clinical and Non-Clinical Development Program</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To date, we have completed a series of Phase 1 and 2 clinical studies, Phase 2-enabling preclinical good laboratory practice, or GLP, toxicology studies, and drug manufacturing studies to support further clinical development, including active pharmaceutical ingredient, or API, manufacturing and drug product development studies, drug metabolism studies, acute, subchronic and chronic animal toxicology studies, and other safety pharmacology and toxicology studies.</w:t>
      </w:r>
    </w:p>
    <w:p>
      <w:pPr>
        <w:spacing w:after="0" w:line="18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have completed Phase 1 studies with resmetirom in a total of 219 subjects to evaluate the safety, tolerability, pharmacokinetics and pharmacodynamic effects of resmetirom. Our Phase 1 studies included randomized, placebo-controlled, double-blind, single and 14-day multiple-dose escalation studies, drug-interaction studies with statins, with the antidiabetic agent pioglitazone, and with the antiplatelet agent clopidogrel. In addition, a study using radiolabeled resmetirom, a study of a tablet versus capsule formulation of resmetirom, and a multiple dose drug interaction and food effect study have also been completed. In Phase 1 studies, resmetirom appeared safe and was well-tolerated up to 200 mg once daily. The results of these studies suggest that resmetirom is suitable for once-daily oral dosing. Currently there is an ongoing Phase 1 hepatic impairment study to characterize the safety and pharmacokinetics of resmetirom in patients with hepatic impairment.</w:t>
      </w:r>
    </w:p>
    <w:p>
      <w:pPr>
        <w:spacing w:after="0" w:line="178"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In a Phase 1 multiple ascending dose study in healthy subjects, the effects of resmetirom on lipid parameters were assessed as initial markers of pharmacodynamic activity (Atherosclerosis 230:373-380, 2013). As illustrated in the figure below, daily doses of resmetirom ranging from 50 to 200 mg showed highly statistically significant reductions relative to placebo of up to 30% for LDL-C (range, p=.05-&lt;0.0001), 28% for non-high-density lipoprotein cholesterol, or non-HDL-C (range, p =0.027-p&lt;0.0001) and 24% for ApoB (range, p =0.008-0.0004), and statistical trends of up to 60% reduction in TG (range, p =0.13-0.016). The near maximal lipid effects were observed at a resmetirom dose of 80 mg once-daily. Resmetirom was well-tolerated at all doses, with no dose-related adverse events or liver enzyme, electrocardiography, or vital-sign changes. At the highest dose of resmetirom (200 mg), there was a reversible reduction of 20% in the level of a precursor hormone to T3, free T4, which was significantly different from placebo (p</w:t>
      </w:r>
    </w:p>
    <w:p>
      <w:pPr>
        <w:spacing w:after="0" w:line="3" w:lineRule="exact"/>
        <w:rPr>
          <w:sz w:val="20"/>
          <w:szCs w:val="20"/>
          <w:color w:val="auto"/>
        </w:rPr>
      </w:pPr>
    </w:p>
    <w:p>
      <w:pPr>
        <w:jc w:val="both"/>
        <w:ind w:left="200" w:right="280" w:firstLine="4"/>
        <w:spacing w:after="0" w:line="323" w:lineRule="auto"/>
        <w:tabs>
          <w:tab w:leader="none" w:pos="347" w:val="left"/>
        </w:tabs>
        <w:numPr>
          <w:ilvl w:val="0"/>
          <w:numId w:val="7"/>
        </w:numPr>
        <w:rPr>
          <w:rFonts w:ascii="Arial" w:cs="Arial" w:eastAsia="Arial" w:hAnsi="Arial"/>
          <w:sz w:val="16"/>
          <w:szCs w:val="16"/>
          <w:color w:val="auto"/>
        </w:rPr>
      </w:pPr>
      <w:r>
        <w:rPr>
          <w:rFonts w:ascii="Arial" w:cs="Arial" w:eastAsia="Arial" w:hAnsi="Arial"/>
          <w:sz w:val="16"/>
          <w:szCs w:val="16"/>
          <w:color w:val="auto"/>
        </w:rPr>
        <w:t>0.0001) that may be explained by increased liver metabolism of free T4. There was no change in thyrotropin, a pituitary hormone that regulates the level and production of thyroid hormone by the thyroid gland or T3, or other evidence of central thyroid axis dysfunction at any dose of resmetirom.</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86"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Change in Lipids After 14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160655</wp:posOffset>
            </wp:positionV>
            <wp:extent cx="5068570" cy="2624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6857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Change from Baseline (CFB) by mean % CFB calculated for each individual subject 24 h after 14th dose; baseline value obtained just prior to first dose; ApoB, apolipoprotein B; Chol, total cholesterol; LDL-C, LDL cholesterol directly measured; Non-HDL-C, non-HDL cholesterol; TG, triglycerides (median %CFB).</w:t>
      </w:r>
    </w:p>
    <w:p>
      <w:pPr>
        <w:spacing w:after="0" w:line="181"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In a Phase 2 double-blind, placebo-controlled, multi-center clinical trial, 116 patients with HeFH who were not at their LDL-C goal were randomized in a 2:1 ratio to receive either resmetirom or placebo, in addition to their current cholesterol lowering regimen, which included approximately 75% taking high intensity statins (20/40 mg rosuvastatin or 80 mg atorvastatin), and about two-thirds of patients also taking ezetimibe. Compared to placebo, resmetirom treated patients achieved highly significant (p&lt; 0.0001) LDL-C lowering of 18.8%, and 21% LDL-C lowering in those on an optimal dose of resmetirom. LDL-C lowering was 28.5% in resmetirom treated compared to placebo in a prespecified group of patients who did not tolerate high intensity statin doses. Highly significant (p&lt;0.0001) and numerically similar results were observed with ApoB. Highly significant reductions (p&lt;0.0001) in TG (25-31%), ApoCIII (22.7%) and Lp(a) (26-33%) were observed in all resmetirom treated patients and prespecified subgroups, irrespective of statin treatment.</w:t>
      </w:r>
    </w:p>
    <w:p>
      <w:pPr>
        <w:spacing w:after="0" w:line="192"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In the NASH Phase 2 double-blind, placebo-controlled, multi-center clinical trial, 125 patients 18 years of age and older with liver biopsy-confirmed NASH were randomized at approximately 25 clinical sites in the United States. Patients were randomized to receive either placebo (N=41) or resmetirom (N=84). The starting dose in resmetirom-treated patients was 80 mg once a day. The study employed an adaptive dosing design whereby, in a blinded fashion, the dose could be adjusted by small amounts (i.e. 20 mg up or down) or remain at 80 mg in each resmetirom-treated patient based on a pharmacokinetic analysis of drug level performed in each patient at 2 weeks. The primary endpoint of the study was the reduction of liver fat at</w:t>
      </w:r>
    </w:p>
    <w:p>
      <w:pPr>
        <w:spacing w:after="0" w:line="2"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12 weeks compared with baseline (relative change), assessed by MRI-PDFF, with efficacy confirmed at the end of the trial (36 weeks) by repeat MRI-PDFF and conventional liver biopsy to examine histological evidence for the resolution of NASH. Other secondary endpoints included changes in clinically relevant biomarkers at 12 and 36 weeks, improvement in fibrosis by at least one stage with no worsening of steatohepatitis, and safety and tolerability.</w:t>
      </w:r>
    </w:p>
    <w:p>
      <w:pPr>
        <w:spacing w:after="0" w:line="190"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Resmetirom demonstrated statistical significance (p&lt;0.0001) in the primary endpoint, the relative reduction of liver fat on MRI-PDFF at 12 weeks. At 36 weeks, statistically significant results were demonstrated in</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multiple histology endpoints including key secondary endpoints related to the reduction and resolution of NASH (see Table on page 3). At 36 weeks, resmetirom treated patients demonstrated sustained, statistically significant (p&lt;0.0001) reductions compared to placebo treated patients in LDL-C and ApoB of more than 20%, TGs of 36% and Lp(a) of 37%. In addition, resmetirom demonstrated statistically significant reductions in liver enzymes (ALT, AST and GGT) relative to placebo (all p=0.002).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144780</wp:posOffset>
            </wp:positionV>
            <wp:extent cx="4751070" cy="2238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51070"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goal is to become a leading biopharmaceutical company developing and commercializing innovative liver-directed, ß-selective thyroid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hormone receptor agonists for the treatment of cardio-metabolic and liver disease, fibrosis and inflammation. A key element is building a multi-therapy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NASH focused company. To achieve our goal, we plan to:</w:t>
      </w:r>
    </w:p>
    <w:p>
      <w:pPr>
        <w:spacing w:after="0" w:line="103" w:lineRule="exact"/>
        <w:rPr>
          <w:sz w:val="20"/>
          <w:szCs w:val="20"/>
          <w:color w:val="auto"/>
        </w:rPr>
      </w:pPr>
    </w:p>
    <w:p>
      <w:pPr>
        <w:ind w:left="1060" w:hanging="316"/>
        <w:spacing w:after="0" w:line="30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Complete clinical development and seek regulatory approval of MGL-3196 (resmetirom) in NASH. </w:t>
      </w:r>
      <w:r>
        <w:rPr>
          <w:rFonts w:ascii="Arial" w:cs="Arial" w:eastAsia="Arial" w:hAnsi="Arial"/>
          <w:sz w:val="16"/>
          <w:szCs w:val="16"/>
          <w:color w:val="auto"/>
        </w:rPr>
        <w:t>We successfully completed a Phase 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trial in NASH in 2018. NASH is a disease driven by the growing epidemic of obesity, with a significant unmet need for approved therapies that are effective and well tolerated. We believe resmetirom is an excellent candidate for the chronic treatment of NASH due to its safety profile and first-in-class pleiotrophic actions in liver cells and potential to reduce cardiovascular risk in NASH patients.</w:t>
      </w:r>
    </w:p>
    <w:p>
      <w:pPr>
        <w:spacing w:after="0" w:line="46" w:lineRule="exact"/>
        <w:rPr>
          <w:rFonts w:ascii="Arial" w:cs="Arial" w:eastAsia="Arial" w:hAnsi="Arial"/>
          <w:sz w:val="16"/>
          <w:szCs w:val="16"/>
          <w:color w:val="auto"/>
        </w:rPr>
      </w:pPr>
    </w:p>
    <w:p>
      <w:pPr>
        <w:ind w:left="1060" w:right="160" w:hanging="316"/>
        <w:spacing w:after="0" w:line="25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 commercial capabilities to market MGL-3196 (resmetirom) as a leading treatment for NASH. </w:t>
      </w:r>
      <w:r>
        <w:rPr>
          <w:rFonts w:ascii="Arial" w:cs="Arial" w:eastAsia="Arial" w:hAnsi="Arial"/>
          <w:sz w:val="18"/>
          <w:szCs w:val="18"/>
          <w:color w:val="auto"/>
        </w:rPr>
        <w:t>If approved, we may choose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either to establish a sales and marketing organization with technical expertise and supporting distribution capabilities to commercialize resmetirom, or to collaborate with one or more third parties to accomplish these tasks. Patients with NASH are primarily managed by a concentrated group of liver specialists in the United States and Europe. We believe this will enable us to launch resmetirom in NASH in a cost-effective, targeted manner.</w:t>
      </w:r>
    </w:p>
    <w:p>
      <w:pPr>
        <w:spacing w:after="0" w:line="80"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pipeline through additional indications for MGL-3196 (resmetirom) potentially including orphan indications. </w:t>
      </w:r>
      <w:r>
        <w:rPr>
          <w:rFonts w:ascii="Arial" w:cs="Arial" w:eastAsia="Arial" w:hAnsi="Arial"/>
          <w:sz w:val="18"/>
          <w:szCs w:val="18"/>
          <w:color w:val="auto"/>
        </w:rPr>
        <w:t>We believe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resmetirom has the potential to be an effective treatment for other disease indications that are rare diseases or may be designated rare diseases and we may pursue orphan drug designation where possible.</w:t>
      </w:r>
    </w:p>
    <w:p>
      <w:pPr>
        <w:spacing w:after="0" w:line="1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240" w:top="486"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Target Indications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Nonalcoholic Fatty Liver Disease and Nonalcoholic Steatohepatitis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 and Market Opportunity</w:t>
      </w:r>
    </w:p>
    <w:p>
      <w:pPr>
        <w:spacing w:after="0" w:line="117"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NASH is a serious inflammatory form of nonalcoholic fatty liver disease, or NAFLD. NAFLD has become the most common liver disease in the United States and other developed countries and is characterized by an accumulation of fat in the liver with no other apparent causes. The rising worldwide prevalence of obesity-related disorders has contributed to a rapid increase in the global prevalence of NASH and NAFLD. In the United States, NAFLD is estimated to affect approximately 27% to 34% of the population, or an estimated 86 million to 108 million people, and approximately 10% to 20% of those will progress from NAFLD to NASH. Current estimates place NASH prevalence at approximately 9 million to 15 million people in the United States, or three percent to five percent of the population, with similar prevalence in Europe and Asia. The prevalence of NASH is also increasing in developing regions due to the adoption of a more sedentary lifestyle and a diet consisting of processed foods with high fat and fructose content.</w:t>
      </w:r>
    </w:p>
    <w:p>
      <w:pPr>
        <w:spacing w:after="0" w:line="192"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In addition to the accumulation of fat in the liver, NASH is characterized by inflammation and cellular damage with or without fibrosis, the first stage of liver scarring, which may ultimately progress to cirrhosis. NASH is a severe condition that can lead to fibrosis and eventually progress to cirrhosis, portal hypertension, esophageal varices, ascites, liver cancer and liver failure. NASH is strongly associated with cardiovascular disease, or CVD, and the most common cause of death in NASH patients is CVD. Progression to cirrhosis and other late-stage complications can occur within five to ten years after an initial NASH diagnosis. NASH patients with type-2 diabetes have a heightened risk of NASH disease progression. Once the disease advances beyond NASH to such life-threatening conditions as liver cancer and liver failure, then liver transplantation is the only treatment alternative.</w:t>
      </w:r>
    </w:p>
    <w:p>
      <w:pPr>
        <w:spacing w:after="0" w:line="16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Centers for Disease Control and Prevention projects the prevalence of obesity to increase from 34% of the United States population to 42% of the United States population by 2030. Driven by this epidemic of obesity, NASH is projected to become the leading cause of liver transplants by 2020. Given the extremely limited availability of organ donors and high transplant costs, NASH patients who require transplantation will place a significant economic burden on the healthcare system. As such, there is a significant unmet medical need for well-tolerated oral treatments for NASH. Because there are currently no therapeutic products approved for the treatment of NASH, the market size is difficult to estimate. However, based on our analysis of multiple market assessments, we estimate that the addressable NASH population is several million patients worldwide, and that NASH could become a multi-billion dollar market able to support multiple approved drug products.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MGL-3196 (resmetirom) in NASH</w:t>
      </w:r>
    </w:p>
    <w:p>
      <w:pPr>
        <w:spacing w:after="0" w:line="117"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We are developing resmetirom for NASH. Based on the scientific literature in human and animal studies, we believe that NASH livers in humans frequently have a deficiency in THR-ß activity that leads to features of NASH, including fatty liver, inflammation and fibrosis, and that treatment with resmetirom will replace this hormone deficiency and be an effective NASH treatment. We believe that resmetirom is an excellent candidate for the chronic treatment of NASH because of its safety and tolerability profile observed to date in healthy subjects, its effects in reducing cardiovascular risk factors such as LDL-C and TGs in early-stage clinical trials, and its multiple beneficial effects in animal models of NASH. CVD is the most common cause of death in patients with NASH. We have completed multiple studies in animal models of metabolic diseases, dyslipidemia and NASH in which resmetirom demonstrated a statistically significant reduction in liver TGs, insulin resistance, liver enzymes (which may be elevated in NASH), and markers of inflammation and fibrosis. We believe that resmetirom will treat the underlying lipotoxicity that drives the inflammation and liver cell damage observed in NASH patients, and after the underlying lipotoxicity is treated, NASH-related liver fibrosis will resolve as the liver regenerates.</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MGL-3196 (resmetirom) NASH Phase 2 and 3 Clinical Studies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October 2016, we initiated a Phase 2 proof of concept clinical trial in patients with liver biopsy documented NASH, including those with type-2 diabetes, dyslipidemia and hypertension. In the study we randomized 125 NASH patients 2:1, resmetirom or placebo QD in a double-blind, placebo-controlled, study of once-daily resmetirom versus placebo in patients with NASH, including those with type-2 diabetes. Patients continued treatment through 36 weeks. The study was conducted in the United States. The primary endpoint was to evaluate the efficacy of resmetirom as measured by the reduction of liver fat at 12 weeks, and the secondary endpoint was to evaluate the efficacy of resmetirom as measured by a reduction of NASH, which was assessed by liver biopsy, at 36 weeks. Other secondary and exploratory endpoints included safety and tolerability, and effects on serum biomarkers at 12 and 36 weeks, lipid parameters, and biomarker measures of insulin sensitivity. We reached our top-line analysis of the primary endpoint in December 2017, and we reached our top-line analysis of the secondary endpoint (NASH assessment on liver biopsy) in May 2018. There was an extension study in a subset of the patients that completed the main 36-week study which was completed in 2019.</w:t>
      </w:r>
    </w:p>
    <w:p>
      <w:pPr>
        <w:spacing w:after="0" w:line="16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In September 2013, the American Association for the Study of Liver Disease and the FDA conducted a joint workshop focused on trial designs and endpoints in drug and diagnostic development for liver disease secondary to NAFLD, including NASH. In December 2014, the journal Hepatology accepted for publication a manuscript summarizing the workshop output, including potentially acceptable surrogate endpoints for clinical studies supporting the approval of agents for NASH and liver fibrosis. We believe that our Phase 2 NASH study design incorporated surrogate secondary endpoints consistent with the current FDA requirements for demonstration of efficacy in registrational trials. Following completion of our Phase 2 clinical trial of resmetirom in NASH patients, we held an end of Phase 2 meeting with the FDA, received positive feedback.</w:t>
      </w:r>
    </w:p>
    <w:p>
      <w:pPr>
        <w:spacing w:after="0" w:line="165"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In March 2019 the Company announced that it had initiated a Phase 3 trial in NASH with its once daily, oral thyroid hormone receptor beta selective agonist, MGL-3196 (resmetirom). This double-blind, placebo-controlled study will be conducted at more than 150 sites in the United States and the rest of the world. Patients with liver biopsy confirmed NASH with stage 2 or 3 fibrosis will be randomized 1:1:1 to receive a single oral daily dose of placebo, resmetirom 80 mg or resmetirom 100 mg. A second liver biopsy at week 52 in the first 900 patients will be the basis of filing for subpart H-accelerated approval; the primary endpoint will be the percent of patients treated with either dose of resmetirom as compared with placebo who achieve NASH resolution on the week 52 liver biopsy, defined as the absence of hepatocyte ballooning (score=0), and minimal lobular inflammation (score 0-1), associated with at least a 2 point reduction in NAS,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 hepatic decompensation. The total anticipated enrollment is approximately 2,000 patients and will include up to 15% high risk F1 fibrosis stage NASH patients whose efficacy responses will be evaluated as exploratory endpoints.</w:t>
      </w:r>
    </w:p>
    <w:p>
      <w:pPr>
        <w:spacing w:after="0" w:line="183"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December 2019 the Company announced it had opened for enrollment MAESTRO-NAFLD-1, a 52-week, double-blind, placebo controlled Phase 3 clinical study in 700 patients with biopsy-confirmed or presumed NASH recruited from sites in the U.S. Key endpoints are safety, including safety biomarkers, LDL cholesterol, lipid biomarkers, and fibrosis biomarkers. Except for serial liver biopsies, the study protocol is similar to the MAESTRO-NASH study with resmetirom doses of 80 mg or 100 mg or placebo and includes key secondary lipid, MRI-PDFF and NASH biomarker endpoints. In addition, MAESTRO-NAFLD-1 includes an open label arm in which up to 100 patients will be dosed with 100 mg resmetirom. The MAESTRO -NAFLD-1 study will help support the adequacy of the safety database at the time of NDA submission for subpart H approval for treatment of NASH in patients with F2 or F3 fibrosis (MAESTRO-NASH, NASH resolution surrogate endpoint).</w:t>
      </w:r>
    </w:p>
    <w:p>
      <w:pPr>
        <w:spacing w:after="0" w:line="17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Madrigal has agreement on liver biopsy endpoints with the FDA, and long term liver related benefit endpoints for the treatment of NASH. Given that NASH is an evolving field, and FDA evaluates risk versus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benefit prior to approval, Phase 3 data will be carefully reviewed by FDA. However, currently there are ongoing Phase 3 clinical trials of compounds to treat NASH by other companies in which it is contemplated that accelerated approval of the compounds under FDA subpart H, which provides for accelerated approval of certain new drug products that have been studied for their safety and effectiveness in treating serious or life-threatening illnesses and that provide meaningful therapeutic benefit to patients over existing treatments, would be based on the surrogate endpoint of histological evidence of NASH resolution without the worsening of fibrosis. It is expected that these trials would continue after approval to confirm the long term clinical benefit of NASH resolution based on a reduction in patients progressing to cirrhosis and other liver related events.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Dyslipidemia in NASH patients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 and Market Opportunity</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Patients with NASH, and its more prevalent precursor, NAFLD, are at heightened cardiovascular risk. Patients suffering from these conditions die more frequently from cardiovascular events than from their liver disease. Multiple factors contribute to this risk, including elevated levels of LDL-C and other atherogenic lipoproteins. Excess liver fat itself is also a significant cardiovascular risk factor. Patients with NASH and NAFLD, however, may not undergo a biopsy to confirm a NASH diagnosis until they reach the more advanced stages of fibrosis (F2 - F4). A significant segment of this large group of patients also suffer from diabetes and metabolic syndrome, and have lipid levels that are above target despite treatment with established therapies. These patients may benefit from therapy to lower their lipid levels in addition to excess liver fat, in order to reduce their cardiovascular risk.</w:t>
      </w:r>
    </w:p>
    <w:p>
      <w:pPr>
        <w:spacing w:after="0" w:line="16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believe our studies to date in patients with NASH and patients with HeFH, have demonstrated the pleiotropic activity of resmetirom and the potential of the drug to reduce an array of atherogenic lipoproteins, including LDL-C, ApoB, TG, ApoCIII, and Lp(a). As a result, we intend to also focus our development of resmetirom on patients with NASH who have elevated lipid levels, because it is unlikely that liver biopsy will be required to diagnose NASH, there is a potential for resmetirom to address patients across the entire NASH spectrum including patients with earlier stages of NASH and NASH-fibrosis..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MGL-3196 (resmetirom) in Familial Hypercholesterolemia (FH)</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FH is a genetic disorder characterized by aggressive and early onset CVD. In people with FH, genetic mutations make the liver incapable of metabolizing or removing excess LDL-C, causing very high LDL-C levels in the blood. There are two forms of FH: HoFH, a less common condition where mutation is inherited from both parents, and HeFH, a more common condition where mutation is inherited from just one parent. The vast majority of the cholesterol circulating in a person’s body is produced by the liver. Cholesterol is a necessary component in the structure and function of human cells. Individuals with FH are unable to recycle this natural supply of cholesterol that their bodies are constantly producing. Therefore, the cholesterol levels of an individual with FH are exceedingly high. Over time, the elevated blood cholesterol can lead to blockages in the arteries of the heart and/or brain. The longer a person experiences high LDL-C, the more likely he or she will be to experience a cardiovascular event (</w:t>
      </w:r>
      <w:r>
        <w:rPr>
          <w:rFonts w:ascii="Arial" w:cs="Arial" w:eastAsia="Arial" w:hAnsi="Arial"/>
          <w:sz w:val="16"/>
          <w:szCs w:val="16"/>
          <w:i w:val="1"/>
          <w:iCs w:val="1"/>
          <w:color w:val="auto"/>
        </w:rPr>
        <w:t>i.e.</w:t>
      </w:r>
      <w:r>
        <w:rPr>
          <w:rFonts w:ascii="Arial" w:cs="Arial" w:eastAsia="Arial" w:hAnsi="Arial"/>
          <w:sz w:val="16"/>
          <w:szCs w:val="16"/>
          <w:color w:val="auto"/>
        </w:rPr>
        <w:t>, heart attack or stroke).</w:t>
      </w:r>
    </w:p>
    <w:p>
      <w:pPr>
        <w:spacing w:after="0" w:line="16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In preclinical animal studies resmetirom lowered LDL-C in a variety of species as a monotherapy and also when dosed in combination with statins. Resmetirom also showed the potential to lower Lp(a), a severely atherogenic particle that is frequently elevated in patients with FH. A previous THR agonist, eprotirome, demonstrated clinical proof of concept for the THR target in Phase 3 FH clinical trials by significantly lowering LDL-C and Lp(a) in patients with HeFH who were on standard treatments such as statins and ezetimibe. The development of eprotirome ceased during the Phase 3 FH trial due to liver toxicity observed in the trial as well as eprotirome-induced cartilage damage seen in chronic toxicology studies in dogs. Because of its high level of THR-ß selectivity, its liver-targeting properties, and its absence of findings in chronic animal toxicology studies, we believe that resmetirom will avoid the toxicity issues of previous THR agonist compounds and may be a beneficial treatment for FH patients.</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MGL-3196 (resmetirom) FH Phase 2 Clinical Plan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February 2017, we initiated a Phase 2 clinical trial of resmetirom for the treatment of HeFH. In the study we randomized HeFH patients 2:1, resmetirom or placebo QD in double-blind, placebo-controlled fashion. Patients continued treatment through 12 weeks. The study was conducted in Europe. In this 12 week clinical trial, the primary endpoint was to evaluate the efficacy of resmetirom as measured by the percent reduction in LDL-C as compared with placebo. Secondary endpoints included safety and tolerability, and evaluated the efficacy of resmetirom to reduce a variety of lipid parameters, including non-HDL-C, ApoB, TGs, Lp(a), apoA/B, and lipoprotein particles. In February 2018, we announced positive results from the</w:t>
      </w:r>
    </w:p>
    <w:p>
      <w:pPr>
        <w:spacing w:after="0" w:line="2" w:lineRule="exact"/>
        <w:rPr>
          <w:sz w:val="20"/>
          <w:szCs w:val="20"/>
          <w:color w:val="auto"/>
        </w:rPr>
      </w:pPr>
    </w:p>
    <w:p>
      <w:pPr>
        <w:ind w:left="200" w:right="200"/>
        <w:spacing w:after="0" w:line="261" w:lineRule="auto"/>
        <w:rPr>
          <w:sz w:val="20"/>
          <w:szCs w:val="20"/>
          <w:color w:val="auto"/>
        </w:rPr>
      </w:pPr>
      <w:r>
        <w:rPr>
          <w:rFonts w:ascii="Arial" w:cs="Arial" w:eastAsia="Arial" w:hAnsi="Arial"/>
          <w:sz w:val="18"/>
          <w:szCs w:val="18"/>
          <w:color w:val="auto"/>
        </w:rPr>
        <w:t>12 week Phase 2 clinical trial of resmetirom for the treatment of HeFH. Resmetirom treated patients achieved highly significant reductions in LDL-C, ApoB, TG, ApoCIII, and Lp(a) in all patients and prespecified subgroups.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VIA Pharmaceuticals, Inc., or VIA, entered into a research, development and commercialization agreement, or the Roche Agreement, with Roche, on December 18, 2008. We subsequently assumed all of VIA’s rights in, to and under, and all of VIA’s obligations under, the Roche Agreement pursuant to an asset purchase agreement, dated September 14, 2011. Pursuant to the terms of the Roche Agreement, we, as successor-in-interest to VIA, assumed control of all development and commercialization of MGL-3196 (resmetirom) and will hold exclusive worldwide rights for all potential indications.</w:t>
      </w:r>
    </w:p>
    <w:p>
      <w:pPr>
        <w:spacing w:after="0" w:line="2"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Under the Roche Agreement, Roche exclusively licensed certain patent rights and know-how relating to resmetirom in exchange for consideration consisting of an upfront payment, milestone payments, the remainder of which total $8 million and are tied to regulatory approval in the United States and Europe of resmetirom or any derivative product, and single-digit royalty payments based on net sales of resmetirom and any derivative products, subject to certain reductions. In 2011, we commenced Phase 1 clinical trials and subsequently paid Roche a related milestone payment. In October 2016, we commenced a Phase 2 study in NASH and subsequently paid Roche a related milestone payment. In 2019, we commenced a Phase 3 study in NASH and subsequently paid Roche a $2 million related milestone payment. Except as described above, we have not achieved any additional product development or regulatory milestones under the Roche Agreement and have generated no net sales of products developed from resmetirom.</w:t>
      </w:r>
    </w:p>
    <w:p>
      <w:pPr>
        <w:spacing w:after="0" w:line="16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Pursuant to the Roche Agreement, we must use commercially reasonable efforts to conduct clinical and commercial development programs for products containing resmetirom. If we determine that it is not reasonable to continue clinical trials or other development of resmetirom, we may elect to cease further development and Roche may terminate the license. If we determine not to pursue the development or commercialization of resmetirom in certain jurisdictions, including the United States, Roche may terminate the license for such territories. The Roche Agreement will expire, unless earlier terminated pursuant to other provisions of the agreement, on the last to occur of (i) the expiration of the last valid claim of a licensed patent covering the manufacture, use or sale of products containing resmetirom, or (ii) ten years after the first sale of a product containing resmetirom.</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development and commercialization of new drugs is highly competitive. We will face competition with respect to all product candidates we may develop or commercialize in the future from pharmaceutical and biotechnology companies worldwide. The key factors affecting the success of any approved product will be its efficacy, safety profile, drug interactions, method of administration, pricing, reimbursement and level of promotional activity relative to those of competing drugs.</w:t>
      </w:r>
    </w:p>
    <w:p>
      <w:pPr>
        <w:spacing w:after="0" w:line="79" w:lineRule="exact"/>
        <w:rPr>
          <w:sz w:val="20"/>
          <w:szCs w:val="20"/>
          <w:color w:val="auto"/>
        </w:rPr>
      </w:pPr>
    </w:p>
    <w:p>
      <w:pPr>
        <w:ind w:left="1060" w:right="160" w:hanging="316"/>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potential competitors may have substantially greater financial, technical, and personnel resources than us. In addition, many of these competitors have significantly greater commercial infrastructures. Our ability to compete successfully will depend largely on our ability to leverage our collective experience in drug discovery, development and commercialization to:</w:t>
      </w:r>
    </w:p>
    <w:p>
      <w:pPr>
        <w:spacing w:after="0" w:line="73"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discover and develop medicines that are differentiated from other products in the market,</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patent and/or proprietary protection for our products and technologies;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 commercial partner;</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commercialize our drugs, if approved; and</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and retain high-quality research, development and commercial personnel.</w:t>
      </w:r>
    </w:p>
    <w:p>
      <w:pPr>
        <w:spacing w:after="0" w:line="225"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There are currently no therapeutic products approved for the treatment of NASH. There are several commercially available products that are currently used off-label for NASH, such as vitamin E, an antioxidant, insulin sensitizers, such as pioglitazone, anti-hyperlipidemic agents, such as gemfibrozil, pentoxifylline, ursodiol and others. In addition, there are numerous drugs in development for the treatment of NASH. Intercept Pharmaceuticals, Inc. submitted a NDA in September 2019 and MAA in December 2019 for obeticholic acid for the treatment of patients with fibrosis due to NASH. We are aware of several companies that have product candidates in clinical development for the treatment of NASH, including Gilead Sciences, Inc., Galectin Therapeutics, Inc., Allergan plc / Tobira Pharmaceuticals, Inc., Galmed Medical Research Ltd., Genfit Corp., Cirius Therapeutics, Novartis AG, Novo Nordisk A/S, Takeda, Inventiva, Boehringer Ingelheim GmbH, Bristol-Myers Squibb, Pfizer, Inc., Sanofi S.A., NGM Biopharmaceutical, Viking Therapeutics, Akero Therapeutics, and MedImmune LLC, and there are other companies with candidates in earlier stages of development. Given resmetirom’s actions on the underlying biological pathways across the spectrum of early to late stages of NASH, its CV beneficial effects, and its complementary mechanism to other therapies, we believe that resmetirom has the potential to be used alone or in combination with some of these potential NASH products.</w:t>
      </w:r>
    </w:p>
    <w:p>
      <w:pPr>
        <w:spacing w:after="0" w:line="18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There are several marketed products, both generic and proprietary, available for the treatment of HoFH and HeFH. We believe that resmetirom has the potential to be used in combination with several of these products. Available marketed products include: various statins, Merck’s ezetimibe, Aegerion’s lomitapide, Ionis’ mipomersen, Amgen’s evolocumab and Sanofi/Regeneron’s alirocumab. In addition, there are multiple drugs in development for the treatment of FH, including Gemphire’s gemcabene, Merck’s anacetrapib, Esperion’s ETC-1002, and drugs at an earlier stage of development. Given resmetirom’s pleoitropic lipid-lowering actions, its complementary mechanism to statins and other lipid-lowering drugs, and its potential for lowering Lp(a), we believe that resmetirom has the potential to be used in combination with the standard of care to treat patients with HoFH and HeFH.</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Because we are focused on discovery and development of our product candidates, we currently have no sales, marketing or distribution capabilities in order to commercialize any approved product candidates. If our product candidates are approved, we intend either to establish a sales and marketing organization with technical expertise and supporting distribution capabilities to commercialize our products, or to outsource this function to a third party.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do not own or operate, and currently have no plans to establish, any manufacturing facilities. We currently rely, and expect to rely, on third-party contract manufacturers, or CMOs, for the manufacture of any product candidates that we may develop for larger-scale preclinical and clinical testing, as well as for commercial quantities of any drug candidates that are approved.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Research and development expenses primarily consist of costs associated with our research activities, including the preclinical and clinical development of our product candidates. Our research and development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279" w:lineRule="auto"/>
        <w:rPr>
          <w:sz w:val="20"/>
          <w:szCs w:val="20"/>
          <w:color w:val="auto"/>
        </w:rPr>
      </w:pPr>
      <w:r>
        <w:rPr>
          <w:rFonts w:ascii="Arial" w:cs="Arial" w:eastAsia="Arial" w:hAnsi="Arial"/>
          <w:sz w:val="17"/>
          <w:szCs w:val="17"/>
          <w:color w:val="auto"/>
        </w:rPr>
        <w:t>expenses were $72.3 million for the year ended December 31, 2019, $25.4 million for the year ended December 31, 2018, and $24.4 million for year ended December 31, 2017. The increase in research and development expenses was primarily due to the advancement of clinical programs to Phase 3 studies, further API manufacturing studies and the continuation of preclinical studies. We expect research and development expenses to increase over time as we advance our clinical and preclinical development programs for resmetirom.</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will be able to protect our technology and products from unauthorized use by third parties only to the extent we are covered by valid and enforceable patents or such knowledge is effectively maintained as trade secrets. Patents and other proprietary rights are thus an essential element of our business. We also rely on trade secrets, know-how, continuing technological innovation and licensing opportunities to develop and maintain our competitive position.</w:t>
      </w:r>
    </w:p>
    <w:p>
      <w:pPr>
        <w:spacing w:after="0" w:line="18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Our success will depend in part on our ability to obtain and maintain patent and other proprietary protection for our current and future product candidates, technology and know-how, to operate without infringing on the proprietary rights of others, and to prevent others from infringing our proprietary rights. We seek to protect our proprietary position by, among other methods, filing United States and foreign patent applications related to our proprietary technology, and maintaining the confidentiality of inventions and improvements that are important to the development of our business.</w:t>
      </w:r>
    </w:p>
    <w:p>
      <w:pPr>
        <w:spacing w:after="0" w:line="154"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own or co-own: three United States and 15 foreign issued patents and allowed patent applications; and one United States and 36 foreign pending patent applications, each of which relates to composition-of-matter of resmetirom, including certain dosage forms, and its use in the treatment of key disease indications. Our current patent portfolio covers the United States and certain other jurisdictions worldwide. In addition, pursuant to the Roche Agreement, Roche granted us an exclusive license to certain United States and foreign patents and patent applications owned by Roche and Roche know-how relating to resmetirom. The Roche Agreement imposes various diligence, milestone payment, royalty payment, insurance, indemnification, and other obligations on us.</w:t>
      </w:r>
    </w:p>
    <w:p>
      <w:pPr>
        <w:spacing w:after="0" w:line="19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Issued United States patents directed to resmetirom, including certain dosage forms, have statutory expiration dates between 2026 and 2033, excluding any patent term extensions that might be available following the grant of marketing authorizations. Issued patents outside of the United States directed to resmetirom, including certain dosage forms, have statutory expiration dates between 2026 and 2033. We have pending patent applications for resmetirom that, if issued, would be expected to expire in the United States and in countries outside of the United States between 2033 and 2039, excluding any patent term adjustment that might be available following the grant of the patent and any patent term extensions that might be available following the grant of marketing authorizations.</w:t>
      </w:r>
    </w:p>
    <w:p>
      <w:pPr>
        <w:spacing w:after="0" w:line="193" w:lineRule="exact"/>
        <w:rPr>
          <w:sz w:val="20"/>
          <w:szCs w:val="20"/>
          <w:color w:val="auto"/>
        </w:rPr>
      </w:pPr>
    </w:p>
    <w:p>
      <w:pPr>
        <w:jc w:val="both"/>
        <w:ind w:left="200" w:right="560" w:firstLine="441"/>
        <w:spacing w:after="0" w:line="264" w:lineRule="auto"/>
        <w:rPr>
          <w:sz w:val="20"/>
          <w:szCs w:val="20"/>
          <w:color w:val="auto"/>
        </w:rPr>
      </w:pPr>
      <w:r>
        <w:rPr>
          <w:rFonts w:ascii="Arial" w:cs="Arial" w:eastAsia="Arial" w:hAnsi="Arial"/>
          <w:sz w:val="18"/>
          <w:szCs w:val="18"/>
          <w:color w:val="auto"/>
        </w:rPr>
        <w:t>Our trademarks are protected under the common law and/or by registration in the United States and other countries. We seek to protect our proprietary processes, in part, by confidentiality agreements and invention assignment agreements with our personnel, including consultants and commercial partners. These agreements are designed to protect our proprietary information.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Orphan Drug Designation</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Some potential target disease indications for resmetirom are rare diseases or may be designated rare diseases and we plan to pursue orphan drug designation where possible. If granted, each such designation might provide for regulatory exclusivity for seven years in the United States and ten years in the EU from the date of product approval for individual indications.</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Government Regulation and Product Approval</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new drug application, or NDA, process before it may be legally marketed in the United States, and must be approved by foreign regulatory authorities via various procedures before it can be marketed in the applicable country. The animal and other non-clinical data and the results of human clinical trials performed under an Investigational New Drug application, or IND, and under similar foreign applications will become part of the NDA.</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States Drug Development Process</w:t>
      </w:r>
    </w:p>
    <w:p>
      <w:pPr>
        <w:spacing w:after="0" w:line="117"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among other things, the FDA’s refusal to approve pending applications, withdrawal of an approval, a clinical hold, warning letters and other types of enforcement-related letters, requesting product recalls, product seizures, changes to the conditions surrounding marketing approval such as labeling changes or changes to a Risk Evaluation and Mitigations Strategies, or REMS, program, total or partial suspension of production or distribution, injunctions, fines, refusals of government contracts, debarment, restitution, disgorgement of profits, or civil or criminal investigations and penalties. Any agency or judicial enforcement action could have a material adverse effect on us. The process required by the FDA before a drug or biologic may be marketed in the United States generally involves the following:</w:t>
      </w:r>
    </w:p>
    <w:p>
      <w:pPr>
        <w:spacing w:after="0" w:line="70" w:lineRule="exact"/>
        <w:rPr>
          <w:sz w:val="20"/>
          <w:szCs w:val="20"/>
          <w:color w:val="auto"/>
        </w:rPr>
      </w:pPr>
    </w:p>
    <w:p>
      <w:pPr>
        <w:ind w:left="1060" w:hanging="316"/>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according to GLP or other applicable regulations;</w:t>
      </w:r>
    </w:p>
    <w:p>
      <w:pPr>
        <w:spacing w:after="0" w:line="128" w:lineRule="exact"/>
        <w:rPr>
          <w:rFonts w:ascii="Arial" w:cs="Arial" w:eastAsia="Arial" w:hAnsi="Arial"/>
          <w:sz w:val="17"/>
          <w:szCs w:val="17"/>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Good Clinical Practices, or GCP, to establish the safety and efficacy of the proposed drug for its intended use;</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17"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registration batches and validation of the manufacturing process to show ability to consistently produce quality batches of product;</w:t>
      </w:r>
    </w:p>
    <w:p>
      <w:pPr>
        <w:spacing w:after="0" w:line="62" w:lineRule="exact"/>
        <w:rPr>
          <w:rFonts w:ascii="Arial" w:cs="Arial" w:eastAsia="Arial" w:hAnsi="Arial"/>
          <w:sz w:val="18"/>
          <w:szCs w:val="18"/>
          <w:color w:val="auto"/>
        </w:rPr>
      </w:pPr>
    </w:p>
    <w:p>
      <w:pPr>
        <w:jc w:val="both"/>
        <w:ind w:left="1060" w:right="240" w:hanging="316"/>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 FDA inspection of the manufacturing facility or facilities at which the drug is produced to assess compliance with current good manufacturing practice, or cGMP, to assure that the facilities, methods and controls are adequate to preserve the drug’s identity, strength, quality and purity; and</w:t>
      </w:r>
    </w:p>
    <w:p>
      <w:pPr>
        <w:spacing w:after="0" w:line="73"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Once a pharmaceutical candidate is identified for development, it enters the preclinical testing stage. Preclinical tests include laboratory evaluations of product chemistry, toxicity and formulation, as well as animal studies, to assess the safety and quality of the product. Animal studies must be performed in compliance with FDA’s GLP regulations and the U.S. Department of Agriculture’s Animal Welfare Act. An IND sponsor must submit the results of the preclinical tests, together with manufacturing information and analytical data, to the FDA as part of the IND. The sponsor will also include a protocol detailing, among other things, the objectives of</w:t>
      </w:r>
    </w:p>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91" w:lineRule="auto"/>
        <w:rPr>
          <w:sz w:val="20"/>
          <w:szCs w:val="20"/>
          <w:color w:val="auto"/>
        </w:rPr>
      </w:pPr>
      <w:r>
        <w:rPr>
          <w:rFonts w:ascii="Arial" w:cs="Arial" w:eastAsia="Arial" w:hAnsi="Arial"/>
          <w:sz w:val="16"/>
          <w:szCs w:val="16"/>
          <w:color w:val="auto"/>
        </w:rPr>
        <w:t>the first phase of the clinical trial, the parameters to be used in monitoring safety, and the effectiveness criteria to be evaluated, if the first phase lends itself to an efficacy evaluation. Some preclinical testing may continue even after the IND is submitted. The IND automatically becomes effective</w:t>
      </w:r>
    </w:p>
    <w:p>
      <w:pPr>
        <w:ind w:left="200" w:right="40"/>
        <w:spacing w:after="0" w:line="277" w:lineRule="auto"/>
        <w:rPr>
          <w:sz w:val="20"/>
          <w:szCs w:val="20"/>
          <w:color w:val="auto"/>
        </w:rPr>
      </w:pPr>
      <w:r>
        <w:rPr>
          <w:rFonts w:ascii="Arial" w:cs="Arial" w:eastAsia="Arial" w:hAnsi="Arial"/>
          <w:sz w:val="17"/>
          <w:szCs w:val="17"/>
          <w:color w:val="auto"/>
        </w:rPr>
        <w:t>30 days after receipt by the FDA, unless the FDA, within the 30-day time period, places the clinical trial on a clinical hold or a partial clinical hold. In such a case, the IND sponsor and the FDA must resolve any outstanding concerns before the clinical trial can begin. Clinical holds also may be imposed by the FDA at any time before or during studies due to safety concerns or non-compliance, or other reasons.</w:t>
      </w:r>
    </w:p>
    <w:p>
      <w:pPr>
        <w:spacing w:after="0" w:line="17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All clinical trials must be conducted under the supervision of one or more qualified investigators in accordance with good clinical practice regulations. They must be conducted under protocols detailing the objectives of the trial, dosing procedures, subject selection and exclusion criteria and the safety and effectiveness criteria to be evaluated. Each protocol must be submitted to the FDA as part of the IND, and progress reports detailing the results of the clinical trials must be submitted at least annually. In addition, timely safety reports must be submitted to the FDA and the investigators for serious and unexpected adverse events or animal test results that suggest a significant risk to human subjects. An institutional review board, or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Foreign studies conducted under an IND must meet the same requirements that apply to studies being conducted in the U.S. Data from a foreign study not conducted under an IND may be submitted in support of an NDA if the study was conducted in accordance with GCP and the FDA is able to validate the data.</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060" w:right="120" w:hanging="316"/>
        <w:spacing w:after="0" w:line="25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product candidate is initially introduced into healthy human subjects and tested for safety, dosage tolerance, absorption,</w:t>
      </w:r>
      <w:r>
        <w:rPr>
          <w:rFonts w:ascii="Arial" w:cs="Arial" w:eastAsia="Arial" w:hAnsi="Arial"/>
          <w:sz w:val="18"/>
          <w:szCs w:val="18"/>
          <w:i w:val="1"/>
          <w:iCs w:val="1"/>
          <w:color w:val="auto"/>
        </w:rPr>
        <w:t xml:space="preserve"> </w:t>
      </w:r>
      <w:r>
        <w:rPr>
          <w:rFonts w:ascii="Arial" w:cs="Arial" w:eastAsia="Arial" w:hAnsi="Arial"/>
          <w:sz w:val="18"/>
          <w:szCs w:val="18"/>
          <w:color w:val="auto"/>
        </w:rPr>
        <w:t>metabolism, distribution and excretion. In the case of some products for severe or life-threatening diseases, such as cancer, especially when the product may be too inherently toxic to ethically administer to healthy volunteers, the initial human testing is often conducted in patients with the target diseases.</w:t>
      </w:r>
    </w:p>
    <w:p>
      <w:pPr>
        <w:spacing w:after="0" w:line="78" w:lineRule="exact"/>
        <w:rPr>
          <w:rFonts w:ascii="Arial" w:cs="Arial" w:eastAsia="Arial" w:hAnsi="Arial"/>
          <w:sz w:val="18"/>
          <w:szCs w:val="18"/>
          <w:color w:val="auto"/>
        </w:rPr>
      </w:pPr>
    </w:p>
    <w:p>
      <w:pPr>
        <w:ind w:left="1060" w:right="360" w:hanging="316"/>
        <w:spacing w:after="0" w:line="342"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This phase involves studies in a limited patient population to identify possible adverse effects and safety risks, to preliminarily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the efficacy of the product for specific targeted diseases and to determine dosage tolerance and optimal dosage.</w:t>
      </w:r>
    </w:p>
    <w:p>
      <w:pPr>
        <w:spacing w:after="0" w:line="15" w:lineRule="exact"/>
        <w:rPr>
          <w:rFonts w:ascii="Arial" w:cs="Arial" w:eastAsia="Arial" w:hAnsi="Arial"/>
          <w:sz w:val="16"/>
          <w:szCs w:val="16"/>
          <w:color w:val="auto"/>
        </w:rPr>
      </w:pPr>
    </w:p>
    <w:p>
      <w:pPr>
        <w:ind w:left="1060" w:right="200" w:hanging="316"/>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This phase involves trials undertaken to further evaluate dosage, clinical efficacy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study sites. These studies are intended to establish the overall risk-benefit ratio of the product candidate and provide, if appropriate, an adequate basis for product approval and product labeling.</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Phase 1, Phase 2, and Phase 3 testing may not be completed successfully within any specified period, if at all. Further, success in either preclinical studies or early-stage clinical trials does not assure success in later-stage clinical trials. Sponsors of all controlled clinical trials, except for Phase 1 trials, are required to submit certain clinical trial information for inclusion in the public clinical trial registry and results data bank maintained by the National Institutes of Health, which are publicly available at http://clinicaltrials.gov.</w:t>
      </w:r>
    </w:p>
    <w:p>
      <w:pPr>
        <w:spacing w:after="0" w:line="17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FDA</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86"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to reach agreement on the next phase of development. Sponsors typically use the end of Phase 2 meeting to discuss their Phase 2 clinical results and present their plans for the pivotal Phase 3 clinical trial that they believe will support approval of the new drug.</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States Review and Approval Processes</w:t>
      </w:r>
    </w:p>
    <w:p>
      <w:pPr>
        <w:spacing w:after="0" w:line="117"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user fees; a waiver of such fees may be obtained under certain limited circumstances. The FDA conducts a preliminary review of all NDAs submitted to ensure that they are sufficiently complete for substantive review before it accepts them for filing. The FDA may request additional information rather than accept an NDA for filing. In this event, the NDA must be resubmitted with the additional information. The resubmitted application also is subject to review before the FDA accepts it for filing. Once the submission is accepted for filing, the FDA begins an in-depth substantive review. The FDA may refer the NDA to an advisory committee for review, evaluation and recommendation as to whether the application should be approved and under what conditions. The FDA is not bound by the recommendation of an advisory committee, but it generally follows such recommendations. The approval process is lengthy and often difficult, and the FDA may refuse to approve an NDA if the applicable regulatory criteria are not satisfied or may require additional clinical or other data and information. Even if such data and information are submitted, the FDA may ultimately decide that the NDA does not satisfy the regulatory criteria for approval. Data obtained from clinical trials are not always conclusive, and the FDA may interpret data differently than we interpret the same data. The FDA may issue a complete response letter, which generally outlines the deficiencies in the submission and may require additional clinical or other data or impose other conditions that must be met in order to secure final approval of the NDA, or an approval letter following satisfactory completion of all aspects of the review process. The FDA reviews an NDA to determine, among other things, whether a product is safe and effective for its intended use and whether its manufacturing is cGMP-compliant to assure and preserve the product’s identity, strength, quality and purity. Before approving an NDA, the FDA will inspect the facility or facilities where the product is manufactured. In addition, the FDA often will conduct a bioresearch monitoring inspection of the clinical trial sites involved in conducting pivotal studies to ensure data integrity and compliance with applicable GCP requirements.</w:t>
      </w:r>
    </w:p>
    <w:p>
      <w:pPr>
        <w:spacing w:after="0" w:line="17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NDAs receive either standard or priority review. A drug representing a significant improvement in treatment, prevention or diagnosis of disease may receive priority review. Priority review for an NDA for a new molecular entity will be six months from the date that the NDA is filed. The FDA has ten months in which to complete its initial review of a standard new molecular entity NDA. The FDA does not always meet its goal dates and in certain circumstances the goal date may be extended. In addition, products studied for their safety and effectiveness in treating serious or life-threatening illnesses and which provide meaningful therapeutic benefit over existing treatments, may receive accelerated approval. In that situation, the product may be approved on the basis of adequate and well-controlled clinical trials establishing that the drug product has an effect on a surrogate endpoint that is reasonably likely to predict clinical benefit or on the basis of an effect on a clinical endpoint that can be measured earlier than irreversible morbidity or mortality, or IMM, that is reasonably likely to predict an effect on IMM or other clinical benefit. As a condition of approval, the FDA may require that a</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sponsor of a drug receiving accelerated approval perform adequate and well-controlled post-marketing clinical trials. Priority review and accelerated approval do not change the standards for approval, but may expedite the approval process.</w:t>
      </w:r>
    </w:p>
    <w:p>
      <w:pPr>
        <w:spacing w:after="0" w:line="170"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dosages or patient populations, or the indications for use may otherwise be limited, which could restrict the commercial value of the product. In addition, the FDA may require a sponsor to conduct Phase 4 testing which involves clinical trials designed to further assess a drug’s safety and effectiveness after NDA approval, and may require testing and surveillance programs to monitor the safety of approved products which have been commercialized.</w:t>
      </w:r>
    </w:p>
    <w:p>
      <w:pPr>
        <w:spacing w:after="0" w:line="171"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The Food and Drug Administration Safety and Innovation Act, or FDASIA, which was enacted in 2012, made permanent the Pediatric Research Equity Act, or PREA, which requires a sponsor to conduct pediatric studies for most drugs and biologics, for a new active ingredient, new indication, new dosage form, new dosing regimen or new route of administration. Under PREA, original NDAs and supplements thereto must contain a pediatric assessment unless the sponsor has received a deferral or waiver. The required assessment must assess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studies for some or all of the pediatric subpopulations. A deferral may be granted for several reasons, including a finding that the drug or biologic is ready for approval for use in adults before pediatric studies are complete or that additional safety or effectiveness data needs to be collected before the pediatric studies begin. After April 2013, the FDA must send a non-compliance letter to any sponsor that fails to submit the required assessment, keep a deferral current or fails to submit a request for approval of a pediatric formulation.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Depending upon the timing, duration and specifics of FDA approval of our product candidates, some of our United States patents may be eligible for limited patent term extension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w:t>
      </w:r>
    </w:p>
    <w:p>
      <w:pPr>
        <w:spacing w:after="0" w:line="2"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period is reduced by any time during which the applicant failed to exercise due diligence. Only one patent applicable to an approved drug is eligible for the extension, and the extension must be applied for prior to expiration of the patent and within 60 days of approval. The United States Patent and Trademark Office, in consultation with the FDA, reviews and approves the application for any patent term extension or restoration.</w:t>
      </w:r>
    </w:p>
    <w:p>
      <w:pPr>
        <w:spacing w:after="0" w:line="17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Pediatric exclusivity is another type of marketing exclusivity available in the United States. The FDASIA made permanent the Best Pharmaceuticals for Children Act, or BPCA, which provides for an additional six months of marketing exclusivity if a sponsor conducts clinical trials in children in response to a written request from the FDA, or a Written Request. If the Written Request does not include studies in neonates, the FDA is required to include its rationale for not requesting those studies. The FDA may request studies on approved or unapproved indications in separate Written Requests. The issuance of a Written Request does not require the sponsor to undertake the described studies.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Under the Orphan Drug Act, the FDA may grant orphan drug designation to a drug or biological product intended to treat a rare disease or condition, which is generally a disease or condition that affects fewer than 200,000 individuals in the United States, or more than 200,000 individuals in the United States and for which</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86"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0" w:lineRule="auto"/>
        <w:rPr>
          <w:sz w:val="20"/>
          <w:szCs w:val="20"/>
          <w:color w:val="auto"/>
        </w:rPr>
      </w:pPr>
      <w:r>
        <w:rPr>
          <w:rFonts w:ascii="Arial" w:cs="Arial" w:eastAsia="Arial" w:hAnsi="Arial"/>
          <w:sz w:val="17"/>
          <w:szCs w:val="17"/>
          <w:color w:val="auto"/>
        </w:rPr>
        <w:t>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identity of the therapeutic agent and its potential orphan use are disclosed publicly by the FDA. Orphan drug designation does not convey any advantage in or shorten the duration of the regulatory review and approval process. If a product that has orphan drug designation subsequently receives the first FDA approval for the disease for which it has such designation, the product is entitled to orphan product exclusivity, which means that the FDA may not approve any other applications to market the same drug for the same indication, except in very limited circumstances, for seven years. Orphan drug exclusivity, however, also could block the approval of one of our product candidates for seven years if a competitor obtains approval of the same drug as defined by the FDA or if our product candidate is determined to be contained within the competitor’s product for the same indication or disease.</w:t>
      </w:r>
    </w:p>
    <w:p>
      <w:pPr>
        <w:spacing w:after="0" w:line="182"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The FDA also administers a clinical research grants program, whereby researchers may compete for funding to conduct clinical trials to support the approval of drugs, biologics, medical devices, and medical foods for rare diseases and conditions. A product does not have to be designated as an orphan drug to be eligible for the grant program. An application for an orphan grant should propose one discrete clinical study to facilitate FDA approval of the product for a rare disease or condition. The study may address an unapproved new product or an unapproved new use for a product already on the market.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Fast Track Designation and Accelerated Approval</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FDA is required to facilitate the development, and expedite the review, of drugs that are intended for the treatment of a serious or life-threatening disease or condition for which there is no effective treatment and which demonstrate the potential to address unmet medical needs for such a disease or condition. Under the fast track program, the sponsor of a new drug candidate may request that the FDA designate the drug candidate for a specific indication as a fast track drug concurrent with, or after, the filing of the IND for the drug candidate. The FDA must determine if the drug candidate qualifies for fast track designation within 60 days of receipt of the sponsor’s request.</w:t>
      </w:r>
    </w:p>
    <w:p>
      <w:pPr>
        <w:spacing w:after="0" w:line="17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Under the fast track program, the FDA may designate a drug for fast-track status if it is intended to treat a serious or life-threatening illness and nonclinical or clinical data demonstrate the potential to address an unmet medical need. Similarly, the agency may designate a drug for accelerated approval if it treats a serious condition and generally provides meaningful therapeutic benefit to patients over existing treatments based upon a surrogate endpoint that is reasonably likely to predict clinical benefit, or on a clinical endpoint that can be measured earlier than IMM, that is reasonably likely to predict an effect on IMM or other clinical benefit, taking into account the severity, rarity, or prevalence of the condition and the availability or lack of alternative treatments.</w:t>
      </w:r>
    </w:p>
    <w:p>
      <w:pPr>
        <w:spacing w:after="0" w:line="193"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In clinical trials,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will allow the FDA to withdraw the drug from the market on an expedited basis. All promotional materials for drug candidates approved under accelerated regulations are subject to prior review by the FDA.</w:t>
      </w:r>
    </w:p>
    <w:p>
      <w:pPr>
        <w:spacing w:after="0" w:line="17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FDASIA, Congress encouraged the FDA to utilize innovative and flexible approaches to the assessment of products under accelerated approval. The law required the FDA to issue related draft guidance within a year after the law’s enactment and also promulgate confirming regulatory changes. In May 2014, the FDA published a Guidance for Industry entitled, “Expedited Programs for Serious Conditions-Drugs and Biologics” which provides guidance on FDA programs that are intended to facilitate and expedite development and review of new</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86"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drugs as well as threshold criteria generally applicable to concluding that a drug is a candidate for these expedited development and review programs. In addition to the Fast Track, accelerated approval and priority review programs discussed above, the FDA also provided guidance on a new program for Breakthrough Therapy designation. A request for Breakthrough Therapy designation should be submitted concurrently with, or as an amendment to an IND. The FDA has already granted this designation to over 30 new drugs and has approved several.</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Once an approval is granted, products are subject to continuing regulation by the FDA. The FDA may withdraw the approval if, among other things, compliance with regulatory standards is not maintained or if safety or efficacy problems occur after the product reaches the market. Later discovery of previously unknown problems with a product may result in restrictions on the product or even complete withdrawal of the product from the market. If new safety issues are identified following approval, the FDA may require the NDA sponsor to take certain measures, such as revising the approved labeling to reflect the new safety information, conducting post-market studies or clinical trials to assess the new safety information, and/or implementing or changing a REMS Program to mitigate newly-identified risks. After approval, some types of changes to the approved product, such as adding new indications,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and regulations. We rely, and expect to continue to rely, on third parties for the production of clinical and commercial quantities of our product candidates. Future inspections by the FDA and other regulatory agencies may identify compliance issues at the facilities of our contract manufacturers that may disrupt production or distribution, or require substantial resources to correct.</w:t>
      </w:r>
    </w:p>
    <w:p>
      <w:pPr>
        <w:spacing w:after="0" w:line="169"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Any drug products manufactured or distributed by us pursuant to FDA approvals are subject to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Drugs may be promoted only for the approved indications and in accordance with the provisions of the approved label.</w:t>
      </w:r>
    </w:p>
    <w:p>
      <w:pPr>
        <w:spacing w:after="0" w:line="158"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approval, manufacturing and marketing of products regulated by the FDA. In addition to new legislation, FDA regulations and guidance are often revised or interpreted by the agency in ways that may significantly affect our business and our products. It is impossible to predict whether further legislative changes will be enacted, or FDA regulations, guidance or interpretations changed or what the impact of such changes, if any, may be.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addition to regulations in the United States, we will be subject to a variety of foreign regulations governing clinical trials and commercial sales and distribution of its products. Whether or not we obtain FDA approval for a product, we must obtain approval by the comparable regulatory authorities of foreign countries or economic areas, such as the 28-member European Union, before we may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73"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Under EU regulatory systems, a company may submit marketing authorization applications either under a centralized or decentralized procedure. The centralized procedure, which is compulsory for medicinal products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produced by biotechnology or those medicinal products containing new active substances for specific indications such as the treatment of AIDS, cancer, neurodegenerative disorders, diabetes, viral diseases and designated orphan medicines, and optional for other medicines which are highly innovative. Under the centralized procedure, a marketing application is submitted to the EMA where it will be evaluated by the Committee for Medicinal Products for Human Use and a favorable opinion typically results in the grant by the European Commission of a single marketing authorization that is valid for all EU member states within 67 days of receipt of the opinion. The initial marketing authorization is valid for five years, but once renewed is usually valid for an unlimited period. The decentralized procedure provides for approval by one or more “concerned” member states based on an assessment of an application performed by one member state, known as the “reference” member state. Under the decentralized approval procedure, an applicant submits an application, or dossier, and related materials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does not recognize the marketing authorization, the disputed points are eventually referred to the European Commission, whose decision is binding on all member states.</w:t>
      </w:r>
    </w:p>
    <w:p>
      <w:pPr>
        <w:spacing w:after="0" w:line="18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When conducting clinical trials in the EU, we must adhere to the provisions of the EU Clinical Trials Directive and the laws and regulations of the EU Member States implementing them. These provisions require, among other things, that the prior authorization of an Ethics Committee and the submission and approval of a clinical trial authorization application be obtained in each Member State before commencing a clinical trial in that Member State.</w:t>
      </w:r>
    </w:p>
    <w:p>
      <w:pPr>
        <w:spacing w:after="0" w:line="18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As in the United States, it may be possible in foreign countries to obtain a period of market and/or data exclusivity that would have the effect of postponing the entry into the marketplace of a competitor’s generic product. For example, in the EU, if any of our products receive marketing approval in the European Economic Area, or EEA, which is comprised of the 28 member states of the EU plus Norway, Iceland and Liechtenstein, we expect that we will benefit from eight years of data exclusivity and an additional two years of marketing exclusivity. An additional one-year extension of marketing exclusivity is possible if during the data exclusivity period we obtain an authorization for one or more new therapeutic indications that is deemed to bring a significant clinical benefit compared to existing therapies. The data exclusivity period begins on the date of the product’s first marketing authorization in the EU and prevents biosimilars from relying on the holder of the marketing authorization for the reference biological medicine’s pharmacological, toxicological and clinical data for a period of eight years. After eight years, a biosimilar product application may be submitted and the sponsoring companies may rely on the marketing authorization holder’s data. However, a biosimilar medicine cannot launch until 2 years later (or a total of ten years after the first marketing authorization in the EU of the innovator product), or 3 years later (or a total of eleven years after the first marketing authorization in the EU of the innovator product) if the marketing authorization holder obtains marketing authorization for a new indication with significant clinical benefit within the eight year data exclusivity period.</w:t>
      </w:r>
    </w:p>
    <w:p>
      <w:pPr>
        <w:spacing w:after="0" w:line="18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As in the United States, a sponsor may apply for designation of a product as an orphan drug for the treatment of a specific indication in the EU before the application for marketing authorization is made. Orphan drugs in Europe enjoy economic and marketing benefits, including up to ten years of market exclusivity for the approved indication unless another applicant can show that its product is safer, more effective or otherwise clinically superior to the orphan-designated product.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Reimbursement</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Significant uncertainty exists regarding the coverage and reimbursement status of products approved by the FDA and other government authorities. In the United States, sales of any products for which we may receive regulatory approval for commercial sale will depend in significant part on the availability and adequacy of coverage and reimbursement from third-party payors. Third-party payors include government authorities,</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86"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55" w:lineRule="auto"/>
        <w:rPr>
          <w:sz w:val="20"/>
          <w:szCs w:val="20"/>
          <w:color w:val="auto"/>
        </w:rPr>
      </w:pPr>
      <w:r>
        <w:rPr>
          <w:rFonts w:ascii="Arial" w:cs="Arial" w:eastAsia="Arial" w:hAnsi="Arial"/>
          <w:sz w:val="18"/>
          <w:szCs w:val="18"/>
          <w:color w:val="auto"/>
        </w:rPr>
        <w:t>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which might not include all of the FDA-approved products for a particular indication.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9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Third-party payors are increasingly challenging the prices charged for, examining the medical necessity of, and assessing the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drug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65" w:lineRule="exact"/>
        <w:rPr>
          <w:sz w:val="20"/>
          <w:szCs w:val="20"/>
          <w:color w:val="auto"/>
        </w:rPr>
      </w:pPr>
    </w:p>
    <w:p>
      <w:pPr>
        <w:ind w:left="200" w:right="200" w:firstLine="441"/>
        <w:spacing w:after="0" w:line="254" w:lineRule="auto"/>
        <w:rPr>
          <w:sz w:val="20"/>
          <w:szCs w:val="20"/>
          <w:color w:val="auto"/>
        </w:rPr>
      </w:pPr>
      <w:r>
        <w:rPr>
          <w:rFonts w:ascii="Arial" w:cs="Arial" w:eastAsia="Arial" w:hAnsi="Arial"/>
          <w:sz w:val="18"/>
          <w:szCs w:val="18"/>
          <w:color w:val="auto"/>
        </w:rPr>
        <w:t>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For example, the Patient Protection and Affordable Care Act, as amended by the Health Care and Education Affordability Reconciliation Act, or collectively, ACA,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government controls and measures, and tightening of restrictive policies in jurisdictions with existing controls and measures, could limit payments for pharmaceuticals.</w:t>
      </w:r>
    </w:p>
    <w:p>
      <w:pPr>
        <w:spacing w:after="0" w:line="192"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3"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tend to be significantly lower</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As of February 21, 2020, we had twenty nine full-time employees, including twenty three engaged in research, development, and regulatory activities, and six in executive, general and administrative functions, and multiple part-time consultants.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were incorporated in Delaware in September 2011. Our principal executive offices are located at 200 Barr Harbor Drive, Suite 200, West Conshohocken, PA 19428. Our Internet website address is www.madrigalpharma.com. No portion of our website is incorporated by reference into this Annual Report on Form 10-K.</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advise you to read this Annual Report on Form 10-K in conjunction with other reports and documents that we file from time to time with the SEC. In particular, please read our definitive proxy statement, which will be filed with the SEC in connection with our 2020 annual meeting of stockholders, our quarterly reports on Form 10-Q and any current reports on Form 8-K that we may file from time to time. You may obtain copies of these reports after the date of this annual report directly from us or from the SEC at its website at www.sec.gov. We make our periodic and current reports available on our internet website, free of charge, as soon as reasonably practicable after such material is electronically filed with, or furnished to, the SEC.</w:t>
      </w:r>
    </w:p>
    <w:p>
      <w:pPr>
        <w:spacing w:after="0" w:line="16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86"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You should carefully consider the risks described below, together with all of the other information included in or incorporated by reference into this report, before making an investment decision. The risks and uncertainties described below are not the only ones we face. Additional risks and uncertainties not presently known to us or that we do not currently believe are important to an investor may also harm our business. If any of the events, contingencies, circumstances or conditions described in the following risks actually occur, our business, financial condition or our results of operations could be seriously harmed. If that happens, the trading price of our common stock could decline and you may lose part or all of the value of any of our shares held by you.</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b w:val="1"/>
          <w:bCs w:val="1"/>
          <w:i w:val="1"/>
          <w:iCs w:val="1"/>
          <w:color w:val="auto"/>
        </w:rPr>
        <w:t>We have limited operating history, we have incurred significant operating losses since inception and we expect to incur significant operating losses for the foreseeable future. We may never become profitable or, if achieved, be able to sustain profitability.</w:t>
      </w:r>
    </w:p>
    <w:p>
      <w:pPr>
        <w:spacing w:after="0" w:line="3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have incurred significant operating losses since our inception and expect to incur significant losses for the foreseeable future as we continue our clinical trial and development programs for MGL-3196 (resmetirom) and other future product candidates. As of December 31, 2019, we had an accumulated deficit of approximately $223.2 million. Losses have principally resulted from costs incurred in our preclinical and clinical trials, research and development programs and from our general and administrative expenses. As of December 31, 2019, we had cash, cash equivalents and marketable securities of approximately $439.0 million. In the future, we intend to continue to conduct research and development, clinical testing, regulatory compliance and, if resmetirom or other future product candidates are approved, sales and marketing activities that, together with anticipated general and administrative expenses, will likely result in us incurring further significant losses for the foreseeable future.</w:t>
      </w:r>
    </w:p>
    <w:p>
      <w:pPr>
        <w:spacing w:after="0" w:line="17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currently generate no revenue from product sales, and we may never be able to commercialize resmetirom or other future product candidates. We do not currently have the required approvals to market resmetirom or any other future product candidates, and we may never receive them. We may not be profitable even if we or any of our future development partners succeed in commercializing any of our product candidates. Because of the numerous risks and uncertainties associated with developing and commercializing our product candidates, we are unable to predict the extent of any future losses or when we will become profitable, if at all.</w:t>
      </w:r>
    </w:p>
    <w:p>
      <w:pPr>
        <w:spacing w:after="0" w:line="296"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i w:val="1"/>
          <w:iCs w:val="1"/>
          <w:color w:val="auto"/>
        </w:rPr>
        <w:t>Our business depends on the success of MGL-3196 (resmetirom), which is still in clinical development and has not completed a pivotal trial. If we are unable to obtain regulatory approval for and successfully commercialize resmetirom, or we experience significant delays in doing so, our business will be materially harmed.</w:t>
      </w:r>
    </w:p>
    <w:p>
      <w:pPr>
        <w:spacing w:after="0" w:line="73"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To date, the sole focus of our product development has been resmetirom, a liver-directed selective thyroid hormone receptor beta agonist for potential use in non-alcoholic steatohepatitis, or NASH, and familial hypercholesterolemia, or FH. Successful continued development and ultimate regulatory approval of resmetirom for NASH or dyslipidemia is critical to the future success of our business. We have invested, and will continue to invest, a significant portion of our time and financial resources in the clinical development of resmetirom. We will need to raise sufficient funds to successfully complete our clinical development program for resmetirom in NASH and dyslipidemia. The future regulatory and commercial success of resmetirom is subject to a number of risks, including the following:</w:t>
      </w:r>
    </w:p>
    <w:p>
      <w:pPr>
        <w:spacing w:after="0" w:line="85" w:lineRule="exact"/>
        <w:rPr>
          <w:sz w:val="20"/>
          <w:szCs w:val="20"/>
          <w:color w:val="auto"/>
        </w:rPr>
      </w:pPr>
    </w:p>
    <w:p>
      <w:pPr>
        <w:ind w:left="1060" w:right="12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have sufficient financial and other resources to complete the necessary clinical trials for resmetirom, including, but not limited to, our planned registrational clinical trials to obtain drug approval;</w:t>
      </w:r>
    </w:p>
    <w:p>
      <w:pPr>
        <w:spacing w:after="0" w:line="62"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mechanism of action of resmetirom is complex and we do not know the degree to which it will translate into a therapeutic benefit, if any, in NASH, dyslipidemia or any other indication, and we do not know the degree to which the complex mechanism of action may contribute to long term safety</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86"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360"/>
        <w:spacing w:after="0" w:line="277" w:lineRule="auto"/>
        <w:rPr>
          <w:sz w:val="20"/>
          <w:szCs w:val="20"/>
          <w:color w:val="auto"/>
        </w:rPr>
      </w:pPr>
      <w:r>
        <w:rPr>
          <w:rFonts w:ascii="Arial" w:cs="Arial" w:eastAsia="Arial" w:hAnsi="Arial"/>
          <w:sz w:val="18"/>
          <w:szCs w:val="18"/>
          <w:color w:val="auto"/>
        </w:rPr>
        <w:t>issues or adverse events, if any, when resmetirom is taken for prolonged periods such as in the treatment of NASH, dyslipidemia or any other indication;</w:t>
      </w:r>
    </w:p>
    <w:p>
      <w:pPr>
        <w:spacing w:after="0" w:line="62" w:lineRule="exact"/>
        <w:rPr>
          <w:sz w:val="20"/>
          <w:szCs w:val="20"/>
          <w:color w:val="auto"/>
        </w:rPr>
      </w:pPr>
    </w:p>
    <w:p>
      <w:pPr>
        <w:ind w:left="1060" w:right="36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obtain adequate evidence from clinical trials of efficacy and safety for resmetirom in NASH, dyslipidemia or any other indication;</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do not know the degree to which resmetirom will be accepted as a therapy by physicians, patients and payors, even if approved;</w:t>
      </w:r>
    </w:p>
    <w:p>
      <w:pPr>
        <w:spacing w:after="0" w:line="128" w:lineRule="exact"/>
        <w:rPr>
          <w:rFonts w:ascii="Arial" w:cs="Arial" w:eastAsia="Arial" w:hAnsi="Arial"/>
          <w:sz w:val="17"/>
          <w:szCs w:val="17"/>
          <w:color w:val="auto"/>
        </w:rPr>
      </w:pPr>
    </w:p>
    <w:p>
      <w:pPr>
        <w:ind w:left="1060" w:right="14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our clinical programs for resmetirom, we may experience variability in patients, adjustments to clinical trial procedures and the need for additional clinical trial sites, which could delay our clinical trial progress;</w:t>
      </w:r>
    </w:p>
    <w:p>
      <w:pPr>
        <w:spacing w:after="0" w:line="62"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comparable foreign regulatory bodies for marketing approval;</w:t>
      </w:r>
    </w:p>
    <w:p>
      <w:pPr>
        <w:spacing w:after="0" w:line="62"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patients in our clinical trials may die or suffer other adverse effects for reasons that may or may not be related to resmetirom, which could delay or prevent further clinical development;</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standards implemented by clinical or regulatory agencies may change at any time;</w:t>
      </w:r>
    </w:p>
    <w:p>
      <w:pPr>
        <w:spacing w:after="0" w:line="117" w:lineRule="exact"/>
        <w:rPr>
          <w:rFonts w:ascii="Arial" w:cs="Arial" w:eastAsia="Arial" w:hAnsi="Arial"/>
          <w:sz w:val="18"/>
          <w:szCs w:val="18"/>
          <w:color w:val="auto"/>
        </w:rPr>
      </w:pPr>
    </w:p>
    <w:p>
      <w:pPr>
        <w:ind w:left="1060" w:right="220" w:hanging="316"/>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cannot be certain what efficacy endpoints foreign clinical or regulatory agencies may require in a Phase 3 clinical trial of NASH or dyslipidemia or for approval of our product candidates; we also cannot be certain if we will be able to gain accelerated approval of any of our product candidates based on surrogate endpoints;</w:t>
      </w:r>
    </w:p>
    <w:p>
      <w:pPr>
        <w:spacing w:after="0" w:line="73"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clinical or regulatory agencies will likely require efficacy endpoints for Phase 3 clinical trials for the treatment of NASH or dyslipidemia that differ from the endpoints of our current Phase 2 trials and the results of our Phase 3 clinical trials may not be as favorable as the results we have observed to date in our current trials;</w:t>
      </w:r>
    </w:p>
    <w:p>
      <w:pPr>
        <w:spacing w:after="0" w:line="73" w:lineRule="exact"/>
        <w:rPr>
          <w:rFonts w:ascii="Arial" w:cs="Arial" w:eastAsia="Arial" w:hAnsi="Arial"/>
          <w:sz w:val="18"/>
          <w:szCs w:val="18"/>
          <w:color w:val="auto"/>
        </w:rPr>
      </w:pPr>
    </w:p>
    <w:p>
      <w:pPr>
        <w:jc w:val="both"/>
        <w:ind w:left="1060" w:hanging="316"/>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differences in the design of our planned Phase 3 clinical trials of the treatment of NASH, including the use of a new tablet formulation of resmetirom and the inclusion of patients with more advanced NASH, could cause the results of our Phase 3 trials to be less favorable than the results we observed in our Phase 2 trials in NASH;</w:t>
      </w:r>
    </w:p>
    <w:p>
      <w:pPr>
        <w:spacing w:after="0" w:line="73"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obtain accelerated approval of a product candidate based on a surrogate endpoint, we will likely be required to conduct a post-approval clinical outcomes trial to confirm the clinical benefit of the product candidate and if the post-approval trial is not successful we may not be able to continue marketing the product;</w:t>
      </w:r>
    </w:p>
    <w:p>
      <w:pPr>
        <w:spacing w:after="0" w:line="73"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cannot be certain of the number and type of clinical trials and non-clinical studies that FDA or other regulatory agencies will require in order to approve resmetirom or NASH or dyslipidemia;</w:t>
      </w:r>
    </w:p>
    <w:p>
      <w:pPr>
        <w:spacing w:after="0" w:line="62" w:lineRule="exact"/>
        <w:rPr>
          <w:rFonts w:ascii="Arial" w:cs="Arial" w:eastAsia="Arial" w:hAnsi="Arial"/>
          <w:sz w:val="18"/>
          <w:szCs w:val="18"/>
          <w:color w:val="auto"/>
        </w:rPr>
      </w:pPr>
    </w:p>
    <w:p>
      <w:pPr>
        <w:ind w:left="1060" w:right="72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approved for NASH, resmetirom will likely compete with the off-label use of currently marketed products and other therapies in development that may reach approval for NASH prior to resmetirom;</w:t>
      </w:r>
    </w:p>
    <w:p>
      <w:pPr>
        <w:spacing w:after="0" w:line="62" w:lineRule="exact"/>
        <w:rPr>
          <w:rFonts w:ascii="Arial" w:cs="Arial" w:eastAsia="Arial" w:hAnsi="Arial"/>
          <w:sz w:val="18"/>
          <w:szCs w:val="18"/>
          <w:color w:val="auto"/>
        </w:rPr>
      </w:pPr>
    </w:p>
    <w:p>
      <w:pPr>
        <w:ind w:left="1060" w:right="68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approved for dyslipidemia, resmetirom will likely compete with currently approved and marketed products and other therapies in development that may reach approval for dyslipidemia prior to resmetirom; and</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obtain, maintain or enforce our patents and other intellectual property rights.</w:t>
      </w:r>
    </w:p>
    <w:p>
      <w:pPr>
        <w:spacing w:after="0" w:line="22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Of the large number of drugs in development in the pharmaceutical industry, only a small percentage results in the submission of a new drug application, or NDA, to the FDA and even fewer are approved for commercialization. Furthermore, even if we do receive regulatory approval to market resmetirom, any such approval may be subject to limitations on the indicated uses or patient populations for which we may market the products. Accordingly, even if we are able to obtain the requisite financing to continue to fund our development programs, we may be unable to successfully develop or commercialize resmetirom. If we or any of our future</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development partners are unable to develop, or obtain regulatory approval for, or, if approved, successfully commercialize resmetirom, we may not be able to generate sufficient revenue to continue our business.</w:t>
      </w:r>
    </w:p>
    <w:p>
      <w:pPr>
        <w:spacing w:after="0" w:line="279" w:lineRule="exact"/>
        <w:rPr>
          <w:sz w:val="20"/>
          <w:szCs w:val="20"/>
          <w:color w:val="auto"/>
        </w:rPr>
      </w:pPr>
    </w:p>
    <w:p>
      <w:pPr>
        <w:jc w:val="both"/>
        <w:ind w:left="200" w:right="160"/>
        <w:spacing w:after="0" w:line="312" w:lineRule="auto"/>
        <w:rPr>
          <w:sz w:val="20"/>
          <w:szCs w:val="20"/>
          <w:color w:val="auto"/>
        </w:rPr>
      </w:pPr>
      <w:r>
        <w:rPr>
          <w:rFonts w:ascii="Arial" w:cs="Arial" w:eastAsia="Arial" w:hAnsi="Arial"/>
          <w:sz w:val="16"/>
          <w:szCs w:val="16"/>
          <w:b w:val="1"/>
          <w:bCs w:val="1"/>
          <w:i w:val="1"/>
          <w:iCs w:val="1"/>
          <w:color w:val="auto"/>
        </w:rPr>
        <w:t>Clinical trials are very expensive, time-consuming and difficult to design and implement and involve uncertain outcomes. Furthermore, the results of preclinical studies and early clinical trials are not always predictive of future results. Any product candidate that we advance into clinical trials, including resmetirom, may not have favorable results in later clinical trials or receive regulatory approval.</w:t>
      </w:r>
    </w:p>
    <w:p>
      <w:pPr>
        <w:spacing w:after="0" w:line="3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Drug development has inherent risk. We will be required to demonstrate through adequate and well-controlled clinical trials that our product candidates are safe and effective, with a favorable benefit-risk profile, for use in our target indications before we can seek regulatory approvals for its commercial sale. Clinical studies are expensive, difficult to design and implement, can take many years to complete and are uncertain as to outcome. Delay or failure can occur at any stage of development, including after commencement of any of our clinical trials. In addition, success in early clinical trials does not mean that later clinical trials will be successful, because later-stage clinical trials may be conducted in broader patient populations and involve different study designs. For instance, our Phase 1 results and our Phase 2 primary endpoint results in NASH may not be predictive of any future Phase 2 results or of results in any Phase 3 clinical trial in NASH. Furthermore, our future trials will need to demonstrate sufficient safety and efficacy in significantly larger patient populations for approval by regulatory authorities. Companies frequently suffer significant setbacks in advanced clinical trials, even after earlier clinical trials have shown promising results,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In addition, only a small percentage of drugs under development result in the submission of an NDA to the FDA and even fewer are approved for commercialization.</w:t>
      </w:r>
    </w:p>
    <w:p>
      <w:pPr>
        <w:spacing w:after="0" w:line="188"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We cannot be certain that any of our ongoing or future clinical trials will be successful, and any safety concerns observed in any one of our clinical trials in our targeted indications could limit the prospects for regulatory approval of our product candidates in those and other indications.</w:t>
      </w:r>
    </w:p>
    <w:p>
      <w:pPr>
        <w:spacing w:after="0" w:line="255" w:lineRule="exact"/>
        <w:rPr>
          <w:sz w:val="20"/>
          <w:szCs w:val="20"/>
          <w:color w:val="auto"/>
        </w:rPr>
      </w:pPr>
    </w:p>
    <w:p>
      <w:pPr>
        <w:ind w:left="200" w:right="300"/>
        <w:spacing w:after="0" w:line="342" w:lineRule="auto"/>
        <w:rPr>
          <w:sz w:val="20"/>
          <w:szCs w:val="20"/>
          <w:color w:val="auto"/>
        </w:rPr>
      </w:pPr>
      <w:r>
        <w:rPr>
          <w:rFonts w:ascii="Arial" w:cs="Arial" w:eastAsia="Arial" w:hAnsi="Arial"/>
          <w:sz w:val="16"/>
          <w:szCs w:val="16"/>
          <w:b w:val="1"/>
          <w:bCs w:val="1"/>
          <w:i w:val="1"/>
          <w:iCs w:val="1"/>
          <w:color w:val="auto"/>
        </w:rPr>
        <w:t>Because resmetirom has not yet received regulatory approval for any indication, it is difficult to predict the time and cost of development and our ability to successfully complete clinical development and obtain the necessary regulatory approvals for commercialization.</w:t>
      </w:r>
    </w:p>
    <w:p>
      <w:pPr>
        <w:spacing w:after="0" w:line="16"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Resmetirom has not yet received regulatory approval for the treatment of NASH, dyslipidemia or any other indication, and unexpected problems may arise that could cause us to delay, suspend or terminate our development efforts in any or all indications. Further, resmetirom has not yet demonstrated efficacy in patients with NASH or dyslipidemia, and the long-term safety consequences of a liver-directed thyroid hormone receptor beta agonist are not known. Regulatory approval of new product candidates such as resmetirom can be more expensive and take longer than approval for candidates for the treatment of more well-understood diseases with previously approved products.</w:t>
      </w:r>
    </w:p>
    <w:p>
      <w:pPr>
        <w:spacing w:after="0" w:line="281"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If clinical trials or regulatory approval processes for our product candidates are prolonged, delayed or suspended, we may be unable to commercialize our product candidates on a timely basis, which would require us to incur additional costs and delay our receipt of any revenue from potential product sales.</w:t>
      </w:r>
    </w:p>
    <w:p>
      <w:pPr>
        <w:spacing w:after="0" w:line="73"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cannot predict whether we will encounter problems with any of our completed, ongoing or planned clinical trials that will cause us or any regulatory authority to delay, suspend, or terminate those clinical trials or delay the analysis of data derived from them. A number of events, including any of the following, could delay or impede completely the completion of our ongoing and planned clinical trials and negatively affect our ability to obtain regulatory approval for, and to market and sell, a particular product candidate:</w:t>
      </w:r>
    </w:p>
    <w:p>
      <w:pPr>
        <w:spacing w:after="0" w:line="79" w:lineRule="exact"/>
        <w:rPr>
          <w:sz w:val="20"/>
          <w:szCs w:val="20"/>
          <w:color w:val="auto"/>
        </w:rPr>
      </w:pPr>
    </w:p>
    <w:p>
      <w:pPr>
        <w:ind w:left="5620" w:right="1540" w:hanging="4876"/>
        <w:spacing w:after="0" w:line="496" w:lineRule="auto"/>
        <w:tabs>
          <w:tab w:leader="none" w:pos="10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imposed on us by the FDA or other regulatory authorities regarding the scope or design of our clinical trials; 27</w:t>
      </w:r>
    </w:p>
    <w:p>
      <w:pPr>
        <w:sectPr>
          <w:pgSz w:w="11900" w:h="16838" w:orient="portrait"/>
          <w:cols w:equalWidth="0" w:num="1">
            <w:col w:w="11220"/>
          </w:cols>
          <w:pgMar w:left="240" w:top="486"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supply of our product candidates or other materials necessary to conduct and complete our clinical trials;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slow enrollment and retention rate of subjects in our clinical trials; and</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serious and unexpected drug-related side effects related to the product candidate being tested.</w:t>
      </w:r>
    </w:p>
    <w:p>
      <w:pPr>
        <w:spacing w:after="0" w:line="225"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Commercialization of our product candidates may be delayed by the imposition of additional conditions on our clinical trials by the FDA or any other applicable foreign regulatory authority or the requirement of additional supportive studies by the FDA or such foreign regulatory authority.</w:t>
      </w:r>
    </w:p>
    <w:p>
      <w:pPr>
        <w:spacing w:after="0" w:line="124"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do not know whether our clinical trials will begin as planned, will need to be restructured, will enroll an adequate number of patients on time, or will be completed on schedule, if at all. Delays in the initiation, enrollment or completion of our clinical trials will result in increased development costs for our product candidates, and our financial resources may be insufficient to fund any incremental costs. In addition, if our clinical trials are delayed, our competitors may be able to bring products to market before we do and the commercial viability of our product candidates could be limited.</w:t>
      </w:r>
    </w:p>
    <w:p>
      <w:pPr>
        <w:spacing w:after="0" w:line="262" w:lineRule="exact"/>
        <w:rPr>
          <w:sz w:val="20"/>
          <w:szCs w:val="20"/>
          <w:color w:val="auto"/>
        </w:rPr>
      </w:pPr>
    </w:p>
    <w:p>
      <w:pPr>
        <w:ind w:left="200" w:right="80"/>
        <w:spacing w:after="0" w:line="375" w:lineRule="auto"/>
        <w:rPr>
          <w:sz w:val="20"/>
          <w:szCs w:val="20"/>
          <w:color w:val="auto"/>
        </w:rPr>
      </w:pPr>
      <w:r>
        <w:rPr>
          <w:rFonts w:ascii="Arial" w:cs="Arial" w:eastAsia="Arial" w:hAnsi="Arial"/>
          <w:sz w:val="15"/>
          <w:szCs w:val="15"/>
          <w:b w:val="1"/>
          <w:bCs w:val="1"/>
          <w:i w:val="1"/>
          <w:iCs w:val="1"/>
          <w:color w:val="auto"/>
        </w:rPr>
        <w:t>If we inadvertently fail to comply with foreign regulatory requirements governing human clinical trials and marketing approval for drugs, we could be prevented from selling our drug candidates in foreign markets, which may adversely affect our operating results and financial condition.</w:t>
      </w:r>
    </w:p>
    <w:p>
      <w:pPr>
        <w:spacing w:after="0" w:line="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requirements governing the conduct of clinical trials, product licensing, pricing, and reimbursement for marketing our drug candidates outside the United States vary greatly from country to country and may require additional testing. We expect that our future clinical development of our drug candidates will involve a number of clinical trials in foreign jurisdictions, particularly in Europe. We have no experience in obtaining foreign regulatory approvals. The time required to obtain approvals outside the United States may differ from that required to obtain FDA approval. We may not obtain foreign regulatory approvals on a timely basis, if at all. Approval by the FDA does not guarantee approval by regulatory authorities in other countries, and approval by one foreign regulatory authority does not ensure approval by regulatory authorities in other countries or by the FDA. Failure to comply with these regulatory requirements or obtain required approvals could impair our ability to develop foreign markets for our drug candidates and may have a material adverse effect on our results of operations and financial condition.</w:t>
      </w:r>
    </w:p>
    <w:p>
      <w:pPr>
        <w:spacing w:after="0" w:line="28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encounter difficulties enrolling patients in our clinical trials, our clinical development activities could be delayed or otherwise adversely affected.</w:t>
      </w:r>
    </w:p>
    <w:p>
      <w:pPr>
        <w:spacing w:after="0" w:line="6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We may not be able to initiate, continue, or complete clinical trials required by the FDA or foreign regulatory agencies for resmetirom if we are unable to locate and enroll a sufficient number of eligible patients to participate in these clinical trials. We expect our Phase 3 clinical trials of resmetirom will require that we enroll significantly more patients than were enrolled in our Phase 2 trials. Patient enrollment, a significant factor in the timing to conduct and complete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and disadvantages of the product candidate being studied in relation to other available therapies, including any new drugs that may be approved for the indications we are investigating. For instance, we are aware that other companies conducting clinical trials in NASH patients have had delays in recruiting patients for their trials. In the proposed clinical trials, patient willingness to undergo a liver biopsy in our NASH trials, and identification of patients willing to participate in our dyslipidemia trials, are also risk factors. Potential patients for resmetirom may not be adequately diagnosed or identified with the diseases which we are targeting or may not meet the entry criteria for our studies.</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86"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FDA typically requires sponsors of lipid-lowering product candidates to conduct drug-drug interaction studies with statins because statins may have increased safety risks when administered together with other drug therapies that affect their pharmacokinetic profile. We have completed two Phase 1 clinical drug interaction studies of resmetirom and statins in 39 normal healthy volunteers, which showed resmetirom to have a favorable safety profile and to be well-tolerated. We have completed a Phase 2 clinical trial in NASH including patients taking low dose statins. We have also completed a Phase 2 clinical trial in HeFH including patients taking high dose statins. In general, drug interactions between resmetirom and statins and any other drug that might result in adverse events could delay development in later clinical trials.</w:t>
      </w:r>
    </w:p>
    <w:p>
      <w:pPr>
        <w:spacing w:after="0" w:line="178"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We will be required to identify and enroll a sufficient number of patients for each of our planned clinical trials of resmetirom for NASH and dyslipidemia indications, respectively. We also may encounter difficulties in identifying and enrolling NASH patients and dyslipidemia patients with a stage of disease appropriate for our future clinical trials. We may not be able to initiate or continue clinical trials if we are unable to locate a sufficient number of eligible patients to participate in the clinical trials required by the FDA or other foreign regulatory agencies. In addition, the process of finding and diagnosing patients may prove costly. Our inability to enroll a sufficient number of patients for any of our clinical trials would result in significant delays or may require us to abandon one or more clinical trials.</w:t>
      </w:r>
    </w:p>
    <w:p>
      <w:pPr>
        <w:spacing w:after="0" w:line="28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Any product candidate in our current or future clinical trials may cause unacceptable adverse events or side effects or have other properties that may delay or prevent its regulatory approval or commercialization or limit its commercial potential.</w:t>
      </w:r>
    </w:p>
    <w:p>
      <w:pPr>
        <w:spacing w:after="0" w:line="6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Unacceptable adverse events or undesirable side effects caused by any of our product candidates in current or future clinical trials could cause us or regulatory authorities to interrupt, delay or halt clinical trials and could result in the denial of regulatory approval by the FDA or other regulatory authorities for any or all targeted indications and markets. This in turn could prevent us from completing development of or commercializing the affected product candidate and generating revenue from its sale. If any of our product candidates cause unacceptable adverse events in clinical trials, we may not be able to obtain regulatory approval or commercialize such product candidate.</w:t>
      </w:r>
    </w:p>
    <w:p>
      <w:pPr>
        <w:spacing w:after="0" w:line="173"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Occurrence of serious treatment-related side effects could impede subject recruitment and clinical trial enrollment or the ability of enrolled patients to complete the trial, require us to halt the clinical trial, and prevent receipt of regulatory approval from the FDA. They could also adversely affect physician or patient acceptance of our product candidates or result in potential product liability claims. Any of these occurrences may harm our business, financial condition and prospects significantly.</w:t>
      </w:r>
    </w:p>
    <w:p>
      <w:pPr>
        <w:spacing w:after="0" w:line="295" w:lineRule="exact"/>
        <w:rPr>
          <w:sz w:val="20"/>
          <w:szCs w:val="20"/>
          <w:color w:val="auto"/>
        </w:rPr>
      </w:pPr>
    </w:p>
    <w:p>
      <w:pPr>
        <w:ind w:left="200" w:right="420"/>
        <w:spacing w:after="0" w:line="342" w:lineRule="auto"/>
        <w:rPr>
          <w:sz w:val="20"/>
          <w:szCs w:val="20"/>
          <w:color w:val="auto"/>
        </w:rPr>
      </w:pPr>
      <w:r>
        <w:rPr>
          <w:rFonts w:ascii="Arial" w:cs="Arial" w:eastAsia="Arial" w:hAnsi="Arial"/>
          <w:sz w:val="16"/>
          <w:szCs w:val="16"/>
          <w:b w:val="1"/>
          <w:bCs w:val="1"/>
          <w:i w:val="1"/>
          <w:iCs w:val="1"/>
          <w:color w:val="auto"/>
        </w:rPr>
        <w:t>Our product candidates will remain subject to ongoing regulatory review even if they receive marketing approval, and if we fail to comply with continuing regulations, we could lose these approvals and the sale of any approved commercial products could be suspended.</w:t>
      </w:r>
    </w:p>
    <w:p>
      <w:pPr>
        <w:spacing w:after="0" w:line="16"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Even if we receive regulatory approval to market a particular product candidate, the manufacturing, labeling, packaging, distribution, adverse event reporting, storage, advertising, promotion, sampling, and record keeping related to the product will remain subject to extensive regulatory requirements. These requirements include submissions of safety and other post-marketing information and reports, registration, as well as continued compliance with cGMP, regulations and 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9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240" w:top="48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If we fail to comply with the regulatory requirements of the FDA and other applicable domestic and foreign regulatory authorities, or previously unknown problems with any approved product, manufacturer, or manufacturing process are discovered, we could be subject to administrative or judicially imposed sanctions, including:</w:t>
      </w:r>
    </w:p>
    <w:p>
      <w:pPr>
        <w:spacing w:after="0" w:line="73"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civil or criminal penalties;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seizures or detentions;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pressure to initiate voluntary product recalls;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or withdrawal of regulatory approvals; and</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to approve pending applications for marketing approval of new products or supplements to approved applications.</w:t>
      </w:r>
    </w:p>
    <w:p>
      <w:pPr>
        <w:spacing w:after="0" w:line="22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If any of these events occurs, our ability to sell such products may be impaired, and we may incur substantial additional expense to comply with regulatory requirements, which could adversely affect our business, financial condition and results of operations.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 and our product candidates may become obsolete.</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engaged in a rapidly evolving field. Competition from other pharmaceutical companies, biotechnology companies and research and academic institutions is intense and likely to increase. Many of those companies and institutions have substantially greater financial, technical and human resources than us. Those companies and institutions also have substantially greater experience in developing products, conducting clinical trials, obtaining regulatory approval and in manufacturing and marketing pharmaceutical products. Our competitors may succeed in obtaining regulatory approval for their products more rapidly than we do. Competitors have developed or are in the process of developing technologies that are, or in the future may be, the basis for competitive products. Some of these competitive products may have an entirely different approach or means of accomplishing the desired therapeutic effect than products being developed by us. Our competitors may succeed in developing products that are more effective and/or cost competitive than those we are developing, or that would render our product candidates less competitive or even obsolete. In addition, one or more of our competitors may achieve product commercialization or patent protection earlier than we may, which could materially adversely affect our business.</w:t>
      </w:r>
    </w:p>
    <w:p>
      <w:pPr>
        <w:spacing w:after="0" w:line="286"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b w:val="1"/>
          <w:bCs w:val="1"/>
          <w:i w:val="1"/>
          <w:iCs w:val="1"/>
          <w:color w:val="auto"/>
        </w:rPr>
        <w:t>If the FDA or other applicable regulatory authorities approve generic products that compete with any of our or any of our partners’ product candidates, the sales of our product candidates would be adversely affected.</w:t>
      </w:r>
    </w:p>
    <w:p>
      <w:pPr>
        <w:spacing w:after="0" w:line="62"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Once an NDA or marketing authorization application outside the United States is approved, the product covered thereby becomes a “listed drug” that can, in turn, be cited by potential competitors in support of approval of an abbreviated new drug application in the United States. Agency regulations and other applicable regulations and policies provide incentives to manufacturers to create modified, non-infringing versions of a drug to facilitate the approval of an abbreviated new drug application or other application for generic substitutes in the United States and in nearly every pharmaceutical market around the world. These manufacturers might only be required to conduct a relatively inexpensive study to show that their product has the same active ingredient(s), dosage form, strength, route of administration and conditions of use, or labeling, as our product and that the</w:t>
      </w:r>
    </w:p>
    <w:p>
      <w:pPr>
        <w:spacing w:after="0" w:line="1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240" w:top="486"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generic product is bioequivalent to our product, meaning it is absorbed in the body at the same rate and to the same extent as our product. These generic equivalents, which must meet the same quality standards as branded pharmaceuticals, would be significantly less costly than our product to bring to market, and companies that produce generic equivalents are generally able to offer their products at lower prices. Thus, after the introduction of a generic competitor, a significant percentage of the sales of any branded product are typically lost to the generic product. Accordingly, competition from generic equivalents to our product or any of our partners’ future products, if any, would materially adversely affect our future revenue, profitability and cash flows and substantially limit our ability to obtain a return on the investments we have made and expect to make in our or any of our partners’ product candidates, including resmetirom.</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Competition that our or any of our partners’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289"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If physicians and patients do not accept our future products or if the market for indications for which any product candidate is approved is smaller than expected, we may be unable to generate significant revenue, if any.</w:t>
      </w:r>
    </w:p>
    <w:p>
      <w:pPr>
        <w:spacing w:after="0" w:line="62"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Even if any of our product candidates obtain regulatory approval, they may not gain market acceptance among physicians, patients, and third-party payers. Efforts to educate the medical community and third-party payers on the benefits of our product candidates may require significant resources and may not be successful. If any of our product candidates do not achieve an adequate level of acceptance, we may not generate significant product revenue or any profits from operations. Physicians may decide not to recommend its treatments for a variety of reasons including:</w:t>
      </w:r>
    </w:p>
    <w:p>
      <w:pPr>
        <w:spacing w:after="0" w:line="46"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market introduction of competitive products;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or no coverage by third-party payers;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convenience and ease of administration;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prevalence and severity of adverse side effects;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in the label of the drug;</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potential advantages of alternative treatment methods; and</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ineffective marketing and distribution support of its products.</w:t>
      </w:r>
    </w:p>
    <w:p>
      <w:pPr>
        <w:spacing w:after="0" w:line="22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If any of our product candidates are approved, but fail to achieve market acceptance or such market is smaller than anticipated, we may not be able to generate significant revenue and our business would suffer.</w:t>
      </w:r>
    </w:p>
    <w:p>
      <w:pPr>
        <w:spacing w:after="0" w:line="279"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As we evolve from a company that is primarily involved in clinical development to a company that is also involved in commercialization, we may encounter difficulties in expanding our operations successfully.</w:t>
      </w:r>
    </w:p>
    <w:p>
      <w:pPr>
        <w:spacing w:after="0" w:line="62"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As we advance our product candidates through clinical trials, we will need to expand our development, regulatory, manufacturing, and marketing and sales capabilities and may need to further contract with third parties to provide these capabilities. As our operations expand, we likely will need to manage additional relationships with such third parties, as well as additional collaborators, distributors, marketers and suppliers.</w:t>
      </w:r>
    </w:p>
    <w:p>
      <w:pPr>
        <w:spacing w:after="0" w:line="14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Maintaining third party relationships for these purposes will impose significant added responsibilities on members of our management and other personnel. We must be able to effectively manage our development</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240" w:top="486"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efforts, recruit and train sales and marketing personnel, effectively manage our participation in the clinical trials in which our product candidates are involved and improve our managerial, development, operational and finance systems, all of which may impose a strain on our administrative and operational infrastructure.</w:t>
      </w:r>
    </w:p>
    <w:p>
      <w:pPr>
        <w:spacing w:after="0" w:line="18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or distribution services, any product revenues that we receive, or the profitability of these product revenues to us, are likely to be lower than if we were to market and sell any products that we develop without the involvement of these third parties. In addition, we may not be successful in entering into arrangements with third parties to sell and market our products or in doing so on terms that are favorable to us. We likely will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uncertainty associated with pharmaceutical reimbursement and related matters may adversely affect our business.</w:t>
      </w:r>
    </w:p>
    <w:p>
      <w:pPr>
        <w:spacing w:after="0" w:line="11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Market acceptance and sales of any one or more of our product candidates will depend on reimbursement policies and may be affected by future healthcare reform measures in the United States and in foreign jurisdictions. Government authorities and third-party payers, such as private health insurers and health maintenance organizations, decide which drugs they will cover and establish payment levels. We cannot be certain that reimbursement will be available for any of our product candidates. Also, we cannot be certain that reimbursement policies will not reduce the demand for, or the price paid for, our products. If reimbursement is not available or is available on a limited basis, we may not be able to successfully commercialize any product candidates that we develop.</w:t>
      </w:r>
    </w:p>
    <w:p>
      <w:pPr>
        <w:spacing w:after="0" w:line="19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the United States, the Medicare Prescription Drug, Improvement, and Modernization Act of 2003, also called the Medicare Modernization Act, or MMA, changed the way Medicare covers and pays for pharmaceutical products. The legislation established Medicare Part D, which expanded Medicare coverage for outpatient prescription drug purchases by the elderly but provided authority for limiting the number of drugs that will be covered in any therapeutic class. The MMA also introduced a new reimbursement methodology based on average sales prices for physician-administered drugs. The United States and several foreign jurisdictions are considering, or have already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due to the trend toward managed healthcare, the increasing influence of health maintenance organizations, and additional legislative proposals.</w:t>
      </w:r>
    </w:p>
    <w:p>
      <w:pPr>
        <w:spacing w:after="0" w:line="16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March 2010, the Patient Protection and Affordable Care Act, or ACA, became law in the United States. The goal of ACA is to reduce the cost of healthcare and substantially change the way healthcare is financed by both government and private insurers. While we cannot predict what impact on federal reimbursement policies this legislation will have in general or on our business specifically, the ACA may result in downward pressure on pharmaceutical reimbursement, which could negatively affect market acceptance of, and the price we may charge for, any products we develop that receives regulatory approval. We also cannot predict the impact of ACA on us as many of the ACA reforms require the promulgation of detailed regulations implementing the statutory provisions, which have not yet been fully implemented.</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86"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any product liability lawsuits are successfully brought against us or any of our collaborative partners, we may incur substantial liabilities and may be required to limit commercialization of our product candidates.</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face an inherent risk of product liability lawsuits related to the testing of our product candidates in seriously ill patients and will face an even greater risk if product candidates are approved by regulatory authorities and introduced commercially. Product liability claims may be brought against us or our partners by participants enrolled in our clinical trials, patients, healthcare providers or others using, administering or selling any of our future approved products. If we cannot successfully defend ourselves against any such claims, we may incur substantial liabilities. Regardless of merit or eventual outcome, liability claims may result in:</w:t>
      </w:r>
    </w:p>
    <w:p>
      <w:pPr>
        <w:spacing w:after="0" w:line="80"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any of our future approved products;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 or other claimants;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recalls or a change in the indications for which products may be used;</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If any of our product candidates are approved for commercial sale, we will be highly dependent upon consumer perceptions of us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Also, because of our dependence upon consumer perceptions, any adverse publicity associated with illness or other adverse effects resulting from patients’ use or misuse of our products or any similar products distributed by other companies could have a material adverse impact on our results of operations.</w:t>
      </w:r>
    </w:p>
    <w:p>
      <w:pPr>
        <w:spacing w:after="0" w:line="15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We do not currently hold product liability insurance coverage. Prior to commercialization of our product candidates, we will need to purchase insurance coverage. As a result, we may be unable to maintain or obtain sufficient insurance at a reasonable cost to protect us against losses that could have a material adverse effect on our business. These liabilities could prevent or interfere with our product development and commercialization efforts. A successful product liability claim or series of claims brought against us, particularly if judgments exceed our insurance coverage, could decrease our cash resources and adversely affect our business, financial condition and results of operations.</w:t>
      </w:r>
    </w:p>
    <w:p>
      <w:pPr>
        <w:spacing w:after="0" w:line="28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Our employees, contractors, vendors and partners may engage in misconduct or other improper activities, including noncompliance with regulatory standards and requirements and insider trading.</w:t>
      </w:r>
    </w:p>
    <w:p>
      <w:pPr>
        <w:spacing w:after="0" w:line="62"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are exposed to the risk of fraud or other misconduct by our employees, contractors, vendors or partners. Misconduct by these parties could include failures to comply with FDA regulations, to provide accurate information to the FDA, to comply with federal and state healthcare fraud and abuse laws and regulations, to report financial information or data timely, completely or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w:t>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86"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also involve the improper use of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fines or other sanctions.</w:t>
      </w:r>
    </w:p>
    <w:p>
      <w:pPr>
        <w:spacing w:after="0" w:line="28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73"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agreements. With respect to our commercial agreements, we indemnify our vendors from any third-party product liability claims that could result from the production, use or consumption of the product, as well as for alleged infringements of any patent or other intellectual property right by a third party.</w:t>
      </w:r>
    </w:p>
    <w:p>
      <w:pPr>
        <w:spacing w:after="0" w:line="16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Should our obligation under an indemnification provision exceed applicable insurance coverage or if we are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fail to develop and commercialize other product candidates, we may be unable to grow our business.</w:t>
      </w:r>
    </w:p>
    <w:p>
      <w:pPr>
        <w:spacing w:after="0" w:line="117" w:lineRule="exact"/>
        <w:rPr>
          <w:sz w:val="20"/>
          <w:szCs w:val="20"/>
          <w:color w:val="auto"/>
        </w:rPr>
      </w:pPr>
    </w:p>
    <w:p>
      <w:pPr>
        <w:ind w:left="200" w:right="260" w:firstLine="441"/>
        <w:spacing w:after="0" w:line="270" w:lineRule="auto"/>
        <w:rPr>
          <w:sz w:val="20"/>
          <w:szCs w:val="20"/>
          <w:color w:val="auto"/>
        </w:rPr>
      </w:pPr>
      <w:r>
        <w:rPr>
          <w:rFonts w:ascii="Arial" w:cs="Arial" w:eastAsia="Arial" w:hAnsi="Arial"/>
          <w:sz w:val="17"/>
          <w:szCs w:val="17"/>
          <w:color w:val="auto"/>
        </w:rPr>
        <w:t>Although the development and commercialization of resmetirom is our primary focus, as part of our longer-term growth strategy, we plan to evaluate the development and commercialization of other therapies related to thyroid hormone, orphan and other diseases. We will evaluate internal opportunities from our compound libraries, and also may choose to in-license or acquire other product candidates as well as commercial products to treat patients suffering from thyroid hormone, orphan or other disorders with high unmet medical needs and limited treatment options. These other product candidates may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be successfully commercialized, be widely accepted in the marketplace, or be more effective than other commercially available alternatives.</w:t>
      </w:r>
    </w:p>
    <w:p>
      <w:pPr>
        <w:spacing w:after="0" w:line="286"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identify, develop and commercialize products will be impaired.</w:t>
      </w:r>
    </w:p>
    <w:p>
      <w:pPr>
        <w:spacing w:after="0" w:line="62"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We are highly dependent on principal members of our management team, including our Chief Executive Officer, Paul A. Friedman, M.D., and our President, Research and Development, and Chief Medical Officer , Rebecca Taub, M.D. These executives each have significant pharmaceutical industry experience. The loss of any member of our management team or scientific staff, including Drs. Friedman and Taub, would impair our ability</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86"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to identify, develop and market new products. Our management and other employees may voluntarily terminate their employment with us at any time. The loss of the services of these or other key personnel, or the inability to attract and retain additional qualified personnel, could result in delays to development or approval, loss of sales and diversion of management resources. In addition, we depend on our ability to attract and retain other highly skilled personnel. Competition for qualified personnel is intense, and the process of hiring and integrating such qualified personnel is often lengthy. We may be unable to recruit such personnel on a timely basis, if at all, which would negatively impact our development and commercialization programs.</w:t>
      </w:r>
    </w:p>
    <w:p>
      <w:pPr>
        <w:spacing w:after="0" w:line="158"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Additionally, we do not currently maintain “key person” life insurance on the lives of our executives or any of our employees. This lack of insurance means that we may not receive adequate compensation for the loss of the services of these individuals.</w:t>
      </w:r>
    </w:p>
    <w:p>
      <w:pPr>
        <w:spacing w:after="0" w:line="279"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We currently have no marketing, sales or distribution infrastructure with respect to our product candidates. If we are unable to develop our sales, marketing and distribution capabilities on our own or through collaborations with marketing partners, we will not be successful in commercializing our product candidates.</w:t>
      </w:r>
    </w:p>
    <w:p>
      <w:pPr>
        <w:spacing w:after="0" w:line="7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currently have no marketing, sales or distribution capabilities and have limited sales or marketing experience within our organization. If our product candidate, resmetirom, is approved, we intend either to establish a sales and marketing organization with technical expertise and supporting distribution capabilities to commercialize resmetirom, or to outsource this function to a third party. Either of these options would be expensive and time-consuming. Some or all of these costs may be incurred in advance of any approval of resmetirom. In addition, we may not be able to hire a sales force in the United States that is sufficient in size or has adequate expertise in the medical markets that we intend to target. Any failure or delay in the development of our internal sales, marketing and distribution capabilities would adversely affect the commercialization of resmetirom and other future product candidates.</w:t>
      </w:r>
    </w:p>
    <w:p>
      <w:pPr>
        <w:spacing w:after="0" w:line="189"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With respect to our existing and future product candidates, we may choose to collaborate with third parties that have direct sales forces and established distribution systems, either to augment our own sales force and distribution systems or as an alternative to our own sales force and distribution systems. To the extent that we enter into co-promotion or other licensing arrangements, our product revenue may be lower than if we directly marketed or sold any approved products. In addition, any revenue we receive will depend in whole or in part upon the efforts of these third parties, which may not be successful and are generally not within our control. 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spacing w:after="0" w:line="30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Even if we obtain FDA approval of resmetirom or any other future product candidate, we may never obtain approval or commercialize our products outside of the United States, which would limit our ability to realize their full market potential.</w:t>
      </w:r>
    </w:p>
    <w:p>
      <w:pPr>
        <w:spacing w:after="0" w:line="62"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clinical trial design,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86"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countries. We do not have any product candidates approved for sale in any jurisdiction, including international markets, and we do not have experience in obtaining regulatory approval in international markets. If we or our partners fail to comply with regulatory requirements in international markets or to obtain and maintain required approvals, our target market will be reduced and our ability to realize the full market potential of our products will be harmed.</w:t>
      </w:r>
    </w:p>
    <w:p>
      <w:pPr>
        <w:spacing w:after="0" w:line="295"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by extending the term of patents covering each of our product candidates, our business may be materially harmed.</w:t>
      </w:r>
    </w:p>
    <w:p>
      <w:pPr>
        <w:spacing w:after="0" w:line="62"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United States patents may be eligible for limited patent term extension under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may not extend beyond the current patent expiration dates and our competitors may obtain approval to market competing products sooner. As a result, our revenue could be potentially materially reduced. Further, if this occurs, our competitors may take advantage of our investment in development and trials by referencing our clinical and preclinical data and launch their product earlier than might otherwise be the case.</w:t>
      </w:r>
    </w:p>
    <w:p>
      <w:pPr>
        <w:spacing w:after="0" w:line="275" w:lineRule="exact"/>
        <w:rPr>
          <w:sz w:val="20"/>
          <w:szCs w:val="20"/>
          <w:color w:val="auto"/>
        </w:rPr>
      </w:pPr>
    </w:p>
    <w:p>
      <w:pPr>
        <w:ind w:left="200" w:right="200"/>
        <w:spacing w:after="0" w:line="375" w:lineRule="auto"/>
        <w:rPr>
          <w:sz w:val="20"/>
          <w:szCs w:val="20"/>
          <w:color w:val="auto"/>
        </w:rPr>
      </w:pPr>
      <w:r>
        <w:rPr>
          <w:rFonts w:ascii="Arial" w:cs="Arial" w:eastAsia="Arial" w:hAnsi="Arial"/>
          <w:sz w:val="15"/>
          <w:szCs w:val="15"/>
          <w:b w:val="1"/>
          <w:bCs w:val="1"/>
          <w:i w:val="1"/>
          <w:iCs w:val="1"/>
          <w:color w:val="auto"/>
        </w:rPr>
        <w:t>We may fail to obtain orphan drug designations from the FDA for our product candidates, as applicable, and even if we obtain such designations, we may be unable to maintain the benefits associated with orphan drug designation, including the potential for market exclusivity.</w:t>
      </w:r>
    </w:p>
    <w:p>
      <w:pPr>
        <w:spacing w:after="0" w:line="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strategy includes filing for orphan drug designation where available for our product candidates. Under the Orphan Drug Act, the FDA may grant orphan drug designation to a drug or biologic intended to treat a rare disease or condition, which is defined as one occurring in a patient population of fewer than 200,000 in the United States, or a patient population greater than 200,000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NDA, to market the same drug or biologic for the same indication for seven years, except in limited circumstances, such as a showing of clinical superiority to the product with orphan drug exclusivity or where the manufacturer is unable to assure sufficient product quantity.</w:t>
      </w:r>
    </w:p>
    <w:p>
      <w:pPr>
        <w:spacing w:after="0" w:line="167"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We have not obtained orphan designation for any product candidates to date, although we believe some of the potential indications of our product candidates could qualify for orphan drug designation and the related benefits if approved for such indications and we may file for orphan drug designation with respect to such indications. Even if we obtain such designations, we may not be the first to obtain regulatory approval of a product candidate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orphan-designated disease or condition. Further, even if we obtain orphan drug designation exclusivity for a product, that exclusivity may not effectively protect the product from competition because different drugs with different active moieties may be approved for the same condition, and only the first applicant to receive approval will receive the benefits of marketing exclusivity.</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86"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 Failure to obtain an orphan drug designation for our product candidates may have a material adverse effect on our business, results of operations and financial condition.</w:t>
      </w:r>
    </w:p>
    <w:p>
      <w:pPr>
        <w:spacing w:after="0" w:line="301" w:lineRule="exact"/>
        <w:rPr>
          <w:sz w:val="20"/>
          <w:szCs w:val="20"/>
          <w:color w:val="auto"/>
        </w:rPr>
      </w:pPr>
    </w:p>
    <w:p>
      <w:pPr>
        <w:ind w:left="200" w:right="740"/>
        <w:spacing w:after="0" w:line="342" w:lineRule="auto"/>
        <w:rPr>
          <w:sz w:val="20"/>
          <w:szCs w:val="20"/>
          <w:color w:val="auto"/>
        </w:rPr>
      </w:pPr>
      <w:r>
        <w:rPr>
          <w:rFonts w:ascii="Arial" w:cs="Arial" w:eastAsia="Arial" w:hAnsi="Arial"/>
          <w:sz w:val="16"/>
          <w:szCs w:val="16"/>
          <w:b w:val="1"/>
          <w:bCs w:val="1"/>
          <w:i w:val="1"/>
          <w:iCs w:val="1"/>
          <w:color w:val="auto"/>
        </w:rPr>
        <w:t>If we or our partners market products in a manner that violates fraud and abuse and other healthcare laws, or if we or our partners violate government price reporting laws, we or our partners may be subject to administrative civil and/or criminal penalties.</w:t>
      </w:r>
    </w:p>
    <w:p>
      <w:pPr>
        <w:spacing w:after="0" w:line="16"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These laws include, among others, the U.S. federal Anti-Kickback Statute and the U.S. federal civil and criminal false claims laws. At such time, if ever, as we or any of our partners market any of our future approved products, it is possible that some of our business activities and/or our partners could be subject to challenge under one or more of these laws.</w:t>
      </w:r>
    </w:p>
    <w:p>
      <w:pPr>
        <w:spacing w:after="0" w:line="15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Federal false claims, false statements and civil monetary penalties laws prohibit, among others, any person from knowingly presenting, or causing to be presented, a false claim for payment to the federal government or knowingly making, or causing to be made, a false statement to get a false claim paid. 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 exceptions and safe harbors are drawn narrowly, and practices that involve remuneration intended to induce prescribing, purchasing or recommending may be subject to scrutiny if they do not qualify for an exception or safe harbor.</w:t>
      </w:r>
    </w:p>
    <w:p>
      <w:pPr>
        <w:spacing w:after="0" w:line="182"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In addition, we and/or our partners may be subject to patient data privacy and security regulation, including the Health Insurance Portability and Accountability Act of 1996, as amended by the Health Information Technology for Economic and Clinical Health Act, and their respective implementing regulations, which impose specified requirements relating to the privacy, security and transmission of individually identifiable health information.</w:t>
      </w:r>
    </w:p>
    <w:p>
      <w:pPr>
        <w:spacing w:after="0" w:line="18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Most states also have statutes or regulations similar to these federal laws, which may apply to items such as pharmaceutical products and services reimbursed by private insurers. We and/or our partners may be subject to administrative, civil and criminal sanctions for violations of any of these federal and state laws. 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w:t>
      </w:r>
    </w:p>
    <w:p>
      <w:pPr>
        <w:spacing w:after="0" w:line="165"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86"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b w:val="1"/>
          <w:bCs w:val="1"/>
          <w:i w:val="1"/>
          <w:iCs w:val="1"/>
          <w:color w:val="auto"/>
        </w:rPr>
        <w:t>If the third parties on which we rely for the conduct of our clinical trials and results do not perform our clinical trial activities in accordance with good clinical practices and related regulatory requirements, we may be unable to obtain regulatory approval for or commercialize our product candidates.</w:t>
      </w:r>
    </w:p>
    <w:p>
      <w:pPr>
        <w:spacing w:after="0" w:line="73"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We use third-party service providers to conduct and/or oversee the clinical trials of our product candidates and expect to continue to do so for the foreseeable future. We rely heavily on these parties for successful execution of our clinical trials. Nonetheless, we are responsible for confirming that each of our clinical trials is conducted in accordance with FDA requirements and our general investigational plan and protocol.</w:t>
      </w:r>
    </w:p>
    <w:p>
      <w:pPr>
        <w:spacing w:after="0" w:line="166"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 FDA requires us and our third-party service providers to comply with regulations and standards, commonly referred to as good clinical practices, or GCP, for conducting, recording and reporting the results of clinical trials to assure that data and reported results are credible and accurate, and that the trial participants are adequately protected. Our reliance on third parties that we do not control does not relieve us of these responsibilities and requirements. Third parties may not complete activities on schedule or may not conduct our clinical trials in accordance with regulatory or GCP requirements or the respective trial plans and protocols. In addition, third parties may not be able to repeat their past successes in clinical trials. The failure of these third parties to carry out their obligations could delay or prevent the development, approval and commercialization of our product candidates or result in enforcement action against us.</w:t>
      </w:r>
    </w:p>
    <w:p>
      <w:pPr>
        <w:spacing w:after="0" w:line="18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our relationship with these third-party providers terminates, we may not be able to enter into arrangements with alternative providers or do so on commercially reasonable terms. Switching or adding additional third-party providers involves substantial cost and requires management time and focus, and could delay development and commercialization of our product candidates. Though we intend to carefully manage our relationships with our third-party providers, there can be no assurance that we will not encounter challenges or delays in the future or that these delays or challenges will not have a negative impact on our business and financial condition.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relied on, and expect to continue to rely on, third-party manufacturers to produce our product candidates.</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do not own or operate manufacturing facilities for the production of clinical or commercial quantities of our product candidates, and we lack the resources and the capabilities to do so. As a result, we currently rely, and expect to rely for the foreseeable future, on third-party manufacturers to supply our product candidates. Reliance on third-party manufacturers entails risks to which we would not be subject if we manufactured our product candidates or products ourselves. For example, if we do not maintain our key manufacturing relationships, we may fail to find replacement manufacturers or develop our own manufacturing capabilities, which could delay or impair our ability to obtain regulatory approval for our products and substantially increase our costs or deplete profit margins, if any.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192"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FDA and other foreign regulatory authorities require manufacturers to register manufacturing facilities. The FDA and corresponding foreign regulators also inspect these facilities to confirm compliance with current good manufacturing practices, or cGMPs.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European Medicines Agency, or EMA, and comparable foreign regulatory requirements could adversely affect our clinical research activities and our ability to develop our product candidates and market our products following approval.</w:t>
      </w:r>
    </w:p>
    <w:p>
      <w:pPr>
        <w:spacing w:after="0" w:line="178"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may adversely affect our future profit margins and our ability to develop our product candidates and commercialize any products that receive regulatory approval on a timely basis.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86"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development programs and have a material adverse effect on our reputation, business, financial condition or results of operations.</w:t>
      </w:r>
    </w:p>
    <w:p>
      <w:pPr>
        <w:spacing w:after="0" w:line="73"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development programs and significant reputational, financial, legal, regulatory, business or operational harm. For example, the loss of clinical trial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 In addition, our liability insurance may not be sufficient in type or amount to cover us against claims related to security breaches, cyberattacks and other related breaches.</w:t>
      </w:r>
    </w:p>
    <w:p>
      <w:pPr>
        <w:spacing w:after="0" w:line="172"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Coronavirus, and/or similar outbreaks, could have a material, adverse impact on us.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An outbreak of respiratory illness caused by a new coronavirus named “2019-nCoV” (the “Coronavirus”), which was first detected in Wuhan City, Hubei Province, China, has resulted in tens of thousands of infections in China and continues to spread, including to the United States. On January 30, 2020, the World Health Organization declared the Coronavirus outbreak a “public health emergency of international concern.” If the Coronavirus worsens in China or if the Chinese government’s efforts to contain the Coronavirus continue to restrict the movement of goods and people in China, our business activities originating from China, including our manufacturing and supply chain related activities could be adversely affected. In addition, if the Coronavirus continues to spread outside of China, our business in general could be adversely affected. If either of the foregoing were to occur in the future, it could materially, adversely affect our results of operations, financial condition and cash flows.</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86"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2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a license to resmetirom granted to us by Roche.</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entered into a Research, Development and Commercialization Agreement, or the Roche Agreement, with Hoffmann-La Roche, or Roche, on December 18, 2008. Pursuant to the terms of the Roche Agreement, we assumed control of all development and commercialization of resmetirom and hold exclusive worldwide rights for all potential indications. Under the Roche Agreement, Roche exclusively licensed certain patent rights and know-how relating to resmetirom in exchange for consideration consisting of an upfront payment, milestone payments tied to the achievement of product development and regulatory milestones, and royalty payments based on net sales of products containing resmetirom or another licensed product, subject to certain reductions. We must use commercially reasonable efforts to conduct clinical and commercial development programs for products containing resmetirom. If we determine that it is not reasonable to continue clinical trials or other development of resmetirom, we may elect to cease further development and Roche may terminate the license. If we determine not to pursue the development or commercialization of resmetirom in certain jurisdictions, including the United States, Roche may terminate the license for such territories. The Roche Agreement will expire, unless earlier terminated pursuant to other provisions thereof, on the last to occur of (i) the expiration of the last valid claim of a licensed patent covering the manufacture, use or sale of products containing resmetirom, or (ii) ten years after the first sale of a product containing resmetirom.</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Roche Agreement, Roche controls prosecution of the licensed patent rights, although we have a right to comment.</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do not have, nor have we had, any material disputes with Roche regarding the Roche Agreement. However, if there is any future dispute between us and Roche regarding the parties’ rights under the Roche Agreement, our ability to develop and commercialize resmetirom, or any other product candidate covered by the Roche Agreement, may be materially harmed. Any uncured, material breach under the Roche Agreement could result in our loss of exclusive rights to resmetirom and may lead to a complete termination of the Roche Agreement and force us to cease product development efforts for resmetirom.</w:t>
      </w:r>
    </w:p>
    <w:p>
      <w:pPr>
        <w:spacing w:after="0" w:line="296"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may fail to comply with any of our obligations under agreements pursuant to which we license rights or technology, which could result in the loss of rights or technology that are material to our business.</w:t>
      </w:r>
    </w:p>
    <w:p>
      <w:pPr>
        <w:spacing w:after="0" w:line="62" w:lineRule="exact"/>
        <w:rPr>
          <w:sz w:val="20"/>
          <w:szCs w:val="20"/>
          <w:color w:val="auto"/>
        </w:rPr>
      </w:pPr>
    </w:p>
    <w:p>
      <w:pPr>
        <w:ind w:left="200" w:right="360" w:firstLine="441"/>
        <w:spacing w:after="0" w:line="342" w:lineRule="auto"/>
        <w:rPr>
          <w:sz w:val="20"/>
          <w:szCs w:val="20"/>
          <w:color w:val="auto"/>
        </w:rPr>
      </w:pPr>
      <w:r>
        <w:rPr>
          <w:rFonts w:ascii="Arial" w:cs="Arial" w:eastAsia="Arial" w:hAnsi="Arial"/>
          <w:sz w:val="16"/>
          <w:szCs w:val="16"/>
          <w:color w:val="auto"/>
        </w:rPr>
        <w:t>We may enter into license agreements from time to time. Licensing of intellectual property is important to our business and involves complex legal, business and scientific issues. Disputes may arise regarding intellectual property subject to a license agreement, including but not limited to:</w:t>
      </w:r>
    </w:p>
    <w:p>
      <w:pPr>
        <w:spacing w:after="0" w:line="16"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60" w:right="72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us and our licensors and collaborators; and</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86"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Our success depends on our ability to protect our intellectual property and our proprietary technologies. 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w:t>
      </w:r>
    </w:p>
    <w:p>
      <w:pPr>
        <w:spacing w:after="0" w:line="181"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We can provide no assurance that our patent applications or those of our licensors will result in additional patents being issued or that issued patents will afford sufficient protection against competitors with similar technologies, nor can we provide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 Composition-of-matter patents on the biological or chemical active pharmaceutical ingredients are generally considered to offer the strongest protection of intellectual property and provide the broadest scope of patent protection for pharmaceutical products, as such patents provide protection without regard to any method of use or any method of manufacturing. While we have licensed rights to issued composition-of-matter patents in the United States and other jurisdictions for resmetirom, we cannot be certain that the claims in issued composition-of-matter patents will not be found invalid or unenforceable if challenged. We cannot be certain that the claims in owned and licensed patent applications covering our product candidates will be considered patentable by the United States Patent and Trademark Office, or USPTO, and valid by courts in the United States or by the patent offices and courts in foreign jurisdictions. Even if we owned and licensed patent applications covering our product candidates, the patents may not be enforced against competitors. For example, a formulation patent will not be enforced against those making and marketing a product that has the same active pharmaceutical ingredient in a different formulation that is not claimed in the formulation patent. Method-of-use patents protect the use of a product for the specified method or for treatment of a particular indication. This type of patent may not be enforced against competitors making and marketing a product that has the same active pharmaceutical ingredient but is used for a method not claimed in the patent.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w:t>
      </w:r>
    </w:p>
    <w:p>
      <w:pPr>
        <w:spacing w:after="0" w:line="18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licensed composition-of-matter patent licensed from Roche for resmetirom is expected to expire in the United States in 2026. Our co-owned patents and pending patent applications that cover our particular solid form, dosage, method of manufacturing, and uses of resmetirom to treat various indications are expected to expire in 2033. While patent term adjustments or patent term extensions could result in later expiration dates for each of these patents, there can be no assurances that we will receive any patent adjustments or patent term extensions. The patent application process and patent maintenance and enforcement are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57" w:lineRule="exact"/>
        <w:rPr>
          <w:sz w:val="20"/>
          <w:szCs w:val="20"/>
          <w:color w:val="auto"/>
        </w:rPr>
      </w:pPr>
    </w:p>
    <w:p>
      <w:pPr>
        <w:ind w:left="1060" w:right="180" w:hanging="316"/>
        <w:spacing w:after="0" w:line="302" w:lineRule="auto"/>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and after a patent has issued.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46" w:lineRule="exact"/>
        <w:rPr>
          <w:rFonts w:ascii="Arial" w:cs="Arial" w:eastAsia="Arial" w:hAnsi="Arial"/>
          <w:sz w:val="16"/>
          <w:szCs w:val="16"/>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86"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2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and our licensor(s) may not have been the first to make the inventions covered by pending patent applications or issued patents;</w:t>
      </w:r>
    </w:p>
    <w:p>
      <w:pPr>
        <w:spacing w:after="0" w:line="128" w:lineRule="exact"/>
        <w:rPr>
          <w:rFonts w:ascii="Arial" w:cs="Arial" w:eastAsia="Arial" w:hAnsi="Arial"/>
          <w:sz w:val="17"/>
          <w:szCs w:val="17"/>
          <w:color w:val="auto"/>
        </w:rPr>
      </w:pPr>
    </w:p>
    <w:p>
      <w:pPr>
        <w:ind w:left="1060" w:right="22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and our licensor(s) may not have been the first to file patent applications for our product candidates or the compositions developed, or for their uses;</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independently develop identical, similar or alternative products or compositions and uses thereof;</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and our licensor(s)’ disclosures in patent applications may not be sufficient to meet the statutory requirements for patentability;</w:t>
      </w:r>
    </w:p>
    <w:p>
      <w:pPr>
        <w:spacing w:after="0" w:line="128" w:lineRule="exact"/>
        <w:rPr>
          <w:rFonts w:ascii="Arial" w:cs="Arial" w:eastAsia="Arial" w:hAnsi="Arial"/>
          <w:sz w:val="17"/>
          <w:szCs w:val="17"/>
          <w:color w:val="auto"/>
        </w:rPr>
      </w:pPr>
    </w:p>
    <w:p>
      <w:pPr>
        <w:ind w:left="1060" w:right="44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design around our owned and licensed patent claims to produce competitive products which fall outside of the scope of the patents;</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identify prior art or other bases which could invalidate our or licensor(s)’ patents;</w:t>
      </w:r>
    </w:p>
    <w:p>
      <w:pPr>
        <w:spacing w:after="0" w:line="117" w:lineRule="exact"/>
        <w:rPr>
          <w:rFonts w:ascii="Arial" w:cs="Arial" w:eastAsia="Arial" w:hAnsi="Arial"/>
          <w:sz w:val="18"/>
          <w:szCs w:val="18"/>
          <w:color w:val="auto"/>
        </w:rPr>
      </w:pPr>
    </w:p>
    <w:p>
      <w:pPr>
        <w:ind w:left="1060" w:right="140" w:hanging="316"/>
        <w:spacing w:after="0" w:line="259"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us and our licensor(s) do not have patent rights, and then use the information learned from such activities to develop competitive products for sale in major commercial markets;</w:t>
      </w:r>
    </w:p>
    <w:p>
      <w:pPr>
        <w:spacing w:after="0" w:line="78" w:lineRule="exact"/>
        <w:rPr>
          <w:rFonts w:ascii="Arial" w:cs="Arial" w:eastAsia="Arial" w:hAnsi="Arial"/>
          <w:sz w:val="18"/>
          <w:szCs w:val="18"/>
          <w:color w:val="auto"/>
        </w:rPr>
      </w:pPr>
    </w:p>
    <w:p>
      <w:pPr>
        <w:ind w:left="1060" w:right="460" w:hanging="316"/>
        <w:spacing w:after="0" w:line="264"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3"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United States courts, allowing foreign competitors a better opportunity to create, develop and market competing product candidates.</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addition, we rely on the protection of our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any of these parties would not breach the agreements to disclose any proprietary information, including trade secrets, and we may not be able to obtain adequate remedies for such breaches. Further, third parties may still obtain this information by other means, such as breaches of our physical or computer security systems. Enforcing a claim that a party illegally disclosed or misappropriated a trade secret is difficult, expensive and time-consuming, and the outcome is unpredictable. Moreover, third parties may come upon this or similar information lawfully and independently. We would have no right to prevent them, or those to whom they communicate it, from using that technology or information to compete with us. Further, intellectual property rights have limitations and do not necessarily address all potential threats to our competitive position. If any of these events occurs or if we otherwise lose protection for our trade secrets or proprietary know-how, our business may be harmed.</w:t>
      </w:r>
    </w:p>
    <w:p>
      <w:pPr>
        <w:spacing w:after="0" w:line="286" w:lineRule="exact"/>
        <w:rPr>
          <w:sz w:val="20"/>
          <w:szCs w:val="20"/>
          <w:color w:val="auto"/>
        </w:rPr>
      </w:pPr>
    </w:p>
    <w:p>
      <w:pPr>
        <w:ind w:left="200" w:right="76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6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86"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 xml:space="preserve">submit prior art before the issuance of a patent by the USPTO, and a patent may become subject to post-grant proceedings including opposition,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295"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Claims by third parties that we infringe their proprietary rights may result in liability for damages or prevent or delay our developmental and commercialization efforts.</w:t>
      </w:r>
    </w:p>
    <w:p>
      <w:pPr>
        <w:spacing w:after="0" w:line="62"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6"/>
          <w:szCs w:val="16"/>
          <w:color w:val="auto"/>
        </w:rPr>
        <w:t>The biotechnology industry has been characterized by frequent litigation regarding patent and other intellectual property rights. Numerous U.S. and foreign issued patents and pending patent applications, which are owned by third parties, exist in the fields in which we are developing product candidates. As the biotechnology industry expands and more patents are issued, the risk increases that our product candidates may be subject to claims of infringement of the patent rights of third parties. Because patent applications are maintained in secrecy until the application is published, we may be unaware of third party patents that may be infringed by commercialization of resmetirom or our other product candidates. Moreover, because patent applications can take many years to issue, there may be currently-pending patent applications that may later result in issued patents that our product candidates may infringe. In addition, identification of third 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 likely:</w:t>
      </w:r>
    </w:p>
    <w:p>
      <w:pPr>
        <w:spacing w:after="0" w:line="59" w:lineRule="exact"/>
        <w:rPr>
          <w:sz w:val="20"/>
          <w:szCs w:val="20"/>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prevent us from commercializing resmetirom for NASH or dyslipidemia or our other product candidates until the asserted patent expires or is held finally invalid or not infringed in a court of law;</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 or</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w:t>
      </w:r>
    </w:p>
    <w:p>
      <w:pPr>
        <w:spacing w:after="0" w:line="225"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Although no third party has asserted a claim of patent infringement against us as of the filing date of this report, others may hold proprietary rights that could prevent resmetirom or our other product candidates from being marketed. Any patent-related legal action against us claiming damages and seeking to enjoin commercial activities relating to our product candidate or processes could subject us to potential liability for damages and require us to obtain a license to continue to manufacture or market resmetirom or our other product candidates. We cannot predict whether we would prevail in any such actions or that any license required under any of these patents would be made available on commercially acceptable terms, if at all. In addition, we cannot be sure that we could redesign our product candidate or processes to avoid infringement, if necessary. Accordingly, an adverse determination in a judicial or administrative proceeding, or the failure to obtain necessary licenses, could prevent us from developing and commercializing resmetirom or our other product candidates, which could harm our business, financial condition and operating results.</w:t>
      </w:r>
    </w:p>
    <w:p>
      <w:pPr>
        <w:spacing w:after="0" w:line="166"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 xml:space="preserve">Moreover, we may be subject to a third party preissuance submission of prior art to the USPTO or in addition to interference proceedings, may become involved in opposition,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or other post-grant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86"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patents and patent applications is threatened, it could dissuade companies from collaborating with us to license, develop or commercialize current or future product candidates</w:t>
      </w:r>
    </w:p>
    <w:p>
      <w:pPr>
        <w:spacing w:after="0" w:line="279" w:lineRule="exact"/>
        <w:rPr>
          <w:sz w:val="20"/>
          <w:szCs w:val="20"/>
          <w:color w:val="auto"/>
        </w:rPr>
      </w:pPr>
    </w:p>
    <w:p>
      <w:pPr>
        <w:ind w:left="200" w:right="400"/>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 consuming, and unsuccessful. Further, our issued patents could be found invalid or unenforceable if challenged in court.</w:t>
      </w:r>
    </w:p>
    <w:p>
      <w:pPr>
        <w:spacing w:after="0" w:line="38"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If we or any of our future development partners were to initiate legal proceedings against a third party to enforce a patent directed at one of our product candidates, or one of our future product candidates,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16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7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We currently have rights to the intellectual property, through licenses from third parties and under patents that we own or co-own, to develop our product candidates. Because our programs may require the use of proprietary rights held by third parties, the growth of our business may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 party intellectual property rights from third parties that we identify as necessary for our product candidates. The licensing and acquisition of third party intellectual property rights is a competitive area, and a number of more established companies are also pursuing strategies to license or acquire third 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86"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competitor may be unwilling to assign or license rights to us. We also may be unable to license or acquire third party intellectual property rights on terms that would allow us to make an appropriate return on our investment.</w:t>
      </w:r>
    </w:p>
    <w:p>
      <w:pPr>
        <w:spacing w:after="0" w:line="170"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We may collaborate with U.S. and foreign academic institutions and industry collaborators to accelerate our preclinical or clinical research.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we are unable to successfully obtain rights to required third party intellectual property rights or maintain the existing intellectual property rights we have, we may have to abandon development of that program and our business and financial condition could suffer.</w:t>
      </w:r>
    </w:p>
    <w:p>
      <w:pPr>
        <w:spacing w:after="0" w:line="279"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 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of these could impair our competitive position.</w:t>
      </w:r>
    </w:p>
    <w:p>
      <w:pPr>
        <w:spacing w:after="0" w:line="16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 party collaborators. A competitor’s discovery of our trade secrets would impair our competitive position and have an adverse impact on our business.</w:t>
      </w:r>
    </w:p>
    <w:p>
      <w:pPr>
        <w:spacing w:after="0" w:line="275"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While we have licensed from Roche issued composition-of-matter patents directed at resmetirom in the United States and other countries, filing, prosecuting and defending patents on resmetirom in all countries throughout the world would be prohibitively expensive, and our intellectual property rights in some countries outside the United States can be less extensive than those in the United States. In addition, the laws of some foreign countries may not protect intellectual property rights to the same extent as federal and state laws in the United States. Consequently, we may not be able to prevent third parties from practicing their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resmetirom, and our patents or other intellectual property rights may not be effective or sufficient to prevent them from competing.</w:t>
      </w:r>
    </w:p>
    <w:p>
      <w:pPr>
        <w:spacing w:after="0" w:line="182"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b w:val="1"/>
          <w:bCs w:val="1"/>
          <w:i w:val="1"/>
          <w:iCs w:val="1"/>
          <w:color w:val="auto"/>
        </w:rPr>
        <w:t>If we fail to obtain the capital necessary to fund all of our planned operations, we may be unable to successfully develop and commercialize resmetirom and other future product candidates.</w:t>
      </w:r>
    </w:p>
    <w:p>
      <w:pPr>
        <w:spacing w:after="0" w:line="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Although we believe that our existing cash and cash equivalents will be sufficient to fund our current operations through at least the next</w:t>
      </w:r>
    </w:p>
    <w:p>
      <w:pPr>
        <w:spacing w:after="0" w:line="23"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12 months, we may require additional working capital in order to complete the remaining clinical development for resmetirom and our other product candidates through potential regulatory approval and through potential commercialization of these product candidates. We expect our spending levels to increase in connection with our clinical trials of resmetirom as well as other corporate activities. The amount and timing of any expenditure needed to implement our development and commercialization programs will depend on numerous factors, including:</w:t>
      </w:r>
    </w:p>
    <w:p>
      <w:pPr>
        <w:spacing w:after="0" w:line="69" w:lineRule="exact"/>
        <w:rPr>
          <w:sz w:val="20"/>
          <w:szCs w:val="20"/>
          <w:color w:val="auto"/>
        </w:rPr>
      </w:pPr>
    </w:p>
    <w:p>
      <w:pPr>
        <w:ind w:left="1060" w:right="160" w:hanging="316"/>
        <w:spacing w:after="0" w:line="26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type, number, scope, progress, expansion costs, results of and timing of our future clinical trials or the need for additional clinical trials of resmetirom for NASH and dyslipidemia or any of our other product candidates which we are pursuing or may choose to pursue in the future;</w:t>
      </w:r>
    </w:p>
    <w:p>
      <w:pPr>
        <w:spacing w:after="0" w:line="73"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costs and timing of obtaining regulatory approval for resmetirom for NASH and dyslipidemia and any of our other product candidates;</w:t>
      </w: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86"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0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and timing of obtaining or maintaining manufacturing for resmetirom for NASH and dyslipidemia and any of our other product candidates, including commercial manufacturing if any product candidate is approved;</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costs and timing of establishing sales, marketing and reimbursement capabilities and enhanced internal controls over financial reporting;</w:t>
      </w:r>
    </w:p>
    <w:p>
      <w:pPr>
        <w:spacing w:after="0" w:line="140" w:lineRule="exact"/>
        <w:rPr>
          <w:rFonts w:ascii="Arial" w:cs="Arial" w:eastAsia="Arial" w:hAnsi="Arial"/>
          <w:sz w:val="16"/>
          <w:szCs w:val="16"/>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 agreements and other partnerships;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associated with any new product candidates that we may develop, in-license or acquire;</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associated with operating as a public company.</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Some of these factors are outside of our control. Our existing capital resources may not be sufficient to enable us to fund the completion of all planned clinical trials and commercialization objectives for our product candidates. As a result, we may need to raise substantial additional funds in the future.</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not sold any products, and we do not expect to sell or derive revenue from any product sales for the foreseeable future. We may seek additional funding through future debt and equity financings, as well as potential additional collaborations or strategic partnerships with other companies or through non-dilutive financings. Additional funding may not be available to us on acceptable terms or at all. In addition, the terms of any financing may adversely affect the holdings or the rights of our stockholders. In addition, the issuance of additional shares by us, or the possibility of such issuance, may cause the market price of our shares to decline.</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we are unable to obtain additional funding on a timely basis, we may be unable to complete planned clinical trials for resmetirom for NASH and dyslipidemia and any of our other product candidates, and we may be required to significantly curtail some or all of our activities. We also could be required to seek funds through arrangements with collaborative partners or otherwise that may require us to relinquish rights to our product candidates or otherwise agree to terms unfavorable to us.</w:t>
      </w:r>
    </w:p>
    <w:p>
      <w:pPr>
        <w:spacing w:after="0" w:line="295"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 and tax credit carryforwards and certain built-in losses to reduce future tax payments may be limited by provisions of the Internal Revenue Code.</w:t>
      </w:r>
    </w:p>
    <w:p>
      <w:pPr>
        <w:spacing w:after="0" w:line="6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net operating losses have been fully offset by a valuation allowance due to uncertainties surrounding our ability to realize these tax benefits. Under Section 382 of the Internal Revenue Code of 1986, as amended, if a corporation undergoes an “ownership change” (generally defined as a greater than 50% change (by value) in its equity ownership over a three year period), the corporation’s ability to use its pre-change net operating loss carryforwards and other pre-change tax attributes to offset its post-change income may be limited. Similar rules may apply under state tax laws. We have not performed a detailed analysis to determine whether an ownership change under Section 382 of the Code, or similar state provisions, has previously occurred. As a result, if we earn net taxable income, our ability to use our pre-change net operating loss carryforwards to offset U.S. federal taxable income may become subject to limitations, which could potentially result in increased future tax liability to us and may be substantial.</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common stock has been, and may continue to be, volatile.</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Historically, the market price of our common stock has fluctuated over a wide range, and it is likely that the price of our common stock will continue to be volatile in the future. The market price of our common stock could be impacted due to a variety of factors, including, in addition to global and industry-wide events:</w:t>
      </w:r>
    </w:p>
    <w:p>
      <w:pPr>
        <w:spacing w:after="0" w:line="73" w:lineRule="exact"/>
        <w:rPr>
          <w:sz w:val="20"/>
          <w:szCs w:val="20"/>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losses we may incur;</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86"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in patent or other proprietary rights owned or licensed by us, our collaborative partners or our competitors;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 concern as to the safety and efficacy of products developed by us or others; and</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due to one or more of the foregoing factors in one or more future quarters, our results of operations may fall below the expectations of securities analysts and investors. In that event, the market price of our common stock could materially decline.</w:t>
      </w:r>
    </w:p>
    <w:p>
      <w:pPr>
        <w:spacing w:after="0" w:line="27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A small number of our stockholders own a substantial amount of our outstanding common stock and may be deemed to have substantial control over us; therefore, your ability to influence corporate matters may be limited.</w:t>
      </w:r>
    </w:p>
    <w:p>
      <w:pPr>
        <w:spacing w:after="0" w:line="62"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Certain stockholders affiliated and associated with our officers and directors collectively own approximately 33.3% of our outstanding common stock as of December 31, 2019 and acting together, may have the ability to substantially affect matters submitted to our stockholders for approval. This concentration of ownership may have the effect of delaying, deferring or preventing a strategic transaction, even if such a transaction would benefit other stockholders.</w:t>
      </w:r>
    </w:p>
    <w:p>
      <w:pPr>
        <w:spacing w:after="0" w:line="295"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our company, which may be beneficial to our stockholders, more difficult and may prevent attempts by our stockholders to replace or remove our current management.</w:t>
      </w:r>
    </w:p>
    <w:p>
      <w:pPr>
        <w:spacing w:after="0" w:line="1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Provisions in our charter and bylaws may delay or prevent a merger, acquisition or other change of control that stockholders may consider favorable, including transactions in which you might otherwise receive a premium for your shares. These provisions include a classified board of directors. In addition, we are governed by the provisions of Section 203 of the Delaware General Corporation Law, which prohibits, with some exceptions, stockholders owning in excess of 15% of our outstanding voting stock from merging or combining with us. Although we believe these provisions together provide for an opportunity to receive higher bids by requiring potential acquirers to negotiate with our board of directors, they would apply even if the offer may be considered beneficial by some stockholders.</w:t>
      </w:r>
    </w:p>
    <w:p>
      <w:pPr>
        <w:spacing w:after="0" w:line="30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could result in additional dilution of the percentage ownership of our stockholders and could cause our share price to fall.</w:t>
      </w:r>
    </w:p>
    <w:p>
      <w:pPr>
        <w:spacing w:after="0" w:line="62"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266" w:lineRule="exact"/>
        <w:rPr>
          <w:sz w:val="20"/>
          <w:szCs w:val="20"/>
          <w:color w:val="auto"/>
        </w:rPr>
      </w:pPr>
    </w:p>
    <w:p>
      <w:pPr>
        <w:ind w:left="200" w:right="40"/>
        <w:spacing w:after="0" w:line="308" w:lineRule="auto"/>
        <w:rPr>
          <w:sz w:val="20"/>
          <w:szCs w:val="20"/>
          <w:color w:val="auto"/>
        </w:rPr>
      </w:pPr>
      <w:r>
        <w:rPr>
          <w:rFonts w:ascii="Arial" w:cs="Arial" w:eastAsia="Arial" w:hAnsi="Arial"/>
          <w:sz w:val="17"/>
          <w:szCs w:val="17"/>
          <w:b w:val="1"/>
          <w:bCs w:val="1"/>
          <w:i w:val="1"/>
          <w:iCs w:val="1"/>
          <w:color w:val="auto"/>
        </w:rPr>
        <w:t>Sales of a significant number of shares of our common stock in the public markets or significant short sales of our common stock, or the perception that such sales could occur, could depress the market price of our common stock and impair our ability to raise capital.</w:t>
      </w:r>
    </w:p>
    <w:p>
      <w:pPr>
        <w:spacing w:after="0" w:line="38"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As of December 31, 2019, there were: 1,969,797 shares of Series A Convertible Preferred stock outstanding, all of which were readily convertible into a like number of shares of our common stock at the option of the holders (the “Common Shares Underlying Our Preferred Stock”); an additional 1,461,987 shares of our common stock issuable upon the exercise of outstanding stock options (the “Common Shares Underlying Our Stock</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86"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Options”); and 4,177,854 shares of our common stock (the “Bay City Capital Holdings”) held by our largest stockholder, Bay City Capital LLC (“Bay City”). The Bay City Capital Holdings represent approximately 27% of our outstanding common as of December 31, 2019, and are capable of being sold directly (by Bay City) or indirectly (following any future distribution of Bay City Capital Holdings by Bay City to its partners), and any material sale of such shares could significantly reduce the market price of our common stock and impair our ability to raise adequate capital. The Common Shares Underlying Our Preferred Stock (assuming the full conversion of all currently outstanding preferred shares), the Common Shares Underlying Our Stock Options (assuming the complete exercise of all outstanding stock options) and the Bay City Capital Holdings represent 40.3% of our common stock on an as converted basis. Sales of a substantial number of any of such shares of our common stock or other equity-related securities in the public markets, could depress the market price of our common stock. If there are significant sales or short sales of our stock, the price decline that could result from this activity may cause the share price to decline further, which, in turn, may cause long holders of the common stock to sell their shares, thereby contributing to sales of common stock in the market. Such sales also may impair our ability to raise capital through the sale of additional shares in the future at a time and price that our management deems acceptable, if at all.</w:t>
      </w:r>
    </w:p>
    <w:p>
      <w:pPr>
        <w:spacing w:after="0" w:line="29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on our common stock, and accordingly, stockholders must rely on stock appreciation for any return on their investment.</w:t>
      </w:r>
    </w:p>
    <w:p>
      <w:pPr>
        <w:spacing w:after="0" w:line="62"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We have never declared or paid any cash dividend on our common stock and do not anticipate paying cash dividends on our common stock in the future. As a result, the only return to stockholders will be appreciation in the price of our common stock, which may never occur. Investors seeking cash dividends should not invest in our common stock.</w:t>
      </w:r>
    </w:p>
    <w:p>
      <w:pPr>
        <w:spacing w:after="0" w:line="28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We lease our approximately 10,500 square-foot corporate headquarters facility located in West Conshohocken, Pennsylvania. We believe our facility is adequate for our current needs. Our lease expires in January 2022. We plan to acquire additional space as our business continues to grow. We continue to evaluate our facility requirements and believe that appropriate space will be available to accommodate our future needs.</w:t>
      </w:r>
    </w:p>
    <w:p>
      <w:pPr>
        <w:spacing w:after="0" w:line="2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currently not a party to any material legal proceedings.</w:t>
      </w:r>
    </w:p>
    <w:p>
      <w:pPr>
        <w:spacing w:after="0" w:line="329"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86"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00" w:right="142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 Market Information</w:t>
      </w:r>
    </w:p>
    <w:p>
      <w:pPr>
        <w:ind w:left="640"/>
        <w:spacing w:after="0"/>
        <w:rPr>
          <w:sz w:val="20"/>
          <w:szCs w:val="20"/>
          <w:color w:val="auto"/>
        </w:rPr>
      </w:pPr>
      <w:r>
        <w:rPr>
          <w:rFonts w:ascii="Arial" w:cs="Arial" w:eastAsia="Arial" w:hAnsi="Arial"/>
          <w:sz w:val="18"/>
          <w:szCs w:val="18"/>
          <w:i w:val="1"/>
          <w:iCs w:val="1"/>
          <w:color w:val="auto"/>
        </w:rPr>
        <w:t>The term “Private Madrigal” refers to Madrigal Pharmaceuticals, Inc. prior to the consummation of the Merger.</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common stock has traded on the Nasdaq stock market under the symbol “MDGL” since July 25, 2016, the trading date following the consummation of our merger with Private Madrigal. Prior to July 25, 2016, our common stock was traded on the Nasdaq stock market under the symbol “SNTA.”</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As of February 20, 2020, there were approximately 28 holders of record of our common stock. This number does not include “street name” or beneficial holders, whose shares are held of record by banks, brokers, financial institutions and other nominees. In addition, we had two holders of record who owned shares of our Series A Convertible Preferred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We have not paid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contractual restrictions, capital requirements, and other factors that our board of directors deems relevant.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The graph set forth below compares the cumulative total stockholder return on our common stock between January 1, 2015 and December 31, 2019, with the cumulative total return of (a) the Nasdaq Biotechnology Index and (b) the Nasdaq Composite Index, over the same period. This graph assumes the investment of $100 on January 1, 2015 in our common stock, the Nasdaq Biotechnology Index and the Nasdaq Composite Index and assumes the reinvestment of dividends, if any. The vertical line on July 21, 2016 notes the date of the Merger.</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60"/>
          </w:cols>
          <w:pgMar w:left="240" w:top="48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134620</wp:posOffset>
            </wp:positionV>
            <wp:extent cx="5196840" cy="25984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96840"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The above Stock Performance Graph and related information shall not be deemed to be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request that such information be treated as soliciting material or specifically incorporate it by reference into a filing.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our equity compensation plans is incorporated herein by reference to our 2020 Proxy Statement.</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240" w:top="486" w:right="5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i w:val="1"/>
          <w:iCs w:val="1"/>
          <w:color w:val="auto"/>
        </w:rPr>
        <w:t>The statements of operations data for the years ended December 31, 2019, 2018 and 2017 and the balance sheet data as of December 31, 2019 and 2018 have been derived from our audited financial statements included elsewhere in this Annual Report on Form 10-K. The statements of operations data for the year ended December 31, 2016 and 2015 and the balance sheet data as of December 31, 2017, 2016 and 2015 have been derived from our audited financial statements not included in this Annual Report on Form 10-K. The following selected financial data should be read in conjunction with our “Management’s Discussion and Analysis of Financial Condition and Results of Operations” and financial statements and related notes to those statements included elsewhere in this Annual Report on Form 10-K.</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80" w:type="dxa"/>
            <w:vAlign w:val="bottom"/>
            <w:gridSpan w:val="15"/>
          </w:tcPr>
          <w:p>
            <w:pPr>
              <w:jc w:val="right"/>
              <w:ind w:right="760"/>
              <w:spacing w:after="0" w:line="142" w:lineRule="exact"/>
              <w:rPr>
                <w:sz w:val="20"/>
                <w:szCs w:val="20"/>
                <w:color w:val="auto"/>
              </w:rPr>
            </w:pPr>
            <w:r>
              <w:rPr>
                <w:rFonts w:ascii="Arial" w:cs="Arial" w:eastAsia="Arial" w:hAnsi="Arial"/>
                <w:sz w:val="14"/>
                <w:szCs w:val="14"/>
                <w:b w:val="1"/>
                <w:bCs w:val="1"/>
                <w:color w:val="auto"/>
                <w:w w:val="93"/>
              </w:rPr>
              <w:t>(in thousands, except per share 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(94,972)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(40,682)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income (expense),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(83,948)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(32,811)</w:t>
            </w: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(31,154)</w:t>
            </w:r>
          </w:p>
        </w:tc>
        <w:tc>
          <w:tcPr>
            <w:tcW w:w="1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(26,388)</w:t>
            </w:r>
          </w:p>
        </w:tc>
        <w:tc>
          <w:tcPr>
            <w:tcW w:w="1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340"/>
              <w:spacing w:after="0"/>
              <w:rPr>
                <w:sz w:val="20"/>
                <w:szCs w:val="20"/>
                <w:color w:val="auto"/>
              </w:rPr>
            </w:pPr>
            <w:r>
              <w:rPr>
                <w:rFonts w:ascii="Arial" w:cs="Arial" w:eastAsia="Arial" w:hAnsi="Arial"/>
                <w:sz w:val="18"/>
                <w:szCs w:val="18"/>
                <w:color w:val="auto"/>
              </w:rPr>
              <w:t>Net loss per common share:</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 net loss per common share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340"/>
              <w:spacing w:after="0" w:line="201" w:lineRule="exact"/>
              <w:rPr>
                <w:sz w:val="20"/>
                <w:szCs w:val="20"/>
                <w:color w:val="auto"/>
              </w:rPr>
            </w:pPr>
            <w:r>
              <w:rPr>
                <w:rFonts w:ascii="Arial" w:cs="Arial" w:eastAsia="Arial" w:hAnsi="Arial"/>
                <w:sz w:val="18"/>
                <w:szCs w:val="18"/>
                <w:color w:val="auto"/>
                <w:w w:val="92"/>
              </w:rPr>
              <w:t>Basic and diluted weighted average number of common shares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auto"/>
              </w:rPr>
              <w:t>outstanding</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15,394,659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14,796,712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12,244,939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5,204,644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171,012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2"/>
              </w:rPr>
              <w:t>As of December 31,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Cash, cash equivalents and marketable securities</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439,045</w:t>
            </w:r>
          </w:p>
        </w:tc>
        <w:tc>
          <w:tcPr>
            <w:tcW w:w="120" w:type="dxa"/>
            <w:vAlign w:val="bottom"/>
          </w:tcPr>
          <w:p>
            <w:pPr>
              <w:spacing w:after="0"/>
              <w:rPr>
                <w:sz w:val="18"/>
                <w:szCs w:val="18"/>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483,718</w:t>
            </w:r>
          </w:p>
        </w:tc>
        <w:tc>
          <w:tcPr>
            <w:tcW w:w="1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191,527</w:t>
            </w:r>
          </w:p>
        </w:tc>
        <w:tc>
          <w:tcPr>
            <w:tcW w:w="16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40,500</w:t>
            </w:r>
          </w:p>
        </w:tc>
        <w:tc>
          <w:tcPr>
            <w:tcW w:w="1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442,056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485,428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192,313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25,491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10,054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(223,220)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(139,272)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(106,461)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(75,307)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(48,920)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Total stockholders’ equity (deficit)</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416,565</w:t>
            </w:r>
          </w:p>
        </w:tc>
        <w:tc>
          <w:tcPr>
            <w:tcW w:w="120" w:type="dxa"/>
            <w:vAlign w:val="bottom"/>
          </w:tcPr>
          <w:p>
            <w:pPr>
              <w:spacing w:after="0"/>
              <w:rPr>
                <w:sz w:val="20"/>
                <w:szCs w:val="20"/>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476,984</w:t>
            </w:r>
          </w:p>
        </w:tc>
        <w:tc>
          <w:tcPr>
            <w:tcW w:w="14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182,259</w:t>
            </w:r>
          </w:p>
        </w:tc>
        <w:tc>
          <w:tcPr>
            <w:tcW w:w="16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36,410</w:t>
            </w:r>
          </w:p>
        </w:tc>
        <w:tc>
          <w:tcPr>
            <w:tcW w:w="12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(48,913)</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452"/>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86"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i w:val="1"/>
          <w:iCs w:val="1"/>
          <w:color w:val="auto"/>
        </w:rPr>
        <w:t>The Risk Factors in Part I, Item 1A and disclosures under “Cautionary Note Regarding Forward-Looking Statements” within this Annual Report on Form 10-K, the audited financial statements and accompanying notes, included elsewhere in this Annual Report on Form 10-K, and this Management’s Discussion and Analysis of Financial Condition and Results of Operations should be read together. In addition to historical information, this discussion and analysis contains forward-looking statements within the meaning of Section 27A of the Securities Act, and Section 21E of the Exchange Act. Operating results are not necessarily indicative of results that may occur for the full fiscal year or any other future period. The term “Synta” refers to Synta Pharmaceuticals Corp. prior to the consummation of the Merger described herein. Unless otherwise indicated, references to the terms “Madrigal,” the “Company,” “we,” “our” and “us” refer to Private Madrigal prior to the consummation of the Merger described herein and Madrigal Pharmaceuticals, Inc. (formerly known as Synta Pharmaceuticals Corp.) upon the consummation of the Merger described herein.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Madrigal Pharmaceuticals, Inc.</w:t>
      </w:r>
    </w:p>
    <w:p>
      <w:pPr>
        <w:spacing w:after="0" w:line="121"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i w:val="1"/>
          <w:iCs w:val="1"/>
          <w:color w:val="auto"/>
        </w:rPr>
        <w:t xml:space="preserve">Our Focus. </w:t>
      </w:r>
      <w:r>
        <w:rPr>
          <w:rFonts w:ascii="Arial" w:cs="Arial" w:eastAsia="Arial" w:hAnsi="Arial"/>
          <w:sz w:val="17"/>
          <w:szCs w:val="17"/>
          <w:color w:val="auto"/>
        </w:rPr>
        <w:t>We are a clinical-stage biopharmaceutical company focused on the development and commercialization of innovative therapeutic</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for the treatment of cardiovascular, metabolic, and liver diseases. Our lead product candidate, resmetirom (resmetirom), is a proprietary, liver-directed, selective thyroid hormone receptor-ß, or THR-ß, agonist being developed as a once-daily oral pill that can potentially be used to treat a number of disease states with high unmet medical need, including non-alcoholic steatohepatitis, or NASH.</w:t>
      </w:r>
    </w:p>
    <w:p>
      <w:pPr>
        <w:spacing w:after="0" w:line="17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 xml:space="preserve">Our Patient Market Opportunity. </w:t>
      </w:r>
      <w:r>
        <w:rPr>
          <w:rFonts w:ascii="Arial" w:cs="Arial" w:eastAsia="Arial" w:hAnsi="Arial"/>
          <w:sz w:val="16"/>
          <w:szCs w:val="16"/>
          <w:color w:val="auto"/>
        </w:rPr>
        <w:t>NASH is a serious inflammatory form of nonalcoholic fatty liver disease, or NAFLD. NAFLD has become the</w:t>
      </w:r>
      <w:r>
        <w:rPr>
          <w:rFonts w:ascii="Arial" w:cs="Arial" w:eastAsia="Arial" w:hAnsi="Arial"/>
          <w:sz w:val="16"/>
          <w:szCs w:val="16"/>
          <w:i w:val="1"/>
          <w:iCs w:val="1"/>
          <w:color w:val="auto"/>
        </w:rPr>
        <w:t xml:space="preserve"> </w:t>
      </w:r>
      <w:r>
        <w:rPr>
          <w:rFonts w:ascii="Arial" w:cs="Arial" w:eastAsia="Arial" w:hAnsi="Arial"/>
          <w:sz w:val="16"/>
          <w:szCs w:val="16"/>
          <w:color w:val="auto"/>
        </w:rPr>
        <w:t>most 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the United States alone, NAFLD is estimated to affect approximately 27% to 34% of the population, or an estimated 86 million to 108 million people, and approximately 10% to 20% of this population is projected to progress from NAFLD to NASH. Current estimates place NASH prevalence at approximately 9 million to 15 million people in the United States, or three percent to five percent of the population, with similar prevalence in Europe and Asia.</w:t>
      </w:r>
    </w:p>
    <w:p>
      <w:pPr>
        <w:spacing w:after="0" w:line="167"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i w:val="1"/>
          <w:iCs w:val="1"/>
          <w:color w:val="auto"/>
        </w:rPr>
        <w:t xml:space="preserve">Our Completed Studies. </w:t>
      </w:r>
      <w:r>
        <w:rPr>
          <w:rFonts w:ascii="Arial" w:cs="Arial" w:eastAsia="Arial" w:hAnsi="Arial"/>
          <w:sz w:val="16"/>
          <w:szCs w:val="16"/>
          <w:color w:val="auto"/>
        </w:rPr>
        <w:t>For NASH, we enrolled 125 patients in a Phase 2 clinical trial with resmetirom. We achieved the 12-week primary</w:t>
      </w:r>
      <w:r>
        <w:rPr>
          <w:rFonts w:ascii="Arial" w:cs="Arial" w:eastAsia="Arial" w:hAnsi="Arial"/>
          <w:sz w:val="16"/>
          <w:szCs w:val="16"/>
          <w:i w:val="1"/>
          <w:iCs w:val="1"/>
          <w:color w:val="auto"/>
        </w:rPr>
        <w:t xml:space="preserve"> </w:t>
      </w:r>
      <w:r>
        <w:rPr>
          <w:rFonts w:ascii="Arial" w:cs="Arial" w:eastAsia="Arial" w:hAnsi="Arial"/>
          <w:sz w:val="16"/>
          <w:szCs w:val="16"/>
          <w:color w:val="auto"/>
        </w:rPr>
        <w:t>endpoint for this Phase 2 clinical trial and reported the results in December 2017, and we reported positive topline 36-week results at the conclusion of the Phase 2 clinical trial in May 2018. We have completed treatment in a 36-week, open-label extension study in 31 participating NASH patients from our Phase 2 clinical trial, which includes 14 patients who received placebo in the main study. We also completed a 116 patient Phase 2 clinical trial and announced results in February 2018 for the use of resmetirom in patients with heterozygous familial hypercholesterolemia, or HeFH. In addition to the NASH and HeFH Phase 2 clinical trials, resmetirom has also been studied in eight completed Phase 1 trials in a total of 219 subjects. Resmetirom appeared to be safe and was well-tolerated in these trials, which included a single ascending dose trial, a multiple ascending dose trial, two drug interaction trials with statins, a multiple dose mass balance study, a single dose relative bioavailability study of tablet formulation versus capsule formulation, a multiple dose drug interaction study, and a multiple dose drug interaction with food effect study.</w:t>
      </w:r>
    </w:p>
    <w:p>
      <w:pPr>
        <w:spacing w:after="0" w:line="16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i w:val="1"/>
          <w:iCs w:val="1"/>
          <w:color w:val="auto"/>
        </w:rPr>
        <w:t xml:space="preserve">Our Ongoing and Planned Studies. </w:t>
      </w:r>
      <w:r>
        <w:rPr>
          <w:rFonts w:ascii="Arial" w:cs="Arial" w:eastAsia="Arial" w:hAnsi="Arial"/>
          <w:sz w:val="16"/>
          <w:szCs w:val="16"/>
          <w:color w:val="auto"/>
        </w:rPr>
        <w:t>On March 28, 2019, the Company announced that it had initiated MAESTRO-NASH, a Phase 3 trial in NASH</w:t>
      </w:r>
      <w:r>
        <w:rPr>
          <w:rFonts w:ascii="Arial" w:cs="Arial" w:eastAsia="Arial" w:hAnsi="Arial"/>
          <w:sz w:val="16"/>
          <w:szCs w:val="16"/>
          <w:i w:val="1"/>
          <w:iCs w:val="1"/>
          <w:color w:val="auto"/>
        </w:rPr>
        <w:t xml:space="preserve"> </w:t>
      </w:r>
      <w:r>
        <w:rPr>
          <w:rFonts w:ascii="Arial" w:cs="Arial" w:eastAsia="Arial" w:hAnsi="Arial"/>
          <w:sz w:val="16"/>
          <w:szCs w:val="16"/>
          <w:color w:val="auto"/>
        </w:rPr>
        <w:t>with its once daily, oral thyroid hormone receptor beta selective agonist, resmetirom. This double-blind, placebo-controlled study will be conducted at more than 150 sites in the United States and the rest of the world. Patients with liver biopsy confirmed NASH with stage 2 or 3 fibrosis will</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86"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3" w:lineRule="auto"/>
        <w:rPr>
          <w:sz w:val="20"/>
          <w:szCs w:val="20"/>
          <w:color w:val="auto"/>
        </w:rPr>
      </w:pPr>
      <w:r>
        <w:rPr>
          <w:rFonts w:ascii="Arial" w:cs="Arial" w:eastAsia="Arial" w:hAnsi="Arial"/>
          <w:sz w:val="18"/>
          <w:szCs w:val="18"/>
          <w:color w:val="auto"/>
        </w:rPr>
        <w:t>be randomized 1:1:1 to receive a single oral daily dose of placebo, resmetirom 80 mg or resmetirom 100 mg. A second liver biopsy at week 52 in the first 900 patients will be the basis of filing for subpart H-accelerated approval; the primary endpoint will be the percent of patients treated with either dose of resmetirom as compared with placebo who achieve NASH resolution on the week 52 liver biopsy, defined as the absence of hepatocyte ballooning (score=0), and minimal lobular inflammation (score 0-1), associated with at least a 2-point reduction in NAS,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 hepatic decompensation. The total anticipated enrollment is approximately 2,000 patients, and will include up to 15% high risk F1 fibrosis stage NASH patients whose efficacy responses will be evaluated as exploratory endpoints.</w:t>
      </w:r>
    </w:p>
    <w:p>
      <w:pPr>
        <w:spacing w:after="0" w:line="19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On December 10, 2019 the Company announced it had opened for enrollment MAESTRO-NAFLD-1, a 52-week, double-blind, placebo controlled Phase 3 clinical study in 700 patients with biopsy-confirmed or presumed NASH recruited from sites in the U.S. Key endpoints are safety, including safety biomarkers, LDL cholesterol, lipid biomarkers, and fibrosis biomarkers. Except for serial liver biopsies, the study protocol is similar to the MAESTRO-NASH study with resmetirom doses of 80 mg or 100 mg or placebo and includes key secondary lipid, MRI-PDFF and NASH biomarker endpoints. In addition, MAESTRO-NAFLD-1 includes an open label arm in which up to 100 patients will be dosed with 100 mg resmetirom. The MAESTRO -NAFLD-1 study will help support the adequacy of the safety database at the time of NDA submission for subpart H approval for treatment of NASH in patients with F2 or F3 fibrosis (MAESTRO-NASH, NASH resolution surrogate endpoint).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Initiation of MAESTRO-NASH Phase 3 clinical trial</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March of 2019 we initiated a Phase 3 trial in NASH, described in detail above under “About Madrigal; Our Ongoing and Planned Studies.” In the second quarter, the Phase 3 NASH trial triggered a $2 million milestone payment under our Research, Development and Commercialization Agreement with Hoffmann-La Roche (“Roche”).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FDA grants Fast Track designation for resmetirom in NASH</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October 2019, FDA granted Fast Track designation to resmetirom for NASH.</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Initiation of MAESTRO-NAFLD-1 Phase 3 clinical trial</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December 2019 we initiated a Phase 3 trial in presumed NASH, described in detail above under “About Madrigal; Our Ongoing and Planned Studies.”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Key Developments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In October 2016, we initiated a Phase 2 clinical trial in NASH ([NCT02912260] at www.ClinicalTrials.gov). The randomized, double-blind, placebo-controlled, multi-center Phase 2 study enrolled 125 patients 18 years of age and older with biopsy-confirmed NASH. Patients were randomized to receive either placebo or resmetirom, twice as many receiving resmetirom as placebo. Efficacy was confirmed at the end of the trial (36 weeks) by repeat Magnetic Resonance Imaging—Proton Density Fat Fraction, or MRI-PDFF, and conventional liver biopsy to examine histological evidence for the resolution of NASH. Recent published data show a high correlation of reduction of liver fat measured by MRI-PDFF to NASH scoring on liver biopsy. Other secondary endpoints included changes in clinically relevant biomarkers at 12 and 36 weeks, improvement in fibrosis by at least one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86"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stage with no worsening of steatohepatitis, and safety and tolerability. We reached our top-line analysis of the primary endpoint in December 2017, and we reached our top-line analysis of multiple 36-week endpoints, including key secondary endpoints, reduction and resolution of NASH on liver biopsy, in May 2018.</w:t>
      </w:r>
    </w:p>
    <w:p>
      <w:pPr>
        <w:spacing w:after="0" w:line="18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February 2017, we initiated a Phase 2 clinical trial in HeFH ([NCT03038022] at www.ClinicalTrials.gov). The 12-week, randomized, double-blind, placebo-controlled, multi-center Phase 2 clinical trial enrolled 116 patients with HeFH in several European countries. Patients were randomized in a 2:1 ratio to receive either resmetirom or placebo, in addition to their current drug regimen (including high dose statins and/or ezetimibe). The primary endpoint of the study was reduction of LDL cholesterol, with secondary endpoints including reductions in TGs, Lp(a), and ApoB, as well as safety. Lp(a) is a severely atherogenic lipid particle, commonly elevated in familial hypercholesterolemia patients, the levels of which are not adequately reduced by existing lipid lowering therapies. THR-ß agonism is one of the few therapeutic approaches that can substantially lower Lp(a). In February 2018, we announced positive results from the 12 week Phase 2 clinical trial in HeFH.</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Reverse Merger</w:t>
      </w:r>
    </w:p>
    <w:p>
      <w:pPr>
        <w:spacing w:after="0" w:line="117"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On July 22, 2016, Synta completed its business combination with Private Madrigal in accordance with the terms of an Agreement and Plan of Merger and Reorganization, dated as of April 13, 2016, or the Merger Agreement. Pursuant to the Merger Agreement, Synta formed a wholly-owned subsidiary that merged with and into Private Madrigal, with Private Madrigal surviving the merger and becoming a wholly-owned subsidiary of Synta, or the Merger. In connection with, and prior to the consummation of, the Merger, Synta effected a 1-for-35 reverse stock split of its common stock, or the Reverse Stock Split, and, following the Merger, changed its name to “Madrigal Pharmaceuticals, Inc.” All shares and per share amounts have been retrospectively adjusted to give effect to the Reverse Stock Split, except as otherwise disclosed. Following the consummation of the Merger, our business became the business conducted by Private Madrigal prior to the consummation of the Merger.</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117" w:lineRule="exact"/>
        <w:rPr>
          <w:sz w:val="20"/>
          <w:szCs w:val="20"/>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salaries and related expense, including stock-based compensation;</w:t>
      </w:r>
    </w:p>
    <w:p>
      <w:pPr>
        <w:spacing w:after="0" w:line="117"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pacing w:after="0" w:line="62"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expenses related to development and the production of nonclinical and clinical trial supplies, including fees paid to contract manufacturers;</w:t>
      </w:r>
    </w:p>
    <w:p>
      <w:pPr>
        <w:spacing w:after="0" w:line="140" w:lineRule="exact"/>
        <w:rPr>
          <w:rFonts w:ascii="Arial" w:cs="Arial" w:eastAsia="Arial" w:hAnsi="Arial"/>
          <w:sz w:val="16"/>
          <w:szCs w:val="16"/>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86"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Our research and development expenses have increased year over year in each of 2017, 2018, and 2019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66"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expenses and the disclosure of contingent assets and liabilities at the date of the financial statements. On an ongoing basis, we evaluate our estimates and judgments, including those related to accrued research and development expenses.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Research and development costs are expensed as incurred. Research and development costs are comprised of costs incurred in performing research and development activities, including internal costs (including stock-</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60"/>
          </w:cols>
          <w:pgMar w:left="240" w:top="48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milestones events per underlying agreements, invoices received and contracted costs when estimating the research and development costs to accrue in each reporting period. Actual results could differ from the Company’s estimates. The Company’s historical estimates for research and development costs have not been materially different from the actual costs.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did not generate any revenue during the years ended December 31, 2019 and 2018, respectively.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comparative results of our operating expenses for the years ended December 31, 2019 and 2018 (in thousands):</w:t>
      </w:r>
    </w:p>
    <w:p>
      <w:pPr>
        <w:spacing w:after="0" w:line="24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w w:val="98"/>
              </w:rPr>
              <w:t>Year ended December 31,</w:t>
            </w:r>
          </w:p>
        </w:tc>
        <w:tc>
          <w:tcPr>
            <w:tcW w:w="18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7"/>
              </w:rPr>
              <w:t>Increase / (Decrease)</w:t>
            </w: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72,324</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25,389</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46,935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22,648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15,293</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7,355</w:t>
            </w:r>
          </w:p>
        </w:tc>
        <w:tc>
          <w:tcPr>
            <w:tcW w:w="3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(11,024)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(7,671)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(Income)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(200)</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83,948</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32,811</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51,137</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r>
      <w:tr>
        <w:trPr>
          <w:trHeight w:val="40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200"/>
          </w:cols>
          <w:pgMar w:left="240" w:top="486"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research and development expenses were $72.3 million for the year ended December 31, 2019 compared to $25.4 million for the year ended December 31, 2018. Research and development expenses increased by $46.9 million in the 2019 period due primarily to the additional activities related to the initiation of the Phase 3 clinical trial in NASH, including a payment due related to a milestone achieved under our agreement with Roche, an increase in head count, and an increase in non-cash stock compensation from stock option awards. We expect our research and development expenses to increase over the next several years as we advance our clinical and preclinical development programs for resmetirom and as we increase our research and development efforts in connection therewith.</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general and administrative expenses were $22.6 million for the year ended December 31, 2019 compared to $15.3 million for the year ended December 31, 2018. General and administrative expenses increased by $7.4 million in the 2019 period due primarily to an increase in non-cash stock compensation from stock option awards. We expect our general and administrative expenses to increase over the next several years as we advance our clinical and preclinical development programs for resmetirom and continue operating as a public company, both of which will likely result in an increase in our headcount, consulting services, and certain overhead needed to support those efforts.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interest income was $11.0 million for the year ended December 31, 2019 compared to $7.7 million for the year ended December 31, 2018.</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increase in interest income was due primarily to a higher average principal balance in our investment account in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did not generate any revenue during the years ended December 31, 2018 and 2017, respectively.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comparative results of our operating expenses for the years ended December 31, 2018 and 2017 (in thousands):</w:t>
      </w:r>
    </w:p>
    <w:p>
      <w:pPr>
        <w:spacing w:after="0" w:line="24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w w:val="97"/>
              </w:rPr>
              <w:t>Year ended December 31,</w:t>
            </w:r>
          </w:p>
        </w:tc>
        <w:tc>
          <w:tcPr>
            <w:tcW w:w="22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Increase / (Decrease)</w:t>
            </w: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25,389</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24,390</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15,293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7,672</w:t>
            </w: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7,621</w:t>
            </w:r>
          </w:p>
        </w:tc>
        <w:tc>
          <w:tcPr>
            <w:tcW w:w="6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1275%</w:t>
            </w: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(Income)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(350)</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32,811</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31,154</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research and development expenses were $25.4 million for the year ended December 31, 2018 compared to $24.4 million for the year ended December 31, 2017. Research and development expenses increased by $1.0 million in the 2018 period due primarily to an increase in non-cash stock compensation from stock option awards partially offset by a decrease related to our Phase 2 clinical trials due to the completion of treatment in 2018. We expect our research and development expenses to increase over the next several years as we advance our clinical and preclinical development programs for resmetirom and as we increase our research and development efforts in connection therewith.</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86"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general and administrative expenses were $15.3 million for the year ended December 31, 2018 compared to $7.7 million for the year ended December 31, 2017. General and administrative expenses increased by $7.6 million in the 2018 period due primarily to an increase in non-cash stock compensation from stock option awards. We expect our general and administrative expenses to increase over the next several years as we advance our clinical and preclinical development programs for resmetirom and continue operating as a public company, both of which will likely result in an increase in our headcount, consulting services, and certain overhead needed to support those efforts.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Our interest income was $7.7 million for the year ended December 31, 2018 compared to $0.6 million for the year ended December 31, 2017. The increase in interest income was due primarily to a higher average principal balance in our investment account in 2018 and increased interest rates.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Since inception, we have incurred significant net losses and we have funded our operations primarily through the issuance of convertible debt, the issuance of shares of our common stock and shares of our preferred stock, and the proceeds from the Merger.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w:t>
      </w:r>
    </w:p>
    <w:p>
      <w:pPr>
        <w:spacing w:after="0" w:line="171" w:lineRule="exact"/>
        <w:rPr>
          <w:sz w:val="20"/>
          <w:szCs w:val="20"/>
          <w:color w:val="auto"/>
        </w:rPr>
      </w:pPr>
    </w:p>
    <w:p>
      <w:pPr>
        <w:ind w:left="200" w:right="440" w:firstLine="441"/>
        <w:spacing w:after="0" w:line="257" w:lineRule="auto"/>
        <w:rPr>
          <w:sz w:val="20"/>
          <w:szCs w:val="20"/>
          <w:color w:val="auto"/>
        </w:rPr>
      </w:pPr>
      <w:r>
        <w:rPr>
          <w:rFonts w:ascii="Arial" w:cs="Arial" w:eastAsia="Arial" w:hAnsi="Arial"/>
          <w:sz w:val="18"/>
          <w:szCs w:val="18"/>
          <w:color w:val="auto"/>
        </w:rPr>
        <w:t>As of December 31, 2019, we had cash, cash equivalents and marketable securities totaling $439.0 million compared to $483.7 million as of December 31, 2018, with the decrease attributable to the funding of operations. Our cash and investment balances are held in a variety of interest 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88"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We anticipate continuing to incur operating losses for the foreseeable future. While our rate of cash usage will likely increase in the future, in particular to support our product development and clinical trial efforts, we believe our available cash resources as of December 31, 2019 will be sufficient to fund our operations past one year from the issuance of the financial statements contained herein. Future capital requirements will be substantial and will depend on many factors. To meet future capital requirements, we will need to raise additional capital to fund our operations through equity or debt financing. We regularly consider fundraising opportunities and may decide, from time to time, to raise capital based on various factors, including market conditions and our plans of operation. Additional capital may not be available on terms acceptable to us, or at all.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net cash flow activity (in thousands):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$(41,624)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(25,507)</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 (22,317)</w:t>
            </w: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30,707</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(380,076)</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(22,006)</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314,335</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173,805</w:t>
            </w:r>
          </w:p>
        </w:tc>
        <w:tc>
          <w:tcPr>
            <w:tcW w:w="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6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$(10,682)</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(91,248)</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$129,482</w:t>
            </w:r>
          </w:p>
        </w:tc>
        <w:tc>
          <w:tcPr>
            <w:tcW w:w="80" w:type="dxa"/>
            <w:vAlign w:val="bottom"/>
          </w:tcPr>
          <w:p>
            <w:pPr>
              <w:spacing w:after="0"/>
              <w:rPr>
                <w:sz w:val="19"/>
                <w:szCs w:val="19"/>
                <w:color w:val="auto"/>
              </w:rPr>
            </w:pPr>
          </w:p>
        </w:tc>
      </w:tr>
      <w:tr>
        <w:trPr>
          <w:trHeight w:val="391"/>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20" w:type="dxa"/>
            <w:vAlign w:val="bottom"/>
          </w:tcPr>
          <w:p>
            <w:pPr>
              <w:jc w:val="right"/>
              <w:ind w:right="1750"/>
              <w:spacing w:after="0"/>
              <w:rPr>
                <w:sz w:val="20"/>
                <w:szCs w:val="20"/>
                <w:color w:val="auto"/>
              </w:rPr>
            </w:pPr>
            <w:r>
              <w:rPr>
                <w:rFonts w:ascii="Arial" w:cs="Arial" w:eastAsia="Arial" w:hAnsi="Arial"/>
                <w:sz w:val="18"/>
                <w:szCs w:val="18"/>
                <w:color w:val="auto"/>
              </w:rPr>
              <w:t>59</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20"/>
          </w:cols>
          <w:pgMar w:left="240" w:top="486"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Net cash used in operating activities was $41.6 million, $25.5 million, and $22.3 million for the years ended December 31, 2019, 2018 and 2017, respectively. The use of cash in these periods resulted primarily from our losses from operations, as adjusted for non-cash charges for stock-based compensation, and changes in our working capital accounts. Net cash used in the year ended December 31, 2019 increased from prior years predominately due to escalated clinical trial related activity.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Net cash provided by investing activities was $30.7 million for the year ended December 31, 2019 and consisted primarily of $650.2 million from sales and maturities of marketable securities, partially offset by $619.3 million of purchases of marketable securities for our investment portfolio.</w:t>
      </w:r>
    </w:p>
    <w:p>
      <w:pPr>
        <w:spacing w:after="0" w:line="124"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Net cash used in investing activities was $380.1 million for the year ended December 31, 2018 and consisted primarily of $614.4 million of purchases of marketable securities for our investment portfolio, partially offset by $234.3 million from sales and maturities of marketable securities.</w:t>
      </w:r>
    </w:p>
    <w:p>
      <w:pPr>
        <w:spacing w:after="0" w:line="124"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Net cash used in investing activities was $22.0 million for the year ended December 31, 2017 and consisted primarily of $70.2 million of purchases of marketable securities for our investment portfolio, partially offset by $48.3 million from sales and maturities of marketable securities.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Net cash provided by financing activities was $0.2 million for the year ended December 31, 2019 and consisted primarily of proceeds from the exercise of stock options.</w:t>
      </w:r>
    </w:p>
    <w:p>
      <w:pPr>
        <w:spacing w:after="0" w:line="170"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Net cash provided by financing activities was $314.3 million for the year ended December 31, 2018 and consisted primarily of sales of our common stock in the June 2018 Registered Offering and the exercise of stock options.</w:t>
      </w:r>
    </w:p>
    <w:p>
      <w:pPr>
        <w:spacing w:after="0" w:line="170"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Net cash provided by financing activities was $173.8 million for the year ended December 31, 2017 and consisted primarily of net proceeds from sales of our common stock under the October 2015 Sales Agreement, sales of our common stock and our preferred stock in the June 2017 Offering, and sales of our common stock in the December 2017 Registered Offering.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2019, we had contractual obligations and commercial commitments as follows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2"/>
              </w:rPr>
              <w:t>Payments Due by Period</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Less Than</w:t>
            </w: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Than</w:t>
            </w:r>
          </w:p>
        </w:tc>
        <w:tc>
          <w:tcPr>
            <w:tcW w:w="0" w:type="dxa"/>
            <w:vAlign w:val="bottom"/>
          </w:tcPr>
          <w:p>
            <w:pPr>
              <w:spacing w:after="0"/>
              <w:rPr>
                <w:sz w:val="1"/>
                <w:szCs w:val="1"/>
                <w:color w:val="auto"/>
              </w:rPr>
            </w:pPr>
          </w:p>
        </w:tc>
      </w:tr>
      <w:tr>
        <w:trPr>
          <w:trHeight w:val="171"/>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230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4"/>
                <w:szCs w:val="14"/>
                <w:color w:val="auto"/>
              </w:rPr>
            </w:pPr>
          </w:p>
        </w:tc>
        <w:tc>
          <w:tcPr>
            <w:tcW w:w="640" w:type="dxa"/>
            <w:vAlign w:val="bottom"/>
          </w:tcPr>
          <w:p>
            <w:pPr>
              <w:jc w:val="right"/>
              <w:ind w:right="56"/>
              <w:spacing w:after="0"/>
              <w:rPr>
                <w:sz w:val="20"/>
                <w:szCs w:val="20"/>
                <w:color w:val="auto"/>
              </w:rPr>
            </w:pPr>
            <w:r>
              <w:rPr>
                <w:rFonts w:ascii="Arial" w:cs="Arial" w:eastAsia="Arial" w:hAnsi="Arial"/>
                <w:sz w:val="14"/>
                <w:szCs w:val="14"/>
                <w:b w:val="1"/>
                <w:bCs w:val="1"/>
                <w:color w:val="auto"/>
              </w:rPr>
              <w:t>1 Year</w:t>
            </w:r>
          </w:p>
        </w:tc>
        <w:tc>
          <w:tcPr>
            <w:tcW w:w="17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1 - 3 Years</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4 - 5 Years</w:t>
            </w:r>
          </w:p>
        </w:tc>
        <w:tc>
          <w:tcPr>
            <w:tcW w:w="1080" w:type="dxa"/>
            <w:vAlign w:val="bottom"/>
            <w:gridSpan w:val="3"/>
          </w:tcPr>
          <w:p>
            <w:pPr>
              <w:jc w:val="center"/>
              <w:ind w:left="368"/>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98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765</w:t>
            </w:r>
          </w:p>
        </w:tc>
        <w:tc>
          <w:tcPr>
            <w:tcW w:w="5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5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98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765</w:t>
            </w:r>
          </w:p>
        </w:tc>
        <w:tc>
          <w:tcPr>
            <w:tcW w:w="5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5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Operating leases relates to our corporate headquarters facility located in West Conshohocken, Pennsylvania.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entered into customary contractual arrangements in support of the Phase 3 clinical trials.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40" w:top="486"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have any off balance sheet arrangements as defined in Item 303(a)(4)(ii) of Regulation S-K.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Refer to Note 2, “Summary of Significant Accounting Policies,” in the accompanying notes to the consolidated financial statements for a discussion of recent accounting pronouncements.</w:t>
      </w:r>
    </w:p>
    <w:p>
      <w:pPr>
        <w:spacing w:after="0" w:line="27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twelve months and no security with an effective duration in excess of twenty-four months, which we believe are subject to limited credit risk. We currently do not hedge interest rate exposure. Due to the short-term duration of our investment portfolio and the low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Market Risk</w:t>
      </w:r>
    </w:p>
    <w:p>
      <w:pPr>
        <w:spacing w:after="0" w:line="117"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We currently have no product revenues and depend on funds raised through other sources. One source of funding is through future debt or equity offerings. Our ability to raise funds in this manner depends upon, among other things, capital market forces affecting our stock price.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Inflation has not had a material effect on our business, financial condition or results of operations during the years ended December 31, 2019,</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 or 2017.</w:t>
      </w:r>
    </w:p>
    <w:p>
      <w:pPr>
        <w:spacing w:after="0" w:line="315"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information required by this Item 8 is referred to in Item 15, listed in the Index to Financial Statements as a part of this Annual Report on Form 10-K, and is incorporated herein by this reference.</w:t>
      </w:r>
    </w:p>
    <w:p>
      <w:pPr>
        <w:spacing w:after="0" w:line="275"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60"/>
          </w:cols>
          <w:pgMar w:left="240" w:top="486"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Under the supervision of our principal executive officer and principal financial officer, we evaluated the effectiveness of our disclosure controls and procedures as of the end of the period covered by this Report. Based on that evaluation, our principal executive officer and principal financial officer have concluded that our disclosure controls and procedures were effective at the reasonable assurance level as of December 31, 2019.</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for our company. Internal control over financial reporting is a process designed to provide reasonable assurance regarding the reliability of financial reporting and the preparation of financial statements for external purposes in accordance with GAAP.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Our management, including our principal executive officer and our principal financial officer, assessed the effectiveness of our internal control over financial reporting as of December 31, 2019. In making this assessment, our management used the criteria set forth in the “Internal Control— Integrated Framework” issued by the Committee of Sponsoring Organizations of the Treadway Commission (2013 framework). Based on its assessment under that framework, our management concluded that our internal control over financial reporting was effective as of December 31, 2019.</w:t>
      </w:r>
    </w:p>
    <w:p>
      <w:pPr>
        <w:spacing w:after="0" w:line="15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PricewaterhouseCoopers LLP, an independent registered public accounting firm, has audited the effectiveness of our internal control over financial reporting as of December 31, 2019, as stated in its report, which is included herein.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2019 that have materially affected, or are reasonably likely to materially affect our internal control over financial reporting.</w:t>
      </w:r>
    </w:p>
    <w:p>
      <w:pPr>
        <w:spacing w:after="0" w:line="27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86"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Certain information required by Part III is omitted from this Annual Report on Form 10-K because we intend to file our definitive Proxy Statement for our next Annual Meeting of Stockholders, pursuant to Regulation 14A of the Securities Exchange Act of 1934, as amended, or the 2020 Proxy Statement, no later than April 30, 2020, and certain information to be included in the 2020 Proxy Statement is incorporated herein by reference.</w:t>
      </w:r>
    </w:p>
    <w:p>
      <w:pPr>
        <w:spacing w:after="0" w:line="25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information required by this item concerning our directors, executive officers, Section 16 compliance and corporate governance matters is incorporated by reference in our 2020 Proxy Statement.</w:t>
      </w:r>
    </w:p>
    <w:p>
      <w:pPr>
        <w:spacing w:after="0" w:line="27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required by this item regarding executive compensation is incorporated by reference in our 2020 Proxy Statement.</w:t>
      </w:r>
    </w:p>
    <w:p>
      <w:pPr>
        <w:spacing w:after="0" w:line="329"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is incorporated by reference in our 2020 Proxy Statement.</w:t>
      </w:r>
    </w:p>
    <w:p>
      <w:pPr>
        <w:spacing w:after="0" w:line="27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information required by this item regarding certain relationships and related transactions is incorporated by reference in our 2020 Proxy Statement.</w:t>
      </w:r>
    </w:p>
    <w:p>
      <w:pPr>
        <w:spacing w:after="0" w:line="27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information required by this item regarding principal accounting fees and services is incorporated by reference in our 2020 Proxy Statement.</w:t>
      </w:r>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240" w:top="486" w:right="5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2540" w:type="dxa"/>
            <w:vAlign w:val="bottom"/>
            <w:gridSpan w:val="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rPr>
              <w:t>PART IV</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gridSpan w:val="3"/>
          </w:tcPr>
          <w:p>
            <w:pPr>
              <w:ind w:left="200"/>
              <w:spacing w:after="0"/>
              <w:rPr>
                <w:sz w:val="20"/>
                <w:szCs w:val="20"/>
                <w:color w:val="auto"/>
              </w:rPr>
            </w:pPr>
            <w:r>
              <w:rPr>
                <w:rFonts w:ascii="Arial" w:cs="Arial" w:eastAsia="Arial" w:hAnsi="Arial"/>
                <w:sz w:val="18"/>
                <w:szCs w:val="18"/>
                <w:b w:val="1"/>
                <w:bCs w:val="1"/>
                <w:color w:val="auto"/>
              </w:rPr>
              <w:t>Item 15.</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20"/>
          </w:tcPr>
          <w:p>
            <w:pPr>
              <w:ind w:left="200"/>
              <w:spacing w:after="0"/>
              <w:rPr>
                <w:sz w:val="20"/>
                <w:szCs w:val="20"/>
                <w:color w:val="auto"/>
              </w:rPr>
            </w:pPr>
            <w:r>
              <w:rPr>
                <w:rFonts w:ascii="Arial" w:cs="Arial" w:eastAsia="Arial" w:hAnsi="Arial"/>
                <w:sz w:val="18"/>
                <w:szCs w:val="18"/>
                <w:b w:val="1"/>
                <w:bCs w:val="1"/>
                <w:color w:val="auto"/>
              </w:rPr>
              <w:t>EXHIBITS AND FINANCIAL STATEMENT SCHEDULES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3"/>
          </w:tcPr>
          <w:p>
            <w:pPr>
              <w:ind w:left="200"/>
              <w:spacing w:after="0"/>
              <w:rPr>
                <w:sz w:val="20"/>
                <w:szCs w:val="20"/>
                <w:color w:val="auto"/>
              </w:rPr>
            </w:pPr>
            <w:r>
              <w:rPr>
                <w:rFonts w:ascii="Arial" w:cs="Arial" w:eastAsia="Arial" w:hAnsi="Arial"/>
                <w:sz w:val="18"/>
                <w:szCs w:val="18"/>
                <w:b w:val="1"/>
                <w:bCs w:val="1"/>
                <w:color w:val="auto"/>
              </w:rPr>
              <w:t>Item 15(a)</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0" w:type="dxa"/>
            <w:vAlign w:val="bottom"/>
            <w:gridSpan w:val="26"/>
          </w:tcPr>
          <w:p>
            <w:pPr>
              <w:ind w:left="200"/>
              <w:spacing w:after="0"/>
              <w:rPr>
                <w:sz w:val="20"/>
                <w:szCs w:val="20"/>
                <w:color w:val="auto"/>
              </w:rPr>
            </w:pPr>
            <w:r>
              <w:rPr>
                <w:rFonts w:ascii="Arial" w:cs="Arial" w:eastAsia="Arial" w:hAnsi="Arial"/>
                <w:sz w:val="18"/>
                <w:szCs w:val="18"/>
                <w:color w:val="auto"/>
                <w:w w:val="93"/>
              </w:rPr>
              <w:t>The following documents are filed as part of, or incorporated by reference into, this Annual Report on Form 10-K:</w:t>
            </w:r>
          </w:p>
        </w:tc>
        <w:tc>
          <w:tcPr>
            <w:tcW w:w="0" w:type="dxa"/>
            <w:vAlign w:val="bottom"/>
          </w:tcPr>
          <w:p>
            <w:pPr>
              <w:spacing w:after="0"/>
              <w:rPr>
                <w:sz w:val="1"/>
                <w:szCs w:val="1"/>
                <w:color w:val="auto"/>
              </w:rPr>
            </w:pPr>
          </w:p>
        </w:tc>
      </w:tr>
      <w:tr>
        <w:trPr>
          <w:trHeight w:val="310"/>
        </w:trPr>
        <w:tc>
          <w:tcPr>
            <w:tcW w:w="2540" w:type="dxa"/>
            <w:vAlign w:val="bottom"/>
            <w:gridSpan w:val="6"/>
          </w:tcPr>
          <w:p>
            <w:pPr>
              <w:ind w:left="200"/>
              <w:spacing w:after="0"/>
              <w:rPr>
                <w:sz w:val="20"/>
                <w:szCs w:val="20"/>
                <w:color w:val="auto"/>
              </w:rPr>
            </w:pPr>
            <w:r>
              <w:rPr>
                <w:rFonts w:ascii="Arial" w:cs="Arial" w:eastAsia="Arial" w:hAnsi="Arial"/>
                <w:sz w:val="18"/>
                <w:szCs w:val="18"/>
                <w:b w:val="1"/>
                <w:bCs w:val="1"/>
                <w:color w:val="auto"/>
              </w:rPr>
              <w:t>Item 15(a)(1) and (2)</w:t>
            </w:r>
          </w:p>
        </w:tc>
        <w:tc>
          <w:tcPr>
            <w:tcW w:w="8600" w:type="dxa"/>
            <w:vAlign w:val="bottom"/>
            <w:gridSpan w:val="26"/>
          </w:tcPr>
          <w:p>
            <w:pPr>
              <w:ind w:left="200"/>
              <w:spacing w:after="0"/>
              <w:rPr>
                <w:sz w:val="20"/>
                <w:szCs w:val="20"/>
                <w:color w:val="auto"/>
              </w:rPr>
            </w:pPr>
            <w:r>
              <w:rPr>
                <w:rFonts w:ascii="Arial" w:cs="Arial" w:eastAsia="Arial" w:hAnsi="Arial"/>
                <w:sz w:val="18"/>
                <w:szCs w:val="18"/>
                <w:color w:val="auto"/>
                <w:w w:val="90"/>
              </w:rPr>
              <w:t>The Consolidated Financial Statements beginning on page F-1 are filed as part of this Annual Report on Form 10-K.</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0" w:type="dxa"/>
            <w:vAlign w:val="bottom"/>
            <w:gridSpan w:val="26"/>
          </w:tcPr>
          <w:p>
            <w:pPr>
              <w:ind w:left="200"/>
              <w:spacing w:after="0"/>
              <w:rPr>
                <w:sz w:val="20"/>
                <w:szCs w:val="20"/>
                <w:color w:val="auto"/>
              </w:rPr>
            </w:pPr>
            <w:r>
              <w:rPr>
                <w:rFonts w:ascii="Arial" w:cs="Arial" w:eastAsia="Arial" w:hAnsi="Arial"/>
                <w:sz w:val="18"/>
                <w:szCs w:val="18"/>
                <w:color w:val="auto"/>
                <w:w w:val="91"/>
              </w:rPr>
              <w:t>Other financial statement schedules have been omitted because the information required to be presented in them is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60" w:type="dxa"/>
            <w:vAlign w:val="bottom"/>
            <w:gridSpan w:val="20"/>
          </w:tcPr>
          <w:p>
            <w:pPr>
              <w:ind w:left="200"/>
              <w:spacing w:after="0"/>
              <w:rPr>
                <w:sz w:val="20"/>
                <w:szCs w:val="20"/>
                <w:color w:val="auto"/>
              </w:rPr>
            </w:pPr>
            <w:r>
              <w:rPr>
                <w:rFonts w:ascii="Arial" w:cs="Arial" w:eastAsia="Arial" w:hAnsi="Arial"/>
                <w:sz w:val="18"/>
                <w:szCs w:val="18"/>
                <w:color w:val="auto"/>
              </w:rPr>
              <w:t>not applicable or is shown in the financial statements or related notes.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540" w:type="dxa"/>
            <w:vAlign w:val="bottom"/>
            <w:gridSpan w:val="6"/>
          </w:tcPr>
          <w:p>
            <w:pPr>
              <w:ind w:left="200"/>
              <w:spacing w:after="0"/>
              <w:rPr>
                <w:sz w:val="20"/>
                <w:szCs w:val="20"/>
                <w:color w:val="auto"/>
              </w:rPr>
            </w:pPr>
            <w:r>
              <w:rPr>
                <w:rFonts w:ascii="Arial" w:cs="Arial" w:eastAsia="Arial" w:hAnsi="Arial"/>
                <w:sz w:val="18"/>
                <w:szCs w:val="18"/>
                <w:b w:val="1"/>
                <w:bCs w:val="1"/>
                <w:color w:val="auto"/>
              </w:rPr>
              <w:t>Item 15(a)(3)</w:t>
            </w:r>
          </w:p>
        </w:tc>
        <w:tc>
          <w:tcPr>
            <w:tcW w:w="8600" w:type="dxa"/>
            <w:vAlign w:val="bottom"/>
            <w:gridSpan w:val="26"/>
          </w:tcPr>
          <w:p>
            <w:pPr>
              <w:ind w:left="200"/>
              <w:spacing w:after="0"/>
              <w:rPr>
                <w:sz w:val="20"/>
                <w:szCs w:val="20"/>
                <w:color w:val="auto"/>
              </w:rPr>
            </w:pPr>
            <w:r>
              <w:rPr>
                <w:rFonts w:ascii="Arial" w:cs="Arial" w:eastAsia="Arial" w:hAnsi="Arial"/>
                <w:sz w:val="18"/>
                <w:szCs w:val="18"/>
                <w:color w:val="auto"/>
                <w:w w:val="98"/>
              </w:rPr>
              <w:t>We have filed, or incorporated into this Annual Report on Form 10-K by reference, the exhibits listed on the</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14"/>
          </w:tcPr>
          <w:p>
            <w:pPr>
              <w:ind w:left="200"/>
              <w:spacing w:after="0"/>
              <w:rPr>
                <w:sz w:val="20"/>
                <w:szCs w:val="20"/>
                <w:color w:val="auto"/>
              </w:rPr>
            </w:pPr>
            <w:r>
              <w:rPr>
                <w:rFonts w:ascii="Arial" w:cs="Arial" w:eastAsia="Arial" w:hAnsi="Arial"/>
                <w:sz w:val="18"/>
                <w:szCs w:val="18"/>
                <w:color w:val="auto"/>
              </w:rPr>
              <w:t>accompanying Exhibit Index.</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80" w:type="dxa"/>
            <w:vAlign w:val="bottom"/>
            <w:gridSpan w:val="3"/>
          </w:tcPr>
          <w:p>
            <w:pPr>
              <w:ind w:left="200"/>
              <w:spacing w:after="0"/>
              <w:rPr>
                <w:sz w:val="20"/>
                <w:szCs w:val="20"/>
                <w:color w:val="auto"/>
              </w:rPr>
            </w:pPr>
            <w:r>
              <w:rPr>
                <w:rFonts w:ascii="Arial" w:cs="Arial" w:eastAsia="Arial" w:hAnsi="Arial"/>
                <w:sz w:val="18"/>
                <w:szCs w:val="18"/>
                <w:b w:val="1"/>
                <w:bCs w:val="1"/>
                <w:color w:val="auto"/>
              </w:rPr>
              <w:t>Item 15(b)</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14"/>
          </w:tcPr>
          <w:p>
            <w:pPr>
              <w:ind w:left="200"/>
              <w:spacing w:after="0"/>
              <w:rPr>
                <w:sz w:val="20"/>
                <w:szCs w:val="20"/>
                <w:color w:val="auto"/>
              </w:rPr>
            </w:pPr>
            <w:r>
              <w:rPr>
                <w:rFonts w:ascii="Arial" w:cs="Arial" w:eastAsia="Arial" w:hAnsi="Arial"/>
                <w:sz w:val="18"/>
                <w:szCs w:val="18"/>
                <w:color w:val="auto"/>
              </w:rPr>
              <w:t>See Item 15(a)(3) above.</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3"/>
          </w:tcPr>
          <w:p>
            <w:pPr>
              <w:ind w:left="200"/>
              <w:spacing w:after="0"/>
              <w:rPr>
                <w:sz w:val="20"/>
                <w:szCs w:val="20"/>
                <w:color w:val="auto"/>
              </w:rPr>
            </w:pPr>
            <w:r>
              <w:rPr>
                <w:rFonts w:ascii="Arial" w:cs="Arial" w:eastAsia="Arial" w:hAnsi="Arial"/>
                <w:sz w:val="18"/>
                <w:szCs w:val="18"/>
                <w:b w:val="1"/>
                <w:bCs w:val="1"/>
                <w:color w:val="auto"/>
              </w:rPr>
              <w:t>Item 15(c)</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14"/>
          </w:tcPr>
          <w:p>
            <w:pPr>
              <w:ind w:left="200"/>
              <w:spacing w:after="0"/>
              <w:rPr>
                <w:sz w:val="20"/>
                <w:szCs w:val="20"/>
                <w:color w:val="auto"/>
              </w:rPr>
            </w:pPr>
            <w:r>
              <w:rPr>
                <w:rFonts w:ascii="Arial" w:cs="Arial" w:eastAsia="Arial" w:hAnsi="Arial"/>
                <w:sz w:val="18"/>
                <w:szCs w:val="18"/>
                <w:color w:val="auto"/>
              </w:rPr>
              <w:t>See Item 15(a)(2) above.</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SEC File /</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Filed</w:t>
            </w:r>
          </w:p>
        </w:tc>
        <w:tc>
          <w:tcPr>
            <w:tcW w:w="2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gridSpan w:val="14"/>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2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1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9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w w:val="95"/>
              </w:rPr>
              <w:t>Registration</w:t>
            </w:r>
          </w:p>
        </w:tc>
        <w:tc>
          <w:tcPr>
            <w:tcW w:w="0" w:type="dxa"/>
            <w:vAlign w:val="bottom"/>
          </w:tcPr>
          <w:p>
            <w:pPr>
              <w:spacing w:after="0"/>
              <w:rPr>
                <w:sz w:val="1"/>
                <w:szCs w:val="1"/>
                <w:color w:val="auto"/>
              </w:rPr>
            </w:pPr>
          </w:p>
        </w:tc>
      </w:tr>
      <w:tr>
        <w:trPr>
          <w:trHeight w:val="171"/>
        </w:trPr>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14"/>
            <w:vMerge w:val="continue"/>
          </w:tcPr>
          <w:p>
            <w:pPr>
              <w:spacing w:after="0"/>
              <w:rPr>
                <w:sz w:val="14"/>
                <w:szCs w:val="14"/>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Herewith</w:t>
            </w:r>
          </w:p>
        </w:tc>
        <w:tc>
          <w:tcPr>
            <w:tcW w:w="2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Schedule</w:t>
            </w:r>
          </w:p>
        </w:tc>
        <w:tc>
          <w:tcPr>
            <w:tcW w:w="1160" w:type="dxa"/>
            <w:vAlign w:val="bottom"/>
            <w:gridSpan w:val="3"/>
            <w:vMerge w:val="continue"/>
          </w:tcPr>
          <w:p>
            <w:pPr>
              <w:spacing w:after="0"/>
              <w:rPr>
                <w:sz w:val="14"/>
                <w:szCs w:val="14"/>
                <w:color w:val="auto"/>
              </w:rPr>
            </w:pPr>
          </w:p>
        </w:tc>
        <w:tc>
          <w:tcPr>
            <w:tcW w:w="980" w:type="dxa"/>
            <w:vAlign w:val="bottom"/>
            <w:gridSpan w:val="3"/>
          </w:tcPr>
          <w:p>
            <w:pPr>
              <w:ind w:left="30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tcBorders>
              <w:lef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3"/>
                <w:szCs w:val="23"/>
                <w:color w:val="auto"/>
              </w:rPr>
            </w:pPr>
          </w:p>
        </w:tc>
        <w:tc>
          <w:tcPr>
            <w:tcW w:w="3980" w:type="dxa"/>
            <w:vAlign w:val="bottom"/>
            <w:gridSpan w:val="17"/>
          </w:tcPr>
          <w:p>
            <w:pPr>
              <w:spacing w:after="0"/>
              <w:rPr>
                <w:rFonts w:ascii="Arial" w:cs="Arial" w:eastAsia="Arial" w:hAnsi="Arial"/>
                <w:sz w:val="18"/>
                <w:szCs w:val="18"/>
                <w:color w:val="0000EE"/>
                <w:w w:val="95"/>
              </w:rPr>
            </w:pPr>
            <w:hyperlink r:id="rId86">
              <w:r>
                <w:rPr>
                  <w:rFonts w:ascii="Arial" w:cs="Arial" w:eastAsia="Arial" w:hAnsi="Arial"/>
                  <w:sz w:val="18"/>
                  <w:szCs w:val="18"/>
                  <w:color w:val="0000EE"/>
                  <w:w w:val="95"/>
                </w:rPr>
                <w:t>Agreement and Plan of Merger and Reorganization,</w:t>
              </w:r>
            </w:hyperlink>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20" w:type="dxa"/>
            <w:vAlign w:val="bottom"/>
            <w:gridSpan w:val="3"/>
          </w:tcPr>
          <w:p>
            <w:pPr>
              <w:ind w:left="20"/>
              <w:spacing w:after="0"/>
              <w:rPr>
                <w:sz w:val="20"/>
                <w:szCs w:val="20"/>
                <w:color w:val="auto"/>
              </w:rPr>
            </w:pPr>
            <w:r>
              <w:rPr>
                <w:rFonts w:ascii="Arial" w:cs="Arial" w:eastAsia="Arial" w:hAnsi="Arial"/>
                <w:sz w:val="18"/>
                <w:szCs w:val="18"/>
                <w:color w:val="auto"/>
              </w:rPr>
              <w:t>DEFA14A; Form 8-K (Exhibit 2.1)</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4/14/2016</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dated April 13, 2016, by and among Synta</w:t>
              </w:r>
            </w:hyperlink>
          </w:p>
        </w:tc>
        <w:tc>
          <w:tcPr>
            <w:tcW w:w="660" w:type="dxa"/>
            <w:vAlign w:val="bottom"/>
            <w:tcBorders>
              <w:top w:val="single" w:sz="8" w:color="0000EE"/>
            </w:tcBorders>
            <w:gridSpan w:val="3"/>
          </w:tcPr>
          <w:p>
            <w:pPr>
              <w:spacing w:after="0"/>
              <w:rPr>
                <w:sz w:val="17"/>
                <w:szCs w:val="17"/>
                <w:color w:val="auto"/>
              </w:rPr>
            </w:pPr>
          </w:p>
        </w:tc>
        <w:tc>
          <w:tcPr>
            <w:tcW w:w="260" w:type="dxa"/>
            <w:vAlign w:val="bottom"/>
            <w:gridSpan w:val="8"/>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80" w:type="dxa"/>
            <w:vAlign w:val="bottom"/>
            <w:gridSpan w:val="17"/>
          </w:tcPr>
          <w:p>
            <w:pPr>
              <w:spacing w:after="0" w:line="196" w:lineRule="exact"/>
              <w:rPr>
                <w:rFonts w:ascii="Arial" w:cs="Arial" w:eastAsia="Arial" w:hAnsi="Arial"/>
                <w:sz w:val="18"/>
                <w:szCs w:val="18"/>
                <w:color w:val="0000EE"/>
                <w:w w:val="97"/>
              </w:rPr>
            </w:pPr>
            <w:hyperlink r:id="rId86">
              <w:r>
                <w:rPr>
                  <w:rFonts w:ascii="Arial" w:cs="Arial" w:eastAsia="Arial" w:hAnsi="Arial"/>
                  <w:sz w:val="18"/>
                  <w:szCs w:val="18"/>
                  <w:color w:val="0000EE"/>
                  <w:w w:val="97"/>
                </w:rPr>
                <w:t>Pharmaceuticals Corp., the Registrant and Saffron</w:t>
              </w:r>
            </w:hyperlink>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Merger Sub, Inc.</w:t>
              </w:r>
            </w:hyperlink>
          </w:p>
        </w:tc>
        <w:tc>
          <w:tcPr>
            <w:tcW w:w="1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3980" w:type="dxa"/>
            <w:vAlign w:val="bottom"/>
            <w:gridSpan w:val="17"/>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Restated Certificate of Incorporation of the Registrant.</w:t>
              </w:r>
            </w:hyperlink>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3"/>
          </w:tcPr>
          <w:p>
            <w:pPr>
              <w:ind w:left="20"/>
              <w:spacing w:after="0"/>
              <w:rPr>
                <w:sz w:val="20"/>
                <w:szCs w:val="20"/>
                <w:color w:val="auto"/>
              </w:rPr>
            </w:pPr>
            <w:r>
              <w:rPr>
                <w:rFonts w:ascii="Arial" w:cs="Arial" w:eastAsia="Arial" w:hAnsi="Arial"/>
                <w:sz w:val="18"/>
                <w:szCs w:val="18"/>
                <w:color w:val="auto"/>
              </w:rPr>
              <w:t>Form 10-K (Exhibit 3.1)</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3/31/2017</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30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3920" w:type="dxa"/>
            <w:vAlign w:val="bottom"/>
            <w:tcBorders>
              <w:top w:val="single" w:sz="8" w:color="0000EE"/>
            </w:tcBorders>
            <w:gridSpan w:val="16"/>
          </w:tcPr>
          <w:p>
            <w:pPr>
              <w:spacing w:after="0"/>
              <w:rPr>
                <w:rFonts w:ascii="Arial" w:cs="Arial" w:eastAsia="Arial" w:hAnsi="Arial"/>
                <w:sz w:val="18"/>
                <w:szCs w:val="18"/>
                <w:color w:val="0000EE"/>
                <w:w w:val="93"/>
              </w:rPr>
            </w:pPr>
            <w:hyperlink r:id="rId88">
              <w:r>
                <w:rPr>
                  <w:rFonts w:ascii="Arial" w:cs="Arial" w:eastAsia="Arial" w:hAnsi="Arial"/>
                  <w:sz w:val="18"/>
                  <w:szCs w:val="18"/>
                  <w:color w:val="0000EE"/>
                  <w:w w:val="93"/>
                </w:rPr>
                <w:t>Certificate of Designation of Preferences, Rights and</w:t>
              </w:r>
            </w:hyperlink>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3"/>
          </w:tcPr>
          <w:p>
            <w:pPr>
              <w:ind w:left="20"/>
              <w:spacing w:after="0"/>
              <w:rPr>
                <w:sz w:val="20"/>
                <w:szCs w:val="20"/>
                <w:color w:val="auto"/>
              </w:rPr>
            </w:pPr>
            <w:r>
              <w:rPr>
                <w:rFonts w:ascii="Arial" w:cs="Arial" w:eastAsia="Arial" w:hAnsi="Arial"/>
                <w:sz w:val="18"/>
                <w:szCs w:val="18"/>
                <w:color w:val="auto"/>
              </w:rPr>
              <w:t>Form 8-K (Exhibit 3.1)</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6/21/2017</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0" w:type="dxa"/>
            <w:vAlign w:val="bottom"/>
            <w:tcBorders>
              <w:top w:val="single" w:sz="8" w:color="0000EE"/>
            </w:tcBorders>
            <w:gridSpan w:val="11"/>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Limitations of Series A Convertible Preferred Stock.</w:t>
              </w:r>
            </w:hyperlink>
          </w:p>
        </w:tc>
        <w:tc>
          <w:tcPr>
            <w:tcW w:w="180" w:type="dxa"/>
            <w:vAlign w:val="bottom"/>
            <w:gridSpan w:val="6"/>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24"/>
                <w:szCs w:val="24"/>
                <w:color w:val="auto"/>
              </w:rPr>
            </w:pPr>
          </w:p>
        </w:tc>
        <w:tc>
          <w:tcPr>
            <w:tcW w:w="3980" w:type="dxa"/>
            <w:vAlign w:val="bottom"/>
            <w:gridSpan w:val="17"/>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Bylaws of the Registrant, as amended April 13, 2016.</w:t>
              </w:r>
            </w:hyperlink>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3"/>
          </w:tcPr>
          <w:p>
            <w:pPr>
              <w:ind w:left="20"/>
              <w:spacing w:after="0"/>
              <w:rPr>
                <w:sz w:val="20"/>
                <w:szCs w:val="20"/>
                <w:color w:val="auto"/>
              </w:rPr>
            </w:pPr>
            <w:r>
              <w:rPr>
                <w:rFonts w:ascii="Arial" w:cs="Arial" w:eastAsia="Arial" w:hAnsi="Arial"/>
                <w:sz w:val="18"/>
                <w:szCs w:val="18"/>
                <w:color w:val="auto"/>
              </w:rPr>
              <w:t>DEFA14A; Form 8-K (Exhibit 3.1)</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4/14/2016</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30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30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92">
              <w:r>
                <w:rPr>
                  <w:rFonts w:ascii="Arial" w:cs="Arial" w:eastAsia="Arial" w:hAnsi="Arial"/>
                  <w:sz w:val="18"/>
                  <w:szCs w:val="18"/>
                  <w:color w:val="0000EE"/>
                  <w:w w:val="91"/>
                </w:rPr>
                <w:t>Description of Securities of the Registrant</w:t>
              </w:r>
            </w:hyperlink>
          </w:p>
        </w:tc>
        <w:tc>
          <w:tcPr>
            <w:tcW w:w="820" w:type="dxa"/>
            <w:vAlign w:val="bottom"/>
            <w:tcBorders>
              <w:top w:val="single" w:sz="8" w:color="0000EE"/>
            </w:tcBorders>
            <w:gridSpan w:val="9"/>
          </w:tcPr>
          <w:p>
            <w:pPr>
              <w:spacing w:after="0"/>
              <w:rPr>
                <w:sz w:val="24"/>
                <w:szCs w:val="24"/>
                <w:color w:val="auto"/>
              </w:rPr>
            </w:pPr>
          </w:p>
        </w:tc>
        <w:tc>
          <w:tcPr>
            <w:tcW w:w="12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X</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540" w:type="dxa"/>
            <w:vAlign w:val="bottom"/>
            <w:gridSpan w:val="6"/>
          </w:tcPr>
          <w:p>
            <w:pPr>
              <w:ind w:left="200"/>
              <w:spacing w:after="0"/>
              <w:rPr>
                <w:sz w:val="20"/>
                <w:szCs w:val="20"/>
                <w:color w:val="auto"/>
              </w:rPr>
            </w:pPr>
            <w:r>
              <w:rPr>
                <w:rFonts w:ascii="Arial" w:cs="Arial" w:eastAsia="Arial" w:hAnsi="Arial"/>
                <w:sz w:val="18"/>
                <w:szCs w:val="18"/>
                <w:b w:val="1"/>
                <w:bCs w:val="1"/>
                <w:i w:val="1"/>
                <w:iCs w:val="1"/>
                <w:color w:val="auto"/>
              </w:rPr>
              <w:t>Equity Agreements</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3840" w:type="dxa"/>
            <w:vAlign w:val="bottom"/>
            <w:tcBorders>
              <w:bottom w:val="single" w:sz="8" w:color="0000EE"/>
            </w:tcBorders>
            <w:gridSpan w:val="13"/>
          </w:tcPr>
          <w:p>
            <w:pPr>
              <w:spacing w:after="0"/>
              <w:rPr>
                <w:rFonts w:ascii="Arial" w:cs="Arial" w:eastAsia="Arial" w:hAnsi="Arial"/>
                <w:sz w:val="18"/>
                <w:szCs w:val="18"/>
                <w:color w:val="0000EE"/>
                <w:w w:val="88"/>
              </w:rPr>
            </w:pPr>
            <w:hyperlink r:id="rId90">
              <w:r>
                <w:rPr>
                  <w:rFonts w:ascii="Arial" w:cs="Arial" w:eastAsia="Arial" w:hAnsi="Arial"/>
                  <w:sz w:val="18"/>
                  <w:szCs w:val="18"/>
                  <w:color w:val="0000EE"/>
                  <w:w w:val="88"/>
                </w:rPr>
                <w:t>Securities Purchase Agreement, dated June 20, 2017,</w:t>
              </w:r>
            </w:hyperlink>
          </w:p>
        </w:tc>
        <w:tc>
          <w:tcPr>
            <w:tcW w:w="14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3"/>
          </w:tcPr>
          <w:p>
            <w:pPr>
              <w:ind w:left="20"/>
              <w:spacing w:after="0"/>
              <w:rPr>
                <w:sz w:val="20"/>
                <w:szCs w:val="20"/>
                <w:color w:val="auto"/>
              </w:rPr>
            </w:pPr>
            <w:r>
              <w:rPr>
                <w:rFonts w:ascii="Arial" w:cs="Arial" w:eastAsia="Arial" w:hAnsi="Arial"/>
                <w:sz w:val="18"/>
                <w:szCs w:val="18"/>
                <w:color w:val="auto"/>
              </w:rPr>
              <w:t>Form 8-K (Exhibit 10.1)</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6/21/2017</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80" w:type="dxa"/>
            <w:vAlign w:val="bottom"/>
            <w:gridSpan w:val="17"/>
          </w:tcPr>
          <w:p>
            <w:pPr>
              <w:spacing w:after="0" w:line="196" w:lineRule="exact"/>
              <w:rPr>
                <w:rFonts w:ascii="Arial" w:cs="Arial" w:eastAsia="Arial" w:hAnsi="Arial"/>
                <w:sz w:val="18"/>
                <w:szCs w:val="18"/>
                <w:color w:val="0000EE"/>
                <w:w w:val="94"/>
              </w:rPr>
            </w:pPr>
            <w:hyperlink r:id="rId90">
              <w:r>
                <w:rPr>
                  <w:rFonts w:ascii="Arial" w:cs="Arial" w:eastAsia="Arial" w:hAnsi="Arial"/>
                  <w:sz w:val="18"/>
                  <w:szCs w:val="18"/>
                  <w:color w:val="0000EE"/>
                  <w:w w:val="94"/>
                </w:rPr>
                <w:t>by and among the Registrant and the investors party</w:t>
              </w:r>
            </w:hyperlink>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thereto, including the Registration Rights Agreement</w:t>
              </w:r>
            </w:hyperlink>
          </w:p>
        </w:tc>
        <w:tc>
          <w:tcPr>
            <w:tcW w:w="160" w:type="dxa"/>
            <w:vAlign w:val="bottom"/>
            <w:gridSpan w:val="5"/>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80" w:type="dxa"/>
            <w:vAlign w:val="bottom"/>
            <w:gridSpan w:val="17"/>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attached as Exhibit B thereto.</w:t>
              </w:r>
            </w:hyperlink>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3"/>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280" w:type="dxa"/>
            <w:vAlign w:val="bottom"/>
            <w:gridSpan w:val="23"/>
          </w:tcPr>
          <w:p>
            <w:pPr>
              <w:ind w:left="200"/>
              <w:spacing w:after="0"/>
              <w:rPr>
                <w:sz w:val="20"/>
                <w:szCs w:val="20"/>
                <w:color w:val="auto"/>
              </w:rPr>
            </w:pPr>
            <w:r>
              <w:rPr>
                <w:rFonts w:ascii="Arial" w:cs="Arial" w:eastAsia="Arial" w:hAnsi="Arial"/>
                <w:sz w:val="18"/>
                <w:szCs w:val="18"/>
                <w:b w:val="1"/>
                <w:bCs w:val="1"/>
                <w:i w:val="1"/>
                <w:iCs w:val="1"/>
                <w:color w:val="auto"/>
                <w:w w:val="85"/>
              </w:rPr>
              <w:t>Agreements with Respect to Collaborations, Licenses, Research and Development</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4"/>
                <w:szCs w:val="24"/>
                <w:color w:val="auto"/>
              </w:rPr>
            </w:pPr>
          </w:p>
        </w:tc>
        <w:tc>
          <w:tcPr>
            <w:tcW w:w="3980" w:type="dxa"/>
            <w:vAlign w:val="bottom"/>
            <w:gridSpan w:val="17"/>
          </w:tcPr>
          <w:p>
            <w:pPr>
              <w:spacing w:after="0"/>
              <w:rPr>
                <w:rFonts w:ascii="Arial" w:cs="Arial" w:eastAsia="Arial" w:hAnsi="Arial"/>
                <w:sz w:val="18"/>
                <w:szCs w:val="18"/>
                <w:color w:val="0000EE"/>
              </w:rPr>
            </w:pPr>
            <w:hyperlink r:id="rId91">
              <w:r>
                <w:rPr>
                  <w:rFonts w:ascii="Arial" w:cs="Arial" w:eastAsia="Arial" w:hAnsi="Arial"/>
                  <w:sz w:val="18"/>
                  <w:szCs w:val="18"/>
                  <w:color w:val="0000EE"/>
                </w:rPr>
                <w:t>Research, Development and Commercialization</w:t>
              </w:r>
            </w:hyperlink>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3"/>
          </w:tcPr>
          <w:p>
            <w:pPr>
              <w:ind w:left="20"/>
              <w:spacing w:after="0"/>
              <w:rPr>
                <w:sz w:val="20"/>
                <w:szCs w:val="20"/>
                <w:color w:val="auto"/>
              </w:rPr>
            </w:pPr>
            <w:r>
              <w:rPr>
                <w:rFonts w:ascii="Arial" w:cs="Arial" w:eastAsia="Arial" w:hAnsi="Arial"/>
                <w:sz w:val="18"/>
                <w:szCs w:val="18"/>
                <w:color w:val="auto"/>
              </w:rPr>
              <w:t>Form 10-Q (Exhibit 10.5)</w:t>
            </w:r>
          </w:p>
        </w:tc>
        <w:tc>
          <w:tcPr>
            <w:tcW w:w="1160" w:type="dxa"/>
            <w:vAlign w:val="bottom"/>
            <w:gridSpan w:val="3"/>
          </w:tcPr>
          <w:p>
            <w:pPr>
              <w:ind w:left="160"/>
              <w:spacing w:after="0"/>
              <w:rPr>
                <w:sz w:val="20"/>
                <w:szCs w:val="20"/>
                <w:color w:val="auto"/>
              </w:rPr>
            </w:pPr>
            <w:r>
              <w:rPr>
                <w:rFonts w:ascii="Arial" w:cs="Arial" w:eastAsia="Arial" w:hAnsi="Arial"/>
                <w:sz w:val="18"/>
                <w:szCs w:val="18"/>
                <w:color w:val="auto"/>
              </w:rPr>
              <w:t>11/14/2016</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r:id="rId91">
              <w:r>
                <w:rPr>
                  <w:rFonts w:ascii="Arial" w:cs="Arial" w:eastAsia="Arial" w:hAnsi="Arial"/>
                  <w:sz w:val="18"/>
                  <w:szCs w:val="18"/>
                  <w:color w:val="0000EE"/>
                  <w:w w:val="88"/>
                </w:rPr>
                <w:t>Agreement, dated December 18, 2008, by and between</w:t>
              </w:r>
            </w:hyperlink>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980" w:type="dxa"/>
            <w:vAlign w:val="bottom"/>
            <w:gridSpan w:val="17"/>
          </w:tcPr>
          <w:p>
            <w:pPr>
              <w:spacing w:after="0" w:line="196"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Hoffmann-La Roche, Inc., F. Hoffmann-La Roche Ltd</w:t>
              </w:r>
            </w:hyperlink>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91">
              <w:r>
                <w:rPr>
                  <w:rFonts w:ascii="Arial" w:cs="Arial" w:eastAsia="Arial" w:hAnsi="Arial"/>
                  <w:sz w:val="18"/>
                  <w:szCs w:val="18"/>
                  <w:color w:val="0000EE"/>
                  <w:w w:val="88"/>
                </w:rPr>
                <w:t>and the Registrant.</w:t>
              </w:r>
            </w:hyperlink>
          </w:p>
        </w:tc>
        <w:tc>
          <w:tcPr>
            <w:tcW w:w="7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center"/>
              <w:ind w:left="196"/>
              <w:spacing w:after="0"/>
              <w:rPr>
                <w:sz w:val="20"/>
                <w:szCs w:val="20"/>
                <w:color w:val="auto"/>
              </w:rPr>
            </w:pPr>
            <w:r>
              <w:rPr>
                <w:rFonts w:ascii="Arial" w:cs="Arial" w:eastAsia="Arial" w:hAnsi="Arial"/>
                <w:sz w:val="18"/>
                <w:szCs w:val="18"/>
                <w:color w:val="auto"/>
                <w:w w:val="89"/>
              </w:rPr>
              <w:t>64</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40"/>
          </w:cols>
          <w:pgMar w:left="240" w:top="473" w:right="5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Incorporated by</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SEC File /</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Filed</w:t>
            </w:r>
          </w:p>
        </w:tc>
        <w:tc>
          <w:tcPr>
            <w:tcW w:w="3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Reference herein</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80" w:type="dxa"/>
            <w:vAlign w:val="bottom"/>
            <w:gridSpan w:val="20"/>
            <w:vMerge w:val="restart"/>
          </w:tcPr>
          <w:p>
            <w:pPr>
              <w:ind w:left="340"/>
              <w:spacing w:after="0"/>
              <w:rPr>
                <w:sz w:val="20"/>
                <w:szCs w:val="20"/>
                <w:color w:val="auto"/>
              </w:rPr>
            </w:pPr>
            <w:r>
              <w:rPr>
                <w:rFonts w:ascii="Arial" w:cs="Arial" w:eastAsia="Arial" w:hAnsi="Arial"/>
                <w:sz w:val="14"/>
                <w:szCs w:val="14"/>
                <w:b w:val="1"/>
                <w:bCs w:val="1"/>
                <w:color w:val="auto"/>
              </w:rPr>
              <w:t>Exhibit Description</w:t>
            </w:r>
          </w:p>
        </w:tc>
        <w:tc>
          <w:tcPr>
            <w:tcW w:w="2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3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0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9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w w:val="95"/>
              </w:rPr>
              <w:t>Registration</w:t>
            </w:r>
          </w:p>
        </w:tc>
        <w:tc>
          <w:tcPr>
            <w:tcW w:w="0" w:type="dxa"/>
            <w:vAlign w:val="bottom"/>
          </w:tcPr>
          <w:p>
            <w:pPr>
              <w:spacing w:after="0"/>
              <w:rPr>
                <w:sz w:val="1"/>
                <w:szCs w:val="1"/>
                <w:color w:val="auto"/>
              </w:rPr>
            </w:pPr>
          </w:p>
        </w:tc>
      </w:tr>
      <w:tr>
        <w:trPr>
          <w:trHeight w:val="191"/>
        </w:trPr>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Number</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20"/>
            <w:vMerge w:val="continue"/>
          </w:tcPr>
          <w:p>
            <w:pPr>
              <w:spacing w:after="0"/>
              <w:rPr>
                <w:sz w:val="16"/>
                <w:szCs w:val="16"/>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3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1080" w:type="dxa"/>
            <w:vAlign w:val="bottom"/>
            <w:gridSpan w:val="3"/>
            <w:vMerge w:val="continue"/>
          </w:tcPr>
          <w:p>
            <w:pPr>
              <w:spacing w:after="0"/>
              <w:rPr>
                <w:sz w:val="16"/>
                <w:szCs w:val="16"/>
                <w:color w:val="auto"/>
              </w:rPr>
            </w:pPr>
          </w:p>
        </w:tc>
        <w:tc>
          <w:tcPr>
            <w:tcW w:w="980" w:type="dxa"/>
            <w:vAlign w:val="bottom"/>
            <w:gridSpan w:val="3"/>
          </w:tcPr>
          <w:p>
            <w:pPr>
              <w:ind w:left="30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w w:val="87"/>
              </w:rPr>
              <w:t>Equity</w:t>
            </w:r>
          </w:p>
        </w:tc>
        <w:tc>
          <w:tcPr>
            <w:tcW w:w="4300" w:type="dxa"/>
            <w:vAlign w:val="bottom"/>
            <w:gridSpan w:val="24"/>
          </w:tcPr>
          <w:p>
            <w:pPr>
              <w:spacing w:after="0"/>
              <w:rPr>
                <w:sz w:val="20"/>
                <w:szCs w:val="20"/>
                <w:color w:val="auto"/>
              </w:rPr>
            </w:pPr>
            <w:r>
              <w:rPr>
                <w:rFonts w:ascii="Arial" w:cs="Arial" w:eastAsia="Arial" w:hAnsi="Arial"/>
                <w:sz w:val="18"/>
                <w:szCs w:val="18"/>
                <w:b w:val="1"/>
                <w:bCs w:val="1"/>
                <w:i w:val="1"/>
                <w:iCs w:val="1"/>
                <w:color w:val="auto"/>
              </w:rPr>
              <w:t>Compensation Plans</w:t>
            </w: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80" w:type="dxa"/>
            <w:vAlign w:val="bottom"/>
            <w:gridSpan w:val="2"/>
          </w:tcPr>
          <w:p>
            <w:pPr>
              <w:ind w:left="140"/>
              <w:spacing w:after="0"/>
              <w:rPr>
                <w:sz w:val="20"/>
                <w:szCs w:val="20"/>
                <w:color w:val="auto"/>
              </w:rPr>
            </w:pPr>
            <w:r>
              <w:rPr>
                <w:rFonts w:ascii="Arial" w:cs="Arial" w:eastAsia="Arial" w:hAnsi="Arial"/>
                <w:sz w:val="18"/>
                <w:szCs w:val="18"/>
                <w:color w:val="auto"/>
                <w:w w:val="99"/>
              </w:rPr>
              <w:t>10.3*</w:t>
            </w:r>
          </w:p>
        </w:tc>
        <w:tc>
          <w:tcPr>
            <w:tcW w:w="460" w:type="dxa"/>
            <w:vAlign w:val="bottom"/>
          </w:tcPr>
          <w:p>
            <w:pPr>
              <w:spacing w:after="0"/>
              <w:rPr>
                <w:sz w:val="22"/>
                <w:szCs w:val="22"/>
                <w:color w:val="auto"/>
              </w:rPr>
            </w:pPr>
          </w:p>
        </w:tc>
        <w:tc>
          <w:tcPr>
            <w:tcW w:w="1920" w:type="dxa"/>
            <w:vAlign w:val="bottom"/>
            <w:tcBorders>
              <w:bottom w:val="single" w:sz="8" w:color="0000EE"/>
            </w:tcBorders>
            <w:gridSpan w:val="5"/>
          </w:tcPr>
          <w:p>
            <w:pPr>
              <w:spacing w:after="0"/>
              <w:rPr>
                <w:rFonts w:ascii="Arial" w:cs="Arial" w:eastAsia="Arial" w:hAnsi="Arial"/>
                <w:sz w:val="18"/>
                <w:szCs w:val="18"/>
                <w:color w:val="0000EE"/>
                <w:w w:val="89"/>
              </w:rPr>
            </w:pPr>
            <w:hyperlink r:id="rId94">
              <w:r>
                <w:rPr>
                  <w:rFonts w:ascii="Arial" w:cs="Arial" w:eastAsia="Arial" w:hAnsi="Arial"/>
                  <w:sz w:val="18"/>
                  <w:szCs w:val="18"/>
                  <w:color w:val="0000EE"/>
                  <w:w w:val="89"/>
                </w:rPr>
                <w:t>Amended 2015 Stock Plan</w:t>
              </w:r>
            </w:hyperlink>
          </w:p>
        </w:tc>
        <w:tc>
          <w:tcPr>
            <w:tcW w:w="1920" w:type="dxa"/>
            <w:vAlign w:val="bottom"/>
            <w:gridSpan w:val="18"/>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40" w:type="dxa"/>
            <w:vAlign w:val="bottom"/>
            <w:gridSpan w:val="3"/>
          </w:tcPr>
          <w:p>
            <w:pPr>
              <w:ind w:left="160"/>
              <w:spacing w:after="0"/>
              <w:rPr>
                <w:sz w:val="20"/>
                <w:szCs w:val="20"/>
                <w:color w:val="auto"/>
              </w:rPr>
            </w:pPr>
            <w:r>
              <w:rPr>
                <w:rFonts w:ascii="Arial" w:cs="Arial" w:eastAsia="Arial" w:hAnsi="Arial"/>
                <w:sz w:val="18"/>
                <w:szCs w:val="18"/>
                <w:color w:val="auto"/>
                <w:w w:val="97"/>
              </w:rPr>
              <w:t>Definitive Proxy Statement(Annex A)</w:t>
            </w: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5/15/2019</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304"/>
        </w:trPr>
        <w:tc>
          <w:tcPr>
            <w:tcW w:w="580" w:type="dxa"/>
            <w:vAlign w:val="bottom"/>
            <w:gridSpan w:val="2"/>
          </w:tcPr>
          <w:p>
            <w:pPr>
              <w:ind w:left="140"/>
              <w:spacing w:after="0"/>
              <w:rPr>
                <w:sz w:val="20"/>
                <w:szCs w:val="20"/>
                <w:color w:val="auto"/>
              </w:rPr>
            </w:pPr>
            <w:r>
              <w:rPr>
                <w:rFonts w:ascii="Arial" w:cs="Arial" w:eastAsia="Arial" w:hAnsi="Arial"/>
                <w:sz w:val="18"/>
                <w:szCs w:val="18"/>
                <w:color w:val="auto"/>
                <w:w w:val="99"/>
              </w:rPr>
              <w:t>10.4*</w:t>
            </w:r>
          </w:p>
        </w:tc>
        <w:tc>
          <w:tcPr>
            <w:tcW w:w="460" w:type="dxa"/>
            <w:vAlign w:val="bottom"/>
          </w:tcPr>
          <w:p>
            <w:pPr>
              <w:spacing w:after="0"/>
              <w:rPr>
                <w:sz w:val="24"/>
                <w:szCs w:val="24"/>
                <w:color w:val="auto"/>
              </w:rPr>
            </w:pPr>
          </w:p>
        </w:tc>
        <w:tc>
          <w:tcPr>
            <w:tcW w:w="3840" w:type="dxa"/>
            <w:vAlign w:val="bottom"/>
            <w:gridSpan w:val="23"/>
          </w:tcPr>
          <w:p>
            <w:pPr>
              <w:spacing w:after="0"/>
              <w:rPr>
                <w:rFonts w:ascii="Arial" w:cs="Arial" w:eastAsia="Arial" w:hAnsi="Arial"/>
                <w:sz w:val="18"/>
                <w:szCs w:val="18"/>
                <w:color w:val="0000EE"/>
                <w:w w:val="97"/>
              </w:rPr>
            </w:pPr>
            <w:hyperlink r:id="rId95">
              <w:r>
                <w:rPr>
                  <w:rFonts w:ascii="Arial" w:cs="Arial" w:eastAsia="Arial" w:hAnsi="Arial"/>
                  <w:sz w:val="18"/>
                  <w:szCs w:val="18"/>
                  <w:color w:val="0000EE"/>
                  <w:w w:val="97"/>
                </w:rPr>
                <w:t>Form of Incentive Stock Option Agreement under</w:t>
              </w:r>
            </w:hyperlink>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3"/>
          </w:tcPr>
          <w:p>
            <w:pPr>
              <w:ind w:left="160"/>
              <w:spacing w:after="0"/>
              <w:rPr>
                <w:sz w:val="20"/>
                <w:szCs w:val="20"/>
                <w:color w:val="auto"/>
              </w:rPr>
            </w:pPr>
            <w:r>
              <w:rPr>
                <w:rFonts w:ascii="Arial" w:cs="Arial" w:eastAsia="Arial" w:hAnsi="Arial"/>
                <w:sz w:val="18"/>
                <w:szCs w:val="18"/>
                <w:color w:val="auto"/>
              </w:rPr>
              <w:t>Form 10-K (Exhibit 10.10)</w:t>
            </w: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3/31/2017</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Amended 2015 Stock Plan.</w:t>
              </w:r>
            </w:hyperlink>
          </w:p>
        </w:tc>
        <w:tc>
          <w:tcPr>
            <w:tcW w:w="1600" w:type="dxa"/>
            <w:vAlign w:val="bottom"/>
            <w:tcBorders>
              <w:top w:val="single" w:sz="8" w:color="0000EE"/>
            </w:tcBorders>
            <w:gridSpan w:val="10"/>
          </w:tcPr>
          <w:p>
            <w:pPr>
              <w:spacing w:after="0"/>
              <w:rPr>
                <w:sz w:val="17"/>
                <w:szCs w:val="17"/>
                <w:color w:val="auto"/>
              </w:rPr>
            </w:pPr>
          </w:p>
        </w:tc>
        <w:tc>
          <w:tcPr>
            <w:tcW w:w="26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ind w:left="140"/>
              <w:spacing w:after="0"/>
              <w:rPr>
                <w:sz w:val="20"/>
                <w:szCs w:val="20"/>
                <w:color w:val="auto"/>
              </w:rPr>
            </w:pPr>
            <w:r>
              <w:rPr>
                <w:rFonts w:ascii="Arial" w:cs="Arial" w:eastAsia="Arial" w:hAnsi="Arial"/>
                <w:sz w:val="18"/>
                <w:szCs w:val="18"/>
                <w:color w:val="auto"/>
                <w:w w:val="99"/>
              </w:rPr>
              <w:t>10.5*</w:t>
            </w:r>
          </w:p>
        </w:tc>
        <w:tc>
          <w:tcPr>
            <w:tcW w:w="460" w:type="dxa"/>
            <w:vAlign w:val="bottom"/>
          </w:tcPr>
          <w:p>
            <w:pPr>
              <w:spacing w:after="0"/>
              <w:rPr>
                <w:sz w:val="24"/>
                <w:szCs w:val="24"/>
                <w:color w:val="auto"/>
              </w:rPr>
            </w:pPr>
          </w:p>
        </w:tc>
        <w:tc>
          <w:tcPr>
            <w:tcW w:w="3420" w:type="dxa"/>
            <w:vAlign w:val="bottom"/>
            <w:tcBorders>
              <w:bottom w:val="single" w:sz="8" w:color="0000EE"/>
            </w:tcBorders>
            <w:gridSpan w:val="13"/>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Form of Nonqualified Stock Option Agreement</w:t>
              </w:r>
            </w:hyperlink>
          </w:p>
        </w:tc>
        <w:tc>
          <w:tcPr>
            <w:tcW w:w="420" w:type="dxa"/>
            <w:vAlign w:val="bottom"/>
            <w:gridSpan w:val="10"/>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3"/>
          </w:tcPr>
          <w:p>
            <w:pPr>
              <w:ind w:left="160"/>
              <w:spacing w:after="0"/>
              <w:rPr>
                <w:sz w:val="20"/>
                <w:szCs w:val="20"/>
                <w:color w:val="auto"/>
              </w:rPr>
            </w:pPr>
            <w:r>
              <w:rPr>
                <w:rFonts w:ascii="Arial" w:cs="Arial" w:eastAsia="Arial" w:hAnsi="Arial"/>
                <w:sz w:val="18"/>
                <w:szCs w:val="18"/>
                <w:color w:val="auto"/>
              </w:rPr>
              <w:t>Form 10-K (Exhibit 10.11)</w:t>
            </w: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3/31/2017</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under Amended 2015 Stock Plan.</w:t>
              </w:r>
            </w:hyperlink>
          </w:p>
        </w:tc>
        <w:tc>
          <w:tcPr>
            <w:tcW w:w="1420" w:type="dxa"/>
            <w:vAlign w:val="bottom"/>
            <w:gridSpan w:val="15"/>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ind w:left="140"/>
              <w:spacing w:after="0"/>
              <w:rPr>
                <w:sz w:val="20"/>
                <w:szCs w:val="20"/>
                <w:color w:val="auto"/>
              </w:rPr>
            </w:pPr>
            <w:r>
              <w:rPr>
                <w:rFonts w:ascii="Arial" w:cs="Arial" w:eastAsia="Arial" w:hAnsi="Arial"/>
                <w:sz w:val="18"/>
                <w:szCs w:val="18"/>
                <w:color w:val="auto"/>
                <w:w w:val="99"/>
              </w:rPr>
              <w:t>10.7*</w:t>
            </w:r>
          </w:p>
        </w:tc>
        <w:tc>
          <w:tcPr>
            <w:tcW w:w="460" w:type="dxa"/>
            <w:vAlign w:val="bottom"/>
          </w:tcPr>
          <w:p>
            <w:pPr>
              <w:spacing w:after="0"/>
              <w:rPr>
                <w:sz w:val="24"/>
                <w:szCs w:val="24"/>
                <w:color w:val="auto"/>
              </w:rPr>
            </w:pPr>
          </w:p>
        </w:tc>
        <w:tc>
          <w:tcPr>
            <w:tcW w:w="3680" w:type="dxa"/>
            <w:vAlign w:val="bottom"/>
            <w:tcBorders>
              <w:bottom w:val="single" w:sz="8" w:color="0000EE"/>
            </w:tcBorders>
            <w:gridSpan w:val="19"/>
          </w:tcPr>
          <w:p>
            <w:pPr>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Form of Nonqualified Stock Option Agreement for</w:t>
              </w:r>
            </w:hyperlink>
          </w:p>
        </w:tc>
        <w:tc>
          <w:tcPr>
            <w:tcW w:w="16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3"/>
          </w:tcPr>
          <w:p>
            <w:pPr>
              <w:ind w:left="160"/>
              <w:spacing w:after="0"/>
              <w:rPr>
                <w:sz w:val="20"/>
                <w:szCs w:val="20"/>
                <w:color w:val="auto"/>
              </w:rPr>
            </w:pPr>
            <w:r>
              <w:rPr>
                <w:rFonts w:ascii="Arial" w:cs="Arial" w:eastAsia="Arial" w:hAnsi="Arial"/>
                <w:sz w:val="18"/>
                <w:szCs w:val="18"/>
                <w:color w:val="auto"/>
              </w:rPr>
              <w:t>Form 10-K (Exhibit 10.12)</w:t>
            </w: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3/31/2017</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40" w:type="dxa"/>
            <w:vAlign w:val="bottom"/>
            <w:gridSpan w:val="23"/>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Directors under Amended 2015 Stock Plan.</w:t>
              </w:r>
            </w:hyperlink>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ind w:left="140"/>
              <w:spacing w:after="0"/>
              <w:rPr>
                <w:sz w:val="20"/>
                <w:szCs w:val="20"/>
                <w:color w:val="auto"/>
              </w:rPr>
            </w:pPr>
            <w:r>
              <w:rPr>
                <w:rFonts w:ascii="Arial" w:cs="Arial" w:eastAsia="Arial" w:hAnsi="Arial"/>
                <w:sz w:val="18"/>
                <w:szCs w:val="18"/>
                <w:color w:val="auto"/>
                <w:w w:val="99"/>
              </w:rPr>
              <w:t>10.8*</w:t>
            </w:r>
          </w:p>
        </w:tc>
        <w:tc>
          <w:tcPr>
            <w:tcW w:w="460" w:type="dxa"/>
            <w:vAlign w:val="bottom"/>
          </w:tcPr>
          <w:p>
            <w:pPr>
              <w:spacing w:after="0"/>
              <w:rPr>
                <w:sz w:val="24"/>
                <w:szCs w:val="24"/>
                <w:color w:val="auto"/>
              </w:rPr>
            </w:pPr>
          </w:p>
        </w:tc>
        <w:tc>
          <w:tcPr>
            <w:tcW w:w="3840" w:type="dxa"/>
            <w:vAlign w:val="bottom"/>
            <w:gridSpan w:val="23"/>
          </w:tcPr>
          <w:p>
            <w:pPr>
              <w:spacing w:after="0"/>
              <w:rPr>
                <w:rFonts w:ascii="Arial" w:cs="Arial" w:eastAsia="Arial" w:hAnsi="Arial"/>
                <w:sz w:val="18"/>
                <w:szCs w:val="18"/>
                <w:color w:val="0000EE"/>
              </w:rPr>
            </w:pPr>
            <w:hyperlink r:id="rId98">
              <w:r>
                <w:rPr>
                  <w:rFonts w:ascii="Arial" w:cs="Arial" w:eastAsia="Arial" w:hAnsi="Arial"/>
                  <w:sz w:val="18"/>
                  <w:szCs w:val="18"/>
                  <w:color w:val="0000EE"/>
                </w:rPr>
                <w:t>Form of Restricted Stock Unit Agreement under</w:t>
              </w:r>
            </w:hyperlink>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3"/>
          </w:tcPr>
          <w:p>
            <w:pPr>
              <w:ind w:left="160"/>
              <w:spacing w:after="0"/>
              <w:rPr>
                <w:sz w:val="20"/>
                <w:szCs w:val="20"/>
                <w:color w:val="auto"/>
              </w:rPr>
            </w:pPr>
            <w:r>
              <w:rPr>
                <w:rFonts w:ascii="Arial" w:cs="Arial" w:eastAsia="Arial" w:hAnsi="Arial"/>
                <w:sz w:val="18"/>
                <w:szCs w:val="18"/>
                <w:color w:val="auto"/>
              </w:rPr>
              <w:t>Form 10-Q (Exhibit 10.1)</w:t>
            </w: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5/10/2016</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Amended 2015 Stock Plan.</w:t>
              </w:r>
            </w:hyperlink>
          </w:p>
        </w:tc>
        <w:tc>
          <w:tcPr>
            <w:tcW w:w="1500" w:type="dxa"/>
            <w:vAlign w:val="bottom"/>
            <w:tcBorders>
              <w:top w:val="single" w:sz="8" w:color="0000EE"/>
            </w:tcBorders>
            <w:gridSpan w:val="9"/>
          </w:tcPr>
          <w:p>
            <w:pPr>
              <w:spacing w:after="0"/>
              <w:rPr>
                <w:sz w:val="17"/>
                <w:szCs w:val="17"/>
                <w:color w:val="auto"/>
              </w:rPr>
            </w:pPr>
          </w:p>
        </w:tc>
        <w:tc>
          <w:tcPr>
            <w:tcW w:w="38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4880" w:type="dxa"/>
            <w:vAlign w:val="bottom"/>
            <w:gridSpan w:val="26"/>
          </w:tcPr>
          <w:p>
            <w:pPr>
              <w:spacing w:after="0"/>
              <w:rPr>
                <w:sz w:val="20"/>
                <w:szCs w:val="20"/>
                <w:color w:val="auto"/>
              </w:rPr>
            </w:pPr>
            <w:r>
              <w:rPr>
                <w:rFonts w:ascii="Arial" w:cs="Arial" w:eastAsia="Arial" w:hAnsi="Arial"/>
                <w:sz w:val="18"/>
                <w:szCs w:val="18"/>
                <w:b w:val="1"/>
                <w:bCs w:val="1"/>
                <w:i w:val="1"/>
                <w:iCs w:val="1"/>
                <w:color w:val="auto"/>
              </w:rPr>
              <w:t>Agreements with Executive Officers and Directors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0" w:type="dxa"/>
            <w:vAlign w:val="bottom"/>
            <w:gridSpan w:val="2"/>
          </w:tcPr>
          <w:p>
            <w:pPr>
              <w:ind w:left="140"/>
              <w:spacing w:after="0"/>
              <w:rPr>
                <w:sz w:val="20"/>
                <w:szCs w:val="20"/>
                <w:color w:val="auto"/>
              </w:rPr>
            </w:pPr>
            <w:r>
              <w:rPr>
                <w:rFonts w:ascii="Arial" w:cs="Arial" w:eastAsia="Arial" w:hAnsi="Arial"/>
                <w:sz w:val="18"/>
                <w:szCs w:val="18"/>
                <w:color w:val="auto"/>
                <w:w w:val="99"/>
              </w:rPr>
              <w:t>10.9*</w:t>
            </w:r>
          </w:p>
        </w:tc>
        <w:tc>
          <w:tcPr>
            <w:tcW w:w="460" w:type="dxa"/>
            <w:vAlign w:val="bottom"/>
          </w:tcPr>
          <w:p>
            <w:pPr>
              <w:spacing w:after="0"/>
              <w:rPr>
                <w:sz w:val="24"/>
                <w:szCs w:val="24"/>
                <w:color w:val="auto"/>
              </w:rPr>
            </w:pPr>
          </w:p>
        </w:tc>
        <w:tc>
          <w:tcPr>
            <w:tcW w:w="3840" w:type="dxa"/>
            <w:vAlign w:val="bottom"/>
            <w:gridSpan w:val="23"/>
          </w:tcPr>
          <w:p>
            <w:pPr>
              <w:spacing w:after="0"/>
              <w:rPr>
                <w:rFonts w:ascii="Arial" w:cs="Arial" w:eastAsia="Arial" w:hAnsi="Arial"/>
                <w:sz w:val="18"/>
                <w:szCs w:val="18"/>
                <w:color w:val="0000EE"/>
              </w:rPr>
            </w:pPr>
            <w:hyperlink r:id="rId99">
              <w:r>
                <w:rPr>
                  <w:rFonts w:ascii="Arial" w:cs="Arial" w:eastAsia="Arial" w:hAnsi="Arial"/>
                  <w:sz w:val="18"/>
                  <w:szCs w:val="18"/>
                  <w:color w:val="0000EE"/>
                </w:rPr>
                <w:t>Letter Agreement, dated November 24, 2014,</w:t>
              </w:r>
            </w:hyperlink>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3"/>
          </w:tcPr>
          <w:p>
            <w:pPr>
              <w:ind w:left="160"/>
              <w:spacing w:after="0"/>
              <w:rPr>
                <w:sz w:val="20"/>
                <w:szCs w:val="20"/>
                <w:color w:val="auto"/>
              </w:rPr>
            </w:pPr>
            <w:r>
              <w:rPr>
                <w:rFonts w:ascii="Arial" w:cs="Arial" w:eastAsia="Arial" w:hAnsi="Arial"/>
                <w:sz w:val="18"/>
                <w:szCs w:val="18"/>
                <w:color w:val="auto"/>
              </w:rPr>
              <w:t>Form 8-K (Exhibit 10.3)</w:t>
            </w: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12/4/2014</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r:id="rId99">
              <w:r>
                <w:rPr>
                  <w:rFonts w:ascii="Arial" w:cs="Arial" w:eastAsia="Arial" w:hAnsi="Arial"/>
                  <w:sz w:val="18"/>
                  <w:szCs w:val="18"/>
                  <w:color w:val="0000EE"/>
                  <w:w w:val="88"/>
                </w:rPr>
                <w:t>between Synta Pharmaceuticals Corp. and Marc R.</w:t>
              </w:r>
            </w:hyperlink>
          </w:p>
        </w:tc>
        <w:tc>
          <w:tcPr>
            <w:tcW w:w="18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r:id="rId99">
              <w:r>
                <w:rPr>
                  <w:rFonts w:ascii="Arial" w:cs="Arial" w:eastAsia="Arial" w:hAnsi="Arial"/>
                  <w:sz w:val="18"/>
                  <w:szCs w:val="18"/>
                  <w:color w:val="0000EE"/>
                  <w:w w:val="84"/>
                </w:rPr>
                <w:t>Schneebaum</w:t>
              </w:r>
            </w:hyperlink>
          </w:p>
        </w:tc>
        <w:tc>
          <w:tcPr>
            <w:tcW w:w="2920" w:type="dxa"/>
            <w:vAlign w:val="bottom"/>
            <w:gridSpan w:val="21"/>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gridSpan w:val="3"/>
          </w:tcPr>
          <w:p>
            <w:pPr>
              <w:ind w:left="140"/>
              <w:spacing w:after="0"/>
              <w:rPr>
                <w:sz w:val="20"/>
                <w:szCs w:val="20"/>
                <w:color w:val="auto"/>
              </w:rPr>
            </w:pPr>
            <w:r>
              <w:rPr>
                <w:rFonts w:ascii="Arial" w:cs="Arial" w:eastAsia="Arial" w:hAnsi="Arial"/>
                <w:sz w:val="18"/>
                <w:szCs w:val="18"/>
                <w:color w:val="auto"/>
              </w:rPr>
              <w:t>10.11*</w:t>
            </w:r>
          </w:p>
        </w:tc>
        <w:tc>
          <w:tcPr>
            <w:tcW w:w="3840" w:type="dxa"/>
            <w:vAlign w:val="bottom"/>
            <w:gridSpan w:val="23"/>
          </w:tcPr>
          <w:p>
            <w:pPr>
              <w:spacing w:after="0"/>
              <w:rPr>
                <w:rFonts w:ascii="Arial" w:cs="Arial" w:eastAsia="Arial" w:hAnsi="Arial"/>
                <w:sz w:val="18"/>
                <w:szCs w:val="18"/>
                <w:color w:val="0000EE"/>
                <w:w w:val="99"/>
              </w:rPr>
            </w:pPr>
            <w:hyperlink r:id="rId100">
              <w:r>
                <w:rPr>
                  <w:rFonts w:ascii="Arial" w:cs="Arial" w:eastAsia="Arial" w:hAnsi="Arial"/>
                  <w:sz w:val="18"/>
                  <w:szCs w:val="18"/>
                  <w:color w:val="0000EE"/>
                  <w:w w:val="99"/>
                </w:rPr>
                <w:t>Form of Indemnification Agreement between the</w:t>
              </w:r>
            </w:hyperlink>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3"/>
          </w:tcPr>
          <w:p>
            <w:pPr>
              <w:ind w:left="160"/>
              <w:spacing w:after="0"/>
              <w:rPr>
                <w:sz w:val="20"/>
                <w:szCs w:val="20"/>
                <w:color w:val="auto"/>
              </w:rPr>
            </w:pPr>
            <w:r>
              <w:rPr>
                <w:rFonts w:ascii="Arial" w:cs="Arial" w:eastAsia="Arial" w:hAnsi="Arial"/>
                <w:sz w:val="18"/>
                <w:szCs w:val="18"/>
                <w:color w:val="auto"/>
              </w:rPr>
              <w:t>Form 8-K (Exhibit 10.4)</w:t>
            </w: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12/4/2014</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20" w:type="dxa"/>
            <w:vAlign w:val="bottom"/>
            <w:tcBorders>
              <w:top w:val="single" w:sz="8" w:color="0000EE"/>
            </w:tcBorders>
            <w:gridSpan w:val="16"/>
          </w:tcPr>
          <w:p>
            <w:pPr>
              <w:spacing w:after="0" w:line="196" w:lineRule="exact"/>
              <w:rPr>
                <w:rFonts w:ascii="Arial" w:cs="Arial" w:eastAsia="Arial" w:hAnsi="Arial"/>
                <w:sz w:val="18"/>
                <w:szCs w:val="18"/>
                <w:color w:val="0000EE"/>
                <w:w w:val="95"/>
              </w:rPr>
            </w:pPr>
            <w:hyperlink r:id="rId100">
              <w:r>
                <w:rPr>
                  <w:rFonts w:ascii="Arial" w:cs="Arial" w:eastAsia="Arial" w:hAnsi="Arial"/>
                  <w:sz w:val="18"/>
                  <w:szCs w:val="18"/>
                  <w:color w:val="0000EE"/>
                  <w:w w:val="95"/>
                </w:rPr>
                <w:t>Registrant and certain directors and executive</w:t>
              </w:r>
            </w:hyperlink>
          </w:p>
        </w:tc>
        <w:tc>
          <w:tcPr>
            <w:tcW w:w="32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officers.</w:t>
              </w:r>
            </w:hyperlink>
          </w:p>
        </w:tc>
        <w:tc>
          <w:tcPr>
            <w:tcW w:w="560" w:type="dxa"/>
            <w:vAlign w:val="bottom"/>
            <w:gridSpan w:val="11"/>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3"/>
          </w:tcPr>
          <w:p>
            <w:pPr>
              <w:ind w:left="140"/>
              <w:spacing w:after="0"/>
              <w:rPr>
                <w:sz w:val="20"/>
                <w:szCs w:val="20"/>
                <w:color w:val="auto"/>
              </w:rPr>
            </w:pPr>
            <w:r>
              <w:rPr>
                <w:rFonts w:ascii="Arial" w:cs="Arial" w:eastAsia="Arial" w:hAnsi="Arial"/>
                <w:sz w:val="18"/>
                <w:szCs w:val="18"/>
                <w:color w:val="auto"/>
              </w:rPr>
              <w:t>10.12*</w:t>
            </w:r>
          </w:p>
        </w:tc>
        <w:tc>
          <w:tcPr>
            <w:tcW w:w="3720" w:type="dxa"/>
            <w:vAlign w:val="bottom"/>
            <w:tcBorders>
              <w:bottom w:val="single" w:sz="8" w:color="0000EE"/>
            </w:tcBorders>
            <w:gridSpan w:val="21"/>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Non-Qualified Stock Option Agreement (outside of</w:t>
              </w:r>
            </w:hyperlink>
          </w:p>
        </w:tc>
        <w:tc>
          <w:tcPr>
            <w:tcW w:w="1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3"/>
          </w:tcPr>
          <w:p>
            <w:pPr>
              <w:ind w:left="160"/>
              <w:spacing w:after="0"/>
              <w:rPr>
                <w:sz w:val="20"/>
                <w:szCs w:val="20"/>
                <w:color w:val="auto"/>
              </w:rPr>
            </w:pPr>
            <w:r>
              <w:rPr>
                <w:rFonts w:ascii="Arial" w:cs="Arial" w:eastAsia="Arial" w:hAnsi="Arial"/>
                <w:sz w:val="18"/>
                <w:szCs w:val="18"/>
                <w:color w:val="auto"/>
              </w:rPr>
              <w:t>Form 10-K (Exhibit 10.46)</w:t>
            </w: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3/12/2015</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40" w:type="dxa"/>
            <w:vAlign w:val="bottom"/>
            <w:gridSpan w:val="23"/>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the Amended and Restated 2006 Stock Plan), dated</w:t>
              </w:r>
            </w:hyperlink>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40" w:type="dxa"/>
            <w:vAlign w:val="bottom"/>
            <w:gridSpan w:val="23"/>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December 8, 2014, between the Registrant and Marc</w:t>
              </w:r>
            </w:hyperlink>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r:id="rId101">
              <w:r>
                <w:rPr>
                  <w:rFonts w:ascii="Arial" w:cs="Arial" w:eastAsia="Arial" w:hAnsi="Arial"/>
                  <w:sz w:val="18"/>
                  <w:szCs w:val="18"/>
                  <w:color w:val="0000EE"/>
                  <w:w w:val="84"/>
                </w:rPr>
                <w:t>Schneebaum.</w:t>
              </w:r>
            </w:hyperlink>
          </w:p>
        </w:tc>
        <w:tc>
          <w:tcPr>
            <w:tcW w:w="2820" w:type="dxa"/>
            <w:vAlign w:val="bottom"/>
            <w:tcBorders>
              <w:top w:val="single" w:sz="8" w:color="0000EE"/>
            </w:tcBorders>
            <w:gridSpan w:val="19"/>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gridSpan w:val="3"/>
          </w:tcPr>
          <w:p>
            <w:pPr>
              <w:ind w:left="140"/>
              <w:spacing w:after="0"/>
              <w:rPr>
                <w:sz w:val="20"/>
                <w:szCs w:val="20"/>
                <w:color w:val="auto"/>
              </w:rPr>
            </w:pPr>
            <w:r>
              <w:rPr>
                <w:rFonts w:ascii="Arial" w:cs="Arial" w:eastAsia="Arial" w:hAnsi="Arial"/>
                <w:sz w:val="18"/>
                <w:szCs w:val="18"/>
                <w:color w:val="auto"/>
              </w:rPr>
              <w:t>10.13*</w:t>
            </w:r>
          </w:p>
        </w:tc>
        <w:tc>
          <w:tcPr>
            <w:tcW w:w="3420" w:type="dxa"/>
            <w:vAlign w:val="bottom"/>
            <w:tcBorders>
              <w:bottom w:val="single" w:sz="8" w:color="0000EE"/>
            </w:tcBorders>
            <w:gridSpan w:val="13"/>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Letter Agreement, dated April 13, 2016, by and</w:t>
              </w:r>
            </w:hyperlink>
          </w:p>
        </w:tc>
        <w:tc>
          <w:tcPr>
            <w:tcW w:w="420" w:type="dxa"/>
            <w:vAlign w:val="bottom"/>
            <w:gridSpan w:val="10"/>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3"/>
          </w:tcPr>
          <w:p>
            <w:pPr>
              <w:ind w:left="160"/>
              <w:spacing w:after="0"/>
              <w:rPr>
                <w:sz w:val="20"/>
                <w:szCs w:val="20"/>
                <w:color w:val="auto"/>
              </w:rPr>
            </w:pPr>
            <w:r>
              <w:rPr>
                <w:rFonts w:ascii="Arial" w:cs="Arial" w:eastAsia="Arial" w:hAnsi="Arial"/>
                <w:sz w:val="18"/>
                <w:szCs w:val="18"/>
                <w:color w:val="auto"/>
              </w:rPr>
              <w:t>Form 8-K (Exhibit 10.3)</w:t>
            </w: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7/22/2016</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7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between the Company and Paul A. Friedman, M.D.</w:t>
              </w:r>
            </w:hyperlink>
          </w:p>
        </w:tc>
        <w:tc>
          <w:tcPr>
            <w:tcW w:w="14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gridSpan w:val="3"/>
          </w:tcPr>
          <w:p>
            <w:pPr>
              <w:ind w:left="140"/>
              <w:spacing w:after="0"/>
              <w:rPr>
                <w:sz w:val="20"/>
                <w:szCs w:val="20"/>
                <w:color w:val="auto"/>
              </w:rPr>
            </w:pPr>
            <w:r>
              <w:rPr>
                <w:rFonts w:ascii="Arial" w:cs="Arial" w:eastAsia="Arial" w:hAnsi="Arial"/>
                <w:sz w:val="18"/>
                <w:szCs w:val="18"/>
                <w:color w:val="auto"/>
              </w:rPr>
              <w:t>10.14*</w:t>
            </w:r>
          </w:p>
        </w:tc>
        <w:tc>
          <w:tcPr>
            <w:tcW w:w="3420" w:type="dxa"/>
            <w:vAlign w:val="bottom"/>
            <w:tcBorders>
              <w:bottom w:val="single" w:sz="8" w:color="0000EE"/>
            </w:tcBorders>
            <w:gridSpan w:val="13"/>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Letter Agreement, dated April 13, 2016, by and</w:t>
              </w:r>
            </w:hyperlink>
          </w:p>
        </w:tc>
        <w:tc>
          <w:tcPr>
            <w:tcW w:w="420" w:type="dxa"/>
            <w:vAlign w:val="bottom"/>
            <w:gridSpan w:val="10"/>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3"/>
          </w:tcPr>
          <w:p>
            <w:pPr>
              <w:ind w:left="160"/>
              <w:spacing w:after="0"/>
              <w:rPr>
                <w:sz w:val="20"/>
                <w:szCs w:val="20"/>
                <w:color w:val="auto"/>
              </w:rPr>
            </w:pPr>
            <w:r>
              <w:rPr>
                <w:rFonts w:ascii="Arial" w:cs="Arial" w:eastAsia="Arial" w:hAnsi="Arial"/>
                <w:sz w:val="18"/>
                <w:szCs w:val="18"/>
                <w:color w:val="auto"/>
              </w:rPr>
              <w:t>Form 8-K (Exhibit 10.4)</w:t>
            </w: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7/22/2016</w:t>
            </w:r>
          </w:p>
        </w:tc>
        <w:tc>
          <w:tcPr>
            <w:tcW w:w="980" w:type="dxa"/>
            <w:vAlign w:val="bottom"/>
            <w:gridSpan w:val="3"/>
          </w:tcPr>
          <w:p>
            <w:pPr>
              <w:ind w:left="200"/>
              <w:spacing w:after="0"/>
              <w:rPr>
                <w:sz w:val="20"/>
                <w:szCs w:val="20"/>
                <w:color w:val="auto"/>
              </w:rPr>
            </w:pPr>
            <w:r>
              <w:rPr>
                <w:rFonts w:ascii="Arial" w:cs="Arial" w:eastAsia="Arial" w:hAnsi="Arial"/>
                <w:sz w:val="18"/>
                <w:szCs w:val="18"/>
                <w:color w:val="auto"/>
                <w:w w:val="88"/>
              </w:rPr>
              <w:t>001-33277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03">
              <w:r>
                <w:rPr>
                  <w:rFonts w:ascii="Arial" w:cs="Arial" w:eastAsia="Arial" w:hAnsi="Arial"/>
                  <w:sz w:val="18"/>
                  <w:szCs w:val="18"/>
                  <w:color w:val="0000EE"/>
                  <w:w w:val="88"/>
                </w:rPr>
                <w:t>between the Company and Rebecca Taub, M.D.</w:t>
              </w:r>
            </w:hyperlink>
          </w:p>
        </w:tc>
        <w:tc>
          <w:tcPr>
            <w:tcW w:w="40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ind w:left="140"/>
              <w:spacing w:after="0"/>
              <w:rPr>
                <w:sz w:val="20"/>
                <w:szCs w:val="20"/>
                <w:color w:val="auto"/>
              </w:rPr>
            </w:pPr>
            <w:r>
              <w:rPr>
                <w:rFonts w:ascii="Arial" w:cs="Arial" w:eastAsia="Arial" w:hAnsi="Arial"/>
                <w:sz w:val="18"/>
                <w:szCs w:val="18"/>
                <w:color w:val="auto"/>
              </w:rPr>
              <w:t>21.1</w:t>
            </w:r>
          </w:p>
        </w:tc>
        <w:tc>
          <w:tcPr>
            <w:tcW w:w="460" w:type="dxa"/>
            <w:vAlign w:val="bottom"/>
          </w:tcPr>
          <w:p>
            <w:pPr>
              <w:spacing w:after="0"/>
              <w:rPr>
                <w:sz w:val="24"/>
                <w:szCs w:val="24"/>
                <w:color w:val="auto"/>
              </w:rPr>
            </w:pPr>
          </w:p>
        </w:tc>
        <w:tc>
          <w:tcPr>
            <w:tcW w:w="14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List of Subsidiaries.</w:t>
              </w:r>
            </w:hyperlink>
          </w:p>
        </w:tc>
        <w:tc>
          <w:tcPr>
            <w:tcW w:w="2400" w:type="dxa"/>
            <w:vAlign w:val="bottom"/>
            <w:gridSpan w:val="19"/>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ind w:left="140"/>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24"/>
                <w:szCs w:val="24"/>
                <w:color w:val="auto"/>
              </w:rPr>
            </w:pPr>
          </w:p>
        </w:tc>
        <w:tc>
          <w:tcPr>
            <w:tcW w:w="30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97">
              <w:r>
                <w:rPr>
                  <w:rFonts w:ascii="Arial" w:cs="Arial" w:eastAsia="Arial" w:hAnsi="Arial"/>
                  <w:sz w:val="18"/>
                  <w:szCs w:val="18"/>
                  <w:color w:val="0000EE"/>
                  <w:w w:val="88"/>
                </w:rPr>
                <w:t>Consent of PricewaterhouseCoopers LLP,</w:t>
              </w:r>
            </w:hyperlink>
          </w:p>
        </w:tc>
        <w:tc>
          <w:tcPr>
            <w:tcW w:w="840" w:type="dxa"/>
            <w:vAlign w:val="bottom"/>
            <w:gridSpan w:val="14"/>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40" w:type="dxa"/>
            <w:vAlign w:val="bottom"/>
            <w:gridSpan w:val="23"/>
          </w:tcPr>
          <w:p>
            <w:pPr>
              <w:spacing w:after="0" w:line="196" w:lineRule="exact"/>
              <w:rPr>
                <w:rFonts w:ascii="Arial" w:cs="Arial" w:eastAsia="Arial" w:hAnsi="Arial"/>
                <w:sz w:val="18"/>
                <w:szCs w:val="18"/>
                <w:color w:val="0000EE"/>
                <w:w w:val="98"/>
              </w:rPr>
            </w:pPr>
            <w:hyperlink w:anchor="page97">
              <w:r>
                <w:rPr>
                  <w:rFonts w:ascii="Arial" w:cs="Arial" w:eastAsia="Arial" w:hAnsi="Arial"/>
                  <w:sz w:val="18"/>
                  <w:szCs w:val="18"/>
                  <w:color w:val="0000EE"/>
                  <w:w w:val="98"/>
                </w:rPr>
                <w:t>Independent Registered Public Accounting Firm.</w:t>
              </w:r>
            </w:hyperlink>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ind w:left="54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86"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Incorporated by</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3"/>
            <w:vMerge w:val="restart"/>
          </w:tcPr>
          <w:p>
            <w:pPr>
              <w:jc w:val="center"/>
              <w:ind w:left="288"/>
              <w:spacing w:after="0"/>
              <w:rPr>
                <w:sz w:val="20"/>
                <w:szCs w:val="20"/>
                <w:color w:val="auto"/>
              </w:rPr>
            </w:pPr>
            <w:r>
              <w:rPr>
                <w:rFonts w:ascii="Arial" w:cs="Arial" w:eastAsia="Arial" w:hAnsi="Arial"/>
                <w:sz w:val="14"/>
                <w:szCs w:val="14"/>
                <w:b w:val="1"/>
                <w:bCs w:val="1"/>
                <w:color w:val="auto"/>
                <w:w w:val="99"/>
              </w:rPr>
              <w:t>SEC File /</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32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8"/>
              </w:rPr>
              <w:t>Exhibit</w:t>
            </w:r>
          </w:p>
        </w:tc>
        <w:tc>
          <w:tcPr>
            <w:tcW w:w="9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Filed</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2740" w:type="dxa"/>
            <w:vAlign w:val="bottom"/>
            <w:gridSpan w:val="9"/>
            <w:vMerge w:val="restart"/>
          </w:tcPr>
          <w:p>
            <w:pPr>
              <w:ind w:left="320"/>
              <w:spacing w:after="0"/>
              <w:rPr>
                <w:sz w:val="20"/>
                <w:szCs w:val="20"/>
                <w:color w:val="auto"/>
              </w:rPr>
            </w:pPr>
            <w:r>
              <w:rPr>
                <w:rFonts w:ascii="Arial" w:cs="Arial" w:eastAsia="Arial" w:hAnsi="Arial"/>
                <w:sz w:val="14"/>
                <w:szCs w:val="14"/>
                <w:b w:val="1"/>
                <w:bCs w:val="1"/>
                <w:color w:val="auto"/>
              </w:rPr>
              <w:t>Exhibit Description</w:t>
            </w:r>
          </w:p>
        </w:tc>
        <w:tc>
          <w:tcPr>
            <w:tcW w:w="6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7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4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gridSpan w:val="3"/>
          </w:tcPr>
          <w:p>
            <w:pPr>
              <w:jc w:val="center"/>
              <w:ind w:left="288"/>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8"/>
        </w:trPr>
        <w:tc>
          <w:tcPr>
            <w:tcW w:w="13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4"/>
              </w:rPr>
              <w:t>Number</w:t>
            </w:r>
          </w:p>
        </w:tc>
        <w:tc>
          <w:tcPr>
            <w:tcW w:w="900" w:type="dxa"/>
            <w:vAlign w:val="bottom"/>
          </w:tcPr>
          <w:p>
            <w:pPr>
              <w:spacing w:after="0"/>
              <w:rPr>
                <w:sz w:val="15"/>
                <w:szCs w:val="15"/>
                <w:color w:val="auto"/>
              </w:rPr>
            </w:pPr>
          </w:p>
        </w:tc>
        <w:tc>
          <w:tcPr>
            <w:tcW w:w="2740" w:type="dxa"/>
            <w:vAlign w:val="bottom"/>
            <w:gridSpan w:val="9"/>
            <w:vMerge w:val="continue"/>
          </w:tcPr>
          <w:p>
            <w:pPr>
              <w:spacing w:after="0"/>
              <w:rPr>
                <w:sz w:val="15"/>
                <w:szCs w:val="15"/>
                <w:color w:val="auto"/>
              </w:rPr>
            </w:pPr>
          </w:p>
        </w:tc>
        <w:tc>
          <w:tcPr>
            <w:tcW w:w="1580" w:type="dxa"/>
            <w:vAlign w:val="bottom"/>
            <w:gridSpan w:val="3"/>
          </w:tcPr>
          <w:p>
            <w:pPr>
              <w:ind w:left="640"/>
              <w:spacing w:after="0"/>
              <w:rPr>
                <w:sz w:val="20"/>
                <w:szCs w:val="20"/>
                <w:color w:val="auto"/>
              </w:rPr>
            </w:pPr>
            <w:r>
              <w:rPr>
                <w:rFonts w:ascii="Arial" w:cs="Arial" w:eastAsia="Arial" w:hAnsi="Arial"/>
                <w:sz w:val="14"/>
                <w:szCs w:val="14"/>
                <w:b w:val="1"/>
                <w:bCs w:val="1"/>
                <w:color w:val="auto"/>
              </w:rPr>
              <w:t>Herewith</w:t>
            </w:r>
          </w:p>
        </w:tc>
        <w:tc>
          <w:tcPr>
            <w:tcW w:w="1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Schedule</w:t>
            </w:r>
          </w:p>
        </w:tc>
        <w:tc>
          <w:tcPr>
            <w:tcW w:w="140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31.1</w:t>
            </w:r>
          </w:p>
        </w:tc>
        <w:tc>
          <w:tcPr>
            <w:tcW w:w="820" w:type="dxa"/>
            <w:vAlign w:val="bottom"/>
          </w:tcPr>
          <w:p>
            <w:pPr>
              <w:spacing w:after="0"/>
              <w:rPr>
                <w:sz w:val="23"/>
                <w:szCs w:val="23"/>
                <w:color w:val="auto"/>
              </w:rPr>
            </w:pPr>
          </w:p>
        </w:tc>
        <w:tc>
          <w:tcPr>
            <w:tcW w:w="3640" w:type="dxa"/>
            <w:vAlign w:val="bottom"/>
            <w:tcBorders>
              <w:top w:val="single" w:sz="8" w:color="auto"/>
            </w:tcBorders>
            <w:gridSpan w:val="10"/>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Certification of Principal Executive Officer</w:t>
              </w:r>
            </w:hyperlink>
          </w:p>
        </w:tc>
        <w:tc>
          <w:tcPr>
            <w:tcW w:w="640" w:type="dxa"/>
            <w:vAlign w:val="bottom"/>
          </w:tcPr>
          <w:p>
            <w:pPr>
              <w:spacing w:after="0"/>
              <w:rPr>
                <w:sz w:val="23"/>
                <w:szCs w:val="23"/>
                <w:color w:val="auto"/>
              </w:rPr>
            </w:pPr>
          </w:p>
        </w:tc>
        <w:tc>
          <w:tcPr>
            <w:tcW w:w="5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X</w:t>
            </w: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required by Rule 13a-14(a) or Rule 15d-14(a) of</w:t>
              </w:r>
            </w:hyperlink>
          </w:p>
        </w:tc>
        <w:tc>
          <w:tcPr>
            <w:tcW w:w="16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40" w:type="dxa"/>
            <w:vAlign w:val="bottom"/>
            <w:gridSpan w:val="10"/>
          </w:tcPr>
          <w:p>
            <w:pPr>
              <w:spacing w:after="0" w:line="196" w:lineRule="exact"/>
              <w:rPr>
                <w:rFonts w:ascii="Arial" w:cs="Arial" w:eastAsia="Arial" w:hAnsi="Arial"/>
                <w:sz w:val="18"/>
                <w:szCs w:val="18"/>
                <w:color w:val="0000EE"/>
                <w:w w:val="92"/>
              </w:rPr>
            </w:pPr>
            <w:hyperlink w:anchor="page98">
              <w:r>
                <w:rPr>
                  <w:rFonts w:ascii="Arial" w:cs="Arial" w:eastAsia="Arial" w:hAnsi="Arial"/>
                  <w:sz w:val="18"/>
                  <w:szCs w:val="18"/>
                  <w:color w:val="0000EE"/>
                  <w:w w:val="92"/>
                </w:rPr>
                <w:t>the Securities Exchange Act of 1934, as adopted</w:t>
              </w:r>
            </w:hyperlink>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pursuant to Section 302 of the Sarbanes-Oxley</w:t>
              </w:r>
            </w:hyperlink>
          </w:p>
        </w:tc>
        <w:tc>
          <w:tcPr>
            <w:tcW w:w="120" w:type="dxa"/>
            <w:vAlign w:val="bottom"/>
            <w:tcBorders>
              <w:top w:val="single" w:sz="8" w:color="0000EE"/>
            </w:tcBorders>
            <w:gridSpan w:val="2"/>
          </w:tcPr>
          <w:p>
            <w:pPr>
              <w:spacing w:after="0"/>
              <w:rPr>
                <w:sz w:val="17"/>
                <w:szCs w:val="17"/>
                <w:color w:val="auto"/>
              </w:rPr>
            </w:pPr>
          </w:p>
        </w:tc>
        <w:tc>
          <w:tcPr>
            <w:tcW w:w="16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40" w:type="dxa"/>
            <w:vAlign w:val="bottom"/>
            <w:gridSpan w:val="10"/>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Act of 2002.</w:t>
              </w:r>
            </w:hyperlink>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31.2</w:t>
            </w:r>
          </w:p>
        </w:tc>
        <w:tc>
          <w:tcPr>
            <w:tcW w:w="820" w:type="dxa"/>
            <w:vAlign w:val="bottom"/>
          </w:tcPr>
          <w:p>
            <w:pPr>
              <w:spacing w:after="0"/>
              <w:rPr>
                <w:sz w:val="24"/>
                <w:szCs w:val="24"/>
                <w:color w:val="auto"/>
              </w:rPr>
            </w:pPr>
          </w:p>
        </w:tc>
        <w:tc>
          <w:tcPr>
            <w:tcW w:w="31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Certification of Principal Financial Officer</w:t>
              </w:r>
            </w:hyperlink>
          </w:p>
        </w:tc>
        <w:tc>
          <w:tcPr>
            <w:tcW w:w="520" w:type="dxa"/>
            <w:vAlign w:val="bottom"/>
            <w:gridSpan w:val="7"/>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X</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pursuant to Rule 13a-14(a) or Rule 15d-14(a) of</w:t>
              </w:r>
            </w:hyperlink>
          </w:p>
        </w:tc>
        <w:tc>
          <w:tcPr>
            <w:tcW w:w="18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40" w:type="dxa"/>
            <w:vAlign w:val="bottom"/>
            <w:gridSpan w:val="10"/>
          </w:tcPr>
          <w:p>
            <w:pPr>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the Securities Exchange Act of 1934, as adopted</w:t>
              </w:r>
            </w:hyperlink>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pursuant to Section 302 of the Sarbanes-Oxley</w:t>
              </w:r>
            </w:hyperlink>
          </w:p>
        </w:tc>
        <w:tc>
          <w:tcPr>
            <w:tcW w:w="120" w:type="dxa"/>
            <w:vAlign w:val="bottom"/>
            <w:tcBorders>
              <w:top w:val="single" w:sz="8" w:color="0000EE"/>
            </w:tcBorders>
            <w:gridSpan w:val="2"/>
          </w:tcPr>
          <w:p>
            <w:pPr>
              <w:spacing w:after="0"/>
              <w:rPr>
                <w:sz w:val="17"/>
                <w:szCs w:val="17"/>
                <w:color w:val="auto"/>
              </w:rPr>
            </w:pPr>
          </w:p>
        </w:tc>
        <w:tc>
          <w:tcPr>
            <w:tcW w:w="16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40" w:type="dxa"/>
            <w:vAlign w:val="bottom"/>
            <w:gridSpan w:val="10"/>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Act of 2002.</w:t>
              </w:r>
            </w:hyperlink>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80" w:type="dxa"/>
            <w:vAlign w:val="bottom"/>
            <w:gridSpan w:val="3"/>
          </w:tcPr>
          <w:p>
            <w:pPr>
              <w:ind w:left="80"/>
              <w:spacing w:after="0"/>
              <w:rPr>
                <w:sz w:val="20"/>
                <w:szCs w:val="20"/>
                <w:color w:val="auto"/>
              </w:rPr>
            </w:pPr>
            <w:r>
              <w:rPr>
                <w:rFonts w:ascii="Arial" w:cs="Arial" w:eastAsia="Arial" w:hAnsi="Arial"/>
                <w:sz w:val="18"/>
                <w:szCs w:val="18"/>
                <w:color w:val="auto"/>
              </w:rPr>
              <w:t>32.1**</w:t>
            </w:r>
          </w:p>
        </w:tc>
        <w:tc>
          <w:tcPr>
            <w:tcW w:w="35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Certifications of Principal Executive Officer and</w:t>
              </w:r>
            </w:hyperlink>
          </w:p>
        </w:tc>
        <w:tc>
          <w:tcPr>
            <w:tcW w:w="1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X</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40" w:type="dxa"/>
            <w:vAlign w:val="bottom"/>
            <w:gridSpan w:val="10"/>
          </w:tcPr>
          <w:p>
            <w:pPr>
              <w:spacing w:after="0" w:line="196"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Principal Financial Officer pursuant to 18 U.S.C.</w:t>
              </w:r>
            </w:hyperlink>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40" w:type="dxa"/>
            <w:vAlign w:val="bottom"/>
            <w:gridSpan w:val="10"/>
          </w:tcPr>
          <w:p>
            <w:pPr>
              <w:spacing w:after="0" w:line="19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Section 1350, as adopted pursuant to Section 906</w:t>
              </w:r>
            </w:hyperlink>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of the Sarbanes-Oxley Act of 2002.</w:t>
              </w:r>
            </w:hyperlink>
          </w:p>
        </w:tc>
        <w:tc>
          <w:tcPr>
            <w:tcW w:w="980" w:type="dxa"/>
            <w:vAlign w:val="bottom"/>
            <w:tcBorders>
              <w:top w:val="single" w:sz="8" w:color="0000EE"/>
            </w:tcBorders>
            <w:gridSpan w:val="7"/>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3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364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640" w:type="dxa"/>
            <w:vAlign w:val="bottom"/>
          </w:tcPr>
          <w:p>
            <w:pPr>
              <w:spacing w:after="0"/>
              <w:rPr>
                <w:sz w:val="24"/>
                <w:szCs w:val="24"/>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X</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36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w:t>
            </w:r>
          </w:p>
        </w:tc>
        <w:tc>
          <w:tcPr>
            <w:tcW w:w="640" w:type="dxa"/>
            <w:vAlign w:val="bottom"/>
          </w:tcPr>
          <w:p>
            <w:pPr>
              <w:spacing w:after="0"/>
              <w:rPr>
                <w:sz w:val="24"/>
                <w:szCs w:val="24"/>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X</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4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3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3640" w:type="dxa"/>
            <w:vAlign w:val="bottom"/>
            <w:gridSpan w:val="10"/>
          </w:tcPr>
          <w:p>
            <w:pPr>
              <w:spacing w:after="0"/>
              <w:rPr>
                <w:sz w:val="20"/>
                <w:szCs w:val="20"/>
                <w:color w:val="auto"/>
              </w:rPr>
            </w:pPr>
            <w:r>
              <w:rPr>
                <w:rFonts w:ascii="Arial" w:cs="Arial" w:eastAsia="Arial" w:hAnsi="Arial"/>
                <w:sz w:val="18"/>
                <w:szCs w:val="18"/>
                <w:color w:val="auto"/>
                <w:w w:val="99"/>
              </w:rPr>
              <w:t>Inline XBRL Taxonomy Extension Calculation</w:t>
            </w:r>
          </w:p>
        </w:tc>
        <w:tc>
          <w:tcPr>
            <w:tcW w:w="640" w:type="dxa"/>
            <w:vAlign w:val="bottom"/>
          </w:tcPr>
          <w:p>
            <w:pPr>
              <w:spacing w:after="0"/>
              <w:rPr>
                <w:sz w:val="24"/>
                <w:szCs w:val="24"/>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X</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4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3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36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w:t>
            </w:r>
          </w:p>
        </w:tc>
        <w:tc>
          <w:tcPr>
            <w:tcW w:w="640" w:type="dxa"/>
            <w:vAlign w:val="bottom"/>
          </w:tcPr>
          <w:p>
            <w:pPr>
              <w:spacing w:after="0"/>
              <w:rPr>
                <w:sz w:val="24"/>
                <w:szCs w:val="24"/>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X</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4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3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36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w:t>
            </w:r>
          </w:p>
        </w:tc>
        <w:tc>
          <w:tcPr>
            <w:tcW w:w="640" w:type="dxa"/>
            <w:vAlign w:val="bottom"/>
          </w:tcPr>
          <w:p>
            <w:pPr>
              <w:spacing w:after="0"/>
              <w:rPr>
                <w:sz w:val="24"/>
                <w:szCs w:val="24"/>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X</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4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3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3640" w:type="dxa"/>
            <w:vAlign w:val="bottom"/>
            <w:gridSpan w:val="10"/>
          </w:tcPr>
          <w:p>
            <w:pPr>
              <w:spacing w:after="0"/>
              <w:rPr>
                <w:sz w:val="20"/>
                <w:szCs w:val="20"/>
                <w:color w:val="auto"/>
              </w:rPr>
            </w:pPr>
            <w:r>
              <w:rPr>
                <w:rFonts w:ascii="Arial" w:cs="Arial" w:eastAsia="Arial" w:hAnsi="Arial"/>
                <w:sz w:val="18"/>
                <w:szCs w:val="18"/>
                <w:color w:val="auto"/>
                <w:w w:val="96"/>
              </w:rPr>
              <w:t>Inline XBRL Taxonomy Extension Presentation</w:t>
            </w:r>
          </w:p>
        </w:tc>
        <w:tc>
          <w:tcPr>
            <w:tcW w:w="640" w:type="dxa"/>
            <w:vAlign w:val="bottom"/>
          </w:tcPr>
          <w:p>
            <w:pPr>
              <w:spacing w:after="0"/>
              <w:rPr>
                <w:sz w:val="24"/>
                <w:szCs w:val="24"/>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X</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4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8"/>
                <w:szCs w:val="18"/>
                <w:color w:val="auto"/>
              </w:rPr>
              <w:t>104</w:t>
            </w:r>
          </w:p>
        </w:tc>
        <w:tc>
          <w:tcPr>
            <w:tcW w:w="820" w:type="dxa"/>
            <w:vAlign w:val="bottom"/>
          </w:tcPr>
          <w:p>
            <w:pPr>
              <w:spacing w:after="0"/>
              <w:rPr>
                <w:sz w:val="24"/>
                <w:szCs w:val="24"/>
                <w:color w:val="auto"/>
              </w:rPr>
            </w:pPr>
          </w:p>
        </w:tc>
        <w:tc>
          <w:tcPr>
            <w:tcW w:w="3640" w:type="dxa"/>
            <w:vAlign w:val="bottom"/>
            <w:gridSpan w:val="10"/>
          </w:tcPr>
          <w:p>
            <w:pPr>
              <w:spacing w:after="0"/>
              <w:rPr>
                <w:sz w:val="20"/>
                <w:szCs w:val="20"/>
                <w:color w:val="auto"/>
              </w:rPr>
            </w:pPr>
            <w:r>
              <w:rPr>
                <w:rFonts w:ascii="Arial" w:cs="Arial" w:eastAsia="Arial" w:hAnsi="Arial"/>
                <w:sz w:val="18"/>
                <w:szCs w:val="18"/>
                <w:color w:val="auto"/>
              </w:rPr>
              <w:t>Inline XBRL for the cover page of this Annual</w:t>
            </w:r>
          </w:p>
        </w:tc>
        <w:tc>
          <w:tcPr>
            <w:tcW w:w="640" w:type="dxa"/>
            <w:vAlign w:val="bottom"/>
          </w:tcPr>
          <w:p>
            <w:pPr>
              <w:spacing w:after="0"/>
              <w:rPr>
                <w:sz w:val="24"/>
                <w:szCs w:val="24"/>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X</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40" w:type="dxa"/>
            <w:vAlign w:val="bottom"/>
            <w:gridSpan w:val="10"/>
          </w:tcPr>
          <w:p>
            <w:pPr>
              <w:spacing w:after="0"/>
              <w:rPr>
                <w:sz w:val="20"/>
                <w:szCs w:val="20"/>
                <w:color w:val="auto"/>
              </w:rPr>
            </w:pPr>
            <w:r>
              <w:rPr>
                <w:rFonts w:ascii="Arial" w:cs="Arial" w:eastAsia="Arial" w:hAnsi="Arial"/>
                <w:sz w:val="18"/>
                <w:szCs w:val="18"/>
                <w:color w:val="auto"/>
                <w:w w:val="93"/>
              </w:rPr>
              <w:t>Report on Form 10-K, included in the Exhibit 101</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40" w:type="dxa"/>
            <w:vAlign w:val="bottom"/>
            <w:gridSpan w:val="10"/>
          </w:tcPr>
          <w:p>
            <w:pPr>
              <w:spacing w:after="0"/>
              <w:rPr>
                <w:sz w:val="20"/>
                <w:szCs w:val="20"/>
                <w:color w:val="auto"/>
              </w:rPr>
            </w:pPr>
            <w:r>
              <w:rPr>
                <w:rFonts w:ascii="Arial" w:cs="Arial" w:eastAsia="Arial" w:hAnsi="Arial"/>
                <w:sz w:val="18"/>
                <w:szCs w:val="18"/>
                <w:color w:val="auto"/>
              </w:rPr>
              <w:t>Inline XBRL Document Set.</w:t>
            </w: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740" w:hanging="53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a management contract, compensatory plan or arrangement.</w:t>
      </w:r>
    </w:p>
    <w:p>
      <w:pPr>
        <w:spacing w:after="0" w:line="23" w:lineRule="exact"/>
        <w:rPr>
          <w:sz w:val="20"/>
          <w:szCs w:val="20"/>
          <w:color w:val="auto"/>
        </w:rPr>
      </w:pPr>
    </w:p>
    <w:p>
      <w:pPr>
        <w:ind w:left="640" w:hanging="436"/>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certifications attached as Exhibit 32.1 that accompany this Annual Report on Form 10-K are not deemed filed with the SEC and are not to be</w:t>
      </w:r>
    </w:p>
    <w:p>
      <w:pPr>
        <w:spacing w:after="0" w:line="32" w:lineRule="exact"/>
        <w:rPr>
          <w:sz w:val="20"/>
          <w:szCs w:val="20"/>
          <w:color w:val="auto"/>
        </w:rPr>
      </w:pPr>
    </w:p>
    <w:p>
      <w:pPr>
        <w:ind w:left="640"/>
        <w:spacing w:after="0" w:line="250" w:lineRule="auto"/>
        <w:rPr>
          <w:sz w:val="20"/>
          <w:szCs w:val="20"/>
          <w:color w:val="auto"/>
        </w:rPr>
      </w:pPr>
      <w:r>
        <w:rPr>
          <w:rFonts w:ascii="Arial" w:cs="Arial" w:eastAsia="Arial" w:hAnsi="Arial"/>
          <w:sz w:val="18"/>
          <w:szCs w:val="18"/>
          <w:color w:val="auto"/>
        </w:rPr>
        <w:t>incorporated by reference into any filing of the registrant under the Securities Act of 1933, as amended, or the Securities Exchange Act of 1934, as amended, whether made before or after the date of this Annual Report on Form 10-K, regardless of any general incorporation language contained in any filing.</w:t>
      </w:r>
    </w:p>
    <w:p>
      <w:pPr>
        <w:spacing w:after="0" w:line="1" w:lineRule="exact"/>
        <w:rPr>
          <w:sz w:val="20"/>
          <w:szCs w:val="20"/>
          <w:color w:val="auto"/>
        </w:rPr>
      </w:pPr>
    </w:p>
    <w:p>
      <w:pPr>
        <w:ind w:left="640" w:right="480" w:hanging="436"/>
        <w:spacing w:after="0" w:line="261" w:lineRule="auto"/>
        <w:tabs>
          <w:tab w:leader="none" w:pos="640" w:val="left"/>
        </w:tabs>
        <w:numPr>
          <w:ilvl w:val="0"/>
          <w:numId w:val="32"/>
        </w:numPr>
        <w:rPr>
          <w:rFonts w:ascii="Arial" w:cs="Arial" w:eastAsia="Arial" w:hAnsi="Arial"/>
          <w:sz w:val="18"/>
          <w:szCs w:val="18"/>
          <w:i w:val="1"/>
          <w:iCs w:val="1"/>
          <w:color w:val="auto"/>
        </w:rPr>
      </w:pPr>
      <w:r>
        <w:rPr>
          <w:rFonts w:ascii="Arial" w:cs="Arial" w:eastAsia="Arial" w:hAnsi="Arial"/>
          <w:sz w:val="18"/>
          <w:szCs w:val="18"/>
          <w:color w:val="auto"/>
        </w:rPr>
        <w:t>Confidential portions of these documents have been filed separately with the Securities and Exchange Commission pursuant to a request for confidential treatment.</w:t>
      </w:r>
    </w:p>
    <w:p>
      <w:pPr>
        <w:spacing w:after="0" w:line="288"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86"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MADRIGAL PHARMACEUTICALS INC.</w:t>
      </w:r>
    </w:p>
    <w:p>
      <w:pPr>
        <w:spacing w:after="0" w:line="229" w:lineRule="exact"/>
        <w:rPr>
          <w:sz w:val="20"/>
          <w:szCs w:val="20"/>
          <w:color w:val="auto"/>
        </w:rPr>
      </w:pPr>
    </w:p>
    <w:p>
      <w:pPr>
        <w:ind w:left="200"/>
        <w:spacing w:after="0"/>
        <w:tabs>
          <w:tab w:leader="none" w:pos="5920" w:val="left"/>
          <w:tab w:leader="none" w:pos="7600" w:val="left"/>
        </w:tabs>
        <w:rPr>
          <w:sz w:val="20"/>
          <w:szCs w:val="20"/>
          <w:color w:val="auto"/>
        </w:rPr>
      </w:pPr>
      <w:r>
        <w:rPr>
          <w:rFonts w:ascii="Arial" w:cs="Arial" w:eastAsia="Arial" w:hAnsi="Arial"/>
          <w:sz w:val="18"/>
          <w:szCs w:val="18"/>
          <w:color w:val="auto"/>
        </w:rPr>
        <w:t>Date: February 26,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0784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KNOW ALL PERSONS BY THESE PRESENTS, that each individual whose signature appears below hereby constitutes and appoints Paul A. Friedman, M.D., Marc R. Schneebaum and Brian J. Lynch, and each or either of them, acting individually, as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 granting unto said attorney-in-fact and agent,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any of them, or their or his or her substitutes, may lawfully do or cause to be done or by virtue hereof.</w:t>
      </w:r>
    </w:p>
    <w:p>
      <w:pPr>
        <w:spacing w:after="0" w:line="16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Pursuant to the requirements of the Exchange Act, as amended,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100" w:type="dxa"/>
            <w:vAlign w:val="bottom"/>
          </w:tcPr>
          <w:p>
            <w:pPr>
              <w:spacing w:after="0"/>
              <w:rPr>
                <w:sz w:val="16"/>
                <w:szCs w:val="16"/>
                <w:color w:val="auto"/>
              </w:rPr>
            </w:pPr>
          </w:p>
        </w:tc>
        <w:tc>
          <w:tcPr>
            <w:tcW w:w="2800" w:type="dxa"/>
            <w:vAlign w:val="bottom"/>
            <w:gridSpan w:val="2"/>
          </w:tcPr>
          <w:p>
            <w:pPr>
              <w:jc w:val="center"/>
              <w:ind w:right="2140"/>
              <w:spacing w:after="0"/>
              <w:rPr>
                <w:sz w:val="20"/>
                <w:szCs w:val="20"/>
                <w:color w:val="auto"/>
              </w:rPr>
            </w:pPr>
            <w:r>
              <w:rPr>
                <w:rFonts w:ascii="Arial" w:cs="Arial" w:eastAsia="Arial" w:hAnsi="Arial"/>
                <w:sz w:val="14"/>
                <w:szCs w:val="14"/>
                <w:b w:val="1"/>
                <w:bCs w:val="1"/>
                <w:color w:val="auto"/>
                <w:w w:val="91"/>
              </w:rPr>
              <w:t>Signatures</w:t>
            </w:r>
          </w:p>
        </w:tc>
        <w:tc>
          <w:tcPr>
            <w:tcW w:w="3880" w:type="dxa"/>
            <w:vAlign w:val="bottom"/>
            <w:gridSpan w:val="3"/>
          </w:tcPr>
          <w:p>
            <w:pPr>
              <w:ind w:left="184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spacing w:after="0"/>
              <w:rPr>
                <w:sz w:val="16"/>
                <w:szCs w:val="16"/>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r>
      <w:tr>
        <w:trPr>
          <w:trHeight w:val="20"/>
        </w:trPr>
        <w:tc>
          <w:tcPr>
            <w:tcW w:w="2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7"/>
              </w:rPr>
              <w:t>/s/ PAUL A. FRIEDMAN, M.D.</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Chairman of the Board of Directors and Chief</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2020</w:t>
            </w:r>
          </w:p>
        </w:tc>
      </w:tr>
      <w:tr>
        <w:trPr>
          <w:trHeight w:val="237"/>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Paul A. Friedman, M.D.</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Executive Officer (Principal Executive Officer)</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9"/>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6"/>
              </w:rPr>
              <w:t>/s/ MARC R. SCHNEEBAUM</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w w:val="96"/>
              </w:rPr>
              <w:t>Senior Vice President and Chief Financial Officer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2020</w:t>
            </w:r>
          </w:p>
        </w:tc>
      </w:tr>
      <w:tr>
        <w:trPr>
          <w:trHeight w:val="237"/>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Marc R. Schneebaum</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(Principal Accounting and Financial Officer)</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9"/>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6"/>
              </w:rPr>
              <w:t>/s/ REBECCA TAUB, M.D.</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2020</w:t>
            </w:r>
          </w:p>
        </w:tc>
      </w:tr>
      <w:tr>
        <w:trPr>
          <w:trHeight w:val="237"/>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Rebecca Taub, M.D.</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9"/>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FRED B. CRAVES, PH.D.</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2020</w:t>
            </w:r>
          </w:p>
        </w:tc>
      </w:tr>
      <w:tr>
        <w:trPr>
          <w:trHeight w:val="237"/>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Fred B. Craves, Ph.D.</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9"/>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6"/>
              </w:rPr>
              <w:t>/s/ KENNETH M. BATE</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2020</w:t>
            </w:r>
          </w:p>
        </w:tc>
      </w:tr>
      <w:tr>
        <w:trPr>
          <w:trHeight w:val="237"/>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Kenneth M. Bate</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9"/>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7"/>
              </w:rPr>
              <w:t>/s/ KEITH R. GOLLUST</w:t>
            </w:r>
          </w:p>
        </w:tc>
        <w:tc>
          <w:tcPr>
            <w:tcW w:w="38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26, 2020</w:t>
            </w:r>
          </w:p>
        </w:tc>
      </w:tr>
      <w:tr>
        <w:trPr>
          <w:trHeight w:val="237"/>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4"/>
              </w:rPr>
              <w:t>Keith R. Gollust</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2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40" w:type="dxa"/>
            <w:vAlign w:val="bottom"/>
          </w:tcPr>
          <w:p>
            <w:pPr>
              <w:ind w:left="500"/>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220"/>
          </w:cols>
          <w:pgMar w:left="240" w:top="487"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4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Signatures</w:t>
            </w:r>
          </w:p>
        </w:tc>
        <w:tc>
          <w:tcPr>
            <w:tcW w:w="3100" w:type="dxa"/>
            <w:vAlign w:val="bottom"/>
            <w:gridSpan w:val="3"/>
          </w:tcPr>
          <w:p>
            <w:pPr>
              <w:ind w:left="1840"/>
              <w:spacing w:after="0"/>
              <w:rPr>
                <w:sz w:val="20"/>
                <w:szCs w:val="20"/>
                <w:color w:val="auto"/>
              </w:rPr>
            </w:pPr>
            <w:r>
              <w:rPr>
                <w:rFonts w:ascii="Arial" w:cs="Arial" w:eastAsia="Arial" w:hAnsi="Arial"/>
                <w:sz w:val="14"/>
                <w:szCs w:val="14"/>
                <w:b w:val="1"/>
                <w:bCs w:val="1"/>
                <w:color w:val="auto"/>
              </w:rPr>
              <w:t>Title</w:t>
            </w:r>
          </w:p>
        </w:tc>
        <w:tc>
          <w:tcPr>
            <w:tcW w:w="1840" w:type="dxa"/>
            <w:vAlign w:val="bottom"/>
          </w:tcPr>
          <w:p>
            <w:pPr>
              <w:spacing w:after="0"/>
              <w:rPr>
                <w:sz w:val="16"/>
                <w:szCs w:val="16"/>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r>
      <w:tr>
        <w:trPr>
          <w:trHeight w:val="20"/>
        </w:trPr>
        <w:tc>
          <w:tcPr>
            <w:tcW w:w="2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/s/ DAVID MILLIGAN, PH.D.</w:t>
            </w:r>
          </w:p>
        </w:tc>
        <w:tc>
          <w:tcPr>
            <w:tcW w:w="3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20" w:type="dxa"/>
            <w:vAlign w:val="bottom"/>
            <w:gridSpan w:val="3"/>
          </w:tcPr>
          <w:p>
            <w:pPr>
              <w:ind w:left="1000"/>
              <w:spacing w:after="0"/>
              <w:rPr>
                <w:sz w:val="20"/>
                <w:szCs w:val="20"/>
                <w:color w:val="auto"/>
              </w:rPr>
            </w:pPr>
            <w:r>
              <w:rPr>
                <w:rFonts w:ascii="Arial" w:cs="Arial" w:eastAsia="Arial" w:hAnsi="Arial"/>
                <w:sz w:val="18"/>
                <w:szCs w:val="18"/>
                <w:color w:val="auto"/>
                <w:w w:val="88"/>
              </w:rPr>
              <w:t>February 26, 2020</w:t>
            </w:r>
          </w:p>
        </w:tc>
      </w:tr>
      <w:tr>
        <w:trPr>
          <w:trHeight w:val="237"/>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David Milligan, Ph.D.</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9"/>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5"/>
              </w:rPr>
              <w:t>/s/ RICHARD S. LEVY, M.D.</w:t>
            </w:r>
          </w:p>
        </w:tc>
        <w:tc>
          <w:tcPr>
            <w:tcW w:w="3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20" w:type="dxa"/>
            <w:vAlign w:val="bottom"/>
            <w:gridSpan w:val="3"/>
          </w:tcPr>
          <w:p>
            <w:pPr>
              <w:ind w:left="1000"/>
              <w:spacing w:after="0"/>
              <w:rPr>
                <w:sz w:val="20"/>
                <w:szCs w:val="20"/>
                <w:color w:val="auto"/>
              </w:rPr>
            </w:pPr>
            <w:r>
              <w:rPr>
                <w:rFonts w:ascii="Arial" w:cs="Arial" w:eastAsia="Arial" w:hAnsi="Arial"/>
                <w:sz w:val="18"/>
                <w:szCs w:val="18"/>
                <w:color w:val="auto"/>
                <w:w w:val="88"/>
              </w:rPr>
              <w:t>February 26, 2020</w:t>
            </w:r>
          </w:p>
        </w:tc>
      </w:tr>
      <w:tr>
        <w:trPr>
          <w:trHeight w:val="237"/>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Richard S. Levy, M.D.</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9"/>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6"/>
              </w:rPr>
              <w:t>/s/ JAMES M. DALY</w:t>
            </w:r>
          </w:p>
        </w:tc>
        <w:tc>
          <w:tcPr>
            <w:tcW w:w="3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20" w:type="dxa"/>
            <w:vAlign w:val="bottom"/>
            <w:gridSpan w:val="3"/>
          </w:tcPr>
          <w:p>
            <w:pPr>
              <w:ind w:left="1000"/>
              <w:spacing w:after="0"/>
              <w:rPr>
                <w:sz w:val="20"/>
                <w:szCs w:val="20"/>
                <w:color w:val="auto"/>
              </w:rPr>
            </w:pPr>
            <w:r>
              <w:rPr>
                <w:rFonts w:ascii="Arial" w:cs="Arial" w:eastAsia="Arial" w:hAnsi="Arial"/>
                <w:sz w:val="18"/>
                <w:szCs w:val="18"/>
                <w:color w:val="auto"/>
                <w:w w:val="88"/>
              </w:rPr>
              <w:t>February 26, 2020</w:t>
            </w:r>
          </w:p>
        </w:tc>
      </w:tr>
      <w:tr>
        <w:trPr>
          <w:trHeight w:val="237"/>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James M. Daly</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40" w:type="dxa"/>
            <w:vAlign w:val="bottom"/>
          </w:tcPr>
          <w:p>
            <w:pPr>
              <w:jc w:val="right"/>
              <w:ind w:right="1074"/>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540"/>
          </w:cols>
          <w:pgMar w:left="240" w:top="486" w:right="11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00" w:type="dxa"/>
            <w:vAlign w:val="bottom"/>
            <w:gridSpan w:val="9"/>
            <w:vMerge w:val="restart"/>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Report of Independent Registered Public Accounting Firm</w:t>
              </w:r>
            </w:hyperlink>
          </w:p>
        </w:tc>
        <w:tc>
          <w:tcPr>
            <w:tcW w:w="57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4800" w:type="dxa"/>
            <w:vAlign w:val="bottom"/>
            <w:gridSpan w:val="9"/>
            <w:vMerge w:val="continue"/>
          </w:tcPr>
          <w:p>
            <w:pPr>
              <w:spacing w:after="0"/>
              <w:rPr>
                <w:sz w:val="14"/>
                <w:szCs w:val="14"/>
                <w:color w:val="auto"/>
              </w:rPr>
            </w:pPr>
          </w:p>
        </w:tc>
        <w:tc>
          <w:tcPr>
            <w:tcW w:w="5740" w:type="dxa"/>
            <w:vAlign w:val="bottom"/>
          </w:tcPr>
          <w:p>
            <w:pPr>
              <w:spacing w:after="0"/>
              <w:rPr>
                <w:sz w:val="14"/>
                <w:szCs w:val="14"/>
                <w:color w:val="auto"/>
              </w:rPr>
            </w:pPr>
          </w:p>
        </w:tc>
        <w:tc>
          <w:tcPr>
            <w:tcW w:w="400" w:type="dxa"/>
            <w:vAlign w:val="bottom"/>
          </w:tcPr>
          <w:p>
            <w:pPr>
              <w:jc w:val="right"/>
              <w:spacing w:after="0" w:line="17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2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Financial Statements:</w:t>
              </w:r>
            </w:hyperlink>
          </w:p>
        </w:tc>
        <w:tc>
          <w:tcPr>
            <w:tcW w:w="1660" w:type="dxa"/>
            <w:vAlign w:val="bottom"/>
            <w:tcBorders>
              <w:top w:val="single" w:sz="8" w:color="0000EE"/>
            </w:tcBorders>
            <w:gridSpan w:val="6"/>
          </w:tcPr>
          <w:p>
            <w:pPr>
              <w:spacing w:after="0"/>
              <w:rPr>
                <w:sz w:val="17"/>
                <w:szCs w:val="17"/>
                <w:color w:val="auto"/>
              </w:rPr>
            </w:pPr>
          </w:p>
        </w:tc>
        <w:tc>
          <w:tcPr>
            <w:tcW w:w="5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Consolidated Balance Sheets</w:t>
              </w:r>
            </w:hyperlink>
          </w:p>
        </w:tc>
        <w:tc>
          <w:tcPr>
            <w:tcW w:w="2700" w:type="dxa"/>
            <w:vAlign w:val="bottom"/>
            <w:gridSpan w:val="8"/>
          </w:tcPr>
          <w:p>
            <w:pPr>
              <w:spacing w:after="0"/>
              <w:rPr>
                <w:sz w:val="17"/>
                <w:szCs w:val="17"/>
                <w:color w:val="auto"/>
              </w:rPr>
            </w:pPr>
          </w:p>
        </w:tc>
        <w:tc>
          <w:tcPr>
            <w:tcW w:w="57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Operations</w:t>
              </w:r>
            </w:hyperlink>
          </w:p>
        </w:tc>
        <w:tc>
          <w:tcPr>
            <w:tcW w:w="1980" w:type="dxa"/>
            <w:vAlign w:val="bottom"/>
            <w:gridSpan w:val="6"/>
          </w:tcPr>
          <w:p>
            <w:pPr>
              <w:spacing w:after="0"/>
              <w:rPr>
                <w:sz w:val="17"/>
                <w:szCs w:val="17"/>
                <w:color w:val="auto"/>
              </w:rPr>
            </w:pPr>
          </w:p>
        </w:tc>
        <w:tc>
          <w:tcPr>
            <w:tcW w:w="57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4800" w:type="dxa"/>
            <w:vAlign w:val="bottom"/>
            <w:gridSpan w:val="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Comprehensive Loss</w:t>
              </w:r>
            </w:hyperlink>
          </w:p>
        </w:tc>
        <w:tc>
          <w:tcPr>
            <w:tcW w:w="57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Consolidated Statements of Stockholders’ Equity</w:t>
              </w:r>
            </w:hyperlink>
          </w:p>
        </w:tc>
        <w:tc>
          <w:tcPr>
            <w:tcW w:w="1240" w:type="dxa"/>
            <w:vAlign w:val="bottom"/>
            <w:gridSpan w:val="2"/>
          </w:tcPr>
          <w:p>
            <w:pPr>
              <w:spacing w:after="0"/>
              <w:rPr>
                <w:sz w:val="17"/>
                <w:szCs w:val="17"/>
                <w:color w:val="auto"/>
              </w:rPr>
            </w:pPr>
          </w:p>
        </w:tc>
        <w:tc>
          <w:tcPr>
            <w:tcW w:w="57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Consolidated Statements of Cash Flows</w:t>
              </w:r>
            </w:hyperlink>
          </w:p>
        </w:tc>
        <w:tc>
          <w:tcPr>
            <w:tcW w:w="1920" w:type="dxa"/>
            <w:vAlign w:val="bottom"/>
            <w:gridSpan w:val="5"/>
          </w:tcPr>
          <w:p>
            <w:pPr>
              <w:spacing w:after="0"/>
              <w:rPr>
                <w:sz w:val="17"/>
                <w:szCs w:val="17"/>
                <w:color w:val="auto"/>
              </w:rPr>
            </w:pPr>
          </w:p>
        </w:tc>
        <w:tc>
          <w:tcPr>
            <w:tcW w:w="57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4800" w:type="dxa"/>
            <w:vAlign w:val="bottom"/>
            <w:gridSpan w:val="9"/>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Notes to Consolidated Financial Statements</w:t>
              </w:r>
            </w:hyperlink>
          </w:p>
        </w:tc>
        <w:tc>
          <w:tcPr>
            <w:tcW w:w="57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426"/>
        </w:trPr>
        <w:tc>
          <w:tcPr>
            <w:tcW w:w="2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40" w:type="dxa"/>
            <w:vAlign w:val="bottom"/>
            <w:gridSpan w:val="2"/>
          </w:tcPr>
          <w:p>
            <w:pPr>
              <w:jc w:val="right"/>
              <w:ind w:right="5212"/>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140"/>
          </w:cols>
          <w:pgMar w:left="240" w:top="486" w:right="5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Stockholders of Madrigal Pharmaceuticals, Inc.</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left="200" w:right="240"/>
        <w:spacing w:after="0" w:line="297" w:lineRule="auto"/>
        <w:rPr>
          <w:sz w:val="20"/>
          <w:szCs w:val="20"/>
          <w:color w:val="auto"/>
        </w:rPr>
      </w:pPr>
      <w:r>
        <w:rPr>
          <w:rFonts w:ascii="Arial" w:cs="Arial" w:eastAsia="Arial" w:hAnsi="Arial"/>
          <w:sz w:val="16"/>
          <w:szCs w:val="16"/>
          <w:color w:val="auto"/>
        </w:rPr>
        <w:t>We have audited the accompanying consolidated balance sheets of Madrigal Pharmaceuticals, Inc. and its subsidiaries (the “Company”) as of December 31, 2019 and 2018, and the related consolidated statements of operations, of comprehensive loss, of stockholders’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Internal Control - Integrated Framework (2013) issued by the Committee of Sponsoring Organizations of the Treadway Commission (COSO).</w:t>
      </w:r>
    </w:p>
    <w:p>
      <w:pPr>
        <w:spacing w:after="0" w:line="158"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Internal Control - Integrated Framework (2013) issued by the COSO.</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86"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Costs</w:t>
      </w:r>
    </w:p>
    <w:p>
      <w:pPr>
        <w:spacing w:after="0" w:line="117"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As described in Notes 2 and 5 to the consolidated financial statements, management uses significant judgment in estimating the amount of research and development costs recognized in each reporting period. Management analyzes and estimates the progress of its preclinical studies and clinical trials, completion of milestone events per underlying agreements, invoices received and contracted costs when estimating the research and development costs to accrue in each reporting period. Total research and development costs incurred during the year ended December 31, 2019 were $72.3 million and research and development costs accrued were $13.8 million as of December 31, 2019.</w:t>
      </w:r>
    </w:p>
    <w:p>
      <w:pPr>
        <w:spacing w:after="0" w:line="173"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The principal considerations for our determination that performing procedures relating to research and development costs is a critical audit matter are there was significant judgment by management when estimating the costs incurred for services performed by vendors that have not yet been invoiced in estimating the research and development costs to accrue in the reporting period. This in turn led to a high degree of auditor judgment, subjectivity and effort in performing procedures to evaluate the audit evidence obtained relating to estimates of costs accrued.</w:t>
      </w:r>
    </w:p>
    <w:p>
      <w:pPr>
        <w:spacing w:after="0" w:line="17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over management’s process relating to accruing research and development costs, including controls over estimating the costs incurred for services performed by vendors that have not yet been invoiced. These procedures also included, among others, testing management’s process for estimating the research and development costs to accrue in the reporting period, evaluating the completeness and accuracy of underlying data used in management’s estimate by testing for consistency with a sample of contracts and invoices, testing the number of patients screened for and enrolled in the trial, testing the mathematical accuracy of the calculation of the accrual for research and development costs incurred, and evaluating the reasonableness of assumptions used in the estimate. Evaluating the reasonableness of assumptions used in the estimate involved assessing management’s ability to reasonably estimate costs incurred that have not been invoiced by (i) performing a</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00"/>
          </w:cols>
          <w:pgMar w:left="240" w:top="486"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comparison of the estimated accrual to average procedure rates per contracts applied to the number of patients screened for and enrolled in the trial, and by (ii) performing a comparison of the estimated accrual to actual costs incurred on similar completed preclinical studies and clinical trials.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26, 2020</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2016.</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240" w:top="486"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34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392,348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440,197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Right-of-use asset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442,056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1,178</w:t>
            </w:r>
          </w:p>
        </w:tc>
        <w:tc>
          <w:tcPr>
            <w:tcW w:w="24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Lease liability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Long term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Total long term liabilities</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Preferred stock, par value $0.0001 per share authorized: 5,000,000 shares at December 31, 2019 and</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1"/>
              </w:rPr>
              <w:t>December 31, 2018; 1,969,797 shares issued and outstanding at December 31, 2019 and December 31, 2018</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ind w:left="340"/>
              <w:spacing w:after="0" w:line="201" w:lineRule="exact"/>
              <w:rPr>
                <w:sz w:val="20"/>
                <w:szCs w:val="20"/>
                <w:color w:val="auto"/>
              </w:rPr>
            </w:pPr>
            <w:r>
              <w:rPr>
                <w:rFonts w:ascii="Arial" w:cs="Arial" w:eastAsia="Arial" w:hAnsi="Arial"/>
                <w:sz w:val="18"/>
                <w:szCs w:val="18"/>
                <w:color w:val="auto"/>
                <w:w w:val="92"/>
              </w:rPr>
              <w:t>Common stock, par value $0.0001 per share authorized: 200,000,000 at December 31, 2019 and December 31,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520"/>
              <w:spacing w:after="0"/>
              <w:rPr>
                <w:sz w:val="20"/>
                <w:szCs w:val="20"/>
                <w:color w:val="auto"/>
              </w:rPr>
            </w:pPr>
            <w:r>
              <w:rPr>
                <w:rFonts w:ascii="Arial" w:cs="Arial" w:eastAsia="Arial" w:hAnsi="Arial"/>
                <w:sz w:val="18"/>
                <w:szCs w:val="18"/>
                <w:color w:val="auto"/>
                <w:w w:val="93"/>
              </w:rPr>
              <w:t>2018; 15,429,154 and 15,409,023 shares issued and outstanding at December 31, 2019 and December 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520"/>
              <w:spacing w:after="0"/>
              <w:rPr>
                <w:sz w:val="20"/>
                <w:szCs w:val="20"/>
                <w:color w:val="auto"/>
              </w:rPr>
            </w:pPr>
            <w:r>
              <w:rPr>
                <w:rFonts w:ascii="Arial" w:cs="Arial" w:eastAsia="Arial" w:hAnsi="Arial"/>
                <w:sz w:val="18"/>
                <w:szCs w:val="18"/>
                <w:color w:val="auto"/>
              </w:rPr>
              <w:t>2018, respectively</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paid-in-capital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Accumulated other comprehensive gain (loss)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(223,220)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(139,272)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442,056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87"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4"/>
                <w:szCs w:val="14"/>
                <w:b w:val="1"/>
                <w:bCs w:val="1"/>
                <w:color w:val="auto"/>
                <w:w w:val="91"/>
              </w:rPr>
              <w:t>Year 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72,324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94,972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32,062</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(32,062)</w:t>
            </w: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20" w:type="dxa"/>
            <w:vAlign w:val="bottom"/>
          </w:tcPr>
          <w:p>
            <w:pPr>
              <w:ind w:left="700"/>
              <w:spacing w:after="0"/>
              <w:rPr>
                <w:sz w:val="20"/>
                <w:szCs w:val="20"/>
                <w:color w:val="auto"/>
              </w:rPr>
            </w:pPr>
            <w:r>
              <w:rPr>
                <w:rFonts w:ascii="Arial" w:cs="Arial" w:eastAsia="Arial" w:hAnsi="Arial"/>
                <w:sz w:val="18"/>
                <w:szCs w:val="18"/>
                <w:color w:val="auto"/>
              </w:rPr>
              <w:t>Net loss</w:t>
            </w:r>
          </w:p>
        </w:tc>
        <w:tc>
          <w:tcPr>
            <w:tcW w:w="9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(83,948)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number of common shares outstanding</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15,394,659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14,796,712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12,244,939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86"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0"/>
              </w:rPr>
              <w:t>$(83,948)</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(32,811)</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$(31,154)</w:t>
            </w: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available-for-sale securities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20" w:type="dxa"/>
            <w:vAlign w:val="bottom"/>
          </w:tcPr>
          <w:p>
            <w:pPr>
              <w:spacing w:after="0"/>
              <w:rPr>
                <w:sz w:val="18"/>
                <w:szCs w:val="18"/>
                <w:color w:val="auto"/>
              </w:rPr>
            </w:pPr>
          </w:p>
        </w:tc>
        <w:tc>
          <w:tcPr>
            <w:tcW w:w="8120" w:type="dxa"/>
            <w:vAlign w:val="bottom"/>
          </w:tcPr>
          <w:p>
            <w:pPr>
              <w:ind w:left="700"/>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(83,413</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(33,099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(31,210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86"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auto"/>
        </w:rPr>
        <w:t>(in thousands, except share and per share amounts)</w:t>
      </w:r>
    </w:p>
    <w:p>
      <w:pPr>
        <w:sectPr>
          <w:pgSz w:w="11900" w:h="16838" w:orient="portrait"/>
          <w:cols w:equalWidth="0" w:num="1">
            <w:col w:w="11200"/>
          </w:cols>
          <w:pgMar w:left="240" w:top="486" w:right="459" w:bottom="1440" w:gutter="0" w:footer="0" w:header="0"/>
        </w:sectPr>
      </w:pPr>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1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1"/>
              </w:rPr>
              <w:t>Preferred stock</w:t>
            </w: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3580" w:type="dxa"/>
            <w:vAlign w:val="bottom"/>
            <w:vMerge w:val="restart"/>
          </w:tcPr>
          <w:p>
            <w:pPr>
              <w:spacing w:after="0"/>
              <w:rPr>
                <w:sz w:val="20"/>
                <w:szCs w:val="20"/>
                <w:color w:val="auto"/>
              </w:rPr>
            </w:pPr>
            <w:r>
              <w:rPr>
                <w:rFonts w:ascii="Arial" w:cs="Arial" w:eastAsia="Arial" w:hAnsi="Arial"/>
                <w:sz w:val="14"/>
                <w:szCs w:val="14"/>
                <w:color w:val="auto"/>
              </w:rPr>
              <w:t>Balance at December 31, 2016</w:t>
            </w: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ind w:lef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37"/>
        </w:trPr>
        <w:tc>
          <w:tcPr>
            <w:tcW w:w="3580" w:type="dxa"/>
            <w:vAlign w:val="bottom"/>
            <w:vMerge w:val="continue"/>
          </w:tcPr>
          <w:p>
            <w:pPr>
              <w:spacing w:after="0"/>
              <w:rPr>
                <w:sz w:val="11"/>
                <w:szCs w:val="11"/>
                <w:color w:val="auto"/>
              </w:rPr>
            </w:pPr>
          </w:p>
        </w:tc>
        <w:tc>
          <w:tcPr>
            <w:tcW w:w="640" w:type="dxa"/>
            <w:vAlign w:val="bottom"/>
            <w:tcBorders>
              <w:top w:val="single" w:sz="8" w:color="auto"/>
            </w:tcBorders>
          </w:tcPr>
          <w:p>
            <w:pPr>
              <w:ind w:left="400"/>
              <w:spacing w:after="0" w:line="13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30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300"/>
              <w:spacing w:after="0"/>
              <w:rPr>
                <w:sz w:val="20"/>
                <w:szCs w:val="20"/>
                <w:color w:val="auto"/>
              </w:rPr>
            </w:pPr>
            <w:r>
              <w:rPr>
                <w:rFonts w:ascii="Arial" w:cs="Arial" w:eastAsia="Arial" w:hAnsi="Arial"/>
                <w:sz w:val="14"/>
                <w:szCs w:val="14"/>
                <w:color w:val="auto"/>
              </w:rPr>
              <w:t>Issuance of common and preferred shares in equity</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440"/>
              <w:spacing w:after="0"/>
              <w:rPr>
                <w:sz w:val="20"/>
                <w:szCs w:val="20"/>
                <w:color w:val="auto"/>
              </w:rPr>
            </w:pPr>
            <w:r>
              <w:rPr>
                <w:rFonts w:ascii="Arial" w:cs="Arial" w:eastAsia="Arial" w:hAnsi="Arial"/>
                <w:sz w:val="14"/>
                <w:szCs w:val="14"/>
                <w:color w:val="auto"/>
              </w:rPr>
              <w:t>offerings, net of transaction costs</w:t>
            </w:r>
          </w:p>
        </w:tc>
        <w:tc>
          <w:tcPr>
            <w:tcW w:w="640" w:type="dxa"/>
            <w:vAlign w:val="bottom"/>
          </w:tcPr>
          <w:p>
            <w:pPr>
              <w:ind w:left="40"/>
              <w:spacing w:after="0"/>
              <w:rPr>
                <w:sz w:val="20"/>
                <w:szCs w:val="20"/>
                <w:color w:val="auto"/>
              </w:rPr>
            </w:pPr>
            <w:r>
              <w:rPr>
                <w:rFonts w:ascii="Arial" w:cs="Arial" w:eastAsia="Arial" w:hAnsi="Arial"/>
                <w:sz w:val="14"/>
                <w:szCs w:val="14"/>
                <w:color w:val="auto"/>
                <w:w w:val="93"/>
              </w:rPr>
              <w:t>1,969,797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300"/>
              <w:spacing w:after="0"/>
              <w:rPr>
                <w:sz w:val="20"/>
                <w:szCs w:val="20"/>
                <w:color w:val="auto"/>
              </w:rPr>
            </w:pPr>
            <w:r>
              <w:rPr>
                <w:rFonts w:ascii="Arial" w:cs="Arial" w:eastAsia="Arial" w:hAnsi="Arial"/>
                <w:sz w:val="14"/>
                <w:szCs w:val="14"/>
                <w:color w:val="auto"/>
              </w:rPr>
              <w:t>Compensation expense related to stock options for</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440"/>
              <w:spacing w:after="0"/>
              <w:rPr>
                <w:sz w:val="20"/>
                <w:szCs w:val="20"/>
                <w:color w:val="auto"/>
              </w:rPr>
            </w:pPr>
            <w:r>
              <w:rPr>
                <w:rFonts w:ascii="Arial" w:cs="Arial" w:eastAsia="Arial" w:hAnsi="Arial"/>
                <w:sz w:val="14"/>
                <w:szCs w:val="14"/>
                <w:color w:val="auto"/>
              </w:rPr>
              <w:t>services</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300"/>
              <w:spacing w:after="0"/>
              <w:rPr>
                <w:sz w:val="20"/>
                <w:szCs w:val="20"/>
                <w:color w:val="auto"/>
              </w:rPr>
            </w:pPr>
            <w:r>
              <w:rPr>
                <w:rFonts w:ascii="Arial" w:cs="Arial" w:eastAsia="Arial" w:hAnsi="Arial"/>
                <w:sz w:val="14"/>
                <w:szCs w:val="14"/>
                <w:color w:val="auto"/>
              </w:rPr>
              <w:t>Unrealized loss on marketable securities</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580" w:type="dxa"/>
            <w:vAlign w:val="bottom"/>
          </w:tcPr>
          <w:p>
            <w:pPr>
              <w:ind w:left="300"/>
              <w:spacing w:after="0"/>
              <w:rPr>
                <w:sz w:val="20"/>
                <w:szCs w:val="20"/>
                <w:color w:val="auto"/>
              </w:rPr>
            </w:pPr>
            <w:r>
              <w:rPr>
                <w:rFonts w:ascii="Arial" w:cs="Arial" w:eastAsia="Arial" w:hAnsi="Arial"/>
                <w:sz w:val="14"/>
                <w:szCs w:val="14"/>
                <w:color w:val="auto"/>
              </w:rPr>
              <w:t>Net loss</w:t>
            </w: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3580" w:type="dxa"/>
            <w:vAlign w:val="bottom"/>
          </w:tcPr>
          <w:p>
            <w:pPr>
              <w:spacing w:after="0" w:line="137" w:lineRule="exact"/>
              <w:rPr>
                <w:sz w:val="20"/>
                <w:szCs w:val="20"/>
                <w:color w:val="auto"/>
              </w:rPr>
            </w:pPr>
            <w:r>
              <w:rPr>
                <w:rFonts w:ascii="Arial" w:cs="Arial" w:eastAsia="Arial" w:hAnsi="Arial"/>
                <w:sz w:val="14"/>
                <w:szCs w:val="14"/>
                <w:color w:val="auto"/>
              </w:rPr>
              <w:t>Balance at December 31, 2017</w:t>
            </w:r>
          </w:p>
        </w:tc>
        <w:tc>
          <w:tcPr>
            <w:tcW w:w="640" w:type="dxa"/>
            <w:vAlign w:val="bottom"/>
          </w:tcPr>
          <w:p>
            <w:pPr>
              <w:ind w:left="40"/>
              <w:spacing w:after="0" w:line="137" w:lineRule="exact"/>
              <w:rPr>
                <w:sz w:val="20"/>
                <w:szCs w:val="20"/>
                <w:color w:val="auto"/>
              </w:rPr>
            </w:pPr>
            <w:r>
              <w:rPr>
                <w:rFonts w:ascii="Arial" w:cs="Arial" w:eastAsia="Arial" w:hAnsi="Arial"/>
                <w:sz w:val="14"/>
                <w:szCs w:val="14"/>
                <w:color w:val="auto"/>
                <w:w w:val="93"/>
              </w:rPr>
              <w:t>1,969,797</w:t>
            </w:r>
          </w:p>
        </w:tc>
        <w:tc>
          <w:tcPr>
            <w:tcW w:w="240" w:type="dxa"/>
            <w:vAlign w:val="bottom"/>
          </w:tcPr>
          <w:p>
            <w:pPr>
              <w:spacing w:after="0"/>
              <w:rPr>
                <w:sz w:val="11"/>
                <w:szCs w:val="11"/>
                <w:color w:val="auto"/>
              </w:rPr>
            </w:pPr>
          </w:p>
        </w:tc>
        <w:tc>
          <w:tcPr>
            <w:tcW w:w="300" w:type="dxa"/>
            <w:vAlign w:val="bottom"/>
          </w:tcPr>
          <w:p>
            <w:pPr>
              <w:spacing w:after="0" w:line="137" w:lineRule="exact"/>
              <w:rPr>
                <w:sz w:val="20"/>
                <w:szCs w:val="20"/>
                <w:color w:val="auto"/>
              </w:rPr>
            </w:pPr>
            <w:r>
              <w:rPr>
                <w:rFonts w:ascii="Arial" w:cs="Arial" w:eastAsia="Arial" w:hAnsi="Arial"/>
                <w:sz w:val="14"/>
                <w:szCs w:val="14"/>
                <w:color w:val="auto"/>
              </w:rPr>
              <w:t>$</w:t>
            </w:r>
          </w:p>
        </w:tc>
        <w:tc>
          <w:tcPr>
            <w:tcW w:w="220" w:type="dxa"/>
            <w:vAlign w:val="bottom"/>
          </w:tcPr>
          <w:p>
            <w:pPr>
              <w:spacing w:after="0" w:line="13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300"/>
              <w:spacing w:after="0"/>
              <w:rPr>
                <w:sz w:val="20"/>
                <w:szCs w:val="20"/>
                <w:color w:val="auto"/>
              </w:rPr>
            </w:pPr>
            <w:r>
              <w:rPr>
                <w:rFonts w:ascii="Arial" w:cs="Arial" w:eastAsia="Arial" w:hAnsi="Arial"/>
                <w:sz w:val="14"/>
                <w:szCs w:val="14"/>
                <w:color w:val="auto"/>
              </w:rPr>
              <w:t>Issuance of common shares in equity offering,</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440"/>
              <w:spacing w:after="0"/>
              <w:rPr>
                <w:sz w:val="20"/>
                <w:szCs w:val="20"/>
                <w:color w:val="auto"/>
              </w:rPr>
            </w:pPr>
            <w:r>
              <w:rPr>
                <w:rFonts w:ascii="Arial" w:cs="Arial" w:eastAsia="Arial" w:hAnsi="Arial"/>
                <w:sz w:val="14"/>
                <w:szCs w:val="14"/>
                <w:color w:val="auto"/>
                <w:w w:val="97"/>
              </w:rPr>
              <w:t>excluding to related parties, net of transaction costs</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300"/>
              <w:spacing w:after="0"/>
              <w:rPr>
                <w:sz w:val="20"/>
                <w:szCs w:val="20"/>
                <w:color w:val="auto"/>
              </w:rPr>
            </w:pPr>
            <w:r>
              <w:rPr>
                <w:rFonts w:ascii="Arial" w:cs="Arial" w:eastAsia="Arial" w:hAnsi="Arial"/>
                <w:sz w:val="14"/>
                <w:szCs w:val="14"/>
                <w:color w:val="auto"/>
                <w:w w:val="96"/>
              </w:rPr>
              <w:t>Sale of common shares to related parties and exercise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440"/>
              <w:spacing w:after="0"/>
              <w:rPr>
                <w:sz w:val="20"/>
                <w:szCs w:val="20"/>
                <w:color w:val="auto"/>
              </w:rPr>
            </w:pPr>
            <w:r>
              <w:rPr>
                <w:rFonts w:ascii="Arial" w:cs="Arial" w:eastAsia="Arial" w:hAnsi="Arial"/>
                <w:sz w:val="14"/>
                <w:szCs w:val="14"/>
                <w:color w:val="auto"/>
              </w:rPr>
              <w:t>of common stock options, net of transaction costs</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300"/>
              <w:spacing w:after="0"/>
              <w:rPr>
                <w:sz w:val="20"/>
                <w:szCs w:val="20"/>
                <w:color w:val="auto"/>
              </w:rPr>
            </w:pPr>
            <w:r>
              <w:rPr>
                <w:rFonts w:ascii="Arial" w:cs="Arial" w:eastAsia="Arial" w:hAnsi="Arial"/>
                <w:sz w:val="14"/>
                <w:szCs w:val="14"/>
                <w:color w:val="auto"/>
              </w:rPr>
              <w:t>Compensation expense related to stock options for</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440"/>
              <w:spacing w:after="0"/>
              <w:rPr>
                <w:sz w:val="20"/>
                <w:szCs w:val="20"/>
                <w:color w:val="auto"/>
              </w:rPr>
            </w:pPr>
            <w:r>
              <w:rPr>
                <w:rFonts w:ascii="Arial" w:cs="Arial" w:eastAsia="Arial" w:hAnsi="Arial"/>
                <w:sz w:val="14"/>
                <w:szCs w:val="14"/>
                <w:color w:val="auto"/>
              </w:rPr>
              <w:t>services</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300"/>
              <w:spacing w:after="0"/>
              <w:rPr>
                <w:sz w:val="20"/>
                <w:szCs w:val="20"/>
                <w:color w:val="auto"/>
              </w:rPr>
            </w:pPr>
            <w:r>
              <w:rPr>
                <w:rFonts w:ascii="Arial" w:cs="Arial" w:eastAsia="Arial" w:hAnsi="Arial"/>
                <w:sz w:val="14"/>
                <w:szCs w:val="14"/>
                <w:color w:val="auto"/>
              </w:rPr>
              <w:t>Unrealized loss on marketable securities</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580" w:type="dxa"/>
            <w:vAlign w:val="bottom"/>
          </w:tcPr>
          <w:p>
            <w:pPr>
              <w:ind w:left="300"/>
              <w:spacing w:after="0"/>
              <w:rPr>
                <w:sz w:val="20"/>
                <w:szCs w:val="20"/>
                <w:color w:val="auto"/>
              </w:rPr>
            </w:pPr>
            <w:r>
              <w:rPr>
                <w:rFonts w:ascii="Arial" w:cs="Arial" w:eastAsia="Arial" w:hAnsi="Arial"/>
                <w:sz w:val="14"/>
                <w:szCs w:val="14"/>
                <w:color w:val="auto"/>
              </w:rPr>
              <w:t>Net loss</w:t>
            </w: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3580" w:type="dxa"/>
            <w:vAlign w:val="bottom"/>
          </w:tcPr>
          <w:p>
            <w:pPr>
              <w:spacing w:after="0" w:line="137" w:lineRule="exact"/>
              <w:rPr>
                <w:sz w:val="20"/>
                <w:szCs w:val="20"/>
                <w:color w:val="auto"/>
              </w:rPr>
            </w:pPr>
            <w:r>
              <w:rPr>
                <w:rFonts w:ascii="Arial" w:cs="Arial" w:eastAsia="Arial" w:hAnsi="Arial"/>
                <w:sz w:val="14"/>
                <w:szCs w:val="14"/>
                <w:color w:val="auto"/>
              </w:rPr>
              <w:t>Balance at December 31, 2018</w:t>
            </w:r>
          </w:p>
        </w:tc>
        <w:tc>
          <w:tcPr>
            <w:tcW w:w="640" w:type="dxa"/>
            <w:vAlign w:val="bottom"/>
          </w:tcPr>
          <w:p>
            <w:pPr>
              <w:ind w:left="40"/>
              <w:spacing w:after="0" w:line="137" w:lineRule="exact"/>
              <w:rPr>
                <w:sz w:val="20"/>
                <w:szCs w:val="20"/>
                <w:color w:val="auto"/>
              </w:rPr>
            </w:pPr>
            <w:r>
              <w:rPr>
                <w:rFonts w:ascii="Arial" w:cs="Arial" w:eastAsia="Arial" w:hAnsi="Arial"/>
                <w:sz w:val="14"/>
                <w:szCs w:val="14"/>
                <w:color w:val="auto"/>
                <w:w w:val="93"/>
              </w:rPr>
              <w:t>1,969,797</w:t>
            </w:r>
          </w:p>
        </w:tc>
        <w:tc>
          <w:tcPr>
            <w:tcW w:w="240" w:type="dxa"/>
            <w:vAlign w:val="bottom"/>
          </w:tcPr>
          <w:p>
            <w:pPr>
              <w:spacing w:after="0"/>
              <w:rPr>
                <w:sz w:val="11"/>
                <w:szCs w:val="11"/>
                <w:color w:val="auto"/>
              </w:rPr>
            </w:pPr>
          </w:p>
        </w:tc>
        <w:tc>
          <w:tcPr>
            <w:tcW w:w="300" w:type="dxa"/>
            <w:vAlign w:val="bottom"/>
          </w:tcPr>
          <w:p>
            <w:pPr>
              <w:spacing w:after="0" w:line="137" w:lineRule="exact"/>
              <w:rPr>
                <w:sz w:val="20"/>
                <w:szCs w:val="20"/>
                <w:color w:val="auto"/>
              </w:rPr>
            </w:pPr>
            <w:r>
              <w:rPr>
                <w:rFonts w:ascii="Arial" w:cs="Arial" w:eastAsia="Arial" w:hAnsi="Arial"/>
                <w:sz w:val="14"/>
                <w:szCs w:val="14"/>
                <w:color w:val="auto"/>
              </w:rPr>
              <w:t>$</w:t>
            </w:r>
          </w:p>
        </w:tc>
        <w:tc>
          <w:tcPr>
            <w:tcW w:w="220" w:type="dxa"/>
            <w:vAlign w:val="bottom"/>
          </w:tcPr>
          <w:p>
            <w:pPr>
              <w:spacing w:after="0" w:line="13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300"/>
              <w:spacing w:after="0"/>
              <w:rPr>
                <w:sz w:val="20"/>
                <w:szCs w:val="20"/>
                <w:color w:val="auto"/>
              </w:rPr>
            </w:pPr>
            <w:r>
              <w:rPr>
                <w:rFonts w:ascii="Arial" w:cs="Arial" w:eastAsia="Arial" w:hAnsi="Arial"/>
                <w:sz w:val="14"/>
                <w:szCs w:val="14"/>
                <w:color w:val="auto"/>
                <w:w w:val="96"/>
              </w:rPr>
              <w:t>Sale of common shares to related parties and exercise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440"/>
              <w:spacing w:after="0"/>
              <w:rPr>
                <w:sz w:val="20"/>
                <w:szCs w:val="20"/>
                <w:color w:val="auto"/>
              </w:rPr>
            </w:pPr>
            <w:r>
              <w:rPr>
                <w:rFonts w:ascii="Arial" w:cs="Arial" w:eastAsia="Arial" w:hAnsi="Arial"/>
                <w:sz w:val="14"/>
                <w:szCs w:val="14"/>
                <w:color w:val="auto"/>
              </w:rPr>
              <w:t>of common stock options, net of transaction costs</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300"/>
              <w:spacing w:after="0"/>
              <w:rPr>
                <w:sz w:val="20"/>
                <w:szCs w:val="20"/>
                <w:color w:val="auto"/>
              </w:rPr>
            </w:pPr>
            <w:r>
              <w:rPr>
                <w:rFonts w:ascii="Arial" w:cs="Arial" w:eastAsia="Arial" w:hAnsi="Arial"/>
                <w:sz w:val="14"/>
                <w:szCs w:val="14"/>
                <w:color w:val="auto"/>
              </w:rPr>
              <w:t>Compensation expense related to stock options for</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440"/>
              <w:spacing w:after="0"/>
              <w:rPr>
                <w:sz w:val="20"/>
                <w:szCs w:val="20"/>
                <w:color w:val="auto"/>
              </w:rPr>
            </w:pPr>
            <w:r>
              <w:rPr>
                <w:rFonts w:ascii="Arial" w:cs="Arial" w:eastAsia="Arial" w:hAnsi="Arial"/>
                <w:sz w:val="14"/>
                <w:szCs w:val="14"/>
                <w:color w:val="auto"/>
              </w:rPr>
              <w:t>services</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80" w:type="dxa"/>
            <w:vAlign w:val="bottom"/>
          </w:tcPr>
          <w:p>
            <w:pPr>
              <w:ind w:left="300"/>
              <w:spacing w:after="0"/>
              <w:rPr>
                <w:sz w:val="20"/>
                <w:szCs w:val="20"/>
                <w:color w:val="auto"/>
              </w:rPr>
            </w:pPr>
            <w:r>
              <w:rPr>
                <w:rFonts w:ascii="Arial" w:cs="Arial" w:eastAsia="Arial" w:hAnsi="Arial"/>
                <w:sz w:val="14"/>
                <w:szCs w:val="14"/>
                <w:color w:val="auto"/>
              </w:rPr>
              <w:t>Unrealized gain on marketable securities</w:t>
            </w:r>
          </w:p>
        </w:tc>
        <w:tc>
          <w:tcPr>
            <w:tcW w:w="640" w:type="dxa"/>
            <w:vAlign w:val="bottom"/>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580" w:type="dxa"/>
            <w:vAlign w:val="bottom"/>
          </w:tcPr>
          <w:p>
            <w:pPr>
              <w:ind w:left="300"/>
              <w:spacing w:after="0"/>
              <w:rPr>
                <w:sz w:val="20"/>
                <w:szCs w:val="20"/>
                <w:color w:val="auto"/>
              </w:rPr>
            </w:pPr>
            <w:r>
              <w:rPr>
                <w:rFonts w:ascii="Arial" w:cs="Arial" w:eastAsia="Arial" w:hAnsi="Arial"/>
                <w:sz w:val="14"/>
                <w:szCs w:val="14"/>
                <w:color w:val="auto"/>
              </w:rPr>
              <w:t>Net loss</w:t>
            </w: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580" w:type="dxa"/>
            <w:vAlign w:val="bottom"/>
          </w:tcPr>
          <w:p>
            <w:pPr>
              <w:spacing w:after="0" w:line="155" w:lineRule="exact"/>
              <w:rPr>
                <w:sz w:val="20"/>
                <w:szCs w:val="20"/>
                <w:color w:val="auto"/>
              </w:rPr>
            </w:pPr>
            <w:r>
              <w:rPr>
                <w:rFonts w:ascii="Arial" w:cs="Arial" w:eastAsia="Arial" w:hAnsi="Arial"/>
                <w:sz w:val="14"/>
                <w:szCs w:val="14"/>
                <w:color w:val="auto"/>
              </w:rPr>
              <w:t>Balance at December 31, 2019</w:t>
            </w:r>
          </w:p>
        </w:tc>
        <w:tc>
          <w:tcPr>
            <w:tcW w:w="6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93"/>
              </w:rPr>
              <w:t>1,969,797</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0"/>
              </w:rPr>
              <w:t>Common stock</w:t>
            </w:r>
          </w:p>
        </w:tc>
        <w:tc>
          <w:tcPr>
            <w:tcW w:w="260" w:type="dxa"/>
            <w:vAlign w:val="bottom"/>
          </w:tcPr>
          <w:p>
            <w:pPr>
              <w:spacing w:after="0"/>
              <w:rPr>
                <w:sz w:val="14"/>
                <w:szCs w:val="14"/>
                <w:color w:val="auto"/>
              </w:rPr>
            </w:pPr>
          </w:p>
        </w:tc>
        <w:tc>
          <w:tcPr>
            <w:tcW w:w="9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4"/>
                <w:szCs w:val="14"/>
                <w:color w:val="auto"/>
              </w:rPr>
            </w:pPr>
          </w:p>
        </w:tc>
        <w:tc>
          <w:tcPr>
            <w:tcW w:w="106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120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8"/>
              <w:spacing w:after="0" w:line="158"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paid-in</w:t>
            </w:r>
          </w:p>
        </w:tc>
        <w:tc>
          <w:tcPr>
            <w:tcW w:w="1320" w:type="dxa"/>
            <w:vAlign w:val="bottom"/>
            <w:gridSpan w:val="4"/>
          </w:tcPr>
          <w:p>
            <w:pPr>
              <w:ind w:left="240"/>
              <w:spacing w:after="0" w:line="119" w:lineRule="exact"/>
              <w:rPr>
                <w:sz w:val="20"/>
                <w:szCs w:val="20"/>
                <w:color w:val="auto"/>
              </w:rPr>
            </w:pPr>
            <w:r>
              <w:rPr>
                <w:rFonts w:ascii="Arial" w:cs="Arial" w:eastAsia="Arial" w:hAnsi="Arial"/>
                <w:sz w:val="13"/>
                <w:szCs w:val="13"/>
                <w:b w:val="1"/>
                <w:bCs w:val="1"/>
                <w:color w:val="auto"/>
              </w:rPr>
              <w:t>comprehensive</w:t>
            </w:r>
          </w:p>
        </w:tc>
        <w:tc>
          <w:tcPr>
            <w:tcW w:w="1080" w:type="dxa"/>
            <w:vAlign w:val="bottom"/>
            <w:gridSpan w:val="4"/>
          </w:tcPr>
          <w:p>
            <w:pPr>
              <w:ind w:left="100"/>
              <w:spacing w:after="0" w:line="119" w:lineRule="exact"/>
              <w:rPr>
                <w:sz w:val="20"/>
                <w:szCs w:val="20"/>
                <w:color w:val="auto"/>
              </w:rPr>
            </w:pPr>
            <w:r>
              <w:rPr>
                <w:rFonts w:ascii="Arial" w:cs="Arial" w:eastAsia="Arial" w:hAnsi="Arial"/>
                <w:sz w:val="13"/>
                <w:szCs w:val="13"/>
                <w:b w:val="1"/>
                <w:bCs w:val="1"/>
                <w:color w:val="auto"/>
              </w:rPr>
              <w:t>Accumulated</w:t>
            </w:r>
          </w:p>
        </w:tc>
        <w:tc>
          <w:tcPr>
            <w:tcW w:w="980" w:type="dxa"/>
            <w:vAlign w:val="bottom"/>
            <w:gridSpan w:val="4"/>
          </w:tcPr>
          <w:p>
            <w:pPr>
              <w:ind w:left="100"/>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68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4"/>
                <w:szCs w:val="14"/>
                <w:color w:val="auto"/>
              </w:rPr>
            </w:pPr>
          </w:p>
        </w:tc>
        <w:tc>
          <w:tcPr>
            <w:tcW w:w="106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6"/>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11,951,866</w:t>
            </w:r>
          </w:p>
        </w:tc>
        <w:tc>
          <w:tcPr>
            <w:tcW w:w="260" w:type="dxa"/>
            <w:vAlign w:val="bottom"/>
          </w:tcPr>
          <w:p>
            <w:pPr>
              <w:spacing w:after="0"/>
              <w:rPr>
                <w:sz w:val="15"/>
                <w:szCs w:val="15"/>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w w:val="76"/>
              </w:rPr>
              <w:t>1</w:t>
            </w:r>
          </w:p>
        </w:tc>
        <w:tc>
          <w:tcPr>
            <w:tcW w:w="260" w:type="dxa"/>
            <w:vAlign w:val="bottom"/>
          </w:tcPr>
          <w:p>
            <w:pPr>
              <w:spacing w:after="0"/>
              <w:rPr>
                <w:sz w:val="15"/>
                <w:szCs w:val="15"/>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111,691</w:t>
            </w: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(75,307</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36,410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680" w:type="dxa"/>
            <w:vAlign w:val="bottom"/>
          </w:tcPr>
          <w:p>
            <w:pPr>
              <w:jc w:val="right"/>
              <w:spacing w:after="0"/>
              <w:rPr>
                <w:sz w:val="20"/>
                <w:szCs w:val="20"/>
                <w:color w:val="auto"/>
              </w:rPr>
            </w:pPr>
            <w:r>
              <w:rPr>
                <w:rFonts w:ascii="Arial" w:cs="Arial" w:eastAsia="Arial" w:hAnsi="Arial"/>
                <w:sz w:val="14"/>
                <w:szCs w:val="14"/>
                <w:color w:val="auto"/>
              </w:rPr>
              <w:t>2,275,768</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173,805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173,805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3,254</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1"/>
        </w:trPr>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8"/>
              <w:spacing w:after="0"/>
              <w:rPr>
                <w:sz w:val="20"/>
                <w:szCs w:val="20"/>
                <w:color w:val="auto"/>
              </w:rPr>
            </w:pPr>
            <w:r>
              <w:rPr>
                <w:rFonts w:ascii="Arial" w:cs="Arial" w:eastAsia="Arial" w:hAnsi="Arial"/>
                <w:sz w:val="14"/>
                <w:szCs w:val="14"/>
                <w:color w:val="auto"/>
              </w:rPr>
              <w:t>(31,154)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(31,154)</w:t>
            </w:r>
          </w:p>
        </w:tc>
        <w:tc>
          <w:tcPr>
            <w:tcW w:w="0" w:type="dxa"/>
            <w:vAlign w:val="bottom"/>
          </w:tcPr>
          <w:p>
            <w:pPr>
              <w:spacing w:after="0"/>
              <w:rPr>
                <w:sz w:val="1"/>
                <w:szCs w:val="1"/>
                <w:color w:val="auto"/>
              </w:rPr>
            </w:pPr>
          </w:p>
        </w:tc>
      </w:tr>
      <w:tr>
        <w:trPr>
          <w:trHeight w:val="176"/>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14,227,634</w:t>
            </w:r>
          </w:p>
        </w:tc>
        <w:tc>
          <w:tcPr>
            <w:tcW w:w="260" w:type="dxa"/>
            <w:vAlign w:val="bottom"/>
          </w:tcPr>
          <w:p>
            <w:pPr>
              <w:spacing w:after="0"/>
              <w:rPr>
                <w:sz w:val="15"/>
                <w:szCs w:val="15"/>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w w:val="76"/>
              </w:rPr>
              <w:t>1</w:t>
            </w:r>
          </w:p>
        </w:tc>
        <w:tc>
          <w:tcPr>
            <w:tcW w:w="260" w:type="dxa"/>
            <w:vAlign w:val="bottom"/>
          </w:tcPr>
          <w:p>
            <w:pPr>
              <w:spacing w:after="0"/>
              <w:rPr>
                <w:sz w:val="15"/>
                <w:szCs w:val="15"/>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288,750</w:t>
            </w: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(106,461</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182,259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680" w:type="dxa"/>
            <w:vAlign w:val="bottom"/>
          </w:tcPr>
          <w:p>
            <w:pPr>
              <w:jc w:val="right"/>
              <w:spacing w:after="0"/>
              <w:rPr>
                <w:sz w:val="20"/>
                <w:szCs w:val="20"/>
                <w:color w:val="auto"/>
              </w:rPr>
            </w:pPr>
            <w:r>
              <w:rPr>
                <w:rFonts w:ascii="Arial" w:cs="Arial" w:eastAsia="Arial" w:hAnsi="Arial"/>
                <w:sz w:val="14"/>
                <w:szCs w:val="14"/>
                <w:color w:val="auto"/>
              </w:rPr>
              <w:t>1,079,580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ind w:left="180"/>
              <w:spacing w:after="0"/>
              <w:rPr>
                <w:sz w:val="20"/>
                <w:szCs w:val="20"/>
                <w:color w:val="auto"/>
              </w:rPr>
            </w:pPr>
            <w:r>
              <w:rPr>
                <w:rFonts w:ascii="Arial" w:cs="Arial" w:eastAsia="Arial" w:hAnsi="Arial"/>
                <w:sz w:val="14"/>
                <w:szCs w:val="14"/>
                <w:color w:val="auto"/>
                <w:w w:val="76"/>
              </w:rPr>
              <w:t>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311,824</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311,825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 w:type="dxa"/>
            <w:vAlign w:val="bottom"/>
          </w:tcPr>
          <w:p>
            <w:pPr>
              <w:jc w:val="right"/>
              <w:spacing w:after="0"/>
              <w:rPr>
                <w:sz w:val="20"/>
                <w:szCs w:val="20"/>
                <w:color w:val="auto"/>
              </w:rPr>
            </w:pPr>
            <w:r>
              <w:rPr>
                <w:rFonts w:ascii="Arial" w:cs="Arial" w:eastAsia="Arial" w:hAnsi="Arial"/>
                <w:sz w:val="14"/>
                <w:szCs w:val="14"/>
                <w:color w:val="auto"/>
              </w:rPr>
              <w:t>101,809</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2,510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13,489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13,489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81"/>
        </w:trPr>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8"/>
              <w:spacing w:after="0"/>
              <w:rPr>
                <w:sz w:val="20"/>
                <w:szCs w:val="20"/>
                <w:color w:val="auto"/>
              </w:rPr>
            </w:pPr>
            <w:r>
              <w:rPr>
                <w:rFonts w:ascii="Arial" w:cs="Arial" w:eastAsia="Arial" w:hAnsi="Arial"/>
                <w:sz w:val="14"/>
                <w:szCs w:val="14"/>
                <w:color w:val="auto"/>
              </w:rPr>
              <w:t>(32,811)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(32,811)</w:t>
            </w:r>
          </w:p>
        </w:tc>
        <w:tc>
          <w:tcPr>
            <w:tcW w:w="0" w:type="dxa"/>
            <w:vAlign w:val="bottom"/>
          </w:tcPr>
          <w:p>
            <w:pPr>
              <w:spacing w:after="0"/>
              <w:rPr>
                <w:sz w:val="1"/>
                <w:szCs w:val="1"/>
                <w:color w:val="auto"/>
              </w:rPr>
            </w:pPr>
          </w:p>
        </w:tc>
      </w:tr>
      <w:tr>
        <w:trPr>
          <w:trHeight w:val="176"/>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15,409,023</w:t>
            </w:r>
          </w:p>
        </w:tc>
        <w:tc>
          <w:tcPr>
            <w:tcW w:w="260" w:type="dxa"/>
            <w:vAlign w:val="bottom"/>
          </w:tcPr>
          <w:p>
            <w:pPr>
              <w:spacing w:after="0"/>
              <w:rPr>
                <w:sz w:val="15"/>
                <w:szCs w:val="15"/>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w w:val="76"/>
              </w:rPr>
              <w:t>2</w:t>
            </w:r>
          </w:p>
        </w:tc>
        <w:tc>
          <w:tcPr>
            <w:tcW w:w="260" w:type="dxa"/>
            <w:vAlign w:val="bottom"/>
          </w:tcPr>
          <w:p>
            <w:pPr>
              <w:spacing w:after="0"/>
              <w:rPr>
                <w:sz w:val="15"/>
                <w:szCs w:val="15"/>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616,573</w:t>
            </w: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(139,272</w:t>
            </w:r>
          </w:p>
        </w:tc>
        <w:tc>
          <w:tcPr>
            <w:tcW w:w="160" w:type="dxa"/>
            <w:vAlign w:val="bottom"/>
          </w:tcPr>
          <w:p>
            <w:pPr>
              <w:jc w:val="right"/>
              <w:ind w:right="28"/>
              <w:spacing w:after="0"/>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476,984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680" w:type="dxa"/>
            <w:vAlign w:val="bottom"/>
          </w:tcPr>
          <w:p>
            <w:pPr>
              <w:jc w:val="right"/>
              <w:spacing w:after="0"/>
              <w:rPr>
                <w:sz w:val="20"/>
                <w:szCs w:val="20"/>
                <w:color w:val="auto"/>
              </w:rPr>
            </w:pPr>
            <w:r>
              <w:rPr>
                <w:rFonts w:ascii="Arial" w:cs="Arial" w:eastAsia="Arial" w:hAnsi="Arial"/>
                <w:sz w:val="14"/>
                <w:szCs w:val="14"/>
                <w:color w:val="auto"/>
              </w:rPr>
              <w:t>20,131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22,759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22,759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ind w:left="520"/>
              <w:spacing w:after="0"/>
              <w:rPr>
                <w:sz w:val="20"/>
                <w:szCs w:val="20"/>
                <w:color w:val="auto"/>
              </w:rPr>
            </w:pPr>
            <w:r>
              <w:rPr>
                <w:rFonts w:ascii="Arial" w:cs="Arial" w:eastAsia="Arial" w:hAnsi="Arial"/>
                <w:sz w:val="14"/>
                <w:szCs w:val="14"/>
                <w:color w:val="auto"/>
                <w:w w:val="85"/>
              </w:rPr>
              <w:t>535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8"/>
              <w:spacing w:after="0"/>
              <w:rPr>
                <w:sz w:val="20"/>
                <w:szCs w:val="20"/>
                <w:color w:val="auto"/>
              </w:rPr>
            </w:pPr>
            <w:r>
              <w:rPr>
                <w:rFonts w:ascii="Arial" w:cs="Arial" w:eastAsia="Arial" w:hAnsi="Arial"/>
                <w:sz w:val="14"/>
                <w:szCs w:val="14"/>
                <w:color w:val="auto"/>
              </w:rPr>
              <w:t>(83,948)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(83,948)</w:t>
            </w:r>
          </w:p>
        </w:tc>
        <w:tc>
          <w:tcPr>
            <w:tcW w:w="0" w:type="dxa"/>
            <w:vAlign w:val="bottom"/>
          </w:tcPr>
          <w:p>
            <w:pPr>
              <w:spacing w:after="0"/>
              <w:rPr>
                <w:sz w:val="1"/>
                <w:szCs w:val="1"/>
                <w:color w:val="auto"/>
              </w:rPr>
            </w:pPr>
          </w:p>
        </w:tc>
      </w:tr>
      <w:tr>
        <w:trPr>
          <w:trHeight w:val="156"/>
        </w:trPr>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15,429,154</w:t>
            </w:r>
          </w:p>
        </w:tc>
        <w:tc>
          <w:tcPr>
            <w:tcW w:w="2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color w:val="auto"/>
                <w:w w:val="76"/>
              </w:rPr>
              <w:t>2</w:t>
            </w:r>
          </w:p>
        </w:tc>
        <w:tc>
          <w:tcPr>
            <w:tcW w:w="2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639,567</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ind w:left="520"/>
              <w:spacing w:after="0" w:line="155" w:lineRule="exact"/>
              <w:rPr>
                <w:sz w:val="20"/>
                <w:szCs w:val="20"/>
                <w:color w:val="auto"/>
              </w:rPr>
            </w:pPr>
            <w:r>
              <w:rPr>
                <w:rFonts w:ascii="Arial" w:cs="Arial" w:eastAsia="Arial" w:hAnsi="Arial"/>
                <w:sz w:val="14"/>
                <w:szCs w:val="14"/>
                <w:color w:val="auto"/>
                <w:w w:val="85"/>
              </w:rPr>
              <w:t>216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(223,220</w:t>
            </w:r>
          </w:p>
        </w:tc>
        <w:tc>
          <w:tcPr>
            <w:tcW w:w="160" w:type="dxa"/>
            <w:vAlign w:val="bottom"/>
          </w:tcPr>
          <w:p>
            <w:pPr>
              <w:jc w:val="right"/>
              <w:ind w:right="2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416,565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-3319780</wp:posOffset>
            </wp:positionH>
            <wp:positionV relativeFrom="paragraph">
              <wp:posOffset>-2520950</wp:posOffset>
            </wp:positionV>
            <wp:extent cx="6997700" cy="102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-2211705</wp:posOffset>
            </wp:positionV>
            <wp:extent cx="6997700"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6997700" cy="205740"/>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-1903095</wp:posOffset>
            </wp:positionV>
            <wp:extent cx="6997700"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-1689100</wp:posOffset>
            </wp:positionV>
            <wp:extent cx="6997700"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6997700" cy="205740"/>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-1276985</wp:posOffset>
            </wp:positionV>
            <wp:extent cx="6997700"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6997700" cy="205740"/>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-968375</wp:posOffset>
            </wp:positionV>
            <wp:extent cx="699770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-753745</wp:posOffset>
            </wp:positionV>
            <wp:extent cx="6997700"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6997700" cy="205740"/>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-342265</wp:posOffset>
            </wp:positionV>
            <wp:extent cx="699770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-128270</wp:posOffset>
            </wp:positionV>
            <wp:extent cx="699770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6997700" cy="10287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180" w:space="260"/>
            <w:col w:w="5760"/>
          </w:cols>
          <w:pgMar w:left="240" w:top="486" w:right="459" w:bottom="1440" w:gutter="0" w:footer="0" w:header="0"/>
          <w:type w:val="continuous"/>
        </w:sectPr>
      </w:pPr>
    </w:p>
    <w:p>
      <w:pPr>
        <w:jc w:val="center"/>
        <w:ind w:right="-239"/>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86" w:right="45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(83,948)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(32,811)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Accrued interest, net of interest received on maturity of investments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(3,673)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(22,317)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Purchases of marketable securities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(619,303)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(614,358)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(70,211)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Sales and maturities of marketable securities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650,182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234,304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Purchases of property and equipment, net of disposals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ind w:left="14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(380,076)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Proceeds from issuances of stock, excluding related parties, net of transaction costs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311,825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173,805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5"/>
              </w:rPr>
              <w:t>Proceeds from the sale of related party stock and exercise of common stock options, net of</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transaction costs</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ind w:left="14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314,335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173,805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(91,248)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148,627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Obtaining a right-of-use asset in exchange for a lease liability</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w w:val="93"/>
              </w:rPr>
              <w:t>Purchases of property and equipment in accounts payable or accrued expense at period end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86"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200" w:right="7040" w:firstLine="4"/>
        <w:spacing w:after="0" w:line="378" w:lineRule="auto"/>
        <w:tabs>
          <w:tab w:leader="none" w:pos="3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ind w:left="200" w:firstLine="441"/>
        <w:spacing w:after="0" w:line="272" w:lineRule="auto"/>
        <w:rPr>
          <w:sz w:val="20"/>
          <w:szCs w:val="20"/>
          <w:color w:val="auto"/>
        </w:rPr>
      </w:pPr>
      <w:r>
        <w:rPr>
          <w:rFonts w:ascii="Arial" w:cs="Arial" w:eastAsia="Arial" w:hAnsi="Arial"/>
          <w:sz w:val="17"/>
          <w:szCs w:val="17"/>
          <w:color w:val="auto"/>
        </w:rPr>
        <w:t>Madrigal Pharmaceuticals, Inc. (the “Company” or “Madrigal”) is a clinical-stage pharmaceutical company developing novel, high-quality, small-molecule drugs addressing major unmet needs in cardiovascular, metabolic, and liver diseases. The Company’s lead compound, MGL-3196 (resmetirom), is being advanced for non-alcoholic steatohepatitis (“NASH”), a liver disease that commonly affects people with metabolic diseases such as obesity and diabetes, and non-alcoholic fatty liver disease (“NAFLD”). The Company initiated a Phase 2 study of resmetirom in NASH in October 2016. In February 2017, the Company initiated a Phase 2 study of resmetirom in patients with Heterozygous Familial Hypercholesterolemia (“HeFH”). Both Phase 2 studies were fully enrolled in 2017, the HeFH study was completed in February 2018, and the NASH study was completed in May 2018. The Company initiated two Phase 3 studies of resmetirom in NASH in 2019.</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Madrigal was originally incorporated as a private company (“Private Madrigal”) on August 19, 2011 and operations commenced in September</w:t>
      </w:r>
    </w:p>
    <w:p>
      <w:pPr>
        <w:spacing w:after="0" w:line="46" w:lineRule="exact"/>
        <w:rPr>
          <w:sz w:val="20"/>
          <w:szCs w:val="20"/>
          <w:color w:val="auto"/>
        </w:rPr>
      </w:pPr>
    </w:p>
    <w:p>
      <w:pPr>
        <w:ind w:left="200" w:right="900"/>
        <w:spacing w:after="0" w:line="323" w:lineRule="auto"/>
        <w:rPr>
          <w:sz w:val="20"/>
          <w:szCs w:val="20"/>
          <w:color w:val="auto"/>
        </w:rPr>
      </w:pPr>
      <w:r>
        <w:rPr>
          <w:rFonts w:ascii="Arial" w:cs="Arial" w:eastAsia="Arial" w:hAnsi="Arial"/>
          <w:sz w:val="16"/>
          <w:szCs w:val="16"/>
          <w:color w:val="auto"/>
        </w:rPr>
        <w:t>2011. On July 22, 2016, Private Madrigal completed a reverse merger (the “Merger”) into Synta Pharmaceuticals Corp. (“Synta”). Upon the consummation of the Merger, the historical financial statements of Private Madrigal became the Company’s historical financial statements.</w:t>
      </w:r>
    </w:p>
    <w:p>
      <w:pPr>
        <w:spacing w:after="0" w:line="243" w:lineRule="exact"/>
        <w:rPr>
          <w:sz w:val="20"/>
          <w:szCs w:val="20"/>
          <w:color w:val="auto"/>
        </w:rPr>
      </w:pPr>
    </w:p>
    <w:p>
      <w:pPr>
        <w:ind w:left="200" w:right="7420" w:firstLine="4"/>
        <w:spacing w:after="0" w:line="378" w:lineRule="auto"/>
        <w:tabs>
          <w:tab w:leader="none" w:pos="3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 of Consolidation</w:t>
      </w:r>
    </w:p>
    <w:p>
      <w:pPr>
        <w:ind w:left="200" w:right="680" w:firstLine="441"/>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and transactions have been eliminated in consolidation.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80"/>
          </w:cols>
          <w:pgMar w:left="240" w:top="486"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other-than-temporary on available-for-sale securities are reported as a component of interest income.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years ended December 31, 2019, 2018 and 2017, the Company determined it did not have any securities that were other-than-temporarily impaired.</w:t>
      </w:r>
    </w:p>
    <w:p>
      <w:pPr>
        <w:spacing w:after="0" w:line="189"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years ended December 31, 2019, 2018 and 2017, the Company did not have any realized gains or losses on marketable securities.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22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58"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As of December 31, 2019 and 2018, the Company’s financial assets valued based on Level 1 inputs consisted of cash and cash equivalents in a money market fund and its financial assets valued based on Level 2 inputs consisted of high-grade corporate bonds and commercial paper. During the years ended December 31, 2019, 2018 and 2017, the Company did not have any transfers of financials assets between Levels 1 and 2. As of December 31, 2019 and 2018, the Company did not have any financial liabilities that were recorded at fair value on a recurring basis on the balance sheet.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Research and development costs are expensed as incurred. Research and development costs are comprised of costs incurred in performing research and development activities, including internal costs (including</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86"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milestones events per underlying agreements, invoices received and contracted costs when estimating the research and development costs to accrue in each reporting period. Actual results could differ from the Company’s estimates. The Company’s historical estimates for research and development costs have not been materially different from the actual costs.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statements of operations. Patent expenses were approximately $408 thousand, $226 thousand and $176 thousand for the years ended December 31, 2019, 2018 and 2017, respectively.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86"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121"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years ended December 31, 2019, 2018 and 2017, diluted net loss per share is the same as basic net loss per share as the inclusion of weighted average shares of unvested restricted common stock and common stock issuable upon the exercise of stock options would be anti-dilutive.</w:t>
      </w:r>
    </w:p>
    <w:p>
      <w:pPr>
        <w:spacing w:after="0" w:line="158"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following table summarizes outstanding securities not included in the computation of diluted net loss per common share as their inclusion would be anti-dilutive:</w:t>
      </w:r>
    </w:p>
    <w:p>
      <w:pPr>
        <w:spacing w:after="0" w:line="162"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20" w:type="dxa"/>
            <w:vAlign w:val="bottom"/>
          </w:tcPr>
          <w:p>
            <w:pPr>
              <w:spacing w:after="0"/>
              <w:rPr>
                <w:sz w:val="12"/>
                <w:szCs w:val="12"/>
                <w:color w:val="auto"/>
              </w:rPr>
            </w:pPr>
          </w:p>
        </w:tc>
        <w:tc>
          <w:tcPr>
            <w:tcW w:w="7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9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1,461,987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1,132,618</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976,777</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52,063</w:t>
            </w:r>
          </w:p>
        </w:tc>
        <w:tc>
          <w:tcPr>
            <w:tcW w:w="900" w:type="dxa"/>
            <w:vAlign w:val="bottom"/>
          </w:tcPr>
          <w:p>
            <w:pPr>
              <w:jc w:val="right"/>
              <w:spacing w:after="0"/>
              <w:rPr>
                <w:sz w:val="20"/>
                <w:szCs w:val="20"/>
                <w:color w:val="auto"/>
              </w:rPr>
            </w:pPr>
            <w:r>
              <w:rPr>
                <w:rFonts w:ascii="Arial" w:cs="Arial" w:eastAsia="Arial" w:hAnsi="Arial"/>
                <w:sz w:val="18"/>
                <w:szCs w:val="18"/>
                <w:color w:val="auto"/>
              </w:rPr>
              <w:t>104,127</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1,969,797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1,969,797</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1,969,797</w:t>
            </w:r>
          </w:p>
        </w:tc>
        <w:tc>
          <w:tcPr>
            <w:tcW w:w="10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February 2016, the FASB issued ASU 2016-02, “Leases,” which, together with amendments comprising ASC 842, requires lessees to identify arrangements that should be accounted for as leases and generally recognized, for operating and finance leases with terms exceeding twelve months, a right-of-use asset (or “ROU”) and lease liability on the balance sheet. For public business entities, ASU 2016-02 is effective for annual and interim reporting periods beginning after December 15, 2018, with early adoption permitted. A modified retrospective transition approach is required, applying the new standard to all leases existing at the date of initial application. The Company adopted ASU 2016-02 effective January 1, 2019. Based on the modified retrospective transition approach, there was no significant retrospective impact from the adoption. The new standard provides a number of optional practical expedients in transition. We have elected the package of practical expedients, which permits us not to reassess under the new standard our prior conclusions about lease identification, lease classification and initial direct costs. The new standard also provides practical expedients for an entity’s ongoing accounting. We have elected the short-term lease exception and we will not recognize ROU assets or lease liabilities for qualifying leases (leases with a term of less than 12 months from lease commencement). In 2019, the Company accounted for a new lease under the guidance (see Note 8).</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Liquidity and Uncertainties</w:t>
      </w:r>
    </w:p>
    <w:p>
      <w:pPr>
        <w:spacing w:after="0" w:line="121"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5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Company has incurred losses since inception, including approximately $83.9 million for the year ended December 31, 2019, resulting in an accumulated deficit of approximately $223.2 million and $139.3 million as of December 31, 2019 and 2018, respectively. Management expects to incur losses for the foreseeable future. To date, the Company has funded its operations primarily through the issuance of convertible debt, the proceeds from the Merger on July 22, 2016, and proceeds from sales of the Company’s common and Series A Convertible Preferred Stock (see Note 6).</w:t>
      </w:r>
    </w:p>
    <w:p>
      <w:pPr>
        <w:spacing w:after="0" w:line="154"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Company believes that its cash, cash equivalents and marketable securities at December 31, 2019 will be sufficient to fund operations past one year from the issuance of these financial statements. To meet its future</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240" w:top="486"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in which those concerns are relieved.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Cash, Cash Equivalents and Marketable Securities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 summary of cash, cash equivalents and available-for-sale marketable securities held by the Company as of December 31, 2019 and 2018 is as follows (in thousands):</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10"/>
                <w:szCs w:val="10"/>
                <w:color w:val="auto"/>
              </w:rPr>
            </w:pPr>
          </w:p>
        </w:tc>
        <w:tc>
          <w:tcPr>
            <w:tcW w:w="7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7"/>
              </w:rPr>
              <w:t>Unrealized</w:t>
            </w:r>
          </w:p>
        </w:tc>
        <w:tc>
          <w:tcPr>
            <w:tcW w:w="460" w:type="dxa"/>
            <w:vAlign w:val="bottom"/>
          </w:tcPr>
          <w:p>
            <w:pPr>
              <w:spacing w:after="0"/>
              <w:rPr>
                <w:sz w:val="10"/>
                <w:szCs w:val="10"/>
                <w:color w:val="auto"/>
              </w:rPr>
            </w:pPr>
          </w:p>
        </w:tc>
        <w:tc>
          <w:tcPr>
            <w:tcW w:w="940" w:type="dxa"/>
            <w:vAlign w:val="bottom"/>
            <w:gridSpan w:val="4"/>
          </w:tcPr>
          <w:p>
            <w:pPr>
              <w:jc w:val="center"/>
              <w:ind w:right="255"/>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gains</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55"/>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Cash (Level 1)</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1,772</w:t>
            </w:r>
          </w:p>
        </w:tc>
        <w:tc>
          <w:tcPr>
            <w:tcW w:w="580" w:type="dxa"/>
            <w:vAlign w:val="bottom"/>
            <w:gridSpan w:val="3"/>
          </w:tcPr>
          <w:p>
            <w:pPr>
              <w:ind w:left="46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3"/>
          </w:tcPr>
          <w:p>
            <w:pPr>
              <w:ind w:left="4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center"/>
              <w:ind w:right="35"/>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44,925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5"/>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Corporate debt securities due within 3 months of date of purchase (Level 2)</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46,697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5"/>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2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309,365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79"/>
              </w:rPr>
              <w:t>220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w w:val="99"/>
              </w:rPr>
              <w:t>Corporate debt securities due within 1 to 2 years of date of purchase (Level 2)</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82,767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7"/>
                <w:szCs w:val="17"/>
                <w:color w:val="auto"/>
                <w:w w:val="73"/>
              </w:rPr>
              <w:t>39</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95"/>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2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438,829</w:t>
            </w:r>
          </w:p>
        </w:tc>
        <w:tc>
          <w:tcPr>
            <w:tcW w:w="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6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79"/>
              </w:rPr>
              <w:t>259</w:t>
            </w:r>
          </w:p>
        </w:tc>
        <w:tc>
          <w:tcPr>
            <w:tcW w:w="5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(43)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439,045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Cost</w:t>
            </w:r>
          </w:p>
        </w:tc>
        <w:tc>
          <w:tcPr>
            <w:tcW w:w="114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rPr>
              <w:t>Unrealized</w:t>
            </w:r>
          </w:p>
        </w:tc>
        <w:tc>
          <w:tcPr>
            <w:tcW w:w="1400" w:type="dxa"/>
            <w:vAlign w:val="bottom"/>
            <w:gridSpan w:val="5"/>
          </w:tcPr>
          <w:p>
            <w:pPr>
              <w:jc w:val="center"/>
              <w:ind w:left="96"/>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95"/>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Cash (Level 1)</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2,004</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55"/>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43,401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5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Corporate debt securities due within 3 months of date of purchase (Level 2)</w:t>
            </w:r>
          </w:p>
        </w:tc>
        <w:tc>
          <w:tcPr>
            <w:tcW w:w="5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11,974</w:t>
            </w:r>
          </w:p>
        </w:tc>
        <w:tc>
          <w:tcPr>
            <w:tcW w:w="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57,379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5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2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12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426,658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426,339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540" w:type="dxa"/>
            <w:vAlign w:val="bottom"/>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484,037</w:t>
            </w: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center"/>
              <w:ind w:left="92"/>
              <w:spacing w:after="0"/>
              <w:rPr>
                <w:sz w:val="20"/>
                <w:szCs w:val="20"/>
                <w:color w:val="auto"/>
              </w:rPr>
            </w:pPr>
            <w:r>
              <w:rPr>
                <w:rFonts w:ascii="Arial" w:cs="Arial" w:eastAsia="Arial" w:hAnsi="Arial"/>
                <w:sz w:val="18"/>
                <w:szCs w:val="18"/>
                <w:color w:val="auto"/>
                <w:w w:val="88"/>
              </w:rPr>
              <w:t>(333</w:t>
            </w:r>
          </w:p>
        </w:tc>
        <w:tc>
          <w:tcPr>
            <w:tcW w:w="240" w:type="dxa"/>
            <w:vAlign w:val="bottom"/>
          </w:tcPr>
          <w:p>
            <w:pPr>
              <w:jc w:val="right"/>
              <w:ind w:right="215"/>
              <w:spacing w:after="0"/>
              <w:rPr>
                <w:sz w:val="20"/>
                <w:szCs w:val="20"/>
                <w:color w:val="auto"/>
              </w:rPr>
            </w:pPr>
            <w:r>
              <w:rPr>
                <w:rFonts w:ascii="Arial" w:cs="Arial" w:eastAsia="Arial" w:hAnsi="Arial"/>
                <w:sz w:val="1"/>
                <w:szCs w:val="1"/>
                <w:color w:val="auto"/>
                <w:w w:val="4294967281"/>
              </w:rPr>
              <w:t>)</w:t>
            </w:r>
          </w:p>
        </w:tc>
        <w:tc>
          <w:tcPr>
            <w:tcW w:w="22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483,718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vMerge w:val="restart"/>
          </w:tcPr>
          <w:p>
            <w:pPr>
              <w:ind w:left="5320"/>
              <w:spacing w:after="0"/>
              <w:rPr>
                <w:sz w:val="20"/>
                <w:szCs w:val="20"/>
                <w:color w:val="auto"/>
              </w:rPr>
            </w:pPr>
            <w:r>
              <w:rPr>
                <w:rFonts w:ascii="Arial" w:cs="Arial" w:eastAsia="Arial" w:hAnsi="Arial"/>
                <w:sz w:val="18"/>
                <w:szCs w:val="18"/>
                <w:color w:val="auto"/>
              </w:rPr>
              <w:t>F-14</w:t>
            </w: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86"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Accrued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as of December 31, 2019 and 2018 consisted of the following (in thousands):</w:t>
      </w:r>
    </w:p>
    <w:p>
      <w:pPr>
        <w:spacing w:after="0" w:line="20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720" w:type="dxa"/>
            <w:vAlign w:val="bottom"/>
            <w:gridSpan w:val="3"/>
          </w:tcPr>
          <w:p>
            <w:pPr>
              <w:ind w:left="1880"/>
              <w:spacing w:after="0"/>
              <w:rPr>
                <w:sz w:val="20"/>
                <w:szCs w:val="20"/>
                <w:color w:val="auto"/>
              </w:rPr>
            </w:pPr>
            <w:r>
              <w:rPr>
                <w:rFonts w:ascii="Arial" w:cs="Arial" w:eastAsia="Arial" w:hAnsi="Arial"/>
                <w:sz w:val="14"/>
                <w:szCs w:val="14"/>
                <w:b w:val="1"/>
                <w:bCs w:val="1"/>
                <w:color w:val="auto"/>
                <w:w w:val="90"/>
              </w:rPr>
              <w:t>December 31,</w:t>
            </w:r>
          </w:p>
        </w:tc>
        <w:tc>
          <w:tcPr>
            <w:tcW w:w="1800" w:type="dxa"/>
            <w:vAlign w:val="bottom"/>
            <w:gridSpan w:val="4"/>
          </w:tcPr>
          <w:p>
            <w:pPr>
              <w:ind w:left="8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costs</w:t>
            </w:r>
          </w:p>
        </w:tc>
        <w:tc>
          <w:tcPr>
            <w:tcW w:w="20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2,779</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w:t>
            </w: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23,637</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0" w:right="8520" w:firstLine="4"/>
        <w:spacing w:after="0" w:line="378" w:lineRule="auto"/>
        <w:tabs>
          <w:tab w:leader="none" w:pos="3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(Deficit) Common Stock</w:t>
      </w:r>
    </w:p>
    <w:p>
      <w:pPr>
        <w:jc w:val="both"/>
        <w:ind w:left="200" w:firstLine="441"/>
        <w:spacing w:after="0" w:line="264" w:lineRule="auto"/>
        <w:rPr>
          <w:sz w:val="20"/>
          <w:szCs w:val="20"/>
          <w:color w:val="auto"/>
        </w:rPr>
      </w:pPr>
      <w:r>
        <w:rPr>
          <w:rFonts w:ascii="Arial" w:cs="Arial" w:eastAsia="Arial" w:hAnsi="Arial"/>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Series A Preferred Stock has a par value of $0.0001 per share and is convertible into shares of the common stock at a one-to-one ratio, subject to adjustment as provided in the Certificate of Designation of Preferences, Rights and Limitations of Series A Convertible Preferred Stock, that the Company filed with the Secretary of State of the State of Delaware on June 21, 2017 (the “Series A Certificate”). The terms of the Series A Preferred Stock are set forth in the Series A Certificate. Each share of the Series A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June 2018 Registered Offering of Common Stock</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June 2018, the Company entered into an underwriting agreement with Goldman Sachs &amp; Co. LLC, as representative of the several underwriters named therein (the “June 2018 Underwriters”), relating to an underwritten public offering (the “June 2018 Offering”) of 1,079,580 shares of the Company’s common stock, including 95,973 shares of the Company’s common stock purchased by the June 2018 Underwriters pursuant to a 30-day option to purchase such additional shares granted therein, at a public offering price of $305.00 per share. The June 2018 Offering resulted in gross proceeds to the Company of approximately $329.3 million, and net proceeds to the Company of approximately $311.8 million, after deducting the June 2018 Underwriters’ discount and other offering costs. The June 2018 Offering closed on June 11, 2018.</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86"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December 2017 Registered Offering of Common Stock</w:t>
      </w:r>
    </w:p>
    <w:p>
      <w:pPr>
        <w:spacing w:after="0" w:line="117"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In December 2017, the Company entered into an underwriting agreement (the “Underwriting Agreement”) with Goldman Sachs &amp; Co. LLC, as representative of the several underwriters named therein (the “Underwriters”), relating to an underwritten public offering (the “December 2017 Offering”) of 1,731,929 shares of the Company’s common stock, including 225,904 shares of the Company’s common stock purchased by the Underwriters pursuant to a 30-day option to purchase such additional shares granted therein, at a public offering price of $83.00 per share. The December 2017 Offering resulted in gross proceeds to the Company of approximately $143.8 million, and net proceeds to the Company of approximately $135.7 million, after deducting the Underwriters’ discount and other estimated offering expenses payable by the Company. The December 2017 Offering closed on December 21, 2017.</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June 2017 Private Placement Offering and Series A Convertible Preferred Stock</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June 2017, the Company entered into a Securities Purchase Agreement (the “Purchase Agreement)” with a group of institutional accredited investors, who were existing, non-controlling stockholders of the Company, pursuant to which the Company sold securities to the Investors in a private placement transaction (the “June 2017 Offering”). Under the terms of the Purchase Agreement, the Company sold 328,300 shares of its common stock at a price of $15.23 per share, and 1,969,797 shares of its Series A Convertible Preferred Stock (the “Series A Preferred Stock”) at a price of $15.23 per share. The June 2017 Offering resulted in gross proceeds to the Company of approximately $35.0 million, and net proceeds to the Company of approximately $34.9 million. The June 2017 Offering closed on June 23, 2017.</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117"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In October 2015, the Company entered into an at-the-market issuance sales agreement (the “October 2015 Sales Agreement”), with Cowen and Company, LLC (“Cowen”), pursuant to which the Company could issue and sell shares of its common stock. In 2017, 215,539 shares were sold for an aggregate of approximately $3.5 million in gross proceeds, and $3.4 million in net proceeds. No shares were sold in 2019 and 2018.</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2015 Stock Plan, as amended, is our primary plan through which equity based grants are awarded. We ceased making new awards under the 2006 Stock Plan upon adoption of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December 31, 2019, the Company had options outstanding to purchase 1,461,987 shares of its common stock, which includes options outstanding under its 2006 Stock Plan. As of December 31, 2019, 1,351,345 shares were available for future issuance.</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86"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stock option activity during the twelve months ended December 31, 2019:</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1"/>
              </w:rPr>
              <w:t>Weighted</w:t>
            </w:r>
          </w:p>
        </w:tc>
        <w:tc>
          <w:tcPr>
            <w:tcW w:w="6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Shares</w:t>
            </w:r>
          </w:p>
        </w:tc>
        <w:tc>
          <w:tcPr>
            <w:tcW w:w="34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left="579"/>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40" w:type="dxa"/>
            <w:vAlign w:val="bottom"/>
            <w:gridSpan w:val="4"/>
          </w:tcPr>
          <w:p>
            <w:pPr>
              <w:ind w:left="680"/>
              <w:spacing w:after="0" w:line="149" w:lineRule="exact"/>
              <w:rPr>
                <w:sz w:val="20"/>
                <w:szCs w:val="20"/>
                <w:color w:val="auto"/>
              </w:rPr>
            </w:pPr>
            <w:r>
              <w:rPr>
                <w:rFonts w:ascii="Arial" w:cs="Arial" w:eastAsia="Arial" w:hAnsi="Arial"/>
                <w:sz w:val="14"/>
                <w:szCs w:val="14"/>
                <w:b w:val="1"/>
                <w:bCs w:val="1"/>
                <w:color w:val="auto"/>
                <w:w w:val="99"/>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120" w:type="dxa"/>
            <w:vAlign w:val="bottom"/>
            <w:gridSpan w:val="3"/>
          </w:tcPr>
          <w:p>
            <w:pPr>
              <w:jc w:val="center"/>
              <w:ind w:left="176"/>
              <w:spacing w:after="0"/>
              <w:rPr>
                <w:sz w:val="20"/>
                <w:szCs w:val="20"/>
                <w:color w:val="auto"/>
              </w:rPr>
            </w:pPr>
            <w:r>
              <w:rPr>
                <w:rFonts w:ascii="Arial" w:cs="Arial" w:eastAsia="Arial" w:hAnsi="Arial"/>
                <w:sz w:val="14"/>
                <w:szCs w:val="14"/>
                <w:b w:val="1"/>
                <w:bCs w:val="1"/>
                <w:color w:val="auto"/>
                <w:w w:val="87"/>
              </w:rPr>
              <w:t>exercise price</w:t>
            </w:r>
          </w:p>
        </w:tc>
        <w:tc>
          <w:tcPr>
            <w:tcW w:w="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640" w:type="dxa"/>
            <w:vAlign w:val="bottom"/>
            <w:gridSpan w:val="4"/>
          </w:tcPr>
          <w:p>
            <w:pPr>
              <w:ind w:left="68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1,132,618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Options 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378,500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118.70</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Options cancelled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(29,000)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175.78</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1,461,987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2019</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943,399</w:t>
            </w:r>
          </w:p>
        </w:tc>
        <w:tc>
          <w:tcPr>
            <w:tcW w:w="3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40.38</w:t>
            </w:r>
          </w:p>
        </w:tc>
        <w:tc>
          <w:tcPr>
            <w:tcW w:w="68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6.94</w:t>
            </w:r>
          </w:p>
        </w:tc>
        <w:tc>
          <w:tcPr>
            <w:tcW w:w="68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63,995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total cash received by the Company as a result of stock option exercises was $0.2 million, $2.1 million and $0.0 for the years ended December 31, 2019, 2018, and 2017. The total intrinsic value of options exercised was $2.2 million in the year ended December 31, 2019. The weighted-average grant date fair values, based on the Black-Scholes option model, of options granted during the year ended December 31, 2019, 2018 and 2017 was $91.19, $137.49 and $13.30, respectively.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Company’s share-based compensation plan provides for awards of restricted shares of common stock to employees, officers, directors and consultants to the Company. Restricted stock awards are subject to forfeiture if employment or service terminates during the prescribed retention period. Restricted shares vest over the service period.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restricted share activity during the year ended December 31, 2019:</w:t>
      </w:r>
    </w:p>
    <w:p>
      <w:pPr>
        <w:spacing w:after="0" w:line="20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Shares</w:t>
            </w:r>
          </w:p>
        </w:tc>
        <w:tc>
          <w:tcPr>
            <w:tcW w:w="38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exercise price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52,063</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(52,063)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Stock-based compensation expense during the years ended December 31, 2019, 2018 and 2017 was as follows (in thousands):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22,487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12,997</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2,662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w:t>
            </w:r>
          </w:p>
        </w:tc>
        <w:tc>
          <w:tcPr>
            <w:tcW w:w="2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7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22,759</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13,489</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3,254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Effect of stock-based compensation expense by line item:</w:t>
            </w: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8,277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3,707</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14,482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2,371</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3"/>
              </w:rPr>
              <w:t>Total stock-based compensation expense included in net loss</w:t>
            </w:r>
          </w:p>
        </w:tc>
        <w:tc>
          <w:tcPr>
            <w:tcW w:w="27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22,759</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13,489</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3,254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60" w:type="dxa"/>
            <w:vAlign w:val="bottom"/>
            <w:gridSpan w:val="2"/>
          </w:tcPr>
          <w:p>
            <w:pPr>
              <w:jc w:val="right"/>
              <w:ind w:right="2185"/>
              <w:spacing w:after="0"/>
              <w:rPr>
                <w:sz w:val="20"/>
                <w:szCs w:val="20"/>
                <w:color w:val="auto"/>
              </w:rPr>
            </w:pPr>
            <w:r>
              <w:rPr>
                <w:rFonts w:ascii="Arial" w:cs="Arial" w:eastAsia="Arial" w:hAnsi="Arial"/>
                <w:sz w:val="18"/>
                <w:szCs w:val="18"/>
                <w:color w:val="auto"/>
              </w:rPr>
              <w:t>F-17</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80"/>
          </w:cols>
          <w:pgMar w:left="240" w:top="486"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Unrecognized stock-based compensation expense on stock options as of December 31, 2019 was $32.1 million with a weighted average remaining period of 2.7 years.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In 2019, the Company entered into an operating lease for office space. As described within Note 2, we adopted ASU 2016-02, “Leases,” on January 1, 2019 requiring, among other changes, operating and finance leases with terms exceeding twelve months to be recognized as a right-of-use asset (or “ROU”) and lease liabilities on the balance sheet. Operating lease ROU assets and operating lease liabilities are recognized based on the present value of the future minimum lease payments over the lease term at the commencement date. The lease term is determined to be the non-cancelable period including any lessee renewal options that are considered reasonably certain of exercise. The interest rate implicit in lease contracts is typically not readily determinable. As such, the Company used judgment to determine an appropriate incremental borrowing rate, which is the rate incurred to borrow on a collateralized basis over a similar term in a similar economic environment.</w:t>
      </w:r>
    </w:p>
    <w:p>
      <w:pPr>
        <w:spacing w:after="0" w:line="178"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Future minimum payments under the Company’s operating leases related to the ROU asset and lease liability as of December 31, 2019 was as follows (in thousand):</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960" w:type="dxa"/>
            <w:vAlign w:val="bottom"/>
            <w:gridSpan w:val="4"/>
          </w:tcPr>
          <w:p>
            <w:pPr>
              <w:ind w:left="2240"/>
              <w:spacing w:after="0"/>
              <w:rPr>
                <w:sz w:val="20"/>
                <w:szCs w:val="20"/>
                <w:color w:val="auto"/>
              </w:rPr>
            </w:pPr>
            <w:r>
              <w:rPr>
                <w:rFonts w:ascii="Arial" w:cs="Arial" w:eastAsia="Arial" w:hAnsi="Arial"/>
                <w:sz w:val="14"/>
                <w:szCs w:val="14"/>
                <w:b w:val="1"/>
                <w:bCs w:val="1"/>
                <w:color w:val="auto"/>
              </w:rPr>
              <w:t>Operating</w:t>
            </w:r>
          </w:p>
        </w:tc>
      </w:tr>
      <w:tr>
        <w:trPr>
          <w:trHeight w:val="171"/>
        </w:trPr>
        <w:tc>
          <w:tcPr>
            <w:tcW w:w="4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4"/>
              </w:rPr>
              <w:t>Leases</w:t>
            </w:r>
          </w:p>
        </w:tc>
        <w:tc>
          <w:tcPr>
            <w:tcW w:w="8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34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2021</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Thereafter</w:t>
            </w:r>
          </w:p>
        </w:tc>
        <w:tc>
          <w:tcPr>
            <w:tcW w:w="2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34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Less: imputed interest</w:t>
            </w:r>
          </w:p>
        </w:tc>
        <w:tc>
          <w:tcPr>
            <w:tcW w:w="2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34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As of December 31, 2019, the weighted average remaining operating lease term was 2.0 years and the weighted average discount rate used to determine the operating lease liabilities was 5.5%. Cash paid related to the lease liability was $297 thousand for the year ended December 31, 2019. Operating lease costs during the year ended December 31, 2019 was $386 thousand. Rent expense during the year ended December 31, 2018 and 2017 was $239 thousand and $134 thousand, respectively. Short term and variable leases costs were immaterial during the years ended December 31, 2019, 2018 and 2017.</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4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agreement requires future milestone payments to Roche. In 2019, the Company commenced a Phase 3 study in Non-Alcoholic Steatohepatitis (NASH), which triggered a $2 million milestone payment under the agreement. Remaining milestones under the agreement total $8 million and are earned by achieving specified objectives related to future regulatory approval in the United States and Europe of a product developed from resmetirom. A single-digit royalty payment range is based on net sales of products developed from resmetirom, subject to certain reductions. Except as described above, the Company has not achieved any additional product development or regulatory milestones and had no Licensed Product sales for the years ended December 31, 2019, 2018 and 2017.</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has entered into customary contractual arrangements and letters of intent in preparation for and in support of the Phase 3 clinical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trials.</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00"/>
          </w:cols>
          <w:pgMar w:left="240" w:top="486"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At December 31, 2019, the Company had federal net operating loss (“NOL”) carryforwards of approximately $64.2 million available to reduce future taxable income, of which $40.4 million will expire between 2031 and 2037. The Company also has state operating loss carryforwards of approximately $52.9 million, available to reduce future taxable income, which expire between 2031 and 2039. The Company has unused federal research and development carryforwards of approximately $5.9 million which will begin to expire in 2031.</w:t>
      </w:r>
    </w:p>
    <w:p>
      <w:pPr>
        <w:spacing w:after="0" w:line="17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Internal Revenue Code (“IRC”) limits the amounts of NOL carryforwards that a Company may use in any one year in the event of certain cumulative changes in ownership over a three-year period as described in Section 382 of the IRC. Such change in ownership could limit the Company’s utilization of the NOL, and could be triggered by subsequent sales of securities by the Company or stockholders. The deferred tax asset related to the NOL reflected on the financial statements could be affected by this limitation. Although a formal analysis has not been completed, the Company has determined that an ownership change likely occurred for Madrigal during the year ended December 31, 2017. The net operating losses are expected to be subject to an annual limitation; however, none of these NOLs is expected to expire before becoming available to reduce future taxable income.</w:t>
      </w:r>
    </w:p>
    <w:p>
      <w:pPr>
        <w:spacing w:after="0" w:line="16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of the deferred tax assets will not be realized. The ultimate realization of deferred tax assets is dependent upon the generation of future taxable income during the periods in which those temporary differences become deductible. As there is no assurance of future taxable income, a full valuation allowance has been established to offset the deferred tax assets. The valuation allowance increased $26.8 million for the year ended December 31, 2019. Changes in the deferred tax asset will be recorded as an income tax benefit or expense on the accompanying consolidated statements of operations.</w:t>
      </w:r>
    </w:p>
    <w:p>
      <w:pPr>
        <w:spacing w:after="0" w:line="158"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Entities are also required to evaluate, measure, recognize and disclose any uncertain income tax provisions taken on their income tax returns. The Company has analyzed its tax positions and has concluded that as of December 31, 2019 there were no uncertain positions. The 2013 through 2018 tax returns are open to review by the IRS and state taxing authorities. Interest and penalties, if any, as they relate to income taxes assessed, are included in the income tax provision. There was no income tax related interest and penalties included in the income tax provision for 2019.</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Temporary differences that give rise to deferred tax assets and liabilities are as follows (in thousands):</w:t>
      </w:r>
    </w:p>
    <w:p>
      <w:pPr>
        <w:spacing w:after="0" w:line="21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9"/>
          </w:tcPr>
          <w:p>
            <w:pPr>
              <w:ind w:left="26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Unrealized gains on investments</w:t>
            </w:r>
          </w:p>
        </w:tc>
        <w:tc>
          <w:tcPr>
            <w:tcW w:w="27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liabilities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 Tax Assets</w:t>
            </w:r>
          </w:p>
        </w:tc>
        <w:tc>
          <w:tcPr>
            <w:tcW w:w="27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Charitable contributions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421</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w:t>
            </w: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Stock compensation</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10,943</w:t>
            </w: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4,395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605</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&amp; equipment</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Unrealized loss on investment</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17,635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14,851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9,229</w:t>
            </w:r>
          </w:p>
        </w:tc>
      </w:tr>
      <w:tr>
        <w:trPr>
          <w:trHeight w:val="230"/>
        </w:trPr>
        <w:tc>
          <w:tcPr>
            <w:tcW w:w="20" w:type="dxa"/>
            <w:vAlign w:val="bottom"/>
          </w:tcPr>
          <w:p>
            <w:pPr>
              <w:spacing w:after="0"/>
              <w:rPr>
                <w:sz w:val="20"/>
                <w:szCs w:val="20"/>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Capitalized R&amp;D</w:t>
            </w: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29,364</w:t>
            </w:r>
          </w:p>
        </w:tc>
        <w:tc>
          <w:tcPr>
            <w:tcW w:w="12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15,108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8,671</w:t>
            </w:r>
          </w:p>
        </w:tc>
      </w:tr>
      <w:tr>
        <w:trPr>
          <w:trHeight w:val="391"/>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60" w:type="dxa"/>
            <w:vAlign w:val="bottom"/>
            <w:gridSpan w:val="2"/>
          </w:tcPr>
          <w:p>
            <w:pPr>
              <w:jc w:val="right"/>
              <w:ind w:right="1550"/>
              <w:spacing w:after="0"/>
              <w:rPr>
                <w:sz w:val="20"/>
                <w:szCs w:val="20"/>
                <w:color w:val="auto"/>
              </w:rPr>
            </w:pPr>
            <w:r>
              <w:rPr>
                <w:rFonts w:ascii="Arial" w:cs="Arial" w:eastAsia="Arial" w:hAnsi="Arial"/>
                <w:sz w:val="18"/>
                <w:szCs w:val="18"/>
                <w:color w:val="auto"/>
              </w:rPr>
              <w:t>F-19</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00"/>
          </w:cols>
          <w:pgMar w:left="240" w:top="486"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10"/>
          </w:tcPr>
          <w:p>
            <w:pPr>
              <w:jc w:val="right"/>
              <w:ind w:right="5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2019</w:t>
            </w: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89"/>
              </w:rPr>
              <w:t>2018</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R&amp;D credit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4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Total deferred tax assets before valuation allowance</w:t>
            </w:r>
          </w:p>
        </w:tc>
        <w:tc>
          <w:tcPr>
            <w:tcW w:w="3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65,853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38,948</w:t>
            </w: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10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(65,791)</w:t>
            </w:r>
          </w:p>
        </w:tc>
        <w:tc>
          <w:tcPr>
            <w:tcW w:w="44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(38,948)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(21,419)</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3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80" w:type="dxa"/>
            <w:vAlign w:val="bottom"/>
            <w:gridSpan w:val="3"/>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40" w:type="dxa"/>
            <w:vAlign w:val="bottom"/>
            <w:gridSpan w:val="7"/>
          </w:tcPr>
          <w:p>
            <w:pPr>
              <w:jc w:val="right"/>
              <w:ind w:right="40"/>
              <w:spacing w:after="0"/>
              <w:rPr>
                <w:sz w:val="20"/>
                <w:szCs w:val="20"/>
                <w:color w:val="auto"/>
              </w:rPr>
            </w:pPr>
            <w:r>
              <w:rPr>
                <w:rFonts w:ascii="Arial" w:cs="Arial" w:eastAsia="Arial" w:hAnsi="Arial"/>
                <w:sz w:val="18"/>
                <w:szCs w:val="18"/>
                <w:color w:val="auto"/>
                <w:w w:val="90"/>
              </w:rPr>
              <w:t>Differences between the effective income tax rate and the US statutory rate were as follows (in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U.S. federal statutory rate</w:t>
            </w:r>
          </w:p>
        </w:tc>
        <w:tc>
          <w:tcPr>
            <w:tcW w:w="148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$(17,629)</w:t>
            </w:r>
          </w:p>
        </w:tc>
        <w:tc>
          <w:tcPr>
            <w:tcW w:w="122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 (6,890)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(10,592)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(3,415)</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Effect of tax reform, change in federal tax rate</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nondeductible expenses</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5"/>
              </w:rPr>
              <w:t>State income taxes benefit before valuation allowance, net of federal benefit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(5,460)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Increase in domestic valuation allowance</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26,843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17,529</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(1,604)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adjustments</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Quarterly Financial Data (unaudited)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present a summary of quarterly results of operations for 2019 and 2018 (in thousands, except shares and per share data):</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6"/>
              </w:rPr>
              <w:t>March 31, 2019</w:t>
            </w:r>
          </w:p>
        </w:tc>
        <w:tc>
          <w:tcPr>
            <w:tcW w:w="120" w:type="dxa"/>
            <w:vAlign w:val="bottom"/>
          </w:tcPr>
          <w:p>
            <w:pPr>
              <w:spacing w:after="0"/>
              <w:rPr>
                <w:sz w:val="10"/>
                <w:szCs w:val="10"/>
                <w:color w:val="auto"/>
              </w:rPr>
            </w:pP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8"/>
              </w:rPr>
              <w:t>June 30, 2019</w:t>
            </w:r>
          </w:p>
        </w:tc>
        <w:tc>
          <w:tcPr>
            <w:tcW w:w="120" w:type="dxa"/>
            <w:vAlign w:val="bottom"/>
          </w:tcPr>
          <w:p>
            <w:pPr>
              <w:spacing w:after="0"/>
              <w:rPr>
                <w:sz w:val="10"/>
                <w:szCs w:val="10"/>
                <w:color w:val="auto"/>
              </w:rPr>
            </w:pPr>
          </w:p>
        </w:tc>
        <w:tc>
          <w:tcPr>
            <w:tcW w:w="118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70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and diluted weighted average number of common shares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15,364,465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15,368,986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15,415,096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15,429,154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800" w:type="dxa"/>
            <w:vAlign w:val="bottom"/>
          </w:tcPr>
          <w:p>
            <w:pPr>
              <w:ind w:left="5320"/>
              <w:spacing w:after="0"/>
              <w:rPr>
                <w:sz w:val="20"/>
                <w:szCs w:val="20"/>
                <w:color w:val="auto"/>
              </w:rPr>
            </w:pPr>
            <w:r>
              <w:rPr>
                <w:rFonts w:ascii="Arial" w:cs="Arial" w:eastAsia="Arial" w:hAnsi="Arial"/>
                <w:sz w:val="18"/>
                <w:szCs w:val="18"/>
                <w:color w:val="auto"/>
              </w:rPr>
              <w:t>F-20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86"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2891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6"/>
              </w:rPr>
              <w:t>March 31, 2018</w:t>
            </w:r>
          </w:p>
        </w:tc>
        <w:tc>
          <w:tcPr>
            <w:tcW w:w="120" w:type="dxa"/>
            <w:vAlign w:val="bottom"/>
          </w:tcPr>
          <w:p>
            <w:pPr>
              <w:spacing w:after="0"/>
              <w:rPr>
                <w:sz w:val="10"/>
                <w:szCs w:val="10"/>
                <w:color w:val="auto"/>
              </w:rPr>
            </w:pP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8"/>
              </w:rPr>
              <w:t>June 30, 2018</w:t>
            </w:r>
          </w:p>
        </w:tc>
        <w:tc>
          <w:tcPr>
            <w:tcW w:w="120" w:type="dxa"/>
            <w:vAlign w:val="bottom"/>
          </w:tcPr>
          <w:p>
            <w:pPr>
              <w:spacing w:after="0"/>
              <w:rPr>
                <w:sz w:val="10"/>
                <w:szCs w:val="10"/>
                <w:color w:val="auto"/>
              </w:rPr>
            </w:pPr>
          </w:p>
        </w:tc>
        <w:tc>
          <w:tcPr>
            <w:tcW w:w="118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70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and diluted weighted average number of common shares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14,127,868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14,383,720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15,307,872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15,348,358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800" w:type="dxa"/>
            <w:vAlign w:val="bottom"/>
          </w:tcPr>
          <w:p>
            <w:pPr>
              <w:ind w:left="5320"/>
              <w:spacing w:after="0"/>
              <w:rPr>
                <w:sz w:val="20"/>
                <w:szCs w:val="20"/>
                <w:color w:val="auto"/>
              </w:rPr>
            </w:pPr>
            <w:r>
              <w:rPr>
                <w:rFonts w:ascii="Arial" w:cs="Arial" w:eastAsia="Arial" w:hAnsi="Arial"/>
                <w:sz w:val="18"/>
                <w:szCs w:val="18"/>
                <w:color w:val="auto"/>
              </w:rPr>
              <w:t>F-21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86" w:right="45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OF THE REGISTRANT</w:t>
      </w:r>
    </w:p>
    <w:p>
      <w:pPr>
        <w:spacing w:after="0" w:line="22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following is a summary of all material characteristics of our capital stock as set forth in our restated certificate of incorporation, our restated bylaws and our Certificate of Designation of Preferences, Rights and Limitations of Series A Convertible Preferred Stock. Our common stock is the only class of our securities registered under Section 12 of the Securities Exchange Act of 1934, as amended, and is listed on The Nasdaq Stock Market LLC. The summary does not purport to be complete and is qualified in its entirety by reference to our certificate of incorporation and bylaws, copies of which have been filed as exhibits to our previous SEC filings.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Description of Common Stock</w:t>
      </w:r>
    </w:p>
    <w:p>
      <w:pPr>
        <w:spacing w:after="0" w:line="121"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We are authorized to issue 200,000,000 shares of common stock, par value $0.0001 per share. The following summary of certain provisions of our common stock does not purport to be complete. You should refer to our restated certificate of incorporation and our restated bylaws, both of which have been filed with the SEC. The summary below is also qualified by provisions of applicable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As of December 31, 2019, there were 15,429,154 shares of common stock outstanding. 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29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whose address is Meidinger Tower, 462 South 4th Street, Louisville, KY 40202 and whose telephone number is (502) 301-6088.</w:t>
      </w:r>
    </w:p>
    <w:p>
      <w:pPr>
        <w:spacing w:after="0" w:line="27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for quotation on The Nasdaq Global Market under the symbol “MDGL.”</w:t>
      </w:r>
    </w:p>
    <w:p>
      <w:pPr>
        <w:spacing w:after="0" w:line="32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We have never declared any cash dividends on our common stock and we do not anticipate paying any cash dividends on our common stock in the foreseeable future.</w:t>
      </w:r>
    </w:p>
    <w:p>
      <w:pPr>
        <w:spacing w:after="0" w:line="27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Description of Preferred Stock</w:t>
      </w:r>
    </w:p>
    <w:p>
      <w:pPr>
        <w:spacing w:after="0" w:line="12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are authorized to issue 5,000,000 shares of preferred stock, par value $0.0001 per share. As of December 31, 2019, we had 1,969,797 shares of preferred stock, designated Series A Convertible Preferred Stock, outstanding held by two stockholders of record. No other shares of our preferred stock were outstanding or</w:t>
      </w:r>
    </w:p>
    <w:p>
      <w:pPr>
        <w:sectPr>
          <w:pgSz w:w="11900" w:h="16838" w:orient="portrait"/>
          <w:cols w:equalWidth="0" w:num="1">
            <w:col w:w="11020"/>
          </w:cols>
          <w:pgMar w:left="440" w:top="121" w:right="439" w:bottom="1440" w:gutter="0" w:footer="0" w:header="0"/>
        </w:sectPr>
      </w:pPr>
    </w:p>
    <w:bookmarkStart w:id="92" w:name="page93"/>
    <w:bookmarkEnd w:id="92"/>
    <w:p>
      <w:pPr>
        <w:jc w:val="both"/>
        <w:ind w:right="5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designated. The following summary of certain provisions of our preferred stock does not purport to be complete. You should refer to our restated certificate of incorporation, our restated bylaws and our Certificate of Designation of Preferences, Rights and Limitations of Series A Convertible Preferred Stock, each of which have been filed with the SEC. The summary below is also qualified by provisions of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Convertible Preferred Stock</w:t>
      </w:r>
    </w:p>
    <w:p>
      <w:pPr>
        <w:spacing w:after="0" w:line="117"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Each share of the Series A Convertible Preferred Stock is convertible into shares of the common stock at any time at the holder’s option at a one-to-one ratio, subject to adjustment. A holder of Series A Convertible Preferred Stock, however, will be prohibited from converting shares of the Series A Convertible Preferred Stock into shares of our common stock if, as a result of such conversion, the holder, together with its affiliates, would own more than 4.99% of the shares of our common stock or any other class of any equity security of ours (other than an exempted security) that is registered pursuant to Section 12 of the Securities Exchange Act of 1934, which may be increased or decreased to any other percentage at the holder’s election on 61 days’ notice delivered to the Company.</w:t>
      </w:r>
    </w:p>
    <w:p>
      <w:pPr>
        <w:spacing w:after="0" w:line="19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Upon our liquidation, dissolution or winding-up, whether voluntary or involuntary, after the satisfaction in full of our debts and the payment of any liquidation preference owed to the holders of shares of our capital stock ranking prior to the Series A Convertible Preferred Stock upon liquidation, the holders of the Series A Convertible Preferred Stock shall participate pari passu with the holders of our common stock (on an as-if-converted-to-common-stock basis) in our net assets. Shares of the Series A Convertible Preferred Stock will generally have no voting rights, except as required by law. Shares of the Series A Convertible Preferred Stock will be entitled to receive dividends before shares of any other class or series of our capital stock (other than dividends in the form of our common stock) equal to the dividend payable on each share of our common stock, on an as-converted basis.</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Anti-Takeover Provisions of our Certificate of Incorporation and Bylaws</w:t>
      </w:r>
    </w:p>
    <w:p>
      <w:pPr>
        <w:spacing w:after="0" w:line="12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In addition to the board of directors’ ability to issue shares of preferred stock, our restated certificate of incorporation and restated bylaws contain other provisions that are intended to enhance the likelihood of continuity and stability in the composition of the board of directors and which may have the effect of delaying, deferring or preventing a future takeover or change in control of our company unless such takeover or change in control is approved by our board of directors.</w:t>
      </w:r>
    </w:p>
    <w:p>
      <w:pPr>
        <w:spacing w:after="0" w:line="18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93" w:name="page94"/>
    <w:bookmarkEnd w:id="93"/>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0"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i w:val="1"/>
          <w:iCs w:val="1"/>
          <w:color w:val="auto"/>
        </w:rPr>
        <w:t xml:space="preserve">Classified board of directors; removal of directors for cause. </w:t>
      </w:r>
      <w:r>
        <w:rPr>
          <w:rFonts w:ascii="Arial" w:cs="Arial" w:eastAsia="Arial" w:hAnsi="Arial"/>
          <w:sz w:val="17"/>
          <w:szCs w:val="17"/>
          <w:color w:val="auto"/>
        </w:rPr>
        <w:t>Our restated certificate of incorporation and restated bylaws provide for our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to be divided into three classes serving staggered terms. At each annual meeting of stockholders, directors elected to succeed those directors whose terms have expired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also is empowered to fill vacancies on the board of directors occurring for any reason for the remainder of the term of the class of directors in which the vacancy occurred. Members of the board of directors may only be removed for cause and only by the affirmative vote of 80% of our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i w:val="1"/>
          <w:iCs w:val="1"/>
          <w:color w:val="auto"/>
        </w:rPr>
        <w:t xml:space="preserve">Advance notice provisions for stockholder proposals. </w:t>
      </w:r>
      <w:r>
        <w:rPr>
          <w:rFonts w:ascii="Arial" w:cs="Arial" w:eastAsia="Arial" w:hAnsi="Arial"/>
          <w:sz w:val="16"/>
          <w:szCs w:val="16"/>
          <w:color w:val="auto"/>
        </w:rPr>
        <w:t>Our restated bylaws establish an advance notice procedure for stockholder proposals to be</w:t>
      </w:r>
      <w:r>
        <w:rPr>
          <w:rFonts w:ascii="Arial" w:cs="Arial" w:eastAsia="Arial" w:hAnsi="Arial"/>
          <w:sz w:val="16"/>
          <w:szCs w:val="16"/>
          <w:i w:val="1"/>
          <w:iCs w:val="1"/>
          <w:color w:val="auto"/>
        </w:rPr>
        <w:t xml:space="preserve"> </w:t>
      </w:r>
      <w:r>
        <w:rPr>
          <w:rFonts w:ascii="Arial" w:cs="Arial" w:eastAsia="Arial" w:hAnsi="Arial"/>
          <w:sz w:val="16"/>
          <w:szCs w:val="16"/>
          <w:color w:val="auto"/>
        </w:rPr>
        <w:t>brought before an annual meeting of our stockholders, including proposed nominations of persons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our bylaws do not give our board of directors the power to approve or disapprove stockholder nominations of candidates or proposals regarding other business to be conducted at a special or annual meeting, our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us.</w:t>
      </w:r>
    </w:p>
    <w:p>
      <w:pPr>
        <w:spacing w:after="0" w:line="169" w:lineRule="exact"/>
        <w:rPr>
          <w:sz w:val="20"/>
          <w:szCs w:val="20"/>
          <w:color w:val="auto"/>
        </w:rPr>
      </w:pPr>
    </w:p>
    <w:p>
      <w:pPr>
        <w:jc w:val="both"/>
        <w:ind w:right="360" w:firstLine="441"/>
        <w:spacing w:after="0" w:line="264" w:lineRule="auto"/>
        <w:rPr>
          <w:sz w:val="20"/>
          <w:szCs w:val="20"/>
          <w:color w:val="auto"/>
        </w:rPr>
      </w:pPr>
      <w:r>
        <w:rPr>
          <w:rFonts w:ascii="Arial" w:cs="Arial" w:eastAsia="Arial" w:hAnsi="Arial"/>
          <w:sz w:val="18"/>
          <w:szCs w:val="18"/>
          <w:i w:val="1"/>
          <w:iCs w:val="1"/>
          <w:color w:val="auto"/>
        </w:rPr>
        <w:t xml:space="preserve">Special meetings of stockholders. </w:t>
      </w:r>
      <w:r>
        <w:rPr>
          <w:rFonts w:ascii="Arial" w:cs="Arial" w:eastAsia="Arial" w:hAnsi="Arial"/>
          <w:sz w:val="18"/>
          <w:szCs w:val="18"/>
          <w:color w:val="auto"/>
        </w:rPr>
        <w:t>Special meetings of the stockholders may be called only by our board of directors pursuant to a resolution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by a majority of the total number of authorized directors. Stockholders are not permitted to call a special meeting or to require our board of directors to call a special meeting.</w:t>
      </w:r>
    </w:p>
    <w:p>
      <w:pPr>
        <w:spacing w:after="0" w:line="181"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i w:val="1"/>
          <w:iCs w:val="1"/>
          <w:color w:val="auto"/>
        </w:rPr>
        <w:t xml:space="preserve">No stockholder action by written consent. </w:t>
      </w:r>
      <w:r>
        <w:rPr>
          <w:rFonts w:ascii="Arial" w:cs="Arial" w:eastAsia="Arial" w:hAnsi="Arial"/>
          <w:sz w:val="16"/>
          <w:szCs w:val="16"/>
          <w:color w:val="auto"/>
        </w:rPr>
        <w:t>Our restated certificate of incorporation and restated bylaws do not permit our stockholders to act by</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consent. As a result, any action to be effected by our stockholders must be effected at a duly called annual or special meeting of the stockholders.</w:t>
      </w:r>
    </w:p>
    <w:p>
      <w:pPr>
        <w:spacing w:after="0" w:line="124"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i w:val="1"/>
          <w:iCs w:val="1"/>
          <w:color w:val="auto"/>
        </w:rPr>
        <w:t xml:space="preserve">Super-majority stockholder vote required for certain actions. </w:t>
      </w:r>
      <w:r>
        <w:rPr>
          <w:rFonts w:ascii="Arial" w:cs="Arial" w:eastAsia="Arial" w:hAnsi="Arial"/>
          <w:sz w:val="18"/>
          <w:szCs w:val="18"/>
          <w:color w:val="auto"/>
        </w:rPr>
        <w:t>The Delaware General Corporation Law, or DGCL, provides generally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94" w:name="page95"/>
    <w:bookmarkEnd w:id="94"/>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29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Provisions of Delaware Law Governing Business Combinations</w:t>
      </w:r>
    </w:p>
    <w:p>
      <w:pPr>
        <w:spacing w:after="0" w:line="121"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We are subject to the “business combination” provisions of Section 203 of the DGCL. In general, such provisions prohibit a publicly held Delaware corporation from engaging in any “business combination” transactions with any “interested stockholder” for a period of three years after the date on which the person became an “interested stockholder,” unless:</w:t>
      </w:r>
    </w:p>
    <w:p>
      <w:pPr>
        <w:spacing w:after="0" w:line="87" w:lineRule="exact"/>
        <w:rPr>
          <w:sz w:val="20"/>
          <w:szCs w:val="20"/>
          <w:color w:val="auto"/>
        </w:rPr>
      </w:pPr>
    </w:p>
    <w:p>
      <w:pPr>
        <w:ind w:left="980" w:right="300" w:hanging="436"/>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prior to such date, the board of directors approved either the “business combination” or the transaction which resulted in the “interested stockholder” obtaining such status; or</w:t>
      </w:r>
    </w:p>
    <w:p>
      <w:pPr>
        <w:spacing w:after="0" w:line="75" w:lineRule="exact"/>
        <w:rPr>
          <w:rFonts w:ascii="Arial" w:cs="Arial" w:eastAsia="Arial" w:hAnsi="Arial"/>
          <w:sz w:val="18"/>
          <w:szCs w:val="18"/>
          <w:color w:val="auto"/>
        </w:rPr>
      </w:pPr>
    </w:p>
    <w:p>
      <w:pPr>
        <w:ind w:left="980" w:hanging="436"/>
        <w:spacing w:after="0" w:line="297"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63" w:lineRule="exact"/>
        <w:rPr>
          <w:rFonts w:ascii="Arial" w:cs="Arial" w:eastAsia="Arial" w:hAnsi="Arial"/>
          <w:sz w:val="16"/>
          <w:szCs w:val="16"/>
          <w:color w:val="auto"/>
        </w:rPr>
      </w:pPr>
    </w:p>
    <w:p>
      <w:pPr>
        <w:ind w:left="980" w:right="40" w:hanging="436"/>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w:t>
      </w:r>
      <w:r>
        <w:rPr>
          <w:rFonts w:ascii="Arial" w:cs="Arial" w:eastAsia="Arial" w:hAnsi="Arial"/>
          <w:sz w:val="15"/>
          <w:szCs w:val="15"/>
          <w:color w:val="auto"/>
        </w:rPr>
        <w:t>2</w:t>
      </w:r>
      <w:r>
        <w:rPr>
          <w:rFonts w:ascii="Arial" w:cs="Arial" w:eastAsia="Arial" w:hAnsi="Arial"/>
          <w:sz w:val="18"/>
          <w:szCs w:val="18"/>
          <w:color w:val="auto"/>
        </w:rPr>
        <w:t>/3% of the outstanding voting stock which is not owned by the “interested stockholder.”</w:t>
      </w:r>
    </w:p>
    <w:p>
      <w:pPr>
        <w:spacing w:after="0" w:line="18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 with respect to us and, accordingly, may discourage attempts to acquire 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SUBSIDIARIES OF MADRIGAL PHARMACEUTICALS,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Madrigal Pharmaceuticals EU Limited, an Ireland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Synta Securities Corp., a Massachusetts securities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Synta Limited Incorporated, a United Kingdom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Canticle Pharmaceuticals, Inc., a Delaware corporation</w:t>
      </w:r>
    </w:p>
    <w:p>
      <w:pPr>
        <w:sectPr>
          <w:pgSz w:w="11900" w:h="16838" w:orient="portrait"/>
          <w:cols w:equalWidth="0" w:num="1">
            <w:col w:w="11020"/>
          </w:cols>
          <w:pgMar w:left="440" w:top="121" w:right="4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333-225434, 333-219304) and Form S-8 (Nos. 333-141903, 333-152824, 333-173862, 333-181117, 333-187243, 333-194477, 333-202680, 333-206128, 333-212615, 333-224503) of Madrigal Pharmaceuticals, Inc. of our report dated February 26, 2020 relating to the financial statements and the effectiveness of internal control over financial reporting, which appears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020"/>
          </w:cols>
          <w:pgMar w:left="440" w:top="121" w:right="4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460" w:right="190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SECURITIES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Paul A. Friedman, M.D., certify that:</w:t>
      </w:r>
    </w:p>
    <w:p>
      <w:pPr>
        <w:spacing w:after="0" w:line="225" w:lineRule="exact"/>
        <w:rPr>
          <w:sz w:val="20"/>
          <w:szCs w:val="20"/>
          <w:color w:val="auto"/>
        </w:rPr>
      </w:pPr>
    </w:p>
    <w:p>
      <w:pPr>
        <w:ind w:left="180" w:hanging="176"/>
        <w:spacing w:after="0"/>
        <w:tabs>
          <w:tab w:leader="none" w:pos="180"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I have reviewed this Annual Report on Form 10-K of Madrigal Pharmaceuticals, Inc.;</w:t>
      </w:r>
    </w:p>
    <w:p>
      <w:pPr>
        <w:spacing w:after="0" w:line="225" w:lineRule="exact"/>
        <w:rPr>
          <w:rFonts w:ascii="Arial" w:cs="Arial" w:eastAsia="Arial" w:hAnsi="Arial"/>
          <w:sz w:val="18"/>
          <w:szCs w:val="18"/>
          <w:i w:val="1"/>
          <w:iCs w:val="1"/>
          <w:color w:val="auto"/>
        </w:rPr>
      </w:pPr>
    </w:p>
    <w:p>
      <w:pPr>
        <w:ind w:right="40" w:firstLine="4"/>
        <w:spacing w:after="0" w:line="342" w:lineRule="auto"/>
        <w:tabs>
          <w:tab w:leader="none" w:pos="180" w:val="left"/>
        </w:tabs>
        <w:numPr>
          <w:ilvl w:val="0"/>
          <w:numId w:val="37"/>
        </w:numPr>
        <w:rPr>
          <w:rFonts w:ascii="Arial" w:cs="Arial" w:eastAsia="Arial" w:hAnsi="Arial"/>
          <w:sz w:val="16"/>
          <w:szCs w:val="16"/>
          <w:i w:val="1"/>
          <w:iCs w:val="1"/>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i w:val="1"/>
          <w:iCs w:val="1"/>
          <w:color w:val="auto"/>
        </w:rPr>
      </w:pPr>
    </w:p>
    <w:p>
      <w:pPr>
        <w:ind w:right="320" w:firstLine="4"/>
        <w:spacing w:after="0" w:line="308" w:lineRule="auto"/>
        <w:tabs>
          <w:tab w:leader="none" w:pos="180" w:val="left"/>
        </w:tabs>
        <w:numPr>
          <w:ilvl w:val="0"/>
          <w:numId w:val="37"/>
        </w:numPr>
        <w:rPr>
          <w:rFonts w:ascii="Arial" w:cs="Arial" w:eastAsia="Arial" w:hAnsi="Arial"/>
          <w:sz w:val="17"/>
          <w:szCs w:val="17"/>
          <w:i w:val="1"/>
          <w:iCs w:val="1"/>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i w:val="1"/>
          <w:iCs w:val="1"/>
          <w:color w:val="auto"/>
        </w:rPr>
      </w:pPr>
    </w:p>
    <w:p>
      <w:pPr>
        <w:ind w:right="120" w:firstLine="4"/>
        <w:spacing w:after="0" w:line="264" w:lineRule="auto"/>
        <w:tabs>
          <w:tab w:leader="none" w:pos="180"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i w:val="1"/>
          <w:iCs w:val="1"/>
          <w:color w:val="auto"/>
        </w:rPr>
      </w:pPr>
    </w:p>
    <w:p>
      <w:pPr>
        <w:ind w:left="440" w:right="100" w:firstLine="4"/>
        <w:spacing w:after="0" w:line="264" w:lineRule="auto"/>
        <w:tabs>
          <w:tab w:leader="none" w:pos="695" w:val="left"/>
        </w:tabs>
        <w:numPr>
          <w:ilvl w:val="1"/>
          <w:numId w:val="37"/>
        </w:numPr>
        <w:rPr>
          <w:rFonts w:ascii="Arial" w:cs="Arial" w:eastAsia="Arial" w:hAnsi="Arial"/>
          <w:sz w:val="18"/>
          <w:szCs w:val="18"/>
          <w:i w:val="1"/>
          <w:iCs w:val="1"/>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i w:val="1"/>
          <w:iCs w:val="1"/>
          <w:color w:val="auto"/>
        </w:rPr>
      </w:pPr>
    </w:p>
    <w:p>
      <w:pPr>
        <w:ind w:left="440" w:right="60" w:firstLine="4"/>
        <w:spacing w:after="0" w:line="264" w:lineRule="auto"/>
        <w:tabs>
          <w:tab w:leader="none" w:pos="695" w:val="left"/>
        </w:tabs>
        <w:numPr>
          <w:ilvl w:val="1"/>
          <w:numId w:val="37"/>
        </w:numPr>
        <w:rPr>
          <w:rFonts w:ascii="Arial" w:cs="Arial" w:eastAsia="Arial" w:hAnsi="Arial"/>
          <w:sz w:val="18"/>
          <w:szCs w:val="18"/>
          <w:i w:val="1"/>
          <w:iCs w:val="1"/>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i w:val="1"/>
          <w:iCs w:val="1"/>
          <w:color w:val="auto"/>
        </w:rPr>
      </w:pPr>
    </w:p>
    <w:p>
      <w:pPr>
        <w:ind w:left="440" w:right="620" w:firstLine="4"/>
        <w:spacing w:after="0" w:line="342" w:lineRule="auto"/>
        <w:tabs>
          <w:tab w:leader="none" w:pos="685" w:val="left"/>
        </w:tabs>
        <w:numPr>
          <w:ilvl w:val="1"/>
          <w:numId w:val="37"/>
        </w:numPr>
        <w:rPr>
          <w:rFonts w:ascii="Arial" w:cs="Arial" w:eastAsia="Arial" w:hAnsi="Arial"/>
          <w:sz w:val="16"/>
          <w:szCs w:val="16"/>
          <w:i w:val="1"/>
          <w:iCs w:val="1"/>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i w:val="1"/>
          <w:iCs w:val="1"/>
          <w:color w:val="auto"/>
        </w:rPr>
      </w:pPr>
    </w:p>
    <w:p>
      <w:pPr>
        <w:jc w:val="both"/>
        <w:ind w:left="440" w:right="80" w:firstLine="4"/>
        <w:spacing w:after="0" w:line="264" w:lineRule="auto"/>
        <w:tabs>
          <w:tab w:leader="none" w:pos="695" w:val="left"/>
        </w:tabs>
        <w:numPr>
          <w:ilvl w:val="1"/>
          <w:numId w:val="37"/>
        </w:numPr>
        <w:rPr>
          <w:rFonts w:ascii="Arial" w:cs="Arial" w:eastAsia="Arial" w:hAnsi="Arial"/>
          <w:sz w:val="18"/>
          <w:szCs w:val="18"/>
          <w:i w:val="1"/>
          <w:iCs w:val="1"/>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i w:val="1"/>
          <w:iCs w:val="1"/>
          <w:color w:val="auto"/>
        </w:rPr>
      </w:pPr>
    </w:p>
    <w:p>
      <w:pPr>
        <w:ind w:right="60" w:firstLine="4"/>
        <w:spacing w:after="0" w:line="308" w:lineRule="auto"/>
        <w:tabs>
          <w:tab w:leader="none" w:pos="180" w:val="left"/>
        </w:tabs>
        <w:numPr>
          <w:ilvl w:val="0"/>
          <w:numId w:val="37"/>
        </w:numPr>
        <w:rPr>
          <w:rFonts w:ascii="Arial" w:cs="Arial" w:eastAsia="Arial" w:hAnsi="Arial"/>
          <w:sz w:val="17"/>
          <w:szCs w:val="17"/>
          <w:i w:val="1"/>
          <w:iCs w:val="1"/>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i w:val="1"/>
          <w:iCs w:val="1"/>
          <w:color w:val="auto"/>
        </w:rPr>
      </w:pPr>
    </w:p>
    <w:p>
      <w:pPr>
        <w:ind w:left="440" w:firstLine="4"/>
        <w:spacing w:after="0" w:line="277" w:lineRule="auto"/>
        <w:tabs>
          <w:tab w:leader="none" w:pos="695" w:val="left"/>
        </w:tabs>
        <w:numPr>
          <w:ilvl w:val="1"/>
          <w:numId w:val="37"/>
        </w:numPr>
        <w:rPr>
          <w:rFonts w:ascii="Arial" w:cs="Arial" w:eastAsia="Arial" w:hAnsi="Arial"/>
          <w:sz w:val="18"/>
          <w:szCs w:val="18"/>
          <w:i w:val="1"/>
          <w:iCs w:val="1"/>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i w:val="1"/>
          <w:iCs w:val="1"/>
          <w:color w:val="auto"/>
        </w:rPr>
      </w:pPr>
    </w:p>
    <w:p>
      <w:pPr>
        <w:ind w:left="440" w:right="520" w:firstLine="4"/>
        <w:spacing w:after="0" w:line="277" w:lineRule="auto"/>
        <w:tabs>
          <w:tab w:leader="none" w:pos="695" w:val="left"/>
        </w:tabs>
        <w:numPr>
          <w:ilvl w:val="1"/>
          <w:numId w:val="37"/>
        </w:numPr>
        <w:rPr>
          <w:rFonts w:ascii="Arial" w:cs="Arial" w:eastAsia="Arial" w:hAnsi="Arial"/>
          <w:sz w:val="18"/>
          <w:szCs w:val="18"/>
          <w:i w:val="1"/>
          <w:iCs w:val="1"/>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ectPr>
          <w:pgSz w:w="11900" w:h="16838" w:orient="portrait"/>
          <w:cols w:equalWidth="0" w:num="1">
            <w:col w:w="11020"/>
          </w:cols>
          <w:pgMar w:left="440" w:top="121" w:right="4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460" w:right="19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SECURITIES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R. Schneebaum, certify that:</w:t>
      </w:r>
    </w:p>
    <w:p>
      <w:pPr>
        <w:spacing w:after="0" w:line="225" w:lineRule="exact"/>
        <w:rPr>
          <w:sz w:val="20"/>
          <w:szCs w:val="20"/>
          <w:color w:val="auto"/>
        </w:rPr>
      </w:pPr>
    </w:p>
    <w:p>
      <w:pPr>
        <w:ind w:left="180" w:hanging="176"/>
        <w:spacing w:after="0"/>
        <w:tabs>
          <w:tab w:leader="none" w:pos="18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I have reviewed this Annual Report on Form 10-K of Madrigal Pharmaceuticals, Inc.;</w:t>
      </w:r>
    </w:p>
    <w:p>
      <w:pPr>
        <w:spacing w:after="0" w:line="225" w:lineRule="exact"/>
        <w:rPr>
          <w:rFonts w:ascii="Arial" w:cs="Arial" w:eastAsia="Arial" w:hAnsi="Arial"/>
          <w:sz w:val="18"/>
          <w:szCs w:val="18"/>
          <w:i w:val="1"/>
          <w:iCs w:val="1"/>
          <w:color w:val="auto"/>
        </w:rPr>
      </w:pPr>
    </w:p>
    <w:p>
      <w:pPr>
        <w:ind w:right="40" w:firstLine="4"/>
        <w:spacing w:after="0" w:line="342" w:lineRule="auto"/>
        <w:tabs>
          <w:tab w:leader="none" w:pos="180" w:val="left"/>
        </w:tabs>
        <w:numPr>
          <w:ilvl w:val="0"/>
          <w:numId w:val="38"/>
        </w:numPr>
        <w:rPr>
          <w:rFonts w:ascii="Arial" w:cs="Arial" w:eastAsia="Arial" w:hAnsi="Arial"/>
          <w:sz w:val="16"/>
          <w:szCs w:val="16"/>
          <w:i w:val="1"/>
          <w:iCs w:val="1"/>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i w:val="1"/>
          <w:iCs w:val="1"/>
          <w:color w:val="auto"/>
        </w:rPr>
      </w:pPr>
    </w:p>
    <w:p>
      <w:pPr>
        <w:ind w:right="320" w:firstLine="4"/>
        <w:spacing w:after="0" w:line="308" w:lineRule="auto"/>
        <w:tabs>
          <w:tab w:leader="none" w:pos="180" w:val="left"/>
        </w:tabs>
        <w:numPr>
          <w:ilvl w:val="0"/>
          <w:numId w:val="38"/>
        </w:numPr>
        <w:rPr>
          <w:rFonts w:ascii="Arial" w:cs="Arial" w:eastAsia="Arial" w:hAnsi="Arial"/>
          <w:sz w:val="17"/>
          <w:szCs w:val="17"/>
          <w:i w:val="1"/>
          <w:iCs w:val="1"/>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i w:val="1"/>
          <w:iCs w:val="1"/>
          <w:color w:val="auto"/>
        </w:rPr>
      </w:pPr>
    </w:p>
    <w:p>
      <w:pPr>
        <w:ind w:right="120" w:firstLine="4"/>
        <w:spacing w:after="0" w:line="264" w:lineRule="auto"/>
        <w:tabs>
          <w:tab w:leader="none" w:pos="180" w:val="left"/>
        </w:tabs>
        <w:numPr>
          <w:ilvl w:val="0"/>
          <w:numId w:val="38"/>
        </w:numPr>
        <w:rPr>
          <w:rFonts w:ascii="Arial" w:cs="Arial" w:eastAsia="Arial" w:hAnsi="Arial"/>
          <w:sz w:val="18"/>
          <w:szCs w:val="18"/>
          <w:i w:val="1"/>
          <w:iCs w:val="1"/>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i w:val="1"/>
          <w:iCs w:val="1"/>
          <w:color w:val="auto"/>
        </w:rPr>
      </w:pPr>
    </w:p>
    <w:p>
      <w:pPr>
        <w:ind w:left="440" w:right="100" w:firstLine="4"/>
        <w:spacing w:after="0" w:line="264" w:lineRule="auto"/>
        <w:tabs>
          <w:tab w:leader="none" w:pos="695" w:val="left"/>
        </w:tabs>
        <w:numPr>
          <w:ilvl w:val="1"/>
          <w:numId w:val="38"/>
        </w:numPr>
        <w:rPr>
          <w:rFonts w:ascii="Arial" w:cs="Arial" w:eastAsia="Arial" w:hAnsi="Arial"/>
          <w:sz w:val="18"/>
          <w:szCs w:val="18"/>
          <w:i w:val="1"/>
          <w:iCs w:val="1"/>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i w:val="1"/>
          <w:iCs w:val="1"/>
          <w:color w:val="auto"/>
        </w:rPr>
      </w:pPr>
    </w:p>
    <w:p>
      <w:pPr>
        <w:ind w:left="440" w:right="60" w:firstLine="4"/>
        <w:spacing w:after="0" w:line="264" w:lineRule="auto"/>
        <w:tabs>
          <w:tab w:leader="none" w:pos="695" w:val="left"/>
        </w:tabs>
        <w:numPr>
          <w:ilvl w:val="1"/>
          <w:numId w:val="38"/>
        </w:numPr>
        <w:rPr>
          <w:rFonts w:ascii="Arial" w:cs="Arial" w:eastAsia="Arial" w:hAnsi="Arial"/>
          <w:sz w:val="18"/>
          <w:szCs w:val="18"/>
          <w:i w:val="1"/>
          <w:iCs w:val="1"/>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i w:val="1"/>
          <w:iCs w:val="1"/>
          <w:color w:val="auto"/>
        </w:rPr>
      </w:pPr>
    </w:p>
    <w:p>
      <w:pPr>
        <w:ind w:left="440" w:right="620" w:firstLine="4"/>
        <w:spacing w:after="0" w:line="342" w:lineRule="auto"/>
        <w:tabs>
          <w:tab w:leader="none" w:pos="685" w:val="left"/>
        </w:tabs>
        <w:numPr>
          <w:ilvl w:val="1"/>
          <w:numId w:val="38"/>
        </w:numPr>
        <w:rPr>
          <w:rFonts w:ascii="Arial" w:cs="Arial" w:eastAsia="Arial" w:hAnsi="Arial"/>
          <w:sz w:val="16"/>
          <w:szCs w:val="16"/>
          <w:i w:val="1"/>
          <w:iCs w:val="1"/>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i w:val="1"/>
          <w:iCs w:val="1"/>
          <w:color w:val="auto"/>
        </w:rPr>
      </w:pPr>
    </w:p>
    <w:p>
      <w:pPr>
        <w:jc w:val="both"/>
        <w:ind w:left="440" w:right="80" w:firstLine="4"/>
        <w:spacing w:after="0" w:line="264" w:lineRule="auto"/>
        <w:tabs>
          <w:tab w:leader="none" w:pos="695" w:val="left"/>
        </w:tabs>
        <w:numPr>
          <w:ilvl w:val="1"/>
          <w:numId w:val="38"/>
        </w:numPr>
        <w:rPr>
          <w:rFonts w:ascii="Arial" w:cs="Arial" w:eastAsia="Arial" w:hAnsi="Arial"/>
          <w:sz w:val="18"/>
          <w:szCs w:val="18"/>
          <w:i w:val="1"/>
          <w:iCs w:val="1"/>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i w:val="1"/>
          <w:iCs w:val="1"/>
          <w:color w:val="auto"/>
        </w:rPr>
      </w:pPr>
    </w:p>
    <w:p>
      <w:pPr>
        <w:ind w:right="60" w:firstLine="4"/>
        <w:spacing w:after="0" w:line="308" w:lineRule="auto"/>
        <w:tabs>
          <w:tab w:leader="none" w:pos="180" w:val="left"/>
        </w:tabs>
        <w:numPr>
          <w:ilvl w:val="0"/>
          <w:numId w:val="38"/>
        </w:numPr>
        <w:rPr>
          <w:rFonts w:ascii="Arial" w:cs="Arial" w:eastAsia="Arial" w:hAnsi="Arial"/>
          <w:sz w:val="17"/>
          <w:szCs w:val="17"/>
          <w:i w:val="1"/>
          <w:iCs w:val="1"/>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i w:val="1"/>
          <w:iCs w:val="1"/>
          <w:color w:val="auto"/>
        </w:rPr>
      </w:pPr>
    </w:p>
    <w:p>
      <w:pPr>
        <w:ind w:left="440" w:firstLine="4"/>
        <w:spacing w:after="0" w:line="277" w:lineRule="auto"/>
        <w:tabs>
          <w:tab w:leader="none" w:pos="695" w:val="left"/>
        </w:tabs>
        <w:numPr>
          <w:ilvl w:val="1"/>
          <w:numId w:val="38"/>
        </w:numPr>
        <w:rPr>
          <w:rFonts w:ascii="Arial" w:cs="Arial" w:eastAsia="Arial" w:hAnsi="Arial"/>
          <w:sz w:val="18"/>
          <w:szCs w:val="18"/>
          <w:i w:val="1"/>
          <w:iCs w:val="1"/>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i w:val="1"/>
          <w:iCs w:val="1"/>
          <w:color w:val="auto"/>
        </w:rPr>
      </w:pPr>
    </w:p>
    <w:p>
      <w:pPr>
        <w:ind w:left="440" w:right="520" w:firstLine="4"/>
        <w:spacing w:after="0" w:line="277" w:lineRule="auto"/>
        <w:tabs>
          <w:tab w:leader="none" w:pos="695" w:val="left"/>
        </w:tabs>
        <w:numPr>
          <w:ilvl w:val="1"/>
          <w:numId w:val="38"/>
        </w:numPr>
        <w:rPr>
          <w:rFonts w:ascii="Arial" w:cs="Arial" w:eastAsia="Arial" w:hAnsi="Arial"/>
          <w:sz w:val="18"/>
          <w:szCs w:val="18"/>
          <w:i w:val="1"/>
          <w:iCs w:val="1"/>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MARC R. SCHNEEBAUM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 and Chief Financial Officer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ectPr>
          <w:pgSz w:w="11900" w:h="16838" w:orient="portrait"/>
          <w:cols w:equalWidth="0" w:num="1">
            <w:col w:w="11020"/>
          </w:cols>
          <w:pgMar w:left="440" w:top="121" w:right="439" w:bottom="1440" w:gutter="0" w:footer="0" w:header="0"/>
        </w:sectPr>
      </w:pPr>
    </w:p>
    <w:bookmarkStart w:id="99" w:name="page100"/>
    <w:bookmarkEnd w:id="99"/>
    <w:p>
      <w:pPr>
        <w:ind w:left="1010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81"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The Annual Report on Form 10-K for the fiscal year ended December 31, 2019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Dated: February 26, 2020</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A. FRIEDMAN, M.D.</w:t>
            </w:r>
          </w:p>
        </w:tc>
      </w:tr>
      <w:tr>
        <w:trPr>
          <w:trHeight w:val="195"/>
        </w:trPr>
        <w:tc>
          <w:tcPr>
            <w:tcW w:w="560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Paul A. Friedman, M.D.</w:t>
            </w:r>
          </w:p>
        </w:tc>
      </w:tr>
      <w:tr>
        <w:trPr>
          <w:trHeight w:val="216"/>
        </w:trPr>
        <w:tc>
          <w:tcPr>
            <w:tcW w:w="56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i w:val="1"/>
                <w:iCs w:val="1"/>
                <w:color w:val="auto"/>
              </w:rPr>
              <w:t>Chief Executive Officer and Chairman of the Board (Principal</w:t>
            </w:r>
          </w:p>
        </w:tc>
      </w:tr>
      <w:tr>
        <w:trPr>
          <w:trHeight w:val="230"/>
        </w:trPr>
        <w:tc>
          <w:tcPr>
            <w:tcW w:w="56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i w:val="1"/>
                <w:iCs w:val="1"/>
                <w:color w:val="auto"/>
              </w:rPr>
              <w:t>Executive Officer)</w:t>
            </w:r>
          </w:p>
        </w:tc>
      </w:tr>
      <w:tr>
        <w:trPr>
          <w:trHeight w:val="446"/>
        </w:trPr>
        <w:tc>
          <w:tcPr>
            <w:tcW w:w="5600" w:type="dxa"/>
            <w:vAlign w:val="bottom"/>
          </w:tcPr>
          <w:p>
            <w:pPr>
              <w:spacing w:after="0"/>
              <w:rPr>
                <w:sz w:val="20"/>
                <w:szCs w:val="20"/>
                <w:color w:val="auto"/>
              </w:rPr>
            </w:pPr>
            <w:r>
              <w:rPr>
                <w:rFonts w:ascii="Arial" w:cs="Arial" w:eastAsia="Arial" w:hAnsi="Arial"/>
                <w:sz w:val="18"/>
                <w:szCs w:val="18"/>
                <w:color w:val="auto"/>
              </w:rPr>
              <w:t>Dated: February 26, 2020</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R. SCHNEEBAUM</w:t>
            </w:r>
          </w:p>
        </w:tc>
      </w:tr>
      <w:tr>
        <w:trPr>
          <w:trHeight w:val="209"/>
        </w:trPr>
        <w:tc>
          <w:tcPr>
            <w:tcW w:w="56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Marc R. Schneebaum</w:t>
            </w:r>
          </w:p>
        </w:tc>
      </w:tr>
      <w:tr>
        <w:trPr>
          <w:trHeight w:val="216"/>
        </w:trPr>
        <w:tc>
          <w:tcPr>
            <w:tcW w:w="56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i w:val="1"/>
                <w:iCs w:val="1"/>
                <w:color w:val="auto"/>
              </w:rPr>
              <w:t>Senior Vice President and Chief Financial Officer (Principal</w:t>
            </w:r>
          </w:p>
        </w:tc>
      </w:tr>
      <w:tr>
        <w:trPr>
          <w:trHeight w:val="230"/>
        </w:trPr>
        <w:tc>
          <w:tcPr>
            <w:tcW w:w="56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i w:val="1"/>
                <w:iCs w:val="1"/>
                <w:color w:val="auto"/>
              </w:rPr>
              <w:t>Financial Officer)</w:t>
            </w:r>
          </w:p>
        </w:tc>
      </w:tr>
    </w:tbl>
    <w:p>
      <w:pPr>
        <w:spacing w:after="0" w:line="202"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A signed original of this written statement required by Rule 13a-14(b) of the Securities Exchange Act of 1934, as amended, and Section 1350 of Chapter 63 of Title 18 of the United States Code (18 U.S.C. Section 1350), has been provided to the Company and will be retained by the Company and furnished to the Securities and Exchange Commission or its staff upon request. These certifications accompany the Form 10-K,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040"/>
      </w:cols>
      <w:pgMar w:left="4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lt;"/>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2"/>
    </w:lvl>
  </w:abstractNum>
  <w:abstractNum w:abstractNumId="34">
    <w:nsid w:val="3804823E"/>
    <w:multiLevelType w:val="hybridMultilevel"/>
    <w:lvl w:ilvl="0">
      <w:lvlJc w:val="left"/>
      <w:lvlText w:val="%1."/>
      <w:numFmt w:val="decimal"/>
      <w:start w:val="6"/>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86" Type="http://schemas.openxmlformats.org/officeDocument/2006/relationships/hyperlink" Target="http://www.sec.gov/Archives/edgar/data/1157601/000110465916111348/a16-8380_1ex2d1.htm" TargetMode="External"/><Relationship Id="rId87" Type="http://schemas.openxmlformats.org/officeDocument/2006/relationships/hyperlink" Target="http://www.sec.gov/Archives/edgar/data/1157601/000104746917002260/a2231593zex-3_1.htm" TargetMode="External"/><Relationship Id="rId88" Type="http://schemas.openxmlformats.org/officeDocument/2006/relationships/hyperlink" Target="http://www.sec.gov/Archives/edgar/data/1157601/000110465917040552/a17-15516_1ex3d1.htm" TargetMode="External"/><Relationship Id="rId89" Type="http://schemas.openxmlformats.org/officeDocument/2006/relationships/hyperlink" Target="http://www.sec.gov/Archives/edgar/data/1157601/000110465916111348/a16-8380_1ex3d1.htm" TargetMode="External"/><Relationship Id="rId90" Type="http://schemas.openxmlformats.org/officeDocument/2006/relationships/hyperlink" Target="http://www.sec.gov/Archives/edgar/data/1157601/000110465917040552/a17-15516_1ex10d1.htm" TargetMode="External"/><Relationship Id="rId91" Type="http://schemas.openxmlformats.org/officeDocument/2006/relationships/hyperlink" Target="http://www.sec.gov/Archives/edgar/data/1157601/000110465916156989/a16-17137_1ex10d5.htm" TargetMode="External"/><Relationship Id="rId94" Type="http://schemas.openxmlformats.org/officeDocument/2006/relationships/hyperlink" Target="http://www.sec.gov/Archives/edgar/data/1157601/000119312519147788/d681903ddef14a.htm" TargetMode="External"/><Relationship Id="rId95" Type="http://schemas.openxmlformats.org/officeDocument/2006/relationships/hyperlink" Target="http://www.sec.gov/Archives/edgar/data/1157601/000104746917002260/a2231593zex-10_10.htm" TargetMode="External"/><Relationship Id="rId96" Type="http://schemas.openxmlformats.org/officeDocument/2006/relationships/hyperlink" Target="http://www.sec.gov/Archives/edgar/data/1157601/000104746917002260/a2231593zex-10_11.htm" TargetMode="External"/><Relationship Id="rId97" Type="http://schemas.openxmlformats.org/officeDocument/2006/relationships/hyperlink" Target="http://www.sec.gov/Archives/edgar/data/1157601/000104746917002260/a2231593zex-10_12.htm" TargetMode="External"/><Relationship Id="rId98" Type="http://schemas.openxmlformats.org/officeDocument/2006/relationships/hyperlink" Target="http://www.sec.gov/Archives/edgar/data/1157601/000110465916119512/a16-6596_1ex10d1.htm" TargetMode="External"/><Relationship Id="rId99" Type="http://schemas.openxmlformats.org/officeDocument/2006/relationships/hyperlink" Target="http://www.sec.gov/Archives/edgar/data/1157601/000110465914084924/a14-25615_1ex10d3.htm" TargetMode="External"/><Relationship Id="rId100" Type="http://schemas.openxmlformats.org/officeDocument/2006/relationships/hyperlink" Target="http://www.sec.gov/Archives/edgar/data/1157601/000110465914084924/a14-25615_1ex10d4.htm" TargetMode="External"/><Relationship Id="rId101" Type="http://schemas.openxmlformats.org/officeDocument/2006/relationships/hyperlink" Target="http://www.sec.gov/Archives/edgar/data/1157601/000104746915002022/a2223524zex-10_46.htm" TargetMode="External"/><Relationship Id="rId102" Type="http://schemas.openxmlformats.org/officeDocument/2006/relationships/hyperlink" Target="http://www.sec.gov/Archives/edgar/data/1157601/000110465916133914/a16-15258_1ex10d3.htm" TargetMode="External"/><Relationship Id="rId103" Type="http://schemas.openxmlformats.org/officeDocument/2006/relationships/hyperlink" Target="http://www.sec.gov/Archives/edgar/data/1157601/000110465916133914/a16-15258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2020-02-26T05:23:23Z</dcterms:created>
  <dcterms:modified xsi:type="dcterms:W3CDTF">2020-02-26T05:23:23Z</dcterms:modified>
</cp:coreProperties>
</file>