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tabs>
          <w:tab w:leader="none" w:pos="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001-33277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MADRIGAL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Delaware</w:t>
            </w:r>
          </w:p>
        </w:tc>
        <w:tc>
          <w:tcPr>
            <w:tcW w:w="4160" w:type="dxa"/>
            <w:vAlign w:val="bottom"/>
          </w:tcPr>
          <w:p>
            <w:pPr>
              <w:jc w:val="right"/>
              <w:ind w:right="790"/>
              <w:spacing w:after="0"/>
              <w:rPr>
                <w:sz w:val="20"/>
                <w:szCs w:val="20"/>
                <w:color w:val="auto"/>
              </w:rPr>
            </w:pPr>
            <w:r>
              <w:rPr>
                <w:rFonts w:ascii="Arial" w:cs="Arial" w:eastAsia="Arial" w:hAnsi="Arial"/>
                <w:sz w:val="18"/>
                <w:szCs w:val="18"/>
                <w:b w:val="1"/>
                <w:bCs w:val="1"/>
                <w:color w:val="auto"/>
              </w:rPr>
              <w:t>04-3508648</w:t>
            </w:r>
          </w:p>
        </w:tc>
      </w:tr>
      <w:tr>
        <w:trPr>
          <w:trHeight w:val="216"/>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w:t>
            </w:r>
          </w:p>
        </w:tc>
        <w:tc>
          <w:tcPr>
            <w:tcW w:w="4160" w:type="dxa"/>
            <w:vAlign w:val="bottom"/>
          </w:tcPr>
          <w:p>
            <w:pPr>
              <w:jc w:val="center"/>
              <w:ind w:left="14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400" w:type="dxa"/>
            <w:vAlign w:val="bottom"/>
          </w:tcPr>
          <w:p>
            <w:pPr>
              <w:jc w:val="center"/>
              <w:ind w:right="1430"/>
              <w:spacing w:after="0"/>
              <w:rPr>
                <w:sz w:val="20"/>
                <w:szCs w:val="20"/>
                <w:color w:val="auto"/>
              </w:rPr>
            </w:pPr>
            <w:r>
              <w:rPr>
                <w:rFonts w:ascii="Arial" w:cs="Arial" w:eastAsia="Arial" w:hAnsi="Arial"/>
                <w:sz w:val="18"/>
                <w:szCs w:val="18"/>
                <w:color w:val="auto"/>
                <w:w w:val="92"/>
              </w:rPr>
              <w:t>of incorporation or organization)</w:t>
            </w:r>
          </w:p>
        </w:tc>
        <w:tc>
          <w:tcPr>
            <w:tcW w:w="4160" w:type="dxa"/>
            <w:vAlign w:val="bottom"/>
          </w:tcPr>
          <w:p>
            <w:pPr>
              <w:spacing w:after="0"/>
              <w:rPr>
                <w:sz w:val="20"/>
                <w:szCs w:val="20"/>
                <w:color w:val="auto"/>
              </w:rPr>
            </w:pPr>
          </w:p>
        </w:tc>
      </w:tr>
      <w:tr>
        <w:trPr>
          <w:trHeight w:val="414"/>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Four Tower Bridge</w:t>
            </w:r>
          </w:p>
        </w:tc>
        <w:tc>
          <w:tcPr>
            <w:tcW w:w="4160" w:type="dxa"/>
            <w:vAlign w:val="bottom"/>
          </w:tcPr>
          <w:p>
            <w:pPr>
              <w:spacing w:after="0"/>
              <w:rPr>
                <w:sz w:val="24"/>
                <w:szCs w:val="24"/>
                <w:color w:val="auto"/>
              </w:rPr>
            </w:pPr>
          </w:p>
        </w:tc>
      </w:tr>
      <w:tr>
        <w:trPr>
          <w:trHeight w:val="216"/>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200 Barr Harbor Drive, Suite 400</w:t>
            </w:r>
          </w:p>
        </w:tc>
        <w:tc>
          <w:tcPr>
            <w:tcW w:w="4160" w:type="dxa"/>
            <w:vAlign w:val="bottom"/>
          </w:tcPr>
          <w:p>
            <w:pPr>
              <w:spacing w:after="0"/>
              <w:rPr>
                <w:sz w:val="18"/>
                <w:szCs w:val="18"/>
                <w:color w:val="auto"/>
              </w:rPr>
            </w:pPr>
          </w:p>
        </w:tc>
      </w:t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87"/>
              </w:rPr>
              <w:t>West Conshohocken, Pennsylvania</w:t>
            </w:r>
          </w:p>
        </w:tc>
        <w:tc>
          <w:tcPr>
            <w:tcW w:w="4160" w:type="dxa"/>
            <w:vAlign w:val="bottom"/>
          </w:tcPr>
          <w:p>
            <w:pPr>
              <w:jc w:val="right"/>
              <w:ind w:right="1010"/>
              <w:spacing w:after="0"/>
              <w:rPr>
                <w:sz w:val="20"/>
                <w:szCs w:val="20"/>
                <w:color w:val="auto"/>
              </w:rPr>
            </w:pPr>
            <w:r>
              <w:rPr>
                <w:rFonts w:ascii="Arial" w:cs="Arial" w:eastAsia="Arial" w:hAnsi="Arial"/>
                <w:sz w:val="18"/>
                <w:szCs w:val="18"/>
                <w:b w:val="1"/>
                <w:bCs w:val="1"/>
                <w:color w:val="auto"/>
              </w:rPr>
              <w:t>19428</w:t>
            </w:r>
          </w:p>
        </w:tc>
      </w:tr>
      <w:tr>
        <w:trPr>
          <w:trHeight w:val="230"/>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(484) 380-9263</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1720" w:type="dxa"/>
        <w:tblCellMar>
          <w:top w:w="0" w:type="dxa"/>
          <w:left w:w="0" w:type="dxa"/>
          <w:bottom w:w="0" w:type="dxa"/>
          <w:right w:w="0" w:type="dxa"/>
        </w:tblCellMar>
      </w:tblPr>
      <w:tr>
        <w:trPr>
          <w:trHeight w:val="230"/>
        </w:trPr>
        <w:tc>
          <w:tcPr>
            <w:tcW w:w="4840" w:type="dxa"/>
            <w:vAlign w:val="bottom"/>
          </w:tcPr>
          <w:p>
            <w:pPr>
              <w:jc w:val="center"/>
              <w:ind w:right="1390"/>
              <w:spacing w:after="0"/>
              <w:rPr>
                <w:sz w:val="20"/>
                <w:szCs w:val="20"/>
                <w:color w:val="auto"/>
              </w:rPr>
            </w:pPr>
            <w:r>
              <w:rPr>
                <w:rFonts w:ascii="Arial" w:cs="Arial" w:eastAsia="Arial" w:hAnsi="Arial"/>
                <w:sz w:val="18"/>
                <w:szCs w:val="18"/>
                <w:color w:val="auto"/>
                <w:w w:val="91"/>
              </w:rPr>
              <w:t>Large accelerated filer o</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2"/>
              </w:rPr>
              <w:t>Accelerated filer o</w:t>
            </w:r>
          </w:p>
        </w:tc>
      </w:tr>
      <w:tr>
        <w:trPr>
          <w:trHeight w:val="418"/>
        </w:trPr>
        <w:tc>
          <w:tcPr>
            <w:tcW w:w="4840" w:type="dxa"/>
            <w:vAlign w:val="bottom"/>
          </w:tcPr>
          <w:p>
            <w:pPr>
              <w:jc w:val="center"/>
              <w:ind w:right="1410"/>
              <w:spacing w:after="0"/>
              <w:rPr>
                <w:sz w:val="20"/>
                <w:szCs w:val="20"/>
                <w:color w:val="auto"/>
              </w:rPr>
            </w:pPr>
            <w:r>
              <w:rPr>
                <w:rFonts w:ascii="Arial" w:cs="Arial" w:eastAsia="Arial" w:hAnsi="Arial"/>
                <w:sz w:val="18"/>
                <w:szCs w:val="18"/>
                <w:color w:val="auto"/>
                <w:w w:val="91"/>
              </w:rPr>
              <w:t>Non-accelerated filer o</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Smaller reporting company x</w:t>
            </w:r>
          </w:p>
        </w:tc>
      </w:tr>
      <w:tr>
        <w:trPr>
          <w:trHeight w:val="230"/>
        </w:trPr>
        <w:tc>
          <w:tcPr>
            <w:tcW w:w="4840" w:type="dxa"/>
            <w:vAlign w:val="bottom"/>
          </w:tcPr>
          <w:p>
            <w:pPr>
              <w:jc w:val="center"/>
              <w:ind w:right="1410"/>
              <w:spacing w:after="0"/>
              <w:rPr>
                <w:sz w:val="20"/>
                <w:szCs w:val="20"/>
                <w:color w:val="auto"/>
              </w:rPr>
            </w:pPr>
            <w:r>
              <w:rPr>
                <w:rFonts w:ascii="Arial" w:cs="Arial" w:eastAsia="Arial" w:hAnsi="Arial"/>
                <w:sz w:val="18"/>
                <w:szCs w:val="18"/>
                <w:color w:val="auto"/>
                <w:w w:val="91"/>
              </w:rPr>
              <w:t>(Do not check if a smaller reporting company)</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Emerging growth company o</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3, 2017, the registrant had 12,495,705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33"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2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93"/>
              </w:rPr>
              <w:t>Description</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85"/>
        </w:trPr>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600" w:type="dxa"/>
            <w:vAlign w:val="bottom"/>
            <w:tcBorders>
              <w:top w:val="single" w:sz="8" w:color="auto"/>
            </w:tcBorders>
            <w:gridSpan w:val="9"/>
          </w:tcPr>
          <w:p>
            <w:pPr>
              <w:jc w:val="center"/>
              <w:ind w:right="1200"/>
              <w:spacing w:after="0"/>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Part I. Financial Information</w:t>
              </w:r>
            </w:hyperlink>
          </w:p>
        </w:tc>
        <w:tc>
          <w:tcPr>
            <w:tcW w:w="2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16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Condensed Financial Statements (Unaudited):</w:t>
              </w:r>
            </w:hyperlink>
          </w:p>
        </w:tc>
        <w:tc>
          <w:tcPr>
            <w:tcW w:w="80" w:type="dxa"/>
            <w:vAlign w:val="bottom"/>
          </w:tcPr>
          <w:p>
            <w:pPr>
              <w:spacing w:after="0"/>
              <w:rPr>
                <w:sz w:val="24"/>
                <w:szCs w:val="24"/>
                <w:color w:val="auto"/>
              </w:rPr>
            </w:pPr>
          </w:p>
        </w:tc>
        <w:tc>
          <w:tcPr>
            <w:tcW w:w="2240" w:type="dxa"/>
            <w:vAlign w:val="bottom"/>
            <w:tcBorders>
              <w:top w:val="single" w:sz="8" w:color="0000EE"/>
            </w:tcBorders>
            <w:gridSpan w:val="6"/>
          </w:tcPr>
          <w:p>
            <w:pPr>
              <w:spacing w:after="0"/>
              <w:rPr>
                <w:sz w:val="24"/>
                <w:szCs w:val="24"/>
                <w:color w:val="auto"/>
              </w:rPr>
            </w:pPr>
          </w:p>
        </w:tc>
        <w:tc>
          <w:tcPr>
            <w:tcW w:w="12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5"/>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as of September 30, 2017 and December 31, 2016 (Unaudited)</w:t>
              </w:r>
            </w:hyperlink>
          </w:p>
        </w:tc>
        <w:tc>
          <w:tcPr>
            <w:tcW w:w="104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40" w:type="dxa"/>
            <w:vAlign w:val="bottom"/>
            <w:gridSpan w:val="25"/>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and nine months ended September 30, 2017 and 2016</w:t>
              </w:r>
            </w:hyperlink>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2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00" w:type="dxa"/>
            <w:vAlign w:val="bottom"/>
            <w:gridSpan w:val="28"/>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Comprehensive Loss for the three and nine months ended September 30, 2017 and</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2016 (Unaudited)</w:t>
              </w:r>
            </w:hyperlink>
          </w:p>
        </w:tc>
        <w:tc>
          <w:tcPr>
            <w:tcW w:w="5640" w:type="dxa"/>
            <w:vAlign w:val="bottom"/>
            <w:tcBorders>
              <w:top w:val="single" w:sz="8" w:color="0000EE"/>
            </w:tcBorders>
            <w:gridSpan w:val="14"/>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00" w:type="dxa"/>
            <w:vAlign w:val="bottom"/>
            <w:gridSpan w:val="28"/>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Cash Flows for the nine months ended September 30, 2017 and 2016 (Unaudited)</w:t>
              </w:r>
            </w:hyperlink>
          </w:p>
        </w:tc>
        <w:tc>
          <w:tcPr>
            <w:tcW w:w="10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Notes to Condensed Consolidated Financial Statements</w:t>
              </w:r>
            </w:hyperlink>
          </w:p>
        </w:tc>
        <w:tc>
          <w:tcPr>
            <w:tcW w:w="2920" w:type="dxa"/>
            <w:vAlign w:val="bottom"/>
            <w:tcBorders>
              <w:top w:val="single" w:sz="8" w:color="0000EE"/>
            </w:tcBorders>
            <w:gridSpan w:val="6"/>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Item 2.</w:t>
              </w:r>
            </w:hyperlink>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Management’s Discussion and Analysis of Financial Condition and Results of Operations</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3.</w:t>
              </w:r>
            </w:hyperlink>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Quantitative and Qualitative Disclosures About Market Risk</w:t>
              </w:r>
            </w:hyperlink>
          </w:p>
        </w:tc>
        <w:tc>
          <w:tcPr>
            <w:tcW w:w="25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700" w:type="dxa"/>
            <w:vAlign w:val="bottom"/>
            <w:gridSpan w:val="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4.</w:t>
              </w:r>
            </w:hyperlink>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20" w:type="dxa"/>
            <w:vAlign w:val="bottom"/>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Controls and Procedures</w:t>
              </w:r>
            </w:hyperlink>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7"/>
          </w:tcPr>
          <w:p>
            <w:pPr>
              <w:jc w:val="center"/>
              <w:ind w:right="1360"/>
              <w:spacing w:after="0"/>
              <w:rPr>
                <w:rFonts w:ascii="Arial" w:cs="Arial" w:eastAsia="Arial" w:hAnsi="Arial"/>
                <w:sz w:val="18"/>
                <w:szCs w:val="18"/>
                <w:b w:val="1"/>
                <w:bCs w:val="1"/>
                <w:color w:val="0000EE"/>
                <w:w w:val="97"/>
              </w:rPr>
            </w:pPr>
            <w:hyperlink w:anchor="page14">
              <w:r>
                <w:rPr>
                  <w:rFonts w:ascii="Arial" w:cs="Arial" w:eastAsia="Arial" w:hAnsi="Arial"/>
                  <w:sz w:val="18"/>
                  <w:szCs w:val="18"/>
                  <w:b w:val="1"/>
                  <w:bCs w:val="1"/>
                  <w:color w:val="0000EE"/>
                  <w:w w:val="97"/>
                </w:rPr>
                <w:t>Part II. Other Information</w:t>
              </w:r>
            </w:hyperlink>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5"/>
            <w:vMerge w:val="restart"/>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40" w:type="dxa"/>
            <w:vAlign w:val="bottom"/>
            <w:tcBorders>
              <w:bottom w:val="single" w:sz="8" w:color="0000EE"/>
            </w:tcBorders>
            <w:gridSpan w:val="2"/>
          </w:tcPr>
          <w:p>
            <w:pPr>
              <w:spacing w:after="0" w:line="190" w:lineRule="exact"/>
              <w:rPr>
                <w:rFonts w:ascii="Arial" w:cs="Arial" w:eastAsia="Arial" w:hAnsi="Arial"/>
                <w:sz w:val="18"/>
                <w:szCs w:val="18"/>
                <w:color w:val="0000EE"/>
              </w:rPr>
            </w:pPr>
            <w:hyperlink w:anchor="page14">
              <w:r>
                <w:rPr>
                  <w:rFonts w:ascii="Arial" w:cs="Arial" w:eastAsia="Arial" w:hAnsi="Arial"/>
                  <w:sz w:val="18"/>
                  <w:szCs w:val="18"/>
                  <w:color w:val="0000EE"/>
                </w:rPr>
                <w:t>Item 1.</w:t>
              </w:r>
            </w:hyperlink>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Legal Proceedings</w:t>
              </w:r>
            </w:hyperlink>
          </w:p>
        </w:tc>
        <w:tc>
          <w:tcPr>
            <w:tcW w:w="5580" w:type="dxa"/>
            <w:vAlign w:val="bottom"/>
            <w:gridSpan w:val="12"/>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5"/>
          </w:tcPr>
          <w:p>
            <w:pPr>
              <w:jc w:val="right"/>
              <w:ind w:right="40"/>
              <w:spacing w:after="0" w:line="190"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700" w:type="dxa"/>
            <w:vAlign w:val="bottom"/>
            <w:gridSpan w:val="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1A.</w:t>
              </w:r>
            </w:hyperlink>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20" w:type="dxa"/>
            <w:vAlign w:val="bottom"/>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2.</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20" w:type="dxa"/>
            <w:vAlign w:val="bottom"/>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Unregistered Sales of Equity Securities and Use of Proceeds</w:t>
              </w:r>
            </w:hyperlink>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3.</w:t>
              </w:r>
            </w:hyperlink>
          </w:p>
        </w:tc>
        <w:tc>
          <w:tcPr>
            <w:tcW w:w="1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Defaults Upon Senior Securities</w:t>
              </w:r>
            </w:hyperlink>
          </w:p>
        </w:tc>
        <w:tc>
          <w:tcPr>
            <w:tcW w:w="258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4.</w:t>
              </w:r>
            </w:hyperlink>
          </w:p>
        </w:tc>
        <w:tc>
          <w:tcPr>
            <w:tcW w:w="1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Mine Safety Disclosures</w:t>
              </w:r>
            </w:hyperlink>
          </w:p>
        </w:tc>
        <w:tc>
          <w:tcPr>
            <w:tcW w:w="4600" w:type="dxa"/>
            <w:vAlign w:val="bottom"/>
            <w:gridSpan w:val="10"/>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5.</w:t>
              </w:r>
            </w:hyperlink>
          </w:p>
        </w:tc>
        <w:tc>
          <w:tcPr>
            <w:tcW w:w="1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5160" w:type="dxa"/>
            <w:vAlign w:val="bottom"/>
            <w:gridSpan w:val="11"/>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6.</w:t>
              </w:r>
            </w:hyperlink>
          </w:p>
        </w:tc>
        <w:tc>
          <w:tcPr>
            <w:tcW w:w="1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20" w:type="dxa"/>
            <w:vAlign w:val="bottom"/>
            <w:gridSpan w:val="1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Exhibits</w:t>
              </w:r>
            </w:hyperlink>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60" w:type="dxa"/>
            <w:vAlign w:val="bottom"/>
            <w:gridSpan w:val="1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20" w:type="dxa"/>
            <w:vAlign w:val="bottom"/>
            <w:gridSpan w:val="1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Signatures</w:t>
              </w:r>
            </w:hyperlink>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53"/>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20" w:type="dxa"/>
            <w:vAlign w:val="bottom"/>
            <w:gridSpan w:val="6"/>
          </w:tcPr>
          <w:p>
            <w:pPr>
              <w:jc w:val="center"/>
              <w:ind w:right="2460"/>
              <w:spacing w:after="0"/>
              <w:rPr>
                <w:sz w:val="20"/>
                <w:szCs w:val="20"/>
                <w:color w:val="auto"/>
              </w:rPr>
            </w:pPr>
            <w:r>
              <w:rPr>
                <w:rFonts w:ascii="Arial" w:cs="Arial" w:eastAsia="Arial" w:hAnsi="Arial"/>
                <w:sz w:val="18"/>
                <w:szCs w:val="18"/>
                <w:color w:val="auto"/>
              </w:rPr>
              <w:t>i</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gridSpan w:val="3"/>
          </w:tcPr>
          <w:p>
            <w:pPr>
              <w:spacing w:after="0"/>
              <w:rPr>
                <w:sz w:val="11"/>
                <w:szCs w:val="11"/>
                <w:color w:val="auto"/>
              </w:rPr>
            </w:pPr>
          </w:p>
        </w:tc>
        <w:tc>
          <w:tcPr>
            <w:tcW w:w="800" w:type="dxa"/>
            <w:vAlign w:val="bottom"/>
            <w:tcBorders>
              <w:bottom w:val="single" w:sz="8" w:color="808080"/>
            </w:tcBorders>
            <w:gridSpan w:val="2"/>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400" w:type="dxa"/>
            <w:vAlign w:val="bottom"/>
            <w:gridSpan w:val="2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gridSpan w:val="10"/>
          </w:tcPr>
          <w:p>
            <w:pPr>
              <w:jc w:val="center"/>
              <w:ind w:right="760"/>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0" w:type="dxa"/>
            <w:vAlign w:val="bottom"/>
            <w:gridSpan w:val="25"/>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gridSpan w:val="10"/>
          </w:tcPr>
          <w:p>
            <w:pPr>
              <w:jc w:val="center"/>
              <w:ind w:right="780"/>
              <w:spacing w:after="0"/>
              <w:rPr>
                <w:sz w:val="20"/>
                <w:szCs w:val="20"/>
                <w:color w:val="auto"/>
              </w:rPr>
            </w:pPr>
            <w:r>
              <w:rPr>
                <w:rFonts w:ascii="Arial" w:cs="Arial" w:eastAsia="Arial" w:hAnsi="Arial"/>
                <w:sz w:val="18"/>
                <w:szCs w:val="18"/>
                <w:b w:val="1"/>
                <w:bCs w:val="1"/>
                <w:color w:val="auto"/>
              </w:rPr>
              <w:t>MADRIGAL PHARMACEUTICALS, INC.</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gridSpan w:val="10"/>
          </w:tcPr>
          <w:p>
            <w:pPr>
              <w:jc w:val="center"/>
              <w:ind w:right="78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60" w:type="dxa"/>
            <w:vAlign w:val="bottom"/>
            <w:gridSpan w:val="11"/>
          </w:tcPr>
          <w:p>
            <w:pPr>
              <w:jc w:val="center"/>
              <w:ind w:right="22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7"/>
          </w:tcPr>
          <w:p>
            <w:pPr>
              <w:jc w:val="center"/>
              <w:ind w:right="196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gridSpan w:val="3"/>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w w:val="84"/>
              </w:rPr>
              <w:t>Assets</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5"/>
          </w:tcPr>
          <w:p>
            <w:pPr>
              <w:ind w:left="18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Borders>
              <w:right w:val="single" w:sz="8" w:color="CCEEFF"/>
            </w:tcBorders>
            <w:shd w:val="clear" w:color="auto" w:fill="CCEEFF"/>
          </w:tcPr>
          <w:p>
            <w:pPr>
              <w:spacing w:after="0"/>
              <w:rPr>
                <w:sz w:val="18"/>
                <w:szCs w:val="18"/>
                <w:color w:val="auto"/>
              </w:rPr>
            </w:pPr>
          </w:p>
        </w:tc>
        <w:tc>
          <w:tcPr>
            <w:tcW w:w="786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19,145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60" w:type="dxa"/>
            <w:vAlign w:val="bottom"/>
            <w:gridSpan w:val="24"/>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49,177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8"/>
                <w:szCs w:val="18"/>
                <w:color w:val="auto"/>
              </w:rPr>
              <w:t>21,355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Borders>
              <w:right w:val="single" w:sz="8" w:color="CCEEFF"/>
            </w:tcBorders>
            <w:shd w:val="clear" w:color="auto" w:fill="CCEEFF"/>
          </w:tcPr>
          <w:p>
            <w:pPr>
              <w:spacing w:after="0"/>
              <w:rPr>
                <w:sz w:val="18"/>
                <w:szCs w:val="18"/>
                <w:color w:val="auto"/>
              </w:rPr>
            </w:pPr>
          </w:p>
        </w:tc>
        <w:tc>
          <w:tcPr>
            <w:tcW w:w="786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700" w:type="dxa"/>
            <w:vAlign w:val="bottom"/>
            <w:gridSpan w:val="22"/>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62,720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8"/>
                <w:szCs w:val="18"/>
                <w:color w:val="auto"/>
              </w:rPr>
              <w:t>41,207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Borders>
              <w:right w:val="single" w:sz="8" w:color="CCEEFF"/>
            </w:tcBorders>
            <w:shd w:val="clear" w:color="auto" w:fill="CCEEFF"/>
          </w:tcPr>
          <w:p>
            <w:pPr>
              <w:spacing w:after="0"/>
              <w:rPr>
                <w:sz w:val="18"/>
                <w:szCs w:val="18"/>
                <w:color w:val="auto"/>
              </w:rPr>
            </w:pPr>
          </w:p>
        </w:tc>
        <w:tc>
          <w:tcPr>
            <w:tcW w:w="786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7700" w:type="dxa"/>
            <w:vAlign w:val="bottom"/>
            <w:tcBorders>
              <w:bottom w:val="single" w:sz="8" w:color="CCEEFF"/>
            </w:tcBorders>
            <w:gridSpan w:val="22"/>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62,831</w:t>
            </w: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8"/>
                <w:szCs w:val="18"/>
                <w:color w:val="auto"/>
              </w:rPr>
              <w:t>41,210</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8400" w:type="dxa"/>
            <w:vAlign w:val="bottom"/>
            <w:gridSpan w:val="25"/>
            <w:shd w:val="clear" w:color="auto" w:fill="CCEEFF"/>
          </w:tcPr>
          <w:p>
            <w:pPr>
              <w:ind w:left="180"/>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00" w:type="dxa"/>
            <w:vAlign w:val="bottom"/>
            <w:gridSpan w:val="25"/>
          </w:tcPr>
          <w:p>
            <w:pPr>
              <w:ind w:left="18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Borders>
              <w:right w:val="single" w:sz="8" w:color="CCEEFF"/>
            </w:tcBorders>
            <w:shd w:val="clear" w:color="auto" w:fill="CCEEFF"/>
          </w:tcPr>
          <w:p>
            <w:pPr>
              <w:spacing w:after="0"/>
              <w:rPr>
                <w:sz w:val="18"/>
                <w:szCs w:val="18"/>
                <w:color w:val="auto"/>
              </w:rPr>
            </w:pPr>
          </w:p>
        </w:tc>
        <w:tc>
          <w:tcPr>
            <w:tcW w:w="786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Borders>
              <w:bottom w:val="single" w:sz="8" w:color="CCEEFF"/>
            </w:tcBorders>
          </w:tcPr>
          <w:p>
            <w:pPr>
              <w:spacing w:after="0"/>
              <w:rPr>
                <w:sz w:val="18"/>
                <w:szCs w:val="18"/>
                <w:color w:val="auto"/>
              </w:rPr>
            </w:pPr>
          </w:p>
        </w:tc>
        <w:tc>
          <w:tcPr>
            <w:tcW w:w="7860" w:type="dxa"/>
            <w:vAlign w:val="bottom"/>
            <w:tcBorders>
              <w:bottom w:val="single" w:sz="8" w:color="CCEEFF"/>
            </w:tcBorders>
            <w:gridSpan w:val="24"/>
          </w:tcPr>
          <w:p>
            <w:pPr>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7,123</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8"/>
                <w:szCs w:val="18"/>
                <w:color w:val="auto"/>
              </w:rPr>
              <w:t>4,038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700" w:type="dxa"/>
            <w:vAlign w:val="bottom"/>
            <w:gridSpan w:val="2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8,523</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700" w:type="dxa"/>
            <w:vAlign w:val="bottom"/>
            <w:tcBorders>
              <w:bottom w:val="single" w:sz="8" w:color="CCEEFF"/>
            </w:tcBorders>
            <w:gridSpan w:val="22"/>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8,523</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0" w:type="dxa"/>
            <w:vAlign w:val="bottom"/>
            <w:gridSpan w:val="25"/>
            <w:shd w:val="clear" w:color="auto" w:fill="CCEEFF"/>
          </w:tcPr>
          <w:p>
            <w:pPr>
              <w:ind w:left="180"/>
              <w:spacing w:after="0" w:line="196" w:lineRule="exact"/>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7860" w:type="dxa"/>
            <w:vAlign w:val="bottom"/>
            <w:gridSpan w:val="24"/>
          </w:tcPr>
          <w:p>
            <w:pPr>
              <w:ind w:left="20"/>
              <w:spacing w:after="0" w:line="201" w:lineRule="exact"/>
              <w:rPr>
                <w:sz w:val="20"/>
                <w:szCs w:val="20"/>
                <w:color w:val="auto"/>
              </w:rPr>
            </w:pPr>
            <w:r>
              <w:rPr>
                <w:rFonts w:ascii="Arial" w:cs="Arial" w:eastAsia="Arial" w:hAnsi="Arial"/>
                <w:sz w:val="18"/>
                <w:szCs w:val="18"/>
                <w:color w:val="auto"/>
                <w:w w:val="95"/>
              </w:rPr>
              <w:t>Preferred stock, par value $0.0001 per share authorized: 5,000,000 shares at September 30, 2017 and</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60" w:type="dxa"/>
            <w:vAlign w:val="bottom"/>
            <w:gridSpan w:val="24"/>
          </w:tcPr>
          <w:p>
            <w:pPr>
              <w:ind w:left="20"/>
              <w:spacing w:after="0"/>
              <w:rPr>
                <w:sz w:val="20"/>
                <w:szCs w:val="20"/>
                <w:color w:val="auto"/>
              </w:rPr>
            </w:pPr>
            <w:r>
              <w:rPr>
                <w:rFonts w:ascii="Arial" w:cs="Arial" w:eastAsia="Arial" w:hAnsi="Arial"/>
                <w:sz w:val="18"/>
                <w:szCs w:val="18"/>
                <w:color w:val="auto"/>
              </w:rPr>
              <w:t>December 31, 2016; 1,969,797 and no shares issued and outstanding at September 30, 2017 and</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60" w:type="dxa"/>
            <w:vAlign w:val="bottom"/>
            <w:gridSpan w:val="24"/>
          </w:tcPr>
          <w:p>
            <w:pPr>
              <w:ind w:left="20"/>
              <w:spacing w:after="0"/>
              <w:rPr>
                <w:sz w:val="20"/>
                <w:szCs w:val="20"/>
                <w:color w:val="auto"/>
              </w:rPr>
            </w:pPr>
            <w:r>
              <w:rPr>
                <w:rFonts w:ascii="Arial" w:cs="Arial" w:eastAsia="Arial" w:hAnsi="Arial"/>
                <w:sz w:val="18"/>
                <w:szCs w:val="18"/>
                <w:color w:val="auto"/>
              </w:rPr>
              <w:t>December 31, 2016, respectively</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0" w:type="dxa"/>
            <w:vAlign w:val="bottom"/>
            <w:tcBorders>
              <w:right w:val="single" w:sz="8" w:color="CCEEFF"/>
            </w:tcBorders>
            <w:shd w:val="clear" w:color="auto" w:fill="CCEEFF"/>
          </w:tcPr>
          <w:p>
            <w:pPr>
              <w:spacing w:after="0"/>
              <w:rPr>
                <w:sz w:val="17"/>
                <w:szCs w:val="17"/>
                <w:color w:val="auto"/>
              </w:rPr>
            </w:pPr>
          </w:p>
        </w:tc>
        <w:tc>
          <w:tcPr>
            <w:tcW w:w="7860" w:type="dxa"/>
            <w:vAlign w:val="bottom"/>
            <w:gridSpan w:val="24"/>
            <w:shd w:val="clear" w:color="auto" w:fill="CCEEFF"/>
          </w:tcPr>
          <w:p>
            <w:pPr>
              <w:ind w:left="20"/>
              <w:spacing w:after="0" w:line="201" w:lineRule="exact"/>
              <w:rPr>
                <w:sz w:val="20"/>
                <w:szCs w:val="20"/>
                <w:color w:val="auto"/>
              </w:rPr>
            </w:pPr>
            <w:r>
              <w:rPr>
                <w:rFonts w:ascii="Arial" w:cs="Arial" w:eastAsia="Arial" w:hAnsi="Arial"/>
                <w:sz w:val="18"/>
                <w:szCs w:val="18"/>
                <w:color w:val="auto"/>
              </w:rPr>
              <w:t>Common stock, par value $0.0001 per share authorized: 200,000,000 at September 30, 2017 and</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right w:val="single" w:sz="8" w:color="CCEEFF"/>
            </w:tcBorders>
            <w:shd w:val="clear" w:color="auto" w:fill="CCEEFF"/>
          </w:tcPr>
          <w:p>
            <w:pPr>
              <w:spacing w:after="0"/>
              <w:rPr>
                <w:sz w:val="18"/>
                <w:szCs w:val="18"/>
                <w:color w:val="auto"/>
              </w:rPr>
            </w:pPr>
          </w:p>
        </w:tc>
        <w:tc>
          <w:tcPr>
            <w:tcW w:w="7860" w:type="dxa"/>
            <w:vAlign w:val="bottom"/>
            <w:gridSpan w:val="24"/>
            <w:shd w:val="clear" w:color="auto" w:fill="CCEEFF"/>
          </w:tcPr>
          <w:p>
            <w:pPr>
              <w:ind w:left="20"/>
              <w:spacing w:after="0"/>
              <w:rPr>
                <w:sz w:val="20"/>
                <w:szCs w:val="20"/>
                <w:color w:val="auto"/>
              </w:rPr>
            </w:pPr>
            <w:r>
              <w:rPr>
                <w:rFonts w:ascii="Arial" w:cs="Arial" w:eastAsia="Arial" w:hAnsi="Arial"/>
                <w:sz w:val="18"/>
                <w:szCs w:val="18"/>
                <w:color w:val="auto"/>
              </w:rPr>
              <w:t>December 31, 2016, respectively; 12,495,705 and 11,951,866 shares issued and outstanding at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Borders>
              <w:right w:val="single" w:sz="8" w:color="CCEEFF"/>
            </w:tcBorders>
            <w:shd w:val="clear" w:color="auto" w:fill="CCEEFF"/>
          </w:tcPr>
          <w:p>
            <w:pPr>
              <w:spacing w:after="0"/>
              <w:rPr>
                <w:sz w:val="20"/>
                <w:szCs w:val="20"/>
                <w:color w:val="auto"/>
              </w:rPr>
            </w:pPr>
          </w:p>
        </w:tc>
        <w:tc>
          <w:tcPr>
            <w:tcW w:w="7860" w:type="dxa"/>
            <w:vAlign w:val="bottom"/>
            <w:gridSpan w:val="24"/>
            <w:shd w:val="clear" w:color="auto" w:fill="CCEEFF"/>
          </w:tcPr>
          <w:p>
            <w:pPr>
              <w:ind w:left="20"/>
              <w:spacing w:after="0"/>
              <w:rPr>
                <w:sz w:val="20"/>
                <w:szCs w:val="20"/>
                <w:color w:val="auto"/>
              </w:rPr>
            </w:pPr>
            <w:r>
              <w:rPr>
                <w:rFonts w:ascii="Arial" w:cs="Arial" w:eastAsia="Arial" w:hAnsi="Arial"/>
                <w:sz w:val="18"/>
                <w:szCs w:val="18"/>
                <w:color w:val="auto"/>
              </w:rPr>
              <w:t>September 30, 2017 and December 31, 2016, respectively</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gridSpan w:val="25"/>
          </w:tcPr>
          <w:p>
            <w:pPr>
              <w:ind w:left="48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152,276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8"/>
                <w:szCs w:val="18"/>
                <w:color w:val="auto"/>
              </w:rPr>
              <w:t>111,691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Borders>
              <w:right w:val="single" w:sz="8" w:color="CCEEFF"/>
            </w:tcBorders>
            <w:shd w:val="clear" w:color="auto" w:fill="CCEEFF"/>
          </w:tcPr>
          <w:p>
            <w:pPr>
              <w:spacing w:after="0"/>
              <w:rPr>
                <w:sz w:val="18"/>
                <w:szCs w:val="18"/>
                <w:color w:val="auto"/>
              </w:rPr>
            </w:pPr>
          </w:p>
        </w:tc>
        <w:tc>
          <w:tcPr>
            <w:tcW w:w="786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Borders>
              <w:bottom w:val="single" w:sz="8" w:color="CCEEFF"/>
            </w:tcBorders>
          </w:tcPr>
          <w:p>
            <w:pPr>
              <w:spacing w:after="0"/>
              <w:rPr>
                <w:sz w:val="18"/>
                <w:szCs w:val="18"/>
                <w:color w:val="auto"/>
              </w:rPr>
            </w:pPr>
          </w:p>
        </w:tc>
        <w:tc>
          <w:tcPr>
            <w:tcW w:w="7860" w:type="dxa"/>
            <w:vAlign w:val="bottom"/>
            <w:tcBorders>
              <w:bottom w:val="single" w:sz="8" w:color="CCEEFF"/>
            </w:tcBorders>
            <w:gridSpan w:val="24"/>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(98,016)</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8"/>
                <w:szCs w:val="18"/>
                <w:color w:val="auto"/>
              </w:rPr>
              <w:t>(75,307)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700" w:type="dxa"/>
            <w:vAlign w:val="bottom"/>
            <w:gridSpan w:val="2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54,308</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36,410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700" w:type="dxa"/>
            <w:vAlign w:val="bottom"/>
            <w:gridSpan w:val="2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62,831</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8"/>
                <w:szCs w:val="18"/>
                <w:color w:val="auto"/>
              </w:rPr>
              <w:t>41,210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-5601335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-5601335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60"/>
          </w:cols>
          <w:pgMar w:left="240" w:top="121" w:right="19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60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6,682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7,806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17,878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10,410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1,955</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6,285</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5,273</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8,637</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14,091</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23,151</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17,468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(8,637)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(14,091)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(23,151)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(8,363)</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(14,049)</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(22,709)</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(18,639)</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ind w:left="180"/>
              <w:spacing w:after="0"/>
              <w:rPr>
                <w:sz w:val="20"/>
                <w:szCs w:val="20"/>
                <w:color w:val="auto"/>
              </w:rPr>
            </w:pPr>
            <w:r>
              <w:rPr>
                <w:rFonts w:ascii="Arial" w:cs="Arial" w:eastAsia="Arial" w:hAnsi="Arial"/>
                <w:sz w:val="18"/>
                <w:szCs w:val="18"/>
                <w:color w:val="auto"/>
              </w:rPr>
              <w:t>Net loss per common share:</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loss per common share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(0.68)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60" w:type="dxa"/>
            <w:vAlign w:val="bottom"/>
          </w:tcPr>
          <w:p>
            <w:pPr>
              <w:ind w:left="180"/>
              <w:spacing w:after="0" w:line="201" w:lineRule="exact"/>
              <w:rPr>
                <w:sz w:val="20"/>
                <w:szCs w:val="20"/>
                <w:color w:val="auto"/>
              </w:rPr>
            </w:pPr>
            <w:r>
              <w:rPr>
                <w:rFonts w:ascii="Arial" w:cs="Arial" w:eastAsia="Arial" w:hAnsi="Arial"/>
                <w:sz w:val="18"/>
                <w:szCs w:val="18"/>
                <w:color w:val="auto"/>
              </w:rPr>
              <w:t>Basic and diluted weighted average number of common shares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w w:val="95"/>
              </w:rPr>
              <w:t>12,378,622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8,847,155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w w:val="95"/>
              </w:rPr>
              <w:t>12,126,004</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3,087,588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(8,363)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(14,049)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(22,709)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(18,639)</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securities</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0"/>
        </w:trPr>
        <w:tc>
          <w:tcPr>
            <w:tcW w:w="5000" w:type="dxa"/>
            <w:vAlign w:val="bottom"/>
          </w:tcPr>
          <w:p>
            <w:pPr>
              <w:ind w:left="540"/>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(8,352)</w:t>
            </w:r>
          </w:p>
        </w:tc>
        <w:tc>
          <w:tcPr>
            <w:tcW w:w="300" w:type="dxa"/>
            <w:vAlign w:val="bottom"/>
          </w:tcPr>
          <w:p>
            <w:pPr>
              <w:spacing w:after="0"/>
              <w:rPr>
                <w:sz w:val="18"/>
                <w:szCs w:val="18"/>
                <w:color w:val="auto"/>
              </w:rPr>
            </w:pPr>
          </w:p>
        </w:tc>
        <w:tc>
          <w:tcPr>
            <w:tcW w:w="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(14,061)</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(22,687)</w:t>
            </w:r>
          </w:p>
        </w:tc>
        <w:tc>
          <w:tcPr>
            <w:tcW w:w="280" w:type="dxa"/>
            <w:vAlign w:val="bottom"/>
          </w:tcPr>
          <w:p>
            <w:pPr>
              <w:spacing w:after="0"/>
              <w:rPr>
                <w:sz w:val="18"/>
                <w:szCs w:val="18"/>
                <w:color w:val="auto"/>
              </w:rPr>
            </w:pP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(18,651)</w:t>
            </w:r>
          </w:p>
        </w:tc>
        <w:tc>
          <w:tcPr>
            <w:tcW w:w="10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Nine Months Ended</w:t>
      </w:r>
    </w:p>
    <w:p>
      <w:pPr>
        <w:jc w:val="center"/>
        <w:ind w:left="80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4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8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(22,709)</w:t>
            </w:r>
          </w:p>
        </w:tc>
        <w:tc>
          <w:tcPr>
            <w:tcW w:w="280" w:type="dxa"/>
            <w:vAlign w:val="bottom"/>
          </w:tcPr>
          <w:p>
            <w:pPr>
              <w:spacing w:after="0"/>
              <w:rPr>
                <w:sz w:val="18"/>
                <w:szCs w:val="18"/>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(18,639)</w:t>
            </w:r>
          </w:p>
        </w:tc>
        <w:tc>
          <w:tcPr>
            <w:tcW w:w="160" w:type="dxa"/>
            <w:vAlign w:val="bottom"/>
          </w:tcPr>
          <w:p>
            <w:pPr>
              <w:spacing w:after="0"/>
              <w:rPr>
                <w:sz w:val="18"/>
                <w:szCs w:val="18"/>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240" w:type="dxa"/>
            <w:vAlign w:val="bottom"/>
          </w:tcPr>
          <w:p>
            <w:pPr>
              <w:ind w:left="540"/>
              <w:spacing w:after="0"/>
              <w:rPr>
                <w:sz w:val="20"/>
                <w:szCs w:val="20"/>
                <w:color w:val="auto"/>
              </w:rPr>
            </w:pPr>
            <w:r>
              <w:rPr>
                <w:rFonts w:ascii="Arial" w:cs="Arial" w:eastAsia="Arial" w:hAnsi="Arial"/>
                <w:sz w:val="18"/>
                <w:szCs w:val="18"/>
                <w:color w:val="auto"/>
              </w:rPr>
              <w:t>PIK interest expense on convertible promissory notes payable — related parties</w:t>
            </w:r>
          </w:p>
        </w:tc>
        <w:tc>
          <w:tcPr>
            <w:tcW w:w="38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1,207</w:t>
            </w:r>
          </w:p>
        </w:tc>
        <w:tc>
          <w:tcPr>
            <w:tcW w:w="160" w:type="dxa"/>
            <w:vAlign w:val="bottom"/>
          </w:tcPr>
          <w:p>
            <w:pPr>
              <w:spacing w:after="0"/>
              <w:rPr>
                <w:sz w:val="18"/>
                <w:szCs w:val="18"/>
                <w:color w:val="auto"/>
              </w:rPr>
            </w:pPr>
          </w:p>
        </w:tc>
      </w:tr>
      <w:tr>
        <w:trPr>
          <w:trHeight w:val="216"/>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2,307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8,103</w:t>
            </w:r>
          </w:p>
        </w:tc>
        <w:tc>
          <w:tcPr>
            <w:tcW w:w="160" w:type="dxa"/>
            <w:vAlign w:val="bottom"/>
            <w:shd w:val="clear" w:color="auto" w:fill="CCEEFF"/>
          </w:tcPr>
          <w:p>
            <w:pPr>
              <w:spacing w:after="0"/>
              <w:rPr>
                <w:sz w:val="18"/>
                <w:szCs w:val="18"/>
                <w:color w:val="auto"/>
              </w:rPr>
            </w:pPr>
          </w:p>
        </w:tc>
      </w:tr>
      <w:tr>
        <w:trPr>
          <w:trHeight w:val="216"/>
        </w:trPr>
        <w:tc>
          <w:tcPr>
            <w:tcW w:w="8240" w:type="dxa"/>
            <w:vAlign w:val="bottom"/>
          </w:tcPr>
          <w:p>
            <w:pPr>
              <w:ind w:left="54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240" w:type="dxa"/>
            <w:vAlign w:val="bottom"/>
          </w:tcPr>
          <w:p>
            <w:pPr>
              <w:ind w:left="720"/>
              <w:spacing w:after="0"/>
              <w:rPr>
                <w:sz w:val="20"/>
                <w:szCs w:val="20"/>
                <w:color w:val="auto"/>
              </w:rPr>
            </w:pPr>
            <w:r>
              <w:rPr>
                <w:rFonts w:ascii="Arial" w:cs="Arial" w:eastAsia="Arial" w:hAnsi="Arial"/>
                <w:sz w:val="18"/>
                <w:szCs w:val="18"/>
                <w:color w:val="auto"/>
              </w:rPr>
              <w:t>Accounts receivable - related parties</w:t>
            </w:r>
          </w:p>
        </w:tc>
        <w:tc>
          <w:tcPr>
            <w:tcW w:w="38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r>
      <w:tr>
        <w:trPr>
          <w:trHeight w:val="216"/>
        </w:trPr>
        <w:tc>
          <w:tcPr>
            <w:tcW w:w="82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638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3,085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(3,564)</w:t>
            </w:r>
          </w:p>
        </w:tc>
        <w:tc>
          <w:tcPr>
            <w:tcW w:w="16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Accrued interest — related party</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(16,372)</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40" w:type="dxa"/>
            <w:vAlign w:val="bottom"/>
          </w:tcPr>
          <w:p>
            <w:pPr>
              <w:ind w:left="180"/>
              <w:spacing w:after="0" w:line="196" w:lineRule="exact"/>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Cash received from merger transaction</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540"/>
              <w:spacing w:after="0"/>
              <w:rPr>
                <w:sz w:val="20"/>
                <w:szCs w:val="20"/>
                <w:color w:val="auto"/>
              </w:rPr>
            </w:pPr>
            <w:r>
              <w:rPr>
                <w:rFonts w:ascii="Arial" w:cs="Arial" w:eastAsia="Arial" w:hAnsi="Arial"/>
                <w:sz w:val="18"/>
                <w:szCs w:val="18"/>
                <w:color w:val="auto"/>
              </w:rPr>
              <w:t>Purchases of marketable securities</w:t>
            </w:r>
          </w:p>
        </w:tc>
        <w:tc>
          <w:tcPr>
            <w:tcW w:w="4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(34,910)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Sales and maturities of marketable securities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6,944</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540"/>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proceeds from the sale of property, equipment and other assets</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tcPr>
          <w:p>
            <w:pPr>
              <w:ind w:left="1240"/>
              <w:spacing w:after="0"/>
              <w:rPr>
                <w:sz w:val="20"/>
                <w:szCs w:val="20"/>
                <w:color w:val="auto"/>
              </w:rPr>
            </w:pPr>
            <w:r>
              <w:rPr>
                <w:rFonts w:ascii="Arial" w:cs="Arial" w:eastAsia="Arial" w:hAnsi="Arial"/>
                <w:sz w:val="18"/>
                <w:szCs w:val="18"/>
                <w:color w:val="auto"/>
              </w:rPr>
              <w:t>Net cash provided (used) in investing activities</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(28,091)</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11,915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540"/>
              <w:spacing w:after="0"/>
              <w:rPr>
                <w:sz w:val="20"/>
                <w:szCs w:val="20"/>
                <w:color w:val="auto"/>
              </w:rPr>
            </w:pPr>
            <w:r>
              <w:rPr>
                <w:rFonts w:ascii="Arial" w:cs="Arial" w:eastAsia="Arial" w:hAnsi="Arial"/>
                <w:sz w:val="18"/>
                <w:szCs w:val="18"/>
                <w:color w:val="auto"/>
              </w:rPr>
              <w:t>Proceeds from issuance of common stock, net of transaction costs</w:t>
            </w:r>
          </w:p>
        </w:tc>
        <w:tc>
          <w:tcPr>
            <w:tcW w:w="4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38,278</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Proceeds from convertible notes — related parties</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tcPr>
          <w:p>
            <w:pPr>
              <w:ind w:left="124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38,278</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(6,185)</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19,145</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12,960</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8,393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180"/>
              <w:spacing w:after="0"/>
              <w:rPr>
                <w:sz w:val="20"/>
                <w:szCs w:val="20"/>
                <w:color w:val="auto"/>
              </w:rPr>
            </w:pPr>
            <w:r>
              <w:rPr>
                <w:rFonts w:ascii="Arial" w:cs="Arial" w:eastAsia="Arial" w:hAnsi="Arial"/>
                <w:sz w:val="18"/>
                <w:szCs w:val="18"/>
                <w:color w:val="auto"/>
              </w:rPr>
              <w:t>Supplemental disclosure of cash flow information:</w:t>
            </w: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Exchange of related party advances payable for convertible notes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540"/>
              <w:spacing w:after="0"/>
              <w:rPr>
                <w:sz w:val="20"/>
                <w:szCs w:val="20"/>
                <w:color w:val="auto"/>
              </w:rPr>
            </w:pPr>
            <w:r>
              <w:rPr>
                <w:rFonts w:ascii="Arial" w:cs="Arial" w:eastAsia="Arial" w:hAnsi="Arial"/>
                <w:sz w:val="18"/>
                <w:szCs w:val="18"/>
                <w:color w:val="auto"/>
              </w:rPr>
              <w:t>Related party debt restructuring</w:t>
            </w:r>
          </w:p>
        </w:tc>
        <w:tc>
          <w:tcPr>
            <w:tcW w:w="4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13,680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6900" w:firstLine="8"/>
        <w:spacing w:after="0" w:line="503" w:lineRule="auto"/>
        <w:tabs>
          <w:tab w:leader="none" w:pos="76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Madrigal Pharmaceuticals, Inc. (the “Company” or “Madrigal”) is a clinical-stage pharmaceutical company developing novel, high-quality, small-molecule drugs addressing major unmet needs in cardiovascular and metabolic diseases. The Company’s lead compound, MGL-3196, is being advanced for non-alcoholic steatohepatitis (“NASH”), a liver disease that commonly affects people with metabolic diseases such as obesity and diabetes, and indications in dyslipidemia, particularly genetic dyslipidemias such as familial hypercholesterolemia (“FH”), including both homozygous and heterozygous forms of the disease. The Company initiated a Phase 2 study of MGL-3196 in NASH in October 2016. In February 2017, the Company initiated a Phase 2 study of MGL-3196 in patients with Heterozygous Familial Hypercholesterolemia (“HeFH”). Both Phase 2 studies are fully enrolled.</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Madrigal was originally incorporated as a private company (“Private Madrigal”) on August 19, 2011 and commenced operations in September 2011. On July 22, 2016, Private Madrigal completed a reverse merger (the “Merger”) into Synta Pharmaceuticals Corp. (“Synta”) (see Note 3). Upon the consummation of the Merger, the historical financial statements of Private Madrigal became the Company’s historical financial statements. Accordingly, the historical financial statements of Private Madrigal are included in the comparative prior periods. The Company, or Madrigal, as used in the accompanying notes to the unaudited condensed consolidated financial statements, refers to Private Madrigal prior to the completion of the Merger and Public Madrigal subsequent to the completion of the Merger.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ended December 31, 2017 or any subsequent period. These unaudited condensed financial statements should be read in conjunction with the audited consolidated financial statements and the notes to those statements for the year ended December 31, 2016.</w:t>
      </w:r>
    </w:p>
    <w:p>
      <w:pPr>
        <w:spacing w:after="0" w:line="188" w:lineRule="exact"/>
        <w:rPr>
          <w:sz w:val="20"/>
          <w:szCs w:val="20"/>
          <w:color w:val="auto"/>
        </w:rPr>
      </w:pPr>
    </w:p>
    <w:p>
      <w:pPr>
        <w:ind w:right="7260" w:firstLine="8"/>
        <w:spacing w:after="0" w:line="503" w:lineRule="auto"/>
        <w:tabs>
          <w:tab w:leader="none" w:pos="76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disclosure of contingent assets and liabilities at the date of the financial statements,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ectPr>
          <w:pgSz w:w="11900" w:h="16838" w:orient="portrait"/>
          <w:cols w:equalWidth="0" w:num="1">
            <w:col w:w="11420"/>
          </w:cols>
          <w:pgMar w:left="240" w:top="125" w:right="239" w:bottom="0" w:gutter="0" w:footer="0" w:header="0"/>
        </w:sectPr>
      </w:pPr>
    </w:p>
    <w:bookmarkStart w:id="4" w:name="page5"/>
    <w:bookmarkEnd w:id="4"/>
    <w:p>
      <w:pPr>
        <w:ind w:right="120"/>
        <w:spacing w:after="0" w:line="259"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short-term commercial paper and corporate bonds, which management believes are subject to minimal credit and market risk.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other-than-temporary on available-for-sale securities are reported as a component of interest income, net.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three and nine months ended September 30, 2017 and 2016, the Company determined it did not have any securities that were other-than-temporarily impaired.</w:t>
      </w:r>
    </w:p>
    <w:p>
      <w:pPr>
        <w:spacing w:after="0" w:line="18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three and nine months ended September 30, 2017 and 2016, the Company did not have any realized gains or losses on marketable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 As of September 30, 2017, the Company’s financial assets valued based on Level 1 inputs consisted of cash and cash equivalents in a money market fund and its financial assets valued based on Level 2 inputs consisted of high-grade corporate bonds and commercial paper. During the three and nine months ended September 30, 2017 and 2016, the Company did not have any transfers of financial assets between Levels 1 and 2. As of September 30, 2017, the Company did not have any financial liabilities that were recorded at fair value on a recurring basis on the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and other costs associated with the Company’s preclinical and clinical programs. In particular, the Company has conducted safety studies in animals, optimized and implemented the API manufacturing, and conducted Phase 1 &amp; 2 clinical trials, all of which are considered research and development expenditures.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w:t>
      </w:r>
    </w:p>
    <w:p>
      <w:pPr>
        <w:sectPr>
          <w:pgSz w:w="11900" w:h="16838" w:orient="portrait"/>
          <w:cols w:equalWidth="0" w:num="1">
            <w:col w:w="11420"/>
          </w:cols>
          <w:pgMar w:left="240" w:top="125" w:right="239" w:bottom="0" w:gutter="0" w:footer="0" w:header="0"/>
        </w:sectPr>
      </w:pPr>
    </w:p>
    <w:bookmarkStart w:id="5" w:name="page6"/>
    <w:bookmarkEnd w:id="5"/>
    <w:p>
      <w:pPr>
        <w:ind w:right="80"/>
        <w:spacing w:after="0" w:line="293" w:lineRule="auto"/>
        <w:rPr>
          <w:sz w:val="20"/>
          <w:szCs w:val="20"/>
          <w:color w:val="auto"/>
        </w:rPr>
      </w:pPr>
      <w:r>
        <w:rPr>
          <w:rFonts w:ascii="Arial" w:cs="Arial" w:eastAsia="Arial" w:hAnsi="Arial"/>
          <w:sz w:val="16"/>
          <w:szCs w:val="16"/>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three and nine months ended September 30, 2017 and 2016, diluted net loss per share is the same as basic net loss per share as the inclusion of weighted average shares of unvested restricted common stock and common stock issuable upon the exercise of stock options would be anti-dilutive.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6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1840" w:type="dxa"/>
            <w:vAlign w:val="bottom"/>
          </w:tcPr>
          <w:p>
            <w:pPr>
              <w:spacing w:after="0"/>
              <w:rPr>
                <w:sz w:val="12"/>
                <w:szCs w:val="12"/>
                <w:color w:val="auto"/>
              </w:rPr>
            </w:pPr>
          </w:p>
        </w:tc>
      </w:tr>
      <w:tr>
        <w:trPr>
          <w:trHeight w:val="210"/>
        </w:trPr>
        <w:tc>
          <w:tcPr>
            <w:tcW w:w="130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7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991,711</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909,977</w:t>
            </w: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3420" w:type="dxa"/>
            <w:vAlign w:val="bottom"/>
            <w:gridSpan w:val="3"/>
          </w:tcPr>
          <w:p>
            <w:pPr>
              <w:jc w:val="right"/>
              <w:ind w:right="280"/>
              <w:spacing w:after="0"/>
              <w:rPr>
                <w:sz w:val="20"/>
                <w:szCs w:val="20"/>
                <w:color w:val="auto"/>
              </w:rPr>
            </w:pPr>
            <w:r>
              <w:rPr>
                <w:rFonts w:ascii="Arial" w:cs="Arial" w:eastAsia="Arial" w:hAnsi="Arial"/>
                <w:sz w:val="18"/>
                <w:szCs w:val="18"/>
                <w:color w:val="auto"/>
              </w:rPr>
              <w:t>105,199</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158,334</w:t>
            </w: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3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1,969,797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780" w:type="dxa"/>
            <w:vAlign w:val="bottom"/>
          </w:tcPr>
          <w:p>
            <w:pPr>
              <w:jc w:val="right"/>
              <w:ind w:right="670"/>
              <w:spacing w:after="0"/>
              <w:rPr>
                <w:sz w:val="20"/>
                <w:szCs w:val="20"/>
                <w:color w:val="auto"/>
              </w:rPr>
            </w:pPr>
            <w:r>
              <w:rPr>
                <w:rFonts w:ascii="Arial" w:cs="Arial" w:eastAsia="Arial" w:hAnsi="Arial"/>
                <w:sz w:val="18"/>
                <w:szCs w:val="18"/>
                <w:color w:val="auto"/>
              </w:rPr>
              <w:t>8</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344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March 2016, the Financial Accounting Standards Board (the “FASB”) issued Accounting Standards Update (“ASU”) No. 2016-09, “Compensation—Stock Compensation (Topic 718): Improvements to Employee Share-Based Payment Accounting,” which was designed to simplify several aspects of the accounting for share-based payment transactions, including, among other things, guidance related to accounting for income taxes, modification of the criteria for classification of awards as either equity awards or liability awards where an employer withholds shares from an employee’s share-based award for tax withholding purposes, and classification on the statement of cash flows of cash payments to a tax authority by an employer that withholds shares from an employee’s award for tax withholding purposes. The amendments in this ASU are effective for annual periods beginning after December 15, 2016, and interim periods within those annual periods. The Company adopted ASU No. 2016-09 effective January 1, 2017. There was no significant impact from the adoption of ASU No. 2016-09 because the Company currently maintains a 100% valuation allowance on its deferred tax assets.</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August 2016, the FASB issued ASU No. 2016-15, “Statement of Cash Flows (Topic 230): Clarification of Certain Cash Receipts and Cash Payments.” The objective of ASU No. 2016-15 is to eliminate the diversity in practice related to the classification of certain cash receipts and payments in the statement of cash flows, by adding or clarifying guidance on eight specific cash flow issues. For public business entities, ASU 2016-15 is effective for annual and interim reporting periods beginning after December 15, 2017, with early adoption permitted. ASU 2015-16 provides that the amendments in the update should be applied retrospectively to all periods presented, unless deemed impracticable, in which case, prospective application is permitted. The Company is currently evaluating the impact this standard may have on its financial statements.</w:t>
      </w:r>
    </w:p>
    <w:p>
      <w:pPr>
        <w:spacing w:after="0" w:line="19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January 2016, the FASB issued ASU No. 2016-01, “Financial Instruments—Overall (Subtopic 825-10): Recognition and Measurement of Financial Assets and Financial Liabilities,” which amends the guidance in U.S. generally accepted accounting principles on the classification and measurement of financial instruments. Changes to the current guidance primarily affect the accounting for equity investments, financial liabilities under the fair value option, and the presentation and disclosure requirements for financial instruments. In addition, the ASU clarifies guidance related to the valuation allowance assessment when recognizing deferred tax assets resulting from unrealized losses on available-for-sale debt securities. The amendments in this ASU are effective for fiscal years and interim periods beginning after December 15, 2017, and are to be adopted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 from instrument-specific credit risk in other comprehensive income. The Company is currently evaluating the impact this standard may have on its financial statements.</w:t>
      </w:r>
    </w:p>
    <w:p>
      <w:pPr>
        <w:spacing w:after="0" w:line="178" w:lineRule="exact"/>
        <w:rPr>
          <w:sz w:val="20"/>
          <w:szCs w:val="20"/>
          <w:color w:val="auto"/>
        </w:rPr>
      </w:pPr>
    </w:p>
    <w:p>
      <w:pPr>
        <w:ind w:left="780" w:hanging="772"/>
        <w:spacing w:after="0"/>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Reverse Merger</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July 22, 2016, the Company, Synta and Saffron Merger Sub, Inc., a wholly-owned subsidiary of Synta (“Merger Sub”), completed their merger transaction pursuant to which Merger Sub merged with and into the Company with the Company becoming a wholly-owned subsidiary of Synta and the surviving corporation of the Merger. Each outstanding share of Private Madrigal common stock was converted into 0.1593 shares of common stock of the post-merger combined company. As a result, Synta issued 7.3 million shares of common stock to the stockholders of Private Madrigal in exchange for the outstanding common shares of Private Madrigal. For accounting purposes, the Company was considered to have acquired Synta in the Merger. The Company was determined to be the accounting acquirer based upon the terms of the Merger Agreement and other factors including: (i) Madrigal security holders owned approximately 64% of the voting interests of the combined company immediately following the closing of the Merger; (ii) directors appointed by Madrigal hold a majority of board seats in the combined company; and (iii) Madrigal management hold a majority of the key positions in the management of the combined company. As the accounting acquirer, the Company’s assets and liabilities continue to be recorded at their historical carrying amounts and the historical operations that are reflected in the financial statements are those of the Company.</w:t>
      </w:r>
    </w:p>
    <w:p>
      <w:pPr>
        <w:sectPr>
          <w:pgSz w:w="11900" w:h="16838" w:orient="portrait"/>
          <w:cols w:equalWidth="0" w:num="1">
            <w:col w:w="11460"/>
          </w:cols>
          <w:pgMar w:left="240" w:top="125" w:right="199" w:bottom="0" w:gutter="0" w:footer="0" w:header="0"/>
        </w:sectPr>
      </w:pPr>
    </w:p>
    <w:bookmarkStart w:id="6" w:name="page7"/>
    <w:bookmarkEnd w:id="6"/>
    <w:p>
      <w:pPr>
        <w:ind w:right="80"/>
        <w:spacing w:after="0" w:line="259" w:lineRule="auto"/>
        <w:rPr>
          <w:sz w:val="20"/>
          <w:szCs w:val="20"/>
          <w:color w:val="auto"/>
        </w:rPr>
      </w:pPr>
      <w:r>
        <w:rPr>
          <w:rFonts w:ascii="Arial" w:cs="Arial" w:eastAsia="Arial" w:hAnsi="Arial"/>
          <w:sz w:val="18"/>
          <w:szCs w:val="18"/>
          <w:color w:val="auto"/>
        </w:rPr>
        <w:t>Immediately prior to the closing of the Merger, Synta completed a one-for-35 reverse stock split. Following the reverse stock split and the Merger, the post-merger combined company had approximately 11.3 million shares outstanding and the former stockholders of the Company owned approximately 64% of the outstanding capital stock of the post-merger combined company. The impact of the recapitalization of the Company has been retroactively applied to all periods presented.</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Pursuant to the terms of the Change in Control Bonus Plan, the participants therein received 0.6 million shares of common stock of the Company from certain former stockholders of the Company in connection with the merger, which represented 7.87% of Madrigal’s common shares outstanding at the time of the merger. The Company recorded $5.4 million in stock compensation associated with the transaction (see Note 8).</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780" w:hanging="772"/>
        <w:spacing w:after="0"/>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Uncertainties</w:t>
      </w:r>
    </w:p>
    <w:p>
      <w:pPr>
        <w:spacing w:after="0" w:line="229"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7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has incurred losses since inception, including approximately $22.7 million for the nine months ended September 30, 2017, resulting in an accumulated deficit of approximately $98.0 million as of September 30, 2017. Management expects to incur losses for the foreseeable future. Subsequent to the Merger, the Company has funded its operations primarily through proceeds from sales of the Company’s common stock under the October 2015 Sales Agreement (as defined below), and the sale of the Company’s Series A Convertible Preferred Stock and common stock in a private placement offering in June 2017.</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believes that its cash, cash equivalents and marketable securities at September 30, 2017 will be sufficient to fund operations past one year from the issuance of these financial statements. To meet its future capital needs beyond our assessment period, the Company will need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also has the ability to delay certain research activities and related clinical expenses if necessary due to liquidity concerns until a date in which those concerns are relieved.</w:t>
      </w:r>
    </w:p>
    <w:p>
      <w:pPr>
        <w:spacing w:after="0" w:line="161" w:lineRule="exact"/>
        <w:rPr>
          <w:sz w:val="20"/>
          <w:szCs w:val="20"/>
          <w:color w:val="auto"/>
        </w:rPr>
      </w:pPr>
    </w:p>
    <w:p>
      <w:pPr>
        <w:ind w:left="780" w:hanging="772"/>
        <w:spacing w:after="0"/>
        <w:tabs>
          <w:tab w:leader="none" w:pos="7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Marketable Securities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summary of cash, cash equivalents and available-for-sale marketable securities held by the Company as of September 30, 2017 and December 31, 2016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ind w:right="13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value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Cash (Level 1)</w:t>
            </w:r>
          </w:p>
        </w:tc>
        <w:tc>
          <w:tcPr>
            <w:tcW w:w="8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1"/>
              </w:rPr>
              <w:t>Corporate debt securities due within 3 months of date of purchase (Level 2)</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Corporate debt securities due within 1 year of date of purchase (Level 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49,130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49,177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5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62,090</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79"/>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62,137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 w:type="dxa"/>
            <w:vAlign w:val="bottom"/>
            <w:vMerge w:val="restart"/>
          </w:tcPr>
          <w:p>
            <w:pPr>
              <w:jc w:val="right"/>
              <w:ind w:right="21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42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5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ind w:right="13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value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Cash (Level 1)</w:t>
            </w:r>
          </w:p>
        </w:tc>
        <w:tc>
          <w:tcPr>
            <w:tcW w:w="8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5,651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5,651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Total cash and cash equivalents</w:t>
            </w: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19,145</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19,145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5"/>
              </w:rPr>
              <w:t>Corporate debt securities due within 1 year of date of purchase (Level 2)</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21,330</w:t>
            </w:r>
          </w:p>
        </w:tc>
        <w:tc>
          <w:tcPr>
            <w:tcW w:w="14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21,355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-1965325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-1965325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780" w:hanging="772"/>
        <w:spacing w:after="0"/>
        <w:tabs>
          <w:tab w:leader="none" w:pos="7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Promissory Notes — Related Parties</w:t>
      </w:r>
    </w:p>
    <w:p>
      <w:pPr>
        <w:spacing w:after="0" w:line="229" w:lineRule="exact"/>
        <w:rPr>
          <w:sz w:val="20"/>
          <w:szCs w:val="20"/>
          <w:color w:val="auto"/>
        </w:rPr>
      </w:pPr>
    </w:p>
    <w:p>
      <w:pPr>
        <w:jc w:val="both"/>
        <w:ind w:right="900"/>
        <w:spacing w:after="0" w:line="264" w:lineRule="auto"/>
        <w:rPr>
          <w:sz w:val="20"/>
          <w:szCs w:val="20"/>
          <w:color w:val="auto"/>
        </w:rPr>
      </w:pPr>
      <w:r>
        <w:rPr>
          <w:rFonts w:ascii="Arial" w:cs="Arial" w:eastAsia="Arial" w:hAnsi="Arial"/>
          <w:sz w:val="18"/>
          <w:szCs w:val="18"/>
          <w:color w:val="auto"/>
        </w:rPr>
        <w:t>Prior to the Merger, the Company was financed via issuances of convertible promissory notes, designated as “the September 14, 2011 Notes”, “the September 16, 2011 Notes”, and “the March 1, 2016 Notes”, respectively (collectively “the Notes”). The Notes accrued interest at 8% per annum, compounded monthly, and were collateralized by all assets of the Company.</w:t>
      </w:r>
    </w:p>
    <w:p>
      <w:pPr>
        <w:sectPr>
          <w:pgSz w:w="11900" w:h="16838" w:orient="portrait"/>
          <w:cols w:equalWidth="0" w:num="1">
            <w:col w:w="11460"/>
          </w:cols>
          <w:pgMar w:left="240" w:top="341" w:right="199" w:bottom="0" w:gutter="0" w:footer="0" w:header="0"/>
        </w:sectPr>
      </w:pPr>
    </w:p>
    <w:bookmarkStart w:id="7" w:name="page8"/>
    <w:bookmarkEnd w:id="7"/>
    <w:p>
      <w:pPr>
        <w:spacing w:after="0" w:line="254" w:lineRule="auto"/>
        <w:rPr>
          <w:sz w:val="20"/>
          <w:szCs w:val="20"/>
          <w:color w:val="auto"/>
        </w:rPr>
      </w:pPr>
      <w:r>
        <w:rPr>
          <w:rFonts w:ascii="Arial" w:cs="Arial" w:eastAsia="Arial" w:hAnsi="Arial"/>
          <w:sz w:val="18"/>
          <w:szCs w:val="18"/>
          <w:color w:val="auto"/>
        </w:rPr>
        <w:t>Effective April 13, 2016, in connection with execution of the Merger Agreement, the Notes were amended and restated, primarily to provide for mandatory conversion upon completion of the Merger. On that same date, the lenders collectively waived all accrued and unpaid interest under all of the convertible notes. The total accrued and waived interest amounted to $13,680,000. The lenders also agreed that no additional interest on these notes would be accrued through the date on which the Merger was consummated or terminated. Also on April 13, 2016, the Company reduced the convertible notes payable by the waived accrued interest less $2,456,000 of accrued interest for the period April 14, 2016 through the maturity date of December 31, 2016, as required under Troubled Debt Restructuring accounting guidance. The net waived interest of $11,224,000 was recorded as an increase in Additional Paid in Capital (“APIC”) at the time of the amendment, as the notes were held by related parties. The remaining $2,456,000 of accrued interest was recorded as an increase in APIC upon conversion at the Merger.</w:t>
      </w:r>
    </w:p>
    <w:p>
      <w:pPr>
        <w:spacing w:after="0" w:line="19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During the period March 1, 2016 through the Merger, the lenders provided convertible promissory note financing of $8,500,000 in cash. Additionally, on April 13, 2016, one of the lenders exchanged $500,000 of Advances Payable for an equal amount of convertible promissory notes.</w:t>
      </w:r>
    </w:p>
    <w:p>
      <w:pPr>
        <w:spacing w:after="0" w:line="143" w:lineRule="exact"/>
        <w:rPr>
          <w:sz w:val="20"/>
          <w:szCs w:val="20"/>
          <w:color w:val="auto"/>
        </w:rPr>
      </w:pPr>
    </w:p>
    <w:p>
      <w:pPr>
        <w:ind w:right="8300" w:firstLine="8"/>
        <w:spacing w:after="0" w:line="503" w:lineRule="auto"/>
        <w:tabs>
          <w:tab w:leader="none" w:pos="81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(Deficit) Common Stock</w:t>
      </w:r>
    </w:p>
    <w:p>
      <w:pPr>
        <w:spacing w:after="0" w:line="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22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October 2015, the Company entered into an at-the-market issuance sales agreement (the October 2015 Sales Agreement), with Cowen and Company, LLC (Cowen), pursuant to which the Company may issue and sell shares of its common stock, having an aggregate offering price of up to $100 million, from time to time, at the Company’s option, through Cowen as its sales agent. Sales of common stock through Cowen may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October 2015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 The Company is not obligated to make any sales of its common stock under the October 2015 Sales Agreement. Any shares sold will be sold pursuant to an effective shelf registration statement on Form S-3 (file no. 333-206135). The Company will pay Cowen a commission of up to 3% of the gross proceeds. The October 2015 Sales Agreement may be terminated by the Company at any time upon 10 days’ notice.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of September 30, 2017, 597,256 shares have been sold under the October 2015 Sales Agreement for an aggregate of approximately $9.6 million in gross proceeds. Net proceeds to the Company were approximately $9.4 million after deducting commissions and other transactions costs. Of those shares sold, 215,539 were sold in 2017 for an aggregate of approximately $3.5 million in gross proceeds, and $3.4 million in net proceeds. Approximately $90.4 million remained reserved under the Company’s shelf registration statement and the applicable prospectus supplement for possible future issuance under the October 2015 Sales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Offering and its Series A Convertible Preferred Stock</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June 2017, the Company entered into a Securities Purchase Agreement (the “Purchase Agreement”) with a group of institutional accredited investors, who were existing, non-controlling stockholders of the Company, pursuant to which the Company sold securities to the Investors in a private placement transaction (the “Offering”). Under the terms of the Offering, the Company sold 328,300 shares of its common stock at a price of $15.23 per share, and 1,969,797 shares of its Series A Convertible Preferred Stock (the “Series A Preferred Stock”) at a price of $15.23 per share. The Offering resulted in gross proceeds to the Company of approximately $35.0 million, and net proceeds to the Company of approximately $34.9 million. The Offering closed on June 23, 2017.</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Series A Preferred Stock has a par value of $0.0001 per share and is convertible into shares of the common stock at a one-to-one ratio, subject to adjustment as provided in the Purchase Agreement. The terms of the Series A Preferred Stock are set forth in the Certificate of Designation of Preferences, Rights and Limitations of Series A Convertible Preferred Stock, that the Company filed with the Secretary of State of the State of Delaware on June 21, 2017. Each share of the Series A Preferred Stock is convertible into shares of Common Stock at any time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165"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2015, upon obtaining stockholder approval at its annual shareholder meeting, the Company implemented its 2015 Stock Plan. The 2015 Stock Plan replaced the 2006 Stock Plan which was terminated upon adoption of the 2015 Stock Plan. Shares of common stock reserved for outstanding awards under the 2006 Stock Plan that lapse or are canceled will be added back to the share reserve available for future awards under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exercise price of the stock options is determined by the compensation committee of the board of directors, provided that incentive stock options are granted with an exercise price not less than fair market value of the common stock on the date of grant and expire no later than ten years from the date the option is granted. As of September 30, 2017, the Company had options outstanding to purchase 991,711 shares of its common stock,</w:t>
      </w:r>
    </w:p>
    <w:p>
      <w:pPr>
        <w:sectPr>
          <w:pgSz w:w="11900" w:h="16838" w:orient="portrait"/>
          <w:cols w:equalWidth="0" w:num="1">
            <w:col w:w="11420"/>
          </w:cols>
          <w:pgMar w:left="240" w:top="125" w:right="239" w:bottom="0" w:gutter="0" w:footer="0" w:header="0"/>
        </w:sectPr>
      </w:pPr>
    </w:p>
    <w:bookmarkStart w:id="8" w:name="page9"/>
    <w:bookmarkEnd w:id="8"/>
    <w:p>
      <w:pPr>
        <w:ind w:right="180"/>
        <w:spacing w:after="0" w:line="277" w:lineRule="auto"/>
        <w:rPr>
          <w:sz w:val="20"/>
          <w:szCs w:val="20"/>
          <w:color w:val="auto"/>
        </w:rPr>
      </w:pPr>
      <w:r>
        <w:rPr>
          <w:rFonts w:ascii="Arial" w:cs="Arial" w:eastAsia="Arial" w:hAnsi="Arial"/>
          <w:sz w:val="18"/>
          <w:szCs w:val="18"/>
          <w:color w:val="auto"/>
        </w:rPr>
        <w:t>which includes options outstanding under its 2006 Stock Plan that was terminated in June 2015. As of September 30, 2017, 1,443,561 shares were available for future issuance under the 2015 Stock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nine months ended September 30,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5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Options granted</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207,700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Options cancelled</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2017</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991,711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Exercisable at September 30, 2017</w:t>
            </w: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line="20" w:lineRule="exact"/>
              <w:rPr>
                <w:sz w:val="1"/>
                <w:szCs w:val="1"/>
                <w:color w:val="auto"/>
              </w:rPr>
            </w:pPr>
          </w:p>
        </w:tc>
      </w:tr>
      <w:tr>
        <w:trPr>
          <w:trHeight w:val="211"/>
        </w:trPr>
        <w:tc>
          <w:tcPr>
            <w:tcW w:w="6480" w:type="dxa"/>
            <w:vAlign w:val="bottom"/>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373,148</w:t>
            </w:r>
          </w:p>
        </w:tc>
        <w:tc>
          <w:tcPr>
            <w:tcW w:w="1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total cash received by the Company as a result of stock option exercises was $0 in each of the nine months ended September 30, 2017 and 2016. The weighted-average grant date fair values, based on the Black-Scholes option model, of options granted during the nine months ended September 30, 2017 was $13.30.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share-based compensation plan provides for awards of restricted shares of common stock to employees, officers, directors and consultants to the Company. Restricted stock awards are subject to forfeiture if employment or service terminates during the prescribed retention period. Restricted shares vest over the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unvested restricted share activity during the nine months ended September 30,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5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grant date fair</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157,262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(52,063)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2017</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during the three and nine months ended September 30, 2017 and 2016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00" w:type="dxa"/>
            <w:vAlign w:val="bottom"/>
            <w:gridSpan w:val="3"/>
          </w:tcPr>
          <w:p>
            <w:pPr>
              <w:jc w:val="right"/>
              <w:ind w:right="426"/>
              <w:spacing w:after="0"/>
              <w:rPr>
                <w:sz w:val="20"/>
                <w:szCs w:val="20"/>
                <w:color w:val="auto"/>
              </w:rPr>
            </w:pPr>
            <w:r>
              <w:rPr>
                <w:rFonts w:ascii="Arial" w:cs="Arial" w:eastAsia="Arial" w:hAnsi="Arial"/>
                <w:sz w:val="14"/>
                <w:szCs w:val="14"/>
                <w:b w:val="1"/>
                <w:bCs w:val="1"/>
                <w:color w:val="auto"/>
              </w:rPr>
              <w:t>Three Months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4"/>
          </w:tcPr>
          <w:p>
            <w:pPr>
              <w:jc w:val="center"/>
              <w:ind w:left="475"/>
              <w:spacing w:after="0"/>
              <w:rPr>
                <w:sz w:val="20"/>
                <w:szCs w:val="20"/>
                <w:color w:val="auto"/>
              </w:rPr>
            </w:pPr>
            <w:r>
              <w:rPr>
                <w:rFonts w:ascii="Arial" w:cs="Arial" w:eastAsia="Arial" w:hAnsi="Arial"/>
                <w:sz w:val="14"/>
                <w:szCs w:val="14"/>
                <w:b w:val="1"/>
                <w:bCs w:val="1"/>
                <w:color w:val="auto"/>
                <w:w w:val="95"/>
              </w:rPr>
              <w:t>Nine Months</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320" w:type="dxa"/>
            <w:vAlign w:val="bottom"/>
            <w:gridSpan w:val="4"/>
          </w:tcPr>
          <w:p>
            <w:pPr>
              <w:jc w:val="right"/>
              <w:ind w:right="206"/>
              <w:spacing w:after="0"/>
              <w:rPr>
                <w:sz w:val="20"/>
                <w:szCs w:val="20"/>
                <w:color w:val="auto"/>
              </w:rPr>
            </w:pPr>
            <w:r>
              <w:rPr>
                <w:rFonts w:ascii="Arial" w:cs="Arial" w:eastAsia="Arial" w:hAnsi="Arial"/>
                <w:sz w:val="14"/>
                <w:szCs w:val="14"/>
                <w:b w:val="1"/>
                <w:bCs w:val="1"/>
                <w:color w:val="auto"/>
              </w:rPr>
              <w:t>Ended September 30,</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2"/>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Stock-based compensation expense by type of award:</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Stock options</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878</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1,347</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1 ,859</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Change in control bonus plan (see Note 3)</w:t>
            </w:r>
          </w:p>
        </w:tc>
        <w:tc>
          <w:tcPr>
            <w:tcW w:w="8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5,411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820" w:type="dxa"/>
            <w:vAlign w:val="bottom"/>
            <w:tcBorders>
              <w:top w:val="single" w:sz="8" w:color="auto"/>
              <w:bottom w:val="single" w:sz="8" w:color="auto"/>
            </w:tcBorders>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7,353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Effect of stock-based compensation expense by line item:</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272</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5,260</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577</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757</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2,093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stock-based compensation expense included in net loss</w:t>
            </w: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1,029</w:t>
            </w:r>
          </w:p>
        </w:tc>
        <w:tc>
          <w:tcPr>
            <w:tcW w:w="2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7,353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Unrecognized stock-based compensation expense as of September 30, 2017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Unrecognized</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stock</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expense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Restricted stock</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910</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500" w:firstLine="8"/>
        <w:spacing w:after="0" w:line="566" w:lineRule="auto"/>
        <w:tabs>
          <w:tab w:leader="none" w:pos="81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 Related party financing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Certain related party lenders provided financing to the Company prior to the Merger, which was subsequently converted to equity at the time of the Merger.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2016, the Company incurred approximately $1.2 million of interest expense to related party lenders.</w:t>
      </w:r>
    </w:p>
    <w:p>
      <w:pPr>
        <w:sectPr>
          <w:pgSz w:w="11900" w:h="16838" w:orient="portrait"/>
          <w:cols w:equalWidth="0" w:num="1">
            <w:col w:w="11420"/>
          </w:cols>
          <w:pgMar w:left="240" w:top="125" w:right="239" w:bottom="28"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8"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Prior to the Merger, the Company had a consulting agreement with its former Chief Executive Officer, who is also a stockholder of the Company. For the nine months ended September 30, 2016, the Company paid $93,000 pursuant to this agreement. On July 22, 2016, the consulting agreement was replaced by an employment agreement for the position of Chief Medical Officer, Executive Vice President, Research and Development, upon the completion of the Merger.</w:t>
      </w:r>
    </w:p>
    <w:p>
      <w:pPr>
        <w:spacing w:after="0" w:line="143" w:lineRule="exact"/>
        <w:rPr>
          <w:sz w:val="20"/>
          <w:szCs w:val="20"/>
          <w:color w:val="auto"/>
        </w:rPr>
      </w:pPr>
    </w:p>
    <w:p>
      <w:pPr>
        <w:ind w:left="900" w:hanging="892"/>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agreement requires future milestone payments to Roche, the remainder of which total $10 million and are earned by the commencement of Phase 3 clinical trials as well as future regulatory approval in the United States and Europe of a product developed from MGL-3916. A single-digit royalty payment range is based on net sales of products developed from MGL-3196, subject to certain reductions. In October 2016 the Company commenced a Phase 2 study in Non-Alcoholic Steatohepatitis (NASH), which triggered a milestone payment under the agreement. Except as described above, the Company has not achieved any additional product development or regulatory milestones to date and has no Licensed Product sales for the quarters ended September 30, 2017 and 2016.</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2017, the Company has entered into several customary contractual arrangements and letters of intent in preparation for and in support of the Phase 2 clinical trials.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are based on our beliefs and assumptions and on information currently available to us. Forward-looking statements include information concerning our expectations for the timing of clinical study results, and the timing and success of future development of MGL-3196, our possible or assumed future results of operations and expenses, business strategies and plans, capital needs and financing plans, trends, market sizing, competitive position, industry environment and potential growth opportunities, among other things. Forward-looking statements include all statements that are not historical facts and, in some cases, can be identified by terms such as “anticipates,” “believes,” “could,” “estimates,” “expects,” “intends,” “may,” “plans,” “potential,” “predicts,” “projects,” “seeks,” “should,” “will,” “would” or similar expressions and the negatives of those terms.</w:t>
      </w:r>
    </w:p>
    <w:p>
      <w:pPr>
        <w:spacing w:after="0" w:line="18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2016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sections entitled “Risk Factors” included elsewhere in this report. Our operating results are not necessarily indicative of results that may occur for the full fiscal year or any other future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Madrigal Pharmaceuticals, Inc.</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therapeutic candidates for the treatment of cardiovascular, metabolic and liver diseases. Our lead product candidate, MGL-3196, is a proprietary, liver-directed, selective thyroid hormone receptor- ß, or THR-ß, agonist being developed as a once-daily oral pill that can potentially be used to treat a number of disease states with high unmet medical need. We are developing MGL-3196 for non-alcoholic steatohepatitis, or NASH, and have completed enrollment of 125 patients in a Phase 2 clinical trial in this indication. We are also developing MGL-3196 for dyslipidemia, particularly genetic dyslipidemias such as familial hypercholesterolemia, or FH, including both homozygous and heterozygous forms of the disease. We have completed enrollment of 116 patients in a Phase 2 clinical trial in heterozygous FH, or HeFH, patients. We are planning to conduct a proof-of-concept clinical trial in homozygous FH patients. In addition to the NASH and HeFH Phase 2 clinical trials, MGL-3196 has also been studied in five completed Phase 1 trials in a total of 137 subjects. MGL-3196 was safe and well-tolerated in these trials, which</w:t>
      </w:r>
    </w:p>
    <w:p>
      <w:pPr>
        <w:sectPr>
          <w:pgSz w:w="11900" w:h="16838" w:orient="portrait"/>
          <w:cols w:equalWidth="0" w:num="1">
            <w:col w:w="11420"/>
          </w:cols>
          <w:pgMar w:left="240" w:top="368" w:right="239" w:bottom="0" w:gutter="0" w:footer="0" w:header="0"/>
        </w:sectPr>
      </w:pPr>
    </w:p>
    <w:bookmarkStart w:id="10" w:name="page11"/>
    <w:bookmarkEnd w:id="10"/>
    <w:p>
      <w:pPr>
        <w:ind w:right="60"/>
        <w:spacing w:after="0" w:line="277" w:lineRule="auto"/>
        <w:rPr>
          <w:sz w:val="20"/>
          <w:szCs w:val="20"/>
          <w:color w:val="auto"/>
        </w:rPr>
      </w:pPr>
      <w:r>
        <w:rPr>
          <w:rFonts w:ascii="Arial" w:cs="Arial" w:eastAsia="Arial" w:hAnsi="Arial"/>
          <w:sz w:val="18"/>
          <w:szCs w:val="18"/>
          <w:color w:val="auto"/>
        </w:rPr>
        <w:t>included a single ascending dose trial, a multiple ascending dose trial, a trial determining absorption distribution metabolism and excretion (ADME), and two drug interaction trials with statins.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225" w:lineRule="exact"/>
        <w:rPr>
          <w:sz w:val="20"/>
          <w:szCs w:val="20"/>
          <w:color w:val="auto"/>
        </w:rPr>
      </w:pPr>
    </w:p>
    <w:p>
      <w:pPr>
        <w:ind w:left="1300" w:right="340" w:hanging="644"/>
        <w:spacing w:after="0" w:line="258" w:lineRule="auto"/>
        <w:tabs>
          <w:tab w:leader="none" w:pos="1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1" w:lineRule="exact"/>
        <w:rPr>
          <w:rFonts w:ascii="Arial" w:cs="Arial" w:eastAsia="Arial" w:hAnsi="Arial"/>
          <w:sz w:val="18"/>
          <w:szCs w:val="18"/>
          <w:color w:val="auto"/>
        </w:rPr>
      </w:pPr>
    </w:p>
    <w:p>
      <w:pPr>
        <w:ind w:left="1260" w:hanging="604"/>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expenses related to development and production of nonclinical and clinical trial supplies, including fees paid to contract manufacturers;</w:t>
      </w:r>
    </w:p>
    <w:p>
      <w:pPr>
        <w:spacing w:after="0" w:line="20" w:lineRule="exact"/>
        <w:rPr>
          <w:rFonts w:ascii="Arial" w:cs="Arial" w:eastAsia="Arial" w:hAnsi="Arial"/>
          <w:sz w:val="17"/>
          <w:szCs w:val="17"/>
          <w:color w:val="auto"/>
        </w:rPr>
      </w:pPr>
    </w:p>
    <w:p>
      <w:pPr>
        <w:ind w:left="1260" w:hanging="604"/>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expect to continue to incur substantial expenses related to our development activities for the foreseeable future as we conduct our Phase 2 clinical program, manufacturing and toxicology studies. Product candidates in later stages of clinical development generally have higher development costs than those in earlier stages of clinical development, due primarily to the increased size and duration of later-stage clinical trials, additional drug manufacturing requirements, and later stage toxicology studies such as carcinogenicity studies. Our research and development expenses increased between 2016 and 2017,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7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General and administrative expenses consist primarily of management costs, costs associated with obtaining and maintaining our patent portfolio, professional fees for accounting, auditing, consulting and legal services, and allocated overhead expenses.</w:t>
      </w:r>
    </w:p>
    <w:p>
      <w:pPr>
        <w:spacing w:after="0" w:line="17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U.S. Securities and Exchange Commission, or SEC, requirements. We expect these potential increases will likely include management costs, legal fees, accounting fees, directors’ and officers’ liability insurance premiums and expenses associated with investor relations.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nine months ended September 30, 2017, as compared to those disclosed in our Annual Report on Form 10-K for the fiscal year ended December 31, 2016 filed with the SEC on March 31,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2017 and 2016</w:t>
      </w:r>
    </w:p>
    <w:p>
      <w:pPr>
        <w:sectPr>
          <w:pgSz w:w="11900" w:h="16838" w:orient="portrait"/>
          <w:cols w:equalWidth="0" w:num="1">
            <w:col w:w="11420"/>
          </w:cols>
          <w:pgMar w:left="240" w:top="125"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provides comparative unaudited results of operations for the three months ended September 30, 2017 and 2016:</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w w:val="94"/>
              </w:rPr>
              <w:t>Increase / Decrease</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5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6,682</w:t>
            </w:r>
          </w:p>
        </w:tc>
        <w:tc>
          <w:tcPr>
            <w:tcW w:w="64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6,285</w:t>
            </w: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(4,330)</w:t>
            </w:r>
          </w:p>
        </w:tc>
        <w:tc>
          <w:tcPr>
            <w:tcW w:w="5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Other Income</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revenue for the three months ended September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research and development expenses were $6.7 million for the three months ended September 30, 2017 compared to $7.8 million for the same period in 2016. Research and development expenses decreased by $1.1 million in the 2017 period due primarily to $4.8 million of stock based compensation expense incurred in 2016 from the Change in Control Bonus Plan resulting from the Merger. With the exception of the onetime Change in Control Bonus Plan related expense, other expenses increased to conduct and support the two Phase 2 studies for MGL-3196, which commenced in the fourth quarter of 2016 and the first quarter of 2017, respectively. We expect our research and development expenses to increase over time as we advance our clinical and preclinical development programs for MGL-3196.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general and administrative expenses were $2.0 million for the three months ended September 30, 2017 compared to $6.3 million for the same period in 2016. General and administrative expenses decreased by $4.3 million in the 2017 period due primarily to expenses incurred in 2016 from the Merger, including $0.6 million from the Change in Control Bonus Plan and $2.1 million in other cost associated with the Merger. These onetime Merger costs were partially offset by increases in 2017 from expenses related to operating as a public company. We believe our general and administrative expenses may increase over time as we advance our technology into clinical programs and as a result of our obligations as a public reporting company, both of which will likely result in an increase in our headcount, consulting services, and certain overhead needed to support those efforts.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Income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net interest income was $0.2 million for the three months ended September 30, 2017, compared to $0.0 million for the three months ended September 30, 2016. The increase in interest income was due primarily to larger investment balances in 2017 as compared to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Our other income was $0.1 million for the three months ended September 30, 2017, compared to $0.0 million for the three months ended September 30, 2016. The increase was a result of a milestone achieved by our licensee under a license agreement with an unrelated party for a former Synta oncology program.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comparative unaudited results of operations for the nine months ended September 30, 2017 and 2016:</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w w:val="94"/>
              </w:rPr>
              <w:t>Increase / Decrease</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2"/>
                <w:szCs w:val="12"/>
                <w:color w:val="auto"/>
              </w:rPr>
            </w:pPr>
          </w:p>
        </w:tc>
        <w:tc>
          <w:tcPr>
            <w:tcW w:w="1340" w:type="dxa"/>
            <w:vAlign w:val="bottom"/>
            <w:tcBorders>
              <w:bottom w:val="single" w:sz="8" w:color="auto"/>
            </w:tcBorders>
          </w:tcPr>
          <w:p>
            <w:pPr>
              <w:jc w:val="right"/>
              <w:ind w:right="535"/>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17,878</w:t>
            </w: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10,410</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7,468</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5,273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7,058</w:t>
            </w:r>
          </w:p>
        </w:tc>
        <w:tc>
          <w:tcPr>
            <w:tcW w:w="28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(1,785)</w:t>
            </w:r>
          </w:p>
        </w:tc>
        <w:tc>
          <w:tcPr>
            <w:tcW w:w="5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(1,513)</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Other Income</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22,709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18,639</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revenue for the nine months ended September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research and development expenses were $17.9 million for the nine months ended September 30, 2017 compared to $10.4 million for the same period in 2016. Research and development expenses increased by $7.5 million in the 2017 period due primarily to the expenses incurred to conduct and support the two Phase 2 studies for MGL-3196, which commenced in the fourth quarter of 2016 and the first quarter of 2017, respectively. Our increased research and development expenses include an $8.2 million increase in contract research organization costs directly associated with the two Phase 2 studies. These increases were partially offset by stock based compensation expense incurred in 2016 from the Change in Control Bonus Plan resulting from the Merger. We expect our research and development expenses to increase over time as we advance our clinical and preclinical development programs for MGL-3196.</w:t>
      </w:r>
    </w:p>
    <w:p>
      <w:pPr>
        <w:sectPr>
          <w:pgSz w:w="11900" w:h="16838" w:orient="portrait"/>
          <w:cols w:equalWidth="0" w:num="1">
            <w:col w:w="11380"/>
          </w:cols>
          <w:pgMar w:left="240" w:top="125" w:right="279" w:bottom="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ectPr>
          <w:pgSz w:w="11900" w:h="16838" w:orient="portrait"/>
          <w:cols w:equalWidth="0" w:num="1">
            <w:col w:w="11380"/>
          </w:cols>
          <w:pgMar w:left="240" w:top="125" w:right="279" w:bottom="0" w:gutter="0" w:footer="0" w:header="0"/>
          <w:type w:val="continuous"/>
        </w:sectPr>
      </w:pPr>
    </w:p>
    <w:bookmarkStart w:id="12" w:name="page13"/>
    <w:bookmarkEnd w:id="12"/>
    <w:p>
      <w:pPr>
        <w:spacing w:after="0" w:line="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general and administrative expenses were $5.3 million for the nine months ended September 30, 2017 compared to $7.1 million for the same period in 2016. General and administrative expenses decreased by $1.8 million in the 2017 period due primarily to expenses incurred in 2016 from the Merger, including $0.6 million from the Change in Control Bonus Plan and $2.1 million in other cost associated with the Merger. These onetime Merger costs were partially offset by increases in 2017 from increased compensation expense and expenses related to operating as a public company. We believe our general and administrative expenses may increase over time as we advance our technology into clinical programs and as a result of our obligations as a public reporting company, both of which will likely result in an increase in our headcount, consulting services, and certain overhead needed to support those efforts.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Income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net interest income was $0.3 million for the nine months ended September 30, 2017, and our net interest expense was $1.2 million for the nine months ended September 30, 2016. The decrease in interest expense was due primarily to the conversion of all outstanding promissory notes to equity upon the consummation of the Merger.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other income was $0.1 million for the nine months ended September 30, 2017, compared to $0.0 million for the nine months ended September 30, 2016.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a result of a milestone achieved by our licensee under a license agreement with an unrelated party for a former Synta oncology program.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September 30, 2017, we had cash, cash equivalents and marketable securities of $62.1 million. To date, our operations have been financed primarily by net proceeds from the issuance of convertible debt, the Merger with Synta, sales of our common stock under our at-the market issuance agreement with Cowen and Company, LLC, or the October 2015 Sales Agreement, and the sale of our preferred stock and common stock in a private placement offering in June 2017, or the June 2017 Offering. We believe that our cash and cash equivalents at September 30, 2017 will be sufficient to fund our operations past one year from the issuance of these financial statements.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primary uses of capital are, and we expect will continue to be, funding our research efforts and the development of our product candidates, compensation and related expenses, hiring additional staff, including clinical, scientific, operational, financial and management personnel, and costs associated with operating as a public company. We expect to incur substantial expenditures in the foreseeable future for the development and potential commercialization of our product candidates.</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plan to continue to fund losses from operations and capital funding needs through future equity and/or debt financings, as well as potential additional collaborations or strategic partnerships with other companies. The sale of additional equity or convertible debt could result in additional dilution to our stockholders. The incurrence of indebtedness would result in debt service obligations and could result in operating and financing covenants that would restrict our operations. We can provide no assurance that financing will be available in the amounts we need or on terms acceptable to us, if at all. If we are not able to secure adequate additional funding, we may be forced to delay, make reductions in spending, extend payment terms with suppliers, liquidate assets where possible, and/or suspend or curtail planned programs. Any of these actions could materially harm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net cash flow activity:</w:t>
      </w:r>
    </w:p>
    <w:p>
      <w:pPr>
        <w:spacing w:after="0" w:line="217"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Nine Months Ended</w:t>
      </w:r>
    </w:p>
    <w:p>
      <w:pPr>
        <w:jc w:val="center"/>
        <w:ind w:left="57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9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(16,372)</w:t>
            </w:r>
          </w:p>
        </w:tc>
        <w:tc>
          <w:tcPr>
            <w:tcW w:w="64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cash used or provided by investing activities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(28,091)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used in operating activities was $16.4 million for the nine months ended September 30, 2017 compared to $12.3 million for the same period in 2016. The use of cash in these periods resulted primarily from our losses from operations, as adjusted for non-cash charges for stock-based compensation, and changes in our working capital accounts.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used by investing activities was $28.1 million for the nine months ended September 30, 2017 compared to $11.9 million provided by investing activities for the same period in 2016. Net cash used by investing activities for the nine months ended September 30, 2017 consisted of $34.9 million of purchases of marketable securities for our investment portfolio, partially offset by $6.9 million from sales and maturities of marketable securities. Net cash provided by investing activities for the nine months ended September 30, 2016 consisted primarily of $5.8 million in cash provided from the merger, and a net increase of $5.6 million from the sales and maturities in our investment portfolio.</w:t>
      </w:r>
    </w:p>
    <w:p>
      <w:pPr>
        <w:spacing w:after="0" w:line="18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Net cash provided by financing activities was $38.3 million for the nine months ended September 30, 2017 compared to $8.5 million for the same period in 2016. Net cash provided by financing activities for the nine months ended September 30, 2017 consisted of net proceeds from the sale of common stock under the October 2015 Sales Agreement and net proceeds from the sale of preferred stock and common stock in the June 2017 Offering. Net cash provided by financing activities for the nine months ended September 30, 2016 consisted of net proceeds from the issuance of related party convertible notes.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 significant changes to contractual obligations and commitments occurred during the nine months ended September 30, 2017, as compared to those disclosed in our Annual Report on Form 10-K filed on March 31, 2017.</w:t>
      </w:r>
    </w:p>
    <w:p>
      <w:pPr>
        <w:sectPr>
          <w:pgSz w:w="11900" w:h="16848" w:orient="portrait"/>
          <w:cols w:equalWidth="0" w:num="1">
            <w:col w:w="11420"/>
          </w:cols>
          <w:pgMar w:left="240" w:top="341" w:right="239" w:bottom="0" w:gutter="0" w:footer="0" w:header="0"/>
        </w:sectPr>
      </w:pPr>
    </w:p>
    <w:bookmarkStart w:id="13" w:name="page14"/>
    <w:bookmarkEnd w:id="13"/>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cash and cash equivalents as of September 30, 2017 consisted of readily available checking and money market funds. Our primary exposure to market risk is interest income sensitivity, which is affected by changes in the general level of U.S. interest rates. However, because of the short-term nature of the instruments in our portfolio, a sudden change in market interest rates would not be expected to have a material impact on our financial condition and/or results of operations. We do not believe that our cash or cash equivalents has significant risk of default or illiquidity. While we believe our cash and cash equivalents do not contain excessive risk, we cannot provide absolute assurance that in the future its investments will not be subject to adverse changes in market value. In addition, we maintain significant amounts of cash and cash equivalents at one or more financial institutions that are in excess of federally insured limits.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Disclosure Controls</w:t>
      </w:r>
    </w:p>
    <w:p>
      <w:pPr>
        <w:spacing w:after="0" w:line="22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disclosure controls and procedures (as defined in Rules 13a-15(e) and 15d-15(e) under the Exchange Act) are controls and other procedures that are designed to ensure that information required to be disclosed by us in the reports that we file under the Exchange Act, such as this Quarterly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chief executive officer and our chief financial officer, after evaluating the effectiveness of our disclosure controls and procedures, believe that as of the end of the period covered by this Quarterly Report, our disclosure controls and procedures were effective in providing the requisite reasonable assurance that information required to be disclosed by us in the reports that we file under the Exchange Act is recorded, processed, summarized and reported within the time periods specified in the SEC’s rules and forms, and is accumulated and communicated to our management, including our principal executive officer and principal financial officer, as appropriate to allow timely decisions regarding the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not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included in our Quarterly Report on Form 10-Q for the quarterly period ended June 30, 2017.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74" w:orient="portrait"/>
          <w:cols w:equalWidth="0" w:num="1">
            <w:col w:w="11380"/>
          </w:cols>
          <w:pgMar w:left="240" w:top="341" w:right="27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06"/>
        </w:trPr>
        <w:tc>
          <w:tcPr>
            <w:tcW w:w="136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4640" w:type="dxa"/>
            <w:vAlign w:val="bottom"/>
            <w:gridSpan w:val="9"/>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File No.</w:t>
            </w: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4"/>
                <w:szCs w:val="14"/>
                <w:color w:val="auto"/>
              </w:rPr>
            </w:pPr>
          </w:p>
        </w:tc>
        <w:tc>
          <w:tcPr>
            <w:tcW w:w="4640" w:type="dxa"/>
            <w:vAlign w:val="bottom"/>
            <w:gridSpan w:val="9"/>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31.1</w:t>
            </w:r>
          </w:p>
        </w:tc>
        <w:tc>
          <w:tcPr>
            <w:tcW w:w="220" w:type="dxa"/>
            <w:vAlign w:val="bottom"/>
          </w:tcPr>
          <w:p>
            <w:pPr>
              <w:spacing w:after="0"/>
              <w:rPr>
                <w:sz w:val="14"/>
                <w:szCs w:val="14"/>
                <w:color w:val="auto"/>
              </w:rPr>
            </w:pPr>
          </w:p>
        </w:tc>
        <w:tc>
          <w:tcPr>
            <w:tcW w:w="4740" w:type="dxa"/>
            <w:vAlign w:val="bottom"/>
            <w:tcBorders>
              <w:top w:val="single" w:sz="8" w:color="auto"/>
              <w:bottom w:val="single" w:sz="8" w:color="0000EE"/>
            </w:tcBorders>
            <w:gridSpan w:val="8"/>
          </w:tcPr>
          <w:p>
            <w:pPr>
              <w:spacing w:after="0" w:line="170"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Certification of Principal Executive Officer pursuant to Rule 13a-</w:t>
              </w:r>
            </w:hyperlink>
          </w:p>
        </w:tc>
        <w:tc>
          <w:tcPr>
            <w:tcW w:w="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14(a) or Rule 15d-14(a) of the Securities Exchange Act of 1934,</w:t>
              </w:r>
            </w:hyperlink>
          </w:p>
        </w:tc>
        <w:tc>
          <w:tcPr>
            <w:tcW w:w="40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gridSpan w:val="10"/>
          </w:tcPr>
          <w:p>
            <w:pPr>
              <w:spacing w:after="0" w:line="196"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as adopted pursuant to Section 302 of the Sarbanes-Oxley Act of</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6">
              <w:r>
                <w:rPr>
                  <w:rFonts w:ascii="Arial" w:cs="Arial" w:eastAsia="Arial" w:hAnsi="Arial"/>
                  <w:sz w:val="18"/>
                  <w:szCs w:val="18"/>
                  <w:color w:val="0000EE"/>
                  <w:w w:val="84"/>
                </w:rPr>
                <w:t>2002.</w:t>
              </w:r>
            </w:hyperlink>
          </w:p>
        </w:tc>
        <w:tc>
          <w:tcPr>
            <w:tcW w:w="3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220" w:type="dxa"/>
            <w:vAlign w:val="bottom"/>
          </w:tcPr>
          <w:p>
            <w:pPr>
              <w:spacing w:after="0"/>
              <w:rPr>
                <w:sz w:val="24"/>
                <w:szCs w:val="24"/>
                <w:color w:val="auto"/>
              </w:rPr>
            </w:pPr>
          </w:p>
        </w:tc>
        <w:tc>
          <w:tcPr>
            <w:tcW w:w="46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Certification of Principal Financial Officer pursuant to Rule 13a-</w:t>
              </w:r>
            </w:hyperlink>
          </w:p>
        </w:tc>
        <w:tc>
          <w:tcPr>
            <w:tcW w:w="36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14(a) or Rule 15d-14(a) of the Securities Exchange Act of 1934,</w:t>
              </w:r>
            </w:hyperlink>
          </w:p>
        </w:tc>
        <w:tc>
          <w:tcPr>
            <w:tcW w:w="40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gridSpan w:val="10"/>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as adopted pursuant to Section 302 of the Sarbanes-Oxley Act of</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2002.</w:t>
              </w:r>
            </w:hyperlink>
          </w:p>
        </w:tc>
        <w:tc>
          <w:tcPr>
            <w:tcW w:w="3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32.1*</w:t>
            </w:r>
          </w:p>
        </w:tc>
        <w:tc>
          <w:tcPr>
            <w:tcW w:w="220" w:type="dxa"/>
            <w:vAlign w:val="bottom"/>
          </w:tcPr>
          <w:p>
            <w:pPr>
              <w:spacing w:after="0"/>
              <w:rPr>
                <w:sz w:val="24"/>
                <w:szCs w:val="24"/>
                <w:color w:val="auto"/>
              </w:rPr>
            </w:pPr>
          </w:p>
        </w:tc>
        <w:tc>
          <w:tcPr>
            <w:tcW w:w="42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Certifications of Principal Executive Officer and Principal</w:t>
              </w:r>
            </w:hyperlink>
          </w:p>
        </w:tc>
        <w:tc>
          <w:tcPr>
            <w:tcW w:w="84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Financial Officer, pursuant to 18 U.S.C. Section 1350, as adopted</w:t>
              </w:r>
            </w:hyperlink>
          </w:p>
        </w:tc>
        <w:tc>
          <w:tcPr>
            <w:tcW w:w="32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gridSpan w:val="1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pursuant to Section 906 of the Sarbanes-Oxley Act of 2002.</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101.INS</w:t>
            </w:r>
          </w:p>
        </w:tc>
        <w:tc>
          <w:tcPr>
            <w:tcW w:w="43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74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101.SCH</w:t>
            </w:r>
          </w:p>
        </w:tc>
        <w:tc>
          <w:tcPr>
            <w:tcW w:w="504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101.CAL</w:t>
            </w:r>
          </w:p>
        </w:tc>
        <w:tc>
          <w:tcPr>
            <w:tcW w:w="504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101.LAB</w:t>
            </w:r>
          </w:p>
        </w:tc>
        <w:tc>
          <w:tcPr>
            <w:tcW w:w="504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101.PRE</w:t>
            </w:r>
          </w:p>
        </w:tc>
        <w:tc>
          <w:tcPr>
            <w:tcW w:w="504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101.DEF</w:t>
            </w:r>
          </w:p>
        </w:tc>
        <w:tc>
          <w:tcPr>
            <w:tcW w:w="504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2000"/>
              <w:spacing w:after="0"/>
              <w:rPr>
                <w:sz w:val="20"/>
                <w:szCs w:val="20"/>
                <w:color w:val="auto"/>
              </w:rPr>
            </w:pPr>
            <w:r>
              <w:rPr>
                <w:rFonts w:ascii="Arial" w:cs="Arial" w:eastAsia="Arial" w:hAnsi="Arial"/>
                <w:sz w:val="18"/>
                <w:szCs w:val="18"/>
                <w:color w:val="auto"/>
              </w:rPr>
              <w:t>MADRIGAL PHARMACEUTICALS, INC.</w:t>
            </w: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November 9, 2017</w:t>
            </w:r>
          </w:p>
        </w:tc>
        <w:tc>
          <w:tcPr>
            <w:tcW w:w="7640" w:type="dxa"/>
            <w:vAlign w:val="bottom"/>
            <w:gridSpan w:val="2"/>
          </w:tcPr>
          <w:p>
            <w:pPr>
              <w:ind w:left="2000"/>
              <w:spacing w:after="0"/>
              <w:rPr>
                <w:sz w:val="20"/>
                <w:szCs w:val="20"/>
                <w:color w:val="auto"/>
              </w:rPr>
            </w:pPr>
            <w:r>
              <w:rPr>
                <w:rFonts w:ascii="Arial" w:cs="Arial" w:eastAsia="Arial" w:hAnsi="Arial"/>
                <w:sz w:val="18"/>
                <w:szCs w:val="18"/>
                <w:color w:val="auto"/>
              </w:rPr>
              <w:t>By:   /s/ Paul A. Friedman, M.D.</w:t>
            </w:r>
          </w:p>
        </w:tc>
      </w:tr>
      <w:tr>
        <w:trPr>
          <w:trHeight w:val="195"/>
        </w:trPr>
        <w:tc>
          <w:tcPr>
            <w:tcW w:w="37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Paul A. Friedman, M.D.</w:t>
            </w:r>
          </w:p>
        </w:tc>
      </w:tr>
      <w:tr>
        <w:trPr>
          <w:trHeight w:val="230"/>
        </w:trPr>
        <w:tc>
          <w:tcPr>
            <w:tcW w:w="3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337"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November 9, 2017</w:t>
            </w:r>
          </w:p>
        </w:tc>
        <w:tc>
          <w:tcPr>
            <w:tcW w:w="7720" w:type="dxa"/>
            <w:vAlign w:val="bottom"/>
            <w:gridSpan w:val="2"/>
          </w:tcPr>
          <w:p>
            <w:pPr>
              <w:ind w:left="2080"/>
              <w:spacing w:after="0"/>
              <w:rPr>
                <w:sz w:val="20"/>
                <w:szCs w:val="20"/>
                <w:color w:val="auto"/>
              </w:rPr>
            </w:pPr>
            <w:r>
              <w:rPr>
                <w:rFonts w:ascii="Arial" w:cs="Arial" w:eastAsia="Arial" w:hAnsi="Arial"/>
                <w:sz w:val="18"/>
                <w:szCs w:val="18"/>
                <w:color w:val="auto"/>
              </w:rPr>
              <w:t>By:   /s/ Marc R. Schneebaum</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Marc R. Schneebaum</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560" w:type="dxa"/>
            <w:vAlign w:val="bottom"/>
          </w:tcPr>
          <w:p>
            <w:pPr>
              <w:jc w:val="right"/>
              <w:ind w:right="370"/>
              <w:spacing w:after="0"/>
              <w:rPr>
                <w:sz w:val="20"/>
                <w:szCs w:val="20"/>
                <w:color w:val="auto"/>
              </w:rPr>
            </w:pPr>
            <w:r>
              <w:rPr>
                <w:rFonts w:ascii="Arial" w:cs="Arial" w:eastAsia="Arial" w:hAnsi="Arial"/>
                <w:sz w:val="18"/>
                <w:szCs w:val="18"/>
                <w:color w:val="auto"/>
              </w:rPr>
              <w:t>24</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5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225" w:lineRule="exact"/>
        <w:rPr>
          <w:sz w:val="20"/>
          <w:szCs w:val="20"/>
          <w:color w:val="auto"/>
        </w:rPr>
      </w:pPr>
    </w:p>
    <w:p>
      <w:pPr>
        <w:ind w:left="820" w:hanging="81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225" w:lineRule="exact"/>
        <w:rPr>
          <w:rFonts w:ascii="Arial" w:cs="Arial" w:eastAsia="Arial" w:hAnsi="Arial"/>
          <w:sz w:val="18"/>
          <w:szCs w:val="18"/>
          <w:color w:val="auto"/>
        </w:rPr>
      </w:pPr>
    </w:p>
    <w:p>
      <w:pPr>
        <w:ind w:right="140" w:firstLine="8"/>
        <w:spacing w:after="0" w:line="342" w:lineRule="auto"/>
        <w:tabs>
          <w:tab w:leader="none" w:pos="81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8"/>
        <w:spacing w:after="0" w:line="277" w:lineRule="auto"/>
        <w:tabs>
          <w:tab w:leader="none" w:pos="8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8"/>
        <w:spacing w:after="0" w:line="264" w:lineRule="auto"/>
        <w:tabs>
          <w:tab w:leader="none" w:pos="8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20" w:firstLine="8"/>
        <w:spacing w:after="0" w:line="264" w:lineRule="auto"/>
        <w:tabs>
          <w:tab w:leader="none" w:pos="7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00" w:hanging="792"/>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880" w:firstLine="8"/>
        <w:spacing w:after="0" w:line="342" w:lineRule="auto"/>
        <w:tabs>
          <w:tab w:leader="none" w:pos="83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8"/>
        <w:spacing w:after="0" w:line="264" w:lineRule="auto"/>
        <w:tabs>
          <w:tab w:leader="none" w:pos="7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00" w:firstLine="8"/>
        <w:spacing w:after="0" w:line="308" w:lineRule="auto"/>
        <w:tabs>
          <w:tab w:leader="none" w:pos="81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320" w:firstLine="8"/>
        <w:spacing w:after="0" w:line="277" w:lineRule="auto"/>
        <w:tabs>
          <w:tab w:leader="none" w:pos="7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60" w:firstLine="8"/>
        <w:spacing w:after="0" w:line="277" w:lineRule="auto"/>
        <w:tabs>
          <w:tab w:leader="none" w:pos="7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R. Schneebaum, certify that:</w:t>
      </w:r>
    </w:p>
    <w:p>
      <w:pPr>
        <w:spacing w:after="0" w:line="225" w:lineRule="exact"/>
        <w:rPr>
          <w:sz w:val="20"/>
          <w:szCs w:val="20"/>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225" w:lineRule="exact"/>
        <w:rPr>
          <w:rFonts w:ascii="Arial" w:cs="Arial" w:eastAsia="Arial" w:hAnsi="Arial"/>
          <w:sz w:val="18"/>
          <w:szCs w:val="18"/>
          <w:color w:val="auto"/>
        </w:rPr>
      </w:pPr>
    </w:p>
    <w:p>
      <w:pPr>
        <w:ind w:right="140" w:firstLine="8"/>
        <w:spacing w:after="0" w:line="342" w:lineRule="auto"/>
        <w:tabs>
          <w:tab w:leader="none" w:pos="81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8"/>
        <w:spacing w:after="0" w:line="277" w:lineRule="auto"/>
        <w:tabs>
          <w:tab w:leader="none" w:pos="8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8"/>
        <w:spacing w:after="0" w:line="264" w:lineRule="auto"/>
        <w:tabs>
          <w:tab w:leader="none" w:pos="8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20" w:firstLine="8"/>
        <w:spacing w:after="0" w:line="264" w:lineRule="auto"/>
        <w:tabs>
          <w:tab w:leader="none" w:pos="7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00" w:hanging="792"/>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880" w:firstLine="8"/>
        <w:spacing w:after="0" w:line="342" w:lineRule="auto"/>
        <w:tabs>
          <w:tab w:leader="none" w:pos="83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8"/>
        <w:spacing w:after="0" w:line="264"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00" w:firstLine="8"/>
        <w:spacing w:after="0" w:line="308" w:lineRule="auto"/>
        <w:tabs>
          <w:tab w:leader="none" w:pos="81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320" w:firstLine="8"/>
        <w:spacing w:after="0" w:line="277" w:lineRule="auto"/>
        <w:tabs>
          <w:tab w:leader="none" w:pos="7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60" w:firstLine="8"/>
        <w:spacing w:after="0" w:line="277" w:lineRule="auto"/>
        <w:tabs>
          <w:tab w:leader="none" w:pos="7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Quarterly Report on Form 10-Q for the quarterly period ended September 30, 2017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Dated: November 9, 2017</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A. Friedman, M.D.</w:t>
            </w:r>
          </w:p>
        </w:tc>
      </w:tr>
      <w:tr>
        <w:trPr>
          <w:trHeight w:val="195"/>
        </w:trPr>
        <w:tc>
          <w:tcPr>
            <w:tcW w:w="580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Paul A. Friedman, M.D.</w:t>
            </w:r>
          </w:p>
        </w:tc>
      </w:tr>
      <w:tr>
        <w:trPr>
          <w:trHeight w:val="216"/>
        </w:trPr>
        <w:tc>
          <w:tcPr>
            <w:tcW w:w="58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230"/>
        </w:trPr>
        <w:tc>
          <w:tcPr>
            <w:tcW w:w="58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800" w:type="dxa"/>
            <w:vAlign w:val="bottom"/>
          </w:tcPr>
          <w:p>
            <w:pPr>
              <w:spacing w:after="0"/>
              <w:rPr>
                <w:sz w:val="20"/>
                <w:szCs w:val="20"/>
                <w:color w:val="auto"/>
              </w:rPr>
            </w:pPr>
            <w:r>
              <w:rPr>
                <w:rFonts w:ascii="Arial" w:cs="Arial" w:eastAsia="Arial" w:hAnsi="Arial"/>
                <w:sz w:val="18"/>
                <w:szCs w:val="18"/>
                <w:color w:val="auto"/>
              </w:rPr>
              <w:t>Dated: November 9, 2017</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R. Schneebaum</w:t>
            </w:r>
          </w:p>
        </w:tc>
      </w:tr>
      <w:tr>
        <w:trPr>
          <w:trHeight w:val="195"/>
        </w:trPr>
        <w:tc>
          <w:tcPr>
            <w:tcW w:w="580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Marc R. Schneebaum</w:t>
            </w:r>
          </w:p>
        </w:tc>
      </w:tr>
      <w:tr>
        <w:trPr>
          <w:trHeight w:val="216"/>
        </w:trPr>
        <w:tc>
          <w:tcPr>
            <w:tcW w:w="58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8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Accounting and Financial Officer)</w:t>
            </w:r>
          </w:p>
        </w:tc>
      </w:tr>
    </w:tbl>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5"/>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5"/>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2019-12-29T02:40:10Z</dcterms:created>
  <dcterms:modified xsi:type="dcterms:W3CDTF">2019-12-29T02:40:10Z</dcterms:modified>
</cp:coreProperties>
</file>