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3"/>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167005</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351"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195580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09"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Pursuant to Section 13 or 15(d)</w:t>
      </w:r>
    </w:p>
    <w:p>
      <w:pPr>
        <w:jc w:val="center"/>
        <w:ind w:right="-3"/>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15"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Date of Report (Date of earliest event reported): February 24,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173990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373" w:lineRule="exact"/>
        <w:rPr>
          <w:sz w:val="24"/>
          <w:szCs w:val="24"/>
          <w:color w:val="auto"/>
        </w:rPr>
      </w:pPr>
    </w:p>
    <w:p>
      <w:pPr>
        <w:jc w:val="center"/>
        <w:ind w:right="-3"/>
        <w:spacing w:after="0"/>
        <w:rPr>
          <w:sz w:val="20"/>
          <w:szCs w:val="20"/>
          <w:color w:val="auto"/>
        </w:rPr>
      </w:pPr>
      <w:r>
        <w:rPr>
          <w:rFonts w:ascii="Arial" w:cs="Arial" w:eastAsia="Arial" w:hAnsi="Arial"/>
          <w:sz w:val="43"/>
          <w:szCs w:val="43"/>
          <w:b w:val="1"/>
          <w:bCs w:val="1"/>
          <w:color w:val="auto"/>
        </w:rPr>
        <w:t>MADRIGAL PHARMACEUTICALS, INC.</w:t>
      </w:r>
    </w:p>
    <w:p>
      <w:pPr>
        <w:spacing w:after="0" w:line="50" w:lineRule="exact"/>
        <w:rPr>
          <w:sz w:val="24"/>
          <w:szCs w:val="24"/>
          <w:color w:val="auto"/>
        </w:rPr>
      </w:pPr>
    </w:p>
    <w:p>
      <w:pPr>
        <w:jc w:val="center"/>
        <w:ind w:right="-3"/>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167640</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sectPr>
      </w:pPr>
    </w:p>
    <w:p>
      <w:pPr>
        <w:spacing w:after="0" w:line="200" w:lineRule="exact"/>
        <w:rPr>
          <w:sz w:val="24"/>
          <w:szCs w:val="24"/>
          <w:color w:val="auto"/>
        </w:rPr>
      </w:pPr>
    </w:p>
    <w:p>
      <w:pPr>
        <w:spacing w:after="0" w:line="248" w:lineRule="exact"/>
        <w:rPr>
          <w:sz w:val="24"/>
          <w:szCs w:val="24"/>
          <w:color w:val="auto"/>
        </w:rPr>
      </w:pPr>
    </w:p>
    <w:p>
      <w:pPr>
        <w:ind w:left="1504"/>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8" w:lineRule="exact"/>
        <w:rPr>
          <w:sz w:val="24"/>
          <w:szCs w:val="24"/>
          <w:color w:val="auto"/>
        </w:rPr>
      </w:pPr>
    </w:p>
    <w:p>
      <w:pPr>
        <w:jc w:val="center"/>
        <w:ind w:right="2100"/>
        <w:spacing w:after="0"/>
        <w:rPr>
          <w:sz w:val="20"/>
          <w:szCs w:val="20"/>
          <w:color w:val="auto"/>
        </w:rPr>
      </w:pPr>
      <w:r>
        <w:rPr>
          <w:rFonts w:ascii="Arial" w:cs="Arial" w:eastAsia="Arial" w:hAnsi="Arial"/>
          <w:sz w:val="16"/>
          <w:szCs w:val="16"/>
          <w:b w:val="1"/>
          <w:bCs w:val="1"/>
          <w:color w:val="auto"/>
        </w:rPr>
        <w:t>001-33277</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8"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04-3508648</w:t>
      </w:r>
    </w:p>
    <w:p>
      <w:pPr>
        <w:spacing w:after="0" w:line="31" w:lineRule="exact"/>
        <w:rPr>
          <w:sz w:val="24"/>
          <w:szCs w:val="24"/>
          <w:color w:val="auto"/>
        </w:rPr>
      </w:pPr>
    </w:p>
    <w:p>
      <w:pPr>
        <w:sectPr>
          <w:pgSz w:w="11900" w:h="16838" w:orient="portrait"/>
          <w:cols w:equalWidth="0" w:num="3">
            <w:col w:w="4504" w:space="720"/>
            <w:col w:w="2880" w:space="720"/>
            <w:col w:w="2200"/>
          </w:cols>
          <w:pgMar w:left="436" w:top="368" w:right="439" w:bottom="1440" w:gutter="0" w:footer="0" w:header="0"/>
          <w:type w:val="continuous"/>
        </w:sectPr>
      </w:pPr>
    </w:p>
    <w:p>
      <w:pPr>
        <w:spacing w:after="0" w:line="12" w:lineRule="exact"/>
        <w:rPr>
          <w:sz w:val="24"/>
          <w:szCs w:val="24"/>
          <w:color w:val="auto"/>
        </w:rPr>
      </w:pPr>
    </w:p>
    <w:p>
      <w:pPr>
        <w:jc w:val="center"/>
        <w:ind w:right="756"/>
        <w:spacing w:after="0"/>
        <w:rPr>
          <w:sz w:val="20"/>
          <w:szCs w:val="20"/>
          <w:color w:val="auto"/>
        </w:rPr>
      </w:pPr>
      <w:r>
        <w:rPr>
          <w:rFonts w:ascii="Arial" w:cs="Arial" w:eastAsia="Arial" w:hAnsi="Arial"/>
          <w:sz w:val="13"/>
          <w:szCs w:val="13"/>
          <w:b w:val="1"/>
          <w:bCs w:val="1"/>
          <w:color w:val="auto"/>
        </w:rPr>
        <w:t>(State or other jurisdiction</w:t>
      </w:r>
    </w:p>
    <w:p>
      <w:pPr>
        <w:jc w:val="center"/>
        <w:ind w:right="756"/>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200"/>
        <w:spacing w:after="0"/>
        <w:rPr>
          <w:sz w:val="20"/>
          <w:szCs w:val="20"/>
          <w:color w:val="auto"/>
        </w:rPr>
      </w:pPr>
      <w:r>
        <w:rPr>
          <w:rFonts w:ascii="Arial" w:cs="Arial" w:eastAsia="Arial" w:hAnsi="Arial"/>
          <w:sz w:val="14"/>
          <w:szCs w:val="14"/>
          <w:b w:val="1"/>
          <w:bCs w:val="1"/>
          <w:color w:val="auto"/>
        </w:rPr>
        <w:t>(IRS Employer</w:t>
      </w:r>
    </w:p>
    <w:p>
      <w:pPr>
        <w:jc w:val="center"/>
        <w:ind w:right="1200"/>
        <w:spacing w:after="0"/>
        <w:rPr>
          <w:sz w:val="20"/>
          <w:szCs w:val="20"/>
          <w:color w:val="auto"/>
        </w:rPr>
      </w:pPr>
      <w:r>
        <w:rPr>
          <w:rFonts w:ascii="Arial" w:cs="Arial" w:eastAsia="Arial" w:hAnsi="Arial"/>
          <w:sz w:val="13"/>
          <w:szCs w:val="13"/>
          <w:b w:val="1"/>
          <w:bCs w:val="1"/>
          <w:color w:val="auto"/>
        </w:rPr>
        <w:t>Identification No.)</w:t>
      </w:r>
    </w:p>
    <w:p>
      <w:pPr>
        <w:spacing w:after="0" w:line="149" w:lineRule="exact"/>
        <w:rPr>
          <w:sz w:val="24"/>
          <w:szCs w:val="24"/>
          <w:color w:val="auto"/>
        </w:rPr>
      </w:pPr>
    </w:p>
    <w:p>
      <w:pPr>
        <w:sectPr>
          <w:pgSz w:w="11900" w:h="16838" w:orient="portrait"/>
          <w:cols w:equalWidth="0" w:num="3">
            <w:col w:w="4484" w:space="720"/>
            <w:col w:w="2760" w:space="720"/>
            <w:col w:w="2340"/>
          </w:cols>
          <w:pgMar w:left="436" w:top="368" w:right="439" w:bottom="1440" w:gutter="0" w:footer="0" w:header="0"/>
          <w:type w:val="continuous"/>
        </w:sectPr>
      </w:pPr>
    </w:p>
    <w:p>
      <w:pPr>
        <w:jc w:val="center"/>
        <w:ind w:right="1856"/>
        <w:spacing w:after="0"/>
        <w:rPr>
          <w:sz w:val="20"/>
          <w:szCs w:val="20"/>
          <w:color w:val="auto"/>
        </w:rPr>
      </w:pPr>
      <w:r>
        <w:rPr>
          <w:rFonts w:ascii="Arial" w:cs="Arial" w:eastAsia="Arial" w:hAnsi="Arial"/>
          <w:sz w:val="18"/>
          <w:szCs w:val="18"/>
          <w:b w:val="1"/>
          <w:bCs w:val="1"/>
          <w:color w:val="auto"/>
        </w:rPr>
        <w:t>Four Tower Bridge</w:t>
      </w:r>
    </w:p>
    <w:p>
      <w:pPr>
        <w:spacing w:after="0" w:line="27" w:lineRule="exact"/>
        <w:rPr>
          <w:sz w:val="24"/>
          <w:szCs w:val="24"/>
          <w:color w:val="auto"/>
        </w:rPr>
      </w:pPr>
    </w:p>
    <w:p>
      <w:pPr>
        <w:jc w:val="center"/>
        <w:ind w:right="1856"/>
        <w:spacing w:after="0"/>
        <w:rPr>
          <w:sz w:val="20"/>
          <w:szCs w:val="20"/>
          <w:color w:val="auto"/>
        </w:rPr>
      </w:pPr>
      <w:r>
        <w:rPr>
          <w:rFonts w:ascii="Arial" w:cs="Arial" w:eastAsia="Arial" w:hAnsi="Arial"/>
          <w:sz w:val="17"/>
          <w:szCs w:val="17"/>
          <w:b w:val="1"/>
          <w:bCs w:val="1"/>
          <w:color w:val="auto"/>
        </w:rPr>
        <w:t>200 Barr Harbor Drive, Suite 200</w:t>
      </w:r>
    </w:p>
    <w:p>
      <w:pPr>
        <w:spacing w:after="0" w:line="21" w:lineRule="exact"/>
        <w:rPr>
          <w:sz w:val="24"/>
          <w:szCs w:val="24"/>
          <w:color w:val="auto"/>
        </w:rPr>
      </w:pPr>
    </w:p>
    <w:p>
      <w:pPr>
        <w:jc w:val="center"/>
        <w:ind w:right="1856"/>
        <w:spacing w:after="0"/>
        <w:rPr>
          <w:sz w:val="20"/>
          <w:szCs w:val="20"/>
          <w:color w:val="auto"/>
        </w:rPr>
      </w:pPr>
      <w:r>
        <w:rPr>
          <w:rFonts w:ascii="Arial" w:cs="Arial" w:eastAsia="Arial" w:hAnsi="Arial"/>
          <w:sz w:val="15"/>
          <w:szCs w:val="15"/>
          <w:b w:val="1"/>
          <w:bCs w:val="1"/>
          <w:color w:val="auto"/>
        </w:rPr>
        <w:t>West Conshohocken, Pennsylvania</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5"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19428</w:t>
      </w:r>
    </w:p>
    <w:p>
      <w:pPr>
        <w:spacing w:after="0" w:line="61" w:lineRule="exact"/>
        <w:rPr>
          <w:sz w:val="24"/>
          <w:szCs w:val="24"/>
          <w:color w:val="auto"/>
        </w:rPr>
      </w:pPr>
    </w:p>
    <w:p>
      <w:pPr>
        <w:sectPr>
          <w:pgSz w:w="11900" w:h="16838" w:orient="portrait"/>
          <w:cols w:equalWidth="0" w:num="2">
            <w:col w:w="7404" w:space="720"/>
            <w:col w:w="2900"/>
          </w:cols>
          <w:pgMar w:left="436" w:top="368" w:right="439" w:bottom="1440" w:gutter="0" w:footer="0" w:header="0"/>
          <w:type w:val="continuous"/>
        </w:sectPr>
      </w:pPr>
    </w:p>
    <w:p>
      <w:pPr>
        <w:ind w:left="1584"/>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(Zip Code)</w:t>
      </w:r>
    </w:p>
    <w:p>
      <w:pPr>
        <w:spacing w:after="0" w:line="129" w:lineRule="exact"/>
        <w:rPr>
          <w:sz w:val="24"/>
          <w:szCs w:val="24"/>
          <w:color w:val="auto"/>
        </w:rPr>
      </w:pPr>
    </w:p>
    <w:p>
      <w:pPr>
        <w:sectPr>
          <w:pgSz w:w="11900" w:h="16838" w:orient="portrait"/>
          <w:cols w:equalWidth="0" w:num="2">
            <w:col w:w="7284" w:space="720"/>
            <w:col w:w="3020"/>
          </w:cols>
          <w:pgMar w:left="436" w:top="368" w:right="439" w:bottom="1440" w:gutter="0" w:footer="0" w:header="0"/>
          <w:type w:val="continuous"/>
        </w:sectPr>
      </w:pPr>
    </w:p>
    <w:p>
      <w:pPr>
        <w:jc w:val="center"/>
        <w:ind w:right="-3"/>
        <w:spacing w:after="0"/>
        <w:rPr>
          <w:sz w:val="20"/>
          <w:szCs w:val="20"/>
          <w:color w:val="auto"/>
        </w:rPr>
      </w:pPr>
      <w:r>
        <w:rPr>
          <w:rFonts w:ascii="Arial" w:cs="Arial" w:eastAsia="Arial" w:hAnsi="Arial"/>
          <w:sz w:val="18"/>
          <w:szCs w:val="18"/>
          <w:b w:val="1"/>
          <w:bCs w:val="1"/>
          <w:color w:val="auto"/>
        </w:rPr>
        <w:t>(267) 824-2827</w:t>
      </w:r>
    </w:p>
    <w:p>
      <w:pPr>
        <w:spacing w:after="0" w:line="27" w:lineRule="exact"/>
        <w:rPr>
          <w:sz w:val="24"/>
          <w:szCs w:val="24"/>
          <w:color w:val="auto"/>
        </w:rPr>
      </w:pPr>
    </w:p>
    <w:p>
      <w:pPr>
        <w:jc w:val="center"/>
        <w:ind w:right="-3"/>
        <w:spacing w:after="0"/>
        <w:rPr>
          <w:sz w:val="20"/>
          <w:szCs w:val="20"/>
          <w:color w:val="auto"/>
        </w:rPr>
      </w:pPr>
      <w:r>
        <w:rPr>
          <w:rFonts w:ascii="Arial" w:cs="Arial" w:eastAsia="Arial" w:hAnsi="Arial"/>
          <w:sz w:val="15"/>
          <w:szCs w:val="15"/>
          <w:b w:val="1"/>
          <w:bCs w:val="1"/>
          <w:color w:val="auto"/>
        </w:rPr>
        <w:t>Registrant’s telephone number, including area code</w:t>
      </w:r>
    </w:p>
    <w:p>
      <w:pPr>
        <w:sectPr>
          <w:pgSz w:w="11900" w:h="16838" w:orient="portrait"/>
          <w:cols w:equalWidth="0" w:num="1">
            <w:col w:w="11024"/>
          </w:cols>
          <w:pgMar w:left="436" w:top="368" w:right="439" w:bottom="1440" w:gutter="0" w:footer="0" w:header="0"/>
          <w:type w:val="continuous"/>
        </w:sectPr>
      </w:pPr>
    </w:p>
    <w:p>
      <w:pPr>
        <w:spacing w:after="0" w:line="345" w:lineRule="exact"/>
        <w:rPr>
          <w:sz w:val="24"/>
          <w:szCs w:val="24"/>
          <w:color w:val="auto"/>
        </w:rPr>
      </w:pPr>
    </w:p>
    <w:p>
      <w:pPr>
        <w:jc w:val="center"/>
        <w:ind w:right="-3"/>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169545</wp:posOffset>
            </wp:positionV>
            <wp:extent cx="14744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394" w:lineRule="exact"/>
        <w:rPr>
          <w:sz w:val="24"/>
          <w:szCs w:val="24"/>
          <w:color w:val="auto"/>
        </w:rPr>
      </w:pPr>
    </w:p>
    <w:p>
      <w:pPr>
        <w:ind w:left="4" w:right="4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44" w:lineRule="exact"/>
        <w:rPr>
          <w:sz w:val="24"/>
          <w:szCs w:val="24"/>
          <w:color w:val="auto"/>
        </w:rPr>
      </w:pPr>
    </w:p>
    <w:p>
      <w:pPr>
        <w:ind w:left="4" w:right="3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70" w:lineRule="exact"/>
        <w:rPr>
          <w:sz w:val="24"/>
          <w:szCs w:val="24"/>
          <w:color w:val="auto"/>
        </w:rPr>
      </w:pPr>
    </w:p>
    <w:p>
      <w:pPr>
        <w:ind w:left="7484"/>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190" w:lineRule="exact"/>
        <w:rPr>
          <w:sz w:val="24"/>
          <w:szCs w:val="24"/>
          <w:color w:val="auto"/>
        </w:rPr>
      </w:pPr>
    </w:p>
    <w:p>
      <w:pPr>
        <w:ind w:left="4"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01" w:lineRule="exact"/>
        <w:rPr>
          <w:sz w:val="24"/>
          <w:szCs w:val="24"/>
          <w:color w:val="auto"/>
        </w:rPr>
      </w:pPr>
    </w:p>
    <w:p>
      <w:pPr>
        <w:ind w:left="4"/>
        <w:spacing w:after="0"/>
        <w:rPr>
          <w:sz w:val="20"/>
          <w:szCs w:val="20"/>
          <w:color w:val="auto"/>
        </w:rPr>
      </w:pPr>
      <w:r>
        <w:rPr>
          <w:rFonts w:ascii="Arial" w:cs="Arial" w:eastAsia="Arial" w:hAnsi="Arial"/>
          <w:sz w:val="18"/>
          <w:szCs w:val="18"/>
          <w:color w:val="auto"/>
        </w:rPr>
        <w:t>Securities registered pursuant to Section 12(b) of the Act:</w:t>
      </w:r>
    </w:p>
    <w:p>
      <w:pPr>
        <w:spacing w:after="0" w:line="137" w:lineRule="exact"/>
        <w:rPr>
          <w:sz w:val="24"/>
          <w:szCs w:val="24"/>
          <w:color w:val="auto"/>
        </w:rPr>
      </w:pPr>
    </w:p>
    <w:tbl>
      <w:tblPr>
        <w:tblLayout w:type="fixed"/>
        <w:tblInd w:w="4"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3"/>
              </w:rPr>
              <w:t>Trading</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Symbol(s)</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2"/>
              </w:rPr>
              <w:t>on which registered</w:t>
            </w:r>
          </w:p>
        </w:tc>
        <w:tc>
          <w:tcPr>
            <w:tcW w:w="0" w:type="dxa"/>
            <w:vAlign w:val="bottom"/>
          </w:tcPr>
          <w:p>
            <w:pPr>
              <w:spacing w:after="0"/>
              <w:rPr>
                <w:sz w:val="1"/>
                <w:szCs w:val="1"/>
                <w:color w:val="auto"/>
              </w:rPr>
            </w:pPr>
          </w:p>
        </w:tc>
      </w:tr>
      <w:tr>
        <w:trPr>
          <w:trHeight w:val="228"/>
        </w:trPr>
        <w:tc>
          <w:tcPr>
            <w:tcW w:w="37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Common Stock, $0.0001 Par Value Per Share</w:t>
            </w:r>
          </w:p>
        </w:tc>
        <w:tc>
          <w:tcPr>
            <w:tcW w:w="120" w:type="dxa"/>
            <w:vAlign w:val="bottom"/>
          </w:tcPr>
          <w:p>
            <w:pPr>
              <w:spacing w:after="0"/>
              <w:rPr>
                <w:sz w:val="19"/>
                <w:szCs w:val="19"/>
                <w:color w:val="auto"/>
              </w:rPr>
            </w:pPr>
          </w:p>
        </w:tc>
        <w:tc>
          <w:tcPr>
            <w:tcW w:w="352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rPr>
              <w:t>MDGL</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6"/>
              </w:rPr>
              <w:t>The NASDAQ Stock Market LLC</w:t>
            </w:r>
          </w:p>
        </w:tc>
        <w:tc>
          <w:tcPr>
            <w:tcW w:w="0" w:type="dxa"/>
            <w:vAlign w:val="bottom"/>
          </w:tcPr>
          <w:p>
            <w:pPr>
              <w:spacing w:after="0"/>
              <w:rPr>
                <w:sz w:val="1"/>
                <w:szCs w:val="1"/>
                <w:color w:val="auto"/>
              </w:rPr>
            </w:pPr>
          </w:p>
        </w:tc>
      </w:tr>
      <w:tr>
        <w:trPr>
          <w:trHeight w:val="211"/>
        </w:trPr>
        <w:tc>
          <w:tcPr>
            <w:tcW w:w="374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35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354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8"/>
        </w:trPr>
        <w:tc>
          <w:tcPr>
            <w:tcW w:w="374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35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35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1900" w:h="16838" w:orient="portrait"/>
          <w:cols w:equalWidth="0" w:num="1">
            <w:col w:w="11024"/>
          </w:cols>
          <w:pgMar w:left="436" w:top="368" w:right="439" w:bottom="1440" w:gutter="0" w:footer="0" w:header="0"/>
          <w:type w:val="continuous"/>
        </w:sectPr>
      </w:pPr>
    </w:p>
    <w:bookmarkStart w:id="1" w:name="page2"/>
    <w:bookmarkEnd w:id="1"/>
    <w:p>
      <w:pPr>
        <w:ind w:left="4"/>
        <w:spacing w:after="0"/>
        <w:tabs>
          <w:tab w:leader="none" w:pos="1184"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74865" cy="55880"/>
                    </a:xfrm>
                    <a:prstGeom prst="rect">
                      <a:avLst/>
                    </a:prstGeom>
                    <a:noFill/>
                  </pic:spPr>
                </pic:pic>
              </a:graphicData>
            </a:graphic>
          </wp:anchor>
        </w:drawing>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21" w:lineRule="exact"/>
        <w:rPr>
          <w:sz w:val="20"/>
          <w:szCs w:val="20"/>
          <w:color w:val="auto"/>
        </w:rPr>
      </w:pPr>
    </w:p>
    <w:p>
      <w:pPr>
        <w:ind w:left="4"/>
        <w:spacing w:after="0" w:line="263" w:lineRule="auto"/>
        <w:rPr>
          <w:sz w:val="20"/>
          <w:szCs w:val="20"/>
          <w:color w:val="auto"/>
        </w:rPr>
      </w:pPr>
      <w:r>
        <w:rPr>
          <w:rFonts w:ascii="Arial" w:cs="Arial" w:eastAsia="Arial" w:hAnsi="Arial"/>
          <w:sz w:val="18"/>
          <w:szCs w:val="18"/>
          <w:color w:val="auto"/>
        </w:rPr>
        <w:t>On February 24, 2022, Madrigal Pharmaceuticals, Inc. (the “Company”) issued a press release announcing the Company’s financial results for its fourth fiscal quarter and fiscal year ended December 31, 2021. A copy of the press release is furnished herewith as Exhibit 99.1 to this Current Report on Form 8-K and is incorporated herein by reference.</w:t>
      </w:r>
    </w:p>
    <w:p>
      <w:pPr>
        <w:spacing w:after="0" w:line="184" w:lineRule="exact"/>
        <w:rPr>
          <w:sz w:val="20"/>
          <w:szCs w:val="20"/>
          <w:color w:val="auto"/>
        </w:rPr>
      </w:pPr>
    </w:p>
    <w:p>
      <w:pPr>
        <w:ind w:left="4" w:right="160"/>
        <w:spacing w:after="0" w:line="259" w:lineRule="auto"/>
        <w:rPr>
          <w:sz w:val="20"/>
          <w:szCs w:val="20"/>
          <w:color w:val="auto"/>
        </w:rPr>
      </w:pPr>
      <w:r>
        <w:rPr>
          <w:rFonts w:ascii="Arial" w:cs="Arial" w:eastAsia="Arial" w:hAnsi="Arial"/>
          <w:sz w:val="18"/>
          <w:szCs w:val="18"/>
          <w:color w:val="auto"/>
        </w:rPr>
        <w:t>The information in this Current Report on Form 8-K and the accompanying Exhibit 99.1 shall not be deemed “filed” for purposes of Section 18 of the Securities Exchange Act of 1934, as amended (the “Exchange Act”), or otherwise subject to the liabilities of that section, nor shall it be deemed incorporated by reference in any filing under the Securities Act of 1933, as amended, or the Exchange Act, regardless of any general incorporation language in such filing, unless expressly incorporated by reference in such filing.</w:t>
      </w:r>
    </w:p>
    <w:p>
      <w:pPr>
        <w:spacing w:after="0" w:line="331" w:lineRule="exact"/>
        <w:rPr>
          <w:sz w:val="20"/>
          <w:szCs w:val="20"/>
          <w:color w:val="auto"/>
        </w:rPr>
      </w:pPr>
    </w:p>
    <w:p>
      <w:pPr>
        <w:ind w:left="4"/>
        <w:spacing w:after="0"/>
        <w:tabs>
          <w:tab w:leader="none" w:pos="1184"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21" w:lineRule="exact"/>
        <w:rPr>
          <w:sz w:val="20"/>
          <w:szCs w:val="20"/>
          <w:color w:val="auto"/>
        </w:rPr>
      </w:pPr>
    </w:p>
    <w:p>
      <w:pPr>
        <w:ind w:left="4"/>
        <w:spacing w:after="0"/>
        <w:rPr>
          <w:sz w:val="20"/>
          <w:szCs w:val="20"/>
          <w:color w:val="auto"/>
        </w:rPr>
      </w:pPr>
      <w:r>
        <w:rPr>
          <w:rFonts w:ascii="Arial" w:cs="Arial" w:eastAsia="Arial" w:hAnsi="Arial"/>
          <w:sz w:val="18"/>
          <w:szCs w:val="18"/>
          <w:color w:val="auto"/>
        </w:rPr>
        <w:t>(d) Exhibits</w:t>
      </w:r>
    </w:p>
    <w:p>
      <w:pPr>
        <w:spacing w:after="0" w:line="244" w:lineRule="exact"/>
        <w:rPr>
          <w:sz w:val="20"/>
          <w:szCs w:val="20"/>
          <w:color w:val="auto"/>
        </w:rPr>
      </w:pPr>
    </w:p>
    <w:p>
      <w:pPr>
        <w:ind w:left="24"/>
        <w:spacing w:after="0"/>
        <w:rPr>
          <w:sz w:val="20"/>
          <w:szCs w:val="20"/>
          <w:color w:val="auto"/>
        </w:rPr>
      </w:pPr>
      <w:r>
        <w:rPr>
          <w:rFonts w:ascii="Arial" w:cs="Arial" w:eastAsia="Arial" w:hAnsi="Arial"/>
          <w:sz w:val="14"/>
          <w:szCs w:val="14"/>
          <w:b w:val="1"/>
          <w:bCs w:val="1"/>
          <w:color w:val="auto"/>
        </w:rPr>
        <w:t>Exhibit</w:t>
      </w:r>
    </w:p>
    <w:p>
      <w:pPr>
        <w:ind w:left="4"/>
        <w:spacing w:after="0" w:line="180" w:lineRule="auto"/>
        <w:tabs>
          <w:tab w:leader="none" w:pos="1024" w:val="left"/>
        </w:tabs>
        <w:rPr>
          <w:sz w:val="20"/>
          <w:szCs w:val="20"/>
          <w:color w:val="auto"/>
        </w:rPr>
      </w:pPr>
      <w:r>
        <w:rPr>
          <w:rFonts w:ascii="Arial" w:cs="Arial" w:eastAsia="Arial" w:hAnsi="Arial"/>
          <w:sz w:val="22"/>
          <w:szCs w:val="22"/>
          <w:b w:val="1"/>
          <w:bCs w:val="1"/>
          <w:u w:val="single" w:color="auto"/>
          <w:color w:val="auto"/>
          <w:vertAlign w:val="superscript"/>
        </w:rPr>
        <w:t>Number</w:t>
      </w:r>
      <w:r>
        <w:rPr>
          <w:sz w:val="20"/>
          <w:szCs w:val="20"/>
          <w:color w:val="auto"/>
        </w:rPr>
        <w:tab/>
      </w:r>
      <w:r>
        <w:rPr>
          <w:rFonts w:ascii="Arial" w:cs="Arial" w:eastAsia="Arial" w:hAnsi="Arial"/>
          <w:sz w:val="12"/>
          <w:szCs w:val="12"/>
          <w:b w:val="1"/>
          <w:bCs w:val="1"/>
          <w:u w:val="single" w:color="auto"/>
          <w:color w:val="auto"/>
        </w:rPr>
        <w:t>Description</w:t>
      </w:r>
    </w:p>
    <w:p>
      <w:pPr>
        <w:spacing w:after="0" w:line="119" w:lineRule="exact"/>
        <w:rPr>
          <w:sz w:val="20"/>
          <w:szCs w:val="20"/>
          <w:color w:val="auto"/>
        </w:rPr>
      </w:pPr>
    </w:p>
    <w:p>
      <w:pPr>
        <w:ind w:left="4"/>
        <w:spacing w:after="0"/>
        <w:tabs>
          <w:tab w:leader="none" w:pos="1024" w:val="left"/>
        </w:tabs>
        <w:rPr>
          <w:rFonts w:ascii="Arial" w:cs="Arial" w:eastAsia="Arial" w:hAnsi="Arial"/>
          <w:sz w:val="15"/>
          <w:szCs w:val="15"/>
          <w:u w:val="single" w:color="auto"/>
          <w:color w:val="0000EE"/>
        </w:rPr>
      </w:pPr>
      <w:r>
        <w:rPr>
          <w:rFonts w:ascii="Arial" w:cs="Arial" w:eastAsia="Arial" w:hAnsi="Arial"/>
          <w:sz w:val="18"/>
          <w:szCs w:val="18"/>
          <w:color w:val="auto"/>
        </w:rPr>
        <w:t>99.1</w:t>
      </w:r>
      <w:r>
        <w:rPr>
          <w:sz w:val="20"/>
          <w:szCs w:val="20"/>
          <w:color w:val="auto"/>
        </w:rPr>
        <w:tab/>
      </w:r>
      <w:hyperlink w:anchor="page4">
        <w:r>
          <w:rPr>
            <w:rFonts w:ascii="Arial" w:cs="Arial" w:eastAsia="Arial" w:hAnsi="Arial"/>
            <w:sz w:val="15"/>
            <w:szCs w:val="15"/>
            <w:u w:val="single" w:color="auto"/>
            <w:color w:val="0000EE"/>
          </w:rPr>
          <w:t>Press Release Dated February 24, 2022.</w:t>
        </w:r>
      </w:hyperlink>
    </w:p>
    <w:p>
      <w:pPr>
        <w:spacing w:after="0" w:line="101" w:lineRule="exact"/>
        <w:rPr>
          <w:sz w:val="20"/>
          <w:szCs w:val="20"/>
          <w:color w:val="auto"/>
        </w:rPr>
      </w:pPr>
    </w:p>
    <w:p>
      <w:pPr>
        <w:ind w:left="5464" w:right="4080" w:hanging="5464"/>
        <w:spacing w:after="0" w:line="449" w:lineRule="auto"/>
        <w:tabs>
          <w:tab w:leader="none" w:pos="1040" w:val="left"/>
        </w:tabs>
        <w:numPr>
          <w:ilvl w:val="0"/>
          <w:numId w:val="2"/>
        </w:numPr>
        <w:rPr>
          <w:rFonts w:ascii="Arial" w:cs="Arial" w:eastAsia="Arial" w:hAnsi="Arial"/>
          <w:sz w:val="18"/>
          <w:szCs w:val="18"/>
          <w:color w:val="auto"/>
        </w:rPr>
      </w:pPr>
      <w:r>
        <w:rPr>
          <w:rFonts w:ascii="Arial" w:cs="Arial" w:eastAsia="Arial" w:hAnsi="Arial"/>
          <w:sz w:val="18"/>
          <w:szCs w:val="18"/>
          <w:color w:val="auto"/>
        </w:rPr>
        <w:t>Cover Page Interactive Data File (embedded within the Inline XBRL Document) 2</w:t>
      </w:r>
    </w:p>
    <w:p>
      <w:pPr>
        <w:sectPr>
          <w:pgSz w:w="11900" w:h="16838" w:orient="portrait"/>
          <w:cols w:equalWidth="0" w:num="1">
            <w:col w:w="10944"/>
          </w:cols>
          <w:pgMar w:left="436" w:top="297" w:right="51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74865" cy="55245"/>
                    </a:xfrm>
                    <a:prstGeom prst="rect">
                      <a:avLst/>
                    </a:prstGeom>
                    <a:noFill/>
                  </pic:spPr>
                </pic:pic>
              </a:graphicData>
            </a:graphic>
          </wp:anchor>
        </w:drawing>
        <w:t>SIGNATURES</w:t>
      </w:r>
    </w:p>
    <w:p>
      <w:pPr>
        <w:spacing w:after="0" w:line="229" w:lineRule="exact"/>
        <w:rPr>
          <w:sz w:val="20"/>
          <w:szCs w:val="20"/>
          <w:color w:val="auto"/>
        </w:rPr>
      </w:pPr>
    </w:p>
    <w:p>
      <w:pPr>
        <w:ind w:right="320" w:firstLine="4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5520"/>
        <w:spacing w:after="0"/>
        <w:rPr>
          <w:sz w:val="20"/>
          <w:szCs w:val="20"/>
          <w:color w:val="auto"/>
        </w:rPr>
      </w:pPr>
      <w:r>
        <w:rPr>
          <w:rFonts w:ascii="Arial" w:cs="Arial" w:eastAsia="Arial" w:hAnsi="Arial"/>
          <w:sz w:val="18"/>
          <w:szCs w:val="18"/>
          <w:b w:val="1"/>
          <w:bCs w:val="1"/>
          <w:color w:val="auto"/>
        </w:rPr>
        <w:t>MADRIGAL PHARMACEUTICALS, INC.</w:t>
      </w:r>
    </w:p>
    <w:p>
      <w:pPr>
        <w:spacing w:after="0" w:line="229" w:lineRule="exact"/>
        <w:rPr>
          <w:sz w:val="20"/>
          <w:szCs w:val="20"/>
          <w:color w:val="auto"/>
        </w:rPr>
      </w:pPr>
    </w:p>
    <w:tbl>
      <w:tblPr>
        <w:tblLayout w:type="fixed"/>
        <w:tblInd w:w="5520" w:type="dxa"/>
        <w:tblCellMar>
          <w:top w:w="0" w:type="dxa"/>
          <w:left w:w="0" w:type="dxa"/>
          <w:bottom w:w="0" w:type="dxa"/>
          <w:right w:w="0" w:type="dxa"/>
        </w:tblCellMar>
      </w:tblPr>
      <w:tr>
        <w:trPr>
          <w:trHeight w:val="230"/>
        </w:trPr>
        <w:tc>
          <w:tcPr>
            <w:tcW w:w="640" w:type="dxa"/>
            <w:vAlign w:val="bottom"/>
          </w:tcPr>
          <w:p>
            <w:pPr>
              <w:spacing w:after="0"/>
              <w:rPr>
                <w:sz w:val="20"/>
                <w:szCs w:val="20"/>
                <w:color w:val="auto"/>
              </w:rPr>
            </w:pPr>
            <w:r>
              <w:rPr>
                <w:rFonts w:ascii="Arial" w:cs="Arial" w:eastAsia="Arial" w:hAnsi="Arial"/>
                <w:sz w:val="18"/>
                <w:szCs w:val="18"/>
                <w:color w:val="auto"/>
              </w:rPr>
              <w:t>By:</w:t>
            </w:r>
          </w:p>
        </w:tc>
        <w:tc>
          <w:tcPr>
            <w:tcW w:w="48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Brian J. Lynch</w:t>
            </w:r>
          </w:p>
        </w:tc>
      </w:tr>
      <w:tr>
        <w:trPr>
          <w:trHeight w:val="209"/>
        </w:trPr>
        <w:tc>
          <w:tcPr>
            <w:tcW w:w="640" w:type="dxa"/>
            <w:vAlign w:val="bottom"/>
          </w:tcPr>
          <w:p>
            <w:pPr>
              <w:spacing w:after="0"/>
              <w:rPr>
                <w:sz w:val="20"/>
                <w:szCs w:val="20"/>
                <w:color w:val="auto"/>
              </w:rPr>
            </w:pPr>
            <w:r>
              <w:rPr>
                <w:rFonts w:ascii="Arial" w:cs="Arial" w:eastAsia="Arial" w:hAnsi="Arial"/>
                <w:sz w:val="18"/>
                <w:szCs w:val="18"/>
                <w:color w:val="auto"/>
              </w:rPr>
              <w:t>Name:</w:t>
            </w:r>
          </w:p>
        </w:tc>
        <w:tc>
          <w:tcPr>
            <w:tcW w:w="4860" w:type="dxa"/>
            <w:vAlign w:val="bottom"/>
          </w:tcPr>
          <w:p>
            <w:pPr>
              <w:spacing w:after="0"/>
              <w:rPr>
                <w:sz w:val="20"/>
                <w:szCs w:val="20"/>
                <w:color w:val="auto"/>
              </w:rPr>
            </w:pPr>
            <w:r>
              <w:rPr>
                <w:rFonts w:ascii="Arial" w:cs="Arial" w:eastAsia="Arial" w:hAnsi="Arial"/>
                <w:sz w:val="18"/>
                <w:szCs w:val="18"/>
                <w:color w:val="auto"/>
              </w:rPr>
              <w:t>Brian J. Lynch</w:t>
            </w:r>
          </w:p>
        </w:tc>
      </w:tr>
      <w:tr>
        <w:trPr>
          <w:trHeight w:val="230"/>
        </w:trPr>
        <w:tc>
          <w:tcPr>
            <w:tcW w:w="640" w:type="dxa"/>
            <w:vAlign w:val="bottom"/>
          </w:tcPr>
          <w:p>
            <w:pPr>
              <w:spacing w:after="0"/>
              <w:rPr>
                <w:sz w:val="20"/>
                <w:szCs w:val="20"/>
                <w:color w:val="auto"/>
              </w:rPr>
            </w:pPr>
            <w:r>
              <w:rPr>
                <w:rFonts w:ascii="Arial" w:cs="Arial" w:eastAsia="Arial" w:hAnsi="Arial"/>
                <w:sz w:val="18"/>
                <w:szCs w:val="18"/>
                <w:color w:val="auto"/>
              </w:rPr>
              <w:t>Title:</w:t>
            </w:r>
          </w:p>
        </w:tc>
        <w:tc>
          <w:tcPr>
            <w:tcW w:w="4860" w:type="dxa"/>
            <w:vAlign w:val="bottom"/>
          </w:tcPr>
          <w:p>
            <w:pPr>
              <w:spacing w:after="0"/>
              <w:rPr>
                <w:sz w:val="20"/>
                <w:szCs w:val="20"/>
                <w:color w:val="auto"/>
              </w:rPr>
            </w:pPr>
            <w:r>
              <w:rPr>
                <w:rFonts w:ascii="Arial" w:cs="Arial" w:eastAsia="Arial" w:hAnsi="Arial"/>
                <w:sz w:val="18"/>
                <w:szCs w:val="18"/>
                <w:color w:val="auto"/>
              </w:rPr>
              <w:t>Senior Vice President and General Counsel</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Date: February 24, 2022</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020"/>
          </w:cols>
          <w:pgMar w:left="440" w:top="297" w:right="4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171450</wp:posOffset>
            </wp:positionV>
            <wp:extent cx="1457325" cy="3086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457325" cy="3086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Madrigal Pharmaceuticals Provides Business and Clinical Updates and Reports 2021 Fourth Quarter and Full Year Financial Results</w:t>
      </w:r>
    </w:p>
    <w:p>
      <w:pPr>
        <w:spacing w:after="0" w:line="129" w:lineRule="exact"/>
        <w:rPr>
          <w:sz w:val="20"/>
          <w:szCs w:val="20"/>
          <w:color w:val="auto"/>
        </w:rPr>
      </w:pPr>
    </w:p>
    <w:p>
      <w:pPr>
        <w:ind w:right="260"/>
        <w:spacing w:after="0" w:line="266" w:lineRule="auto"/>
        <w:rPr>
          <w:sz w:val="20"/>
          <w:szCs w:val="20"/>
          <w:color w:val="auto"/>
        </w:rPr>
      </w:pPr>
      <w:r>
        <w:rPr>
          <w:rFonts w:ascii="Arial" w:cs="Arial" w:eastAsia="Arial" w:hAnsi="Arial"/>
          <w:sz w:val="18"/>
          <w:szCs w:val="18"/>
          <w:b w:val="1"/>
          <w:bCs w:val="1"/>
          <w:color w:val="auto"/>
        </w:rPr>
        <w:t>CONSHOHOCKEN, PA</w:t>
      </w:r>
      <w:r>
        <w:rPr>
          <w:rFonts w:ascii="Arial" w:cs="Arial" w:eastAsia="Arial" w:hAnsi="Arial"/>
          <w:sz w:val="18"/>
          <w:szCs w:val="18"/>
          <w:color w:val="auto"/>
        </w:rPr>
        <w:t>, February 24, 2022 — Madrigal Pharmaceuticals, Inc. (NASDAQ:MDGL), a clinical-stage biopharmaceutical company</w:t>
      </w:r>
      <w:r>
        <w:rPr>
          <w:rFonts w:ascii="Arial" w:cs="Arial" w:eastAsia="Arial" w:hAnsi="Arial"/>
          <w:sz w:val="18"/>
          <w:szCs w:val="18"/>
          <w:b w:val="1"/>
          <w:bCs w:val="1"/>
          <w:color w:val="auto"/>
        </w:rPr>
        <w:t xml:space="preserve"> </w:t>
      </w:r>
      <w:r>
        <w:rPr>
          <w:rFonts w:ascii="Arial" w:cs="Arial" w:eastAsia="Arial" w:hAnsi="Arial"/>
          <w:sz w:val="18"/>
          <w:szCs w:val="18"/>
          <w:color w:val="auto"/>
        </w:rPr>
        <w:t>pursuing novel therapeutics for non-alcoholic steatohepatitis (NASH), today provides a summary of corporate accomplishments and reports its fourth quarter and full year 2021 financial results.</w:t>
      </w:r>
    </w:p>
    <w:p>
      <w:pPr>
        <w:spacing w:after="0" w:line="180"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Paul Friedman, M.D., Chief Executive Officer of Madrigal, stated, “2021 was a year of significant progress for Madrigal as we continued to advance our industry-leading NASH clinical development program, setting up two critical readouts from our Phase 3 MAESTRO trials in 2022, one of which we have already delivered. Additionally, we expanded our leadership team, deepened relationships with the NASH community and enhanced our capabilities to support the commercialization of resmetirom.”</w:t>
      </w:r>
    </w:p>
    <w:p>
      <w:pPr>
        <w:spacing w:after="0" w:line="187"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Becky Taub, M.D., Chief Medical Officer and President of Research &amp; Development at Madrigal stated, “The positive MAESTRO-NAFLD-1 safety study results we announced in January support our conviction that resmetirom has the potential to be the first medication approved for the treatment of patients with NASH. The data reinforce our expectation that the second Phase 3 trial of resmetirom, the MAESTRO-NASH liver biopsy study, will also produce positive safety and efficacy data later this year.”</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Clinical Trial Results and Updates</w:t>
      </w:r>
    </w:p>
    <w:p>
      <w:pPr>
        <w:spacing w:after="0" w:line="121"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auto"/>
        </w:rPr>
        <w:t>Primary and key secondary endpoints from the double-blind placebo-controlled 969-patient MAESTRO-NAFLD-1 safety study were achieved and demonstrate that resmetirom:</w:t>
      </w:r>
    </w:p>
    <w:p>
      <w:pPr>
        <w:spacing w:after="0" w:line="76" w:lineRule="exact"/>
        <w:rPr>
          <w:sz w:val="20"/>
          <w:szCs w:val="20"/>
          <w:color w:val="auto"/>
        </w:rPr>
      </w:pPr>
    </w:p>
    <w:p>
      <w:pPr>
        <w:ind w:left="960" w:hanging="424"/>
        <w:spacing w:after="0"/>
        <w:tabs>
          <w:tab w:leader="none" w:pos="960" w:val="left"/>
        </w:tabs>
        <w:numPr>
          <w:ilvl w:val="0"/>
          <w:numId w:val="3"/>
        </w:numPr>
        <w:rPr>
          <w:rFonts w:ascii="Arial" w:cs="Arial" w:eastAsia="Arial" w:hAnsi="Arial"/>
          <w:sz w:val="18"/>
          <w:szCs w:val="18"/>
          <w:color w:val="auto"/>
        </w:rPr>
      </w:pPr>
      <w:r>
        <w:rPr>
          <w:rFonts w:ascii="Arial" w:cs="Arial" w:eastAsia="Arial" w:hAnsi="Arial"/>
          <w:sz w:val="18"/>
          <w:szCs w:val="18"/>
          <w:color w:val="auto"/>
        </w:rPr>
        <w:t>Was safe and well-tolerated at 80 and 100 mg in patients treated for 52 weeks;</w:t>
      </w:r>
    </w:p>
    <w:p>
      <w:pPr>
        <w:spacing w:after="0" w:line="130" w:lineRule="exact"/>
        <w:rPr>
          <w:rFonts w:ascii="Arial" w:cs="Arial" w:eastAsia="Arial" w:hAnsi="Arial"/>
          <w:sz w:val="18"/>
          <w:szCs w:val="18"/>
          <w:color w:val="auto"/>
        </w:rPr>
      </w:pPr>
    </w:p>
    <w:p>
      <w:pPr>
        <w:ind w:left="960" w:right="120" w:hanging="424"/>
        <w:spacing w:after="0" w:line="277" w:lineRule="auto"/>
        <w:tabs>
          <w:tab w:leader="none" w:pos="960" w:val="left"/>
        </w:tabs>
        <w:numPr>
          <w:ilvl w:val="0"/>
          <w:numId w:val="3"/>
        </w:numPr>
        <w:rPr>
          <w:rFonts w:ascii="Arial" w:cs="Arial" w:eastAsia="Arial" w:hAnsi="Arial"/>
          <w:sz w:val="18"/>
          <w:szCs w:val="18"/>
          <w:color w:val="auto"/>
        </w:rPr>
      </w:pPr>
      <w:r>
        <w:rPr>
          <w:rFonts w:ascii="Arial" w:cs="Arial" w:eastAsia="Arial" w:hAnsi="Arial"/>
          <w:sz w:val="18"/>
          <w:szCs w:val="18"/>
          <w:color w:val="auto"/>
        </w:rPr>
        <w:t>Provided significant and, we believe, clinically relevant reductions in liver fat as measured by magnetic resonance imaging proton density fat-fraction (MRI-PDFF);</w:t>
      </w:r>
    </w:p>
    <w:p>
      <w:pPr>
        <w:spacing w:after="0" w:line="75" w:lineRule="exact"/>
        <w:rPr>
          <w:rFonts w:ascii="Arial" w:cs="Arial" w:eastAsia="Arial" w:hAnsi="Arial"/>
          <w:sz w:val="18"/>
          <w:szCs w:val="18"/>
          <w:color w:val="auto"/>
        </w:rPr>
      </w:pPr>
    </w:p>
    <w:p>
      <w:pPr>
        <w:ind w:left="960" w:hanging="424"/>
        <w:spacing w:after="0"/>
        <w:tabs>
          <w:tab w:leader="none" w:pos="960" w:val="left"/>
        </w:tabs>
        <w:numPr>
          <w:ilvl w:val="0"/>
          <w:numId w:val="3"/>
        </w:numPr>
        <w:rPr>
          <w:rFonts w:ascii="Arial" w:cs="Arial" w:eastAsia="Arial" w:hAnsi="Arial"/>
          <w:sz w:val="18"/>
          <w:szCs w:val="18"/>
          <w:color w:val="auto"/>
        </w:rPr>
      </w:pPr>
      <w:r>
        <w:rPr>
          <w:rFonts w:ascii="Arial" w:cs="Arial" w:eastAsia="Arial" w:hAnsi="Arial"/>
          <w:sz w:val="18"/>
          <w:szCs w:val="18"/>
          <w:color w:val="auto"/>
        </w:rPr>
        <w:t>Significantly reduced atherogenic lipids, including LDLc, apolipoprotein B and triglycerides.</w:t>
      </w:r>
    </w:p>
    <w:p>
      <w:pPr>
        <w:spacing w:after="0" w:line="225" w:lineRule="exact"/>
        <w:rPr>
          <w:sz w:val="20"/>
          <w:szCs w:val="20"/>
          <w:color w:val="auto"/>
        </w:rPr>
      </w:pPr>
    </w:p>
    <w:p>
      <w:pPr>
        <w:ind w:right="300"/>
        <w:spacing w:after="0" w:line="342" w:lineRule="auto"/>
        <w:rPr>
          <w:sz w:val="20"/>
          <w:szCs w:val="20"/>
          <w:color w:val="auto"/>
        </w:rPr>
      </w:pPr>
      <w:r>
        <w:rPr>
          <w:rFonts w:ascii="Arial" w:cs="Arial" w:eastAsia="Arial" w:hAnsi="Arial"/>
          <w:sz w:val="16"/>
          <w:szCs w:val="16"/>
          <w:color w:val="auto"/>
        </w:rPr>
        <w:t>Adverse events were generally mild to moderate in severity. The frequency of serious adverse events was similar across placebo and active treatment arms and discontinuation for adverse events was low. Serious adverse events occurred at expected rates based on the patient population.</w:t>
      </w:r>
    </w:p>
    <w:p>
      <w:pPr>
        <w:spacing w:after="0" w:line="124"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color w:val="auto"/>
        </w:rPr>
        <w:t>Madrigal will continue to generate safety and efficacy data from the MAESTRO-NAFLD-1 trial and intends to provide at least one additional public disclosure prior to publication/presentation at a major medical meeting.</w:t>
      </w:r>
    </w:p>
    <w:p>
      <w:pPr>
        <w:sectPr>
          <w:pgSz w:w="11900" w:h="16838" w:orient="portrait"/>
          <w:cols w:equalWidth="0" w:num="1">
            <w:col w:w="11020"/>
          </w:cols>
          <w:pgMar w:left="440" w:top="121" w:right="439" w:bottom="1440" w:gutter="0" w:footer="0" w:header="0"/>
        </w:sectPr>
      </w:pPr>
    </w:p>
    <w:bookmarkStart w:id="4" w:name="page5"/>
    <w:bookmarkEnd w:id="4"/>
    <w:p>
      <w:pPr>
        <w:jc w:val="both"/>
        <w:ind w:right="28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73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183515</wp:posOffset>
            </wp:positionV>
            <wp:extent cx="1448435" cy="3511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1448435" cy="351155"/>
                    </a:xfrm>
                    <a:prstGeom prst="rect">
                      <a:avLst/>
                    </a:prstGeom>
                    <a:noFill/>
                  </pic:spPr>
                </pic:pic>
              </a:graphicData>
            </a:graphic>
          </wp:anchor>
        </w:drawing>
        <w:t>The Phase 3 MAESTRO-NASH trial continues to progress with the Subpart H cohort patients scheduled to complete the 52-week dosing regimen on time. Based on more conservative timeline assumptions for analysis of biopsies and other data from the trial, topline results are now expected in Q4 2022.</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Leadership Team Expanded</w:t>
      </w:r>
    </w:p>
    <w:p>
      <w:pPr>
        <w:spacing w:after="0" w:line="121" w:lineRule="exact"/>
        <w:rPr>
          <w:sz w:val="20"/>
          <w:szCs w:val="20"/>
          <w:color w:val="auto"/>
        </w:rPr>
      </w:pPr>
    </w:p>
    <w:p>
      <w:pPr>
        <w:spacing w:after="0" w:line="255" w:lineRule="auto"/>
        <w:rPr>
          <w:sz w:val="20"/>
          <w:szCs w:val="20"/>
          <w:color w:val="auto"/>
        </w:rPr>
      </w:pPr>
      <w:r>
        <w:rPr>
          <w:rFonts w:ascii="Arial" w:cs="Arial" w:eastAsia="Arial" w:hAnsi="Arial"/>
          <w:sz w:val="18"/>
          <w:szCs w:val="18"/>
          <w:i w:val="1"/>
          <w:iCs w:val="1"/>
          <w:color w:val="auto"/>
        </w:rPr>
        <w:t xml:space="preserve">Dominic F. Labriola, PhD, </w:t>
      </w:r>
      <w:r>
        <w:rPr>
          <w:rFonts w:ascii="Arial" w:cs="Arial" w:eastAsia="Arial" w:hAnsi="Arial"/>
          <w:sz w:val="18"/>
          <w:szCs w:val="18"/>
          <w:color w:val="auto"/>
        </w:rPr>
        <w:t>has joined Madrigal as Chief Data and Analytics Officer. Dr. Labriola has 35 years of experience in clinical development</w:t>
      </w:r>
      <w:r>
        <w:rPr>
          <w:rFonts w:ascii="Arial" w:cs="Arial" w:eastAsia="Arial" w:hAnsi="Arial"/>
          <w:sz w:val="18"/>
          <w:szCs w:val="18"/>
          <w:i w:val="1"/>
          <w:iCs w:val="1"/>
          <w:color w:val="auto"/>
        </w:rPr>
        <w:t xml:space="preserve"> </w:t>
      </w:r>
      <w:r>
        <w:rPr>
          <w:rFonts w:ascii="Arial" w:cs="Arial" w:eastAsia="Arial" w:hAnsi="Arial"/>
          <w:sz w:val="18"/>
          <w:szCs w:val="18"/>
          <w:color w:val="auto"/>
        </w:rPr>
        <w:t>overseeing the global registration of 20 medicines. He spent more than 20 years at Bristol Myers Squibb as Head of Global Biometric Sciences where he was responsible for the team overseeing the company’s NASH program among many other programs. Prior to joining Bristol Myers Squibb, he held positions of increasing responsibility at DuPont Pharmaceutical Company, managing biostatisticians and programmers for multiple therapeutic areas. Dr. Labriola began his career as a research biostatistician at Memorial Sloan Kettering Cancer Center and earned his Ph.D. in Mathematical Statistics from the University of Delaware.</w:t>
      </w:r>
    </w:p>
    <w:p>
      <w:pPr>
        <w:spacing w:after="0" w:line="192" w:lineRule="exact"/>
        <w:rPr>
          <w:sz w:val="20"/>
          <w:szCs w:val="20"/>
          <w:color w:val="auto"/>
        </w:rPr>
      </w:pPr>
    </w:p>
    <w:p>
      <w:pPr>
        <w:ind w:right="140"/>
        <w:spacing w:after="0" w:line="255" w:lineRule="auto"/>
        <w:rPr>
          <w:sz w:val="20"/>
          <w:szCs w:val="20"/>
          <w:color w:val="auto"/>
        </w:rPr>
      </w:pPr>
      <w:r>
        <w:rPr>
          <w:rFonts w:ascii="Arial" w:cs="Arial" w:eastAsia="Arial" w:hAnsi="Arial"/>
          <w:sz w:val="18"/>
          <w:szCs w:val="18"/>
          <w:i w:val="1"/>
          <w:iCs w:val="1"/>
          <w:color w:val="auto"/>
        </w:rPr>
        <w:t xml:space="preserve">Sunil Kadam, PhD, </w:t>
      </w:r>
      <w:r>
        <w:rPr>
          <w:rFonts w:ascii="Arial" w:cs="Arial" w:eastAsia="Arial" w:hAnsi="Arial"/>
          <w:sz w:val="18"/>
          <w:szCs w:val="18"/>
          <w:color w:val="auto"/>
        </w:rPr>
        <w:t>has joined Madrigal as Senior Vice President of Global Regulatory Affairs. Dr. Kadam has successfully built and directed Global</w:t>
      </w:r>
      <w:r>
        <w:rPr>
          <w:rFonts w:ascii="Arial" w:cs="Arial" w:eastAsia="Arial" w:hAnsi="Arial"/>
          <w:sz w:val="18"/>
          <w:szCs w:val="18"/>
          <w:i w:val="1"/>
          <w:iCs w:val="1"/>
          <w:color w:val="auto"/>
        </w:rPr>
        <w:t xml:space="preserve"> </w:t>
      </w:r>
      <w:r>
        <w:rPr>
          <w:rFonts w:ascii="Arial" w:cs="Arial" w:eastAsia="Arial" w:hAnsi="Arial"/>
          <w:sz w:val="18"/>
          <w:szCs w:val="18"/>
          <w:color w:val="auto"/>
        </w:rPr>
        <w:t>Regulatory Affairs teams at both large and emerging biopharmaceutical companies. Most recently, he was Senior Vice President of Global Regulatory Affairs at Telix Pharmaceuticals Limited. As the Regulatory Affairs lead for gastroenterology at Shire/Takeda, he led FDA Advisory Committee and secured FDA approval for Motegrity (prucalopride). As the Head of Regulatory Affairs for Takeda’s endocrine and metabolic rare disease products, he managed the global development of multiple pipeline projects. Prior to joining Takeda, he led Regulatory Affairs teams at IQVIA and Eli Lilly &amp; Company.</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Results for the Three and Twelve Months Ended December 31, 2021</w:t>
      </w:r>
    </w:p>
    <w:p>
      <w:pPr>
        <w:spacing w:after="0" w:line="121" w:lineRule="exact"/>
        <w:rPr>
          <w:sz w:val="20"/>
          <w:szCs w:val="20"/>
          <w:color w:val="auto"/>
        </w:rPr>
      </w:pPr>
    </w:p>
    <w:p>
      <w:pPr>
        <w:ind w:right="1020"/>
        <w:spacing w:after="0" w:line="342" w:lineRule="auto"/>
        <w:rPr>
          <w:sz w:val="20"/>
          <w:szCs w:val="20"/>
          <w:color w:val="auto"/>
        </w:rPr>
      </w:pPr>
      <w:r>
        <w:rPr>
          <w:rFonts w:ascii="Arial" w:cs="Arial" w:eastAsia="Arial" w:hAnsi="Arial"/>
          <w:sz w:val="16"/>
          <w:szCs w:val="16"/>
          <w:color w:val="auto"/>
        </w:rPr>
        <w:t>As of December 31, 2021, Madrigal had cash, cash equivalents and marketable securities of $270.3 million, compared to $284.1 million at December 31, 2020. The decrease in cash and marketable securities resulted primarily from cash used in operations of $183.9 million.</w:t>
      </w:r>
    </w:p>
    <w:p>
      <w:pPr>
        <w:spacing w:after="0" w:line="124"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Operating expenses were $64.6 million and $242.5 million for the three and twelve month periods ended December 31, 2021, compared to $59.6 million and $206.7 million in the comparable prior year periods.</w:t>
      </w:r>
    </w:p>
    <w:p>
      <w:pPr>
        <w:spacing w:after="0" w:line="170" w:lineRule="exact"/>
        <w:rPr>
          <w:sz w:val="20"/>
          <w:szCs w:val="20"/>
          <w:color w:val="auto"/>
        </w:rPr>
      </w:pPr>
    </w:p>
    <w:p>
      <w:pPr>
        <w:ind w:right="240"/>
        <w:spacing w:after="0" w:line="259" w:lineRule="auto"/>
        <w:rPr>
          <w:sz w:val="20"/>
          <w:szCs w:val="20"/>
          <w:color w:val="auto"/>
        </w:rPr>
      </w:pPr>
      <w:r>
        <w:rPr>
          <w:rFonts w:ascii="Arial" w:cs="Arial" w:eastAsia="Arial" w:hAnsi="Arial"/>
          <w:sz w:val="18"/>
          <w:szCs w:val="18"/>
          <w:color w:val="auto"/>
        </w:rPr>
        <w:t>Research and development expenses for the three and twelve month periods ended December 31, 2021 were $52.9 million and $205.2 million, compared to $53.4 million and $184.8 million in the comparable prior year periods. The increases are primarily attributable to additional activities related to the Phase 3 clinical trials, an increase in manufacturing costs to support ongoing clinical trials and to prepare for commercialization, and an increase in head count and related expenses.</w:t>
      </w:r>
    </w:p>
    <w:p>
      <w:pPr>
        <w:sectPr>
          <w:pgSz w:w="11900" w:h="16838" w:orient="portrait"/>
          <w:cols w:equalWidth="0" w:num="1">
            <w:col w:w="11000"/>
          </w:cols>
          <w:pgMar w:left="440" w:top="1043" w:right="459" w:bottom="1440" w:gutter="0" w:footer="0" w:header="0"/>
        </w:sectPr>
      </w:pPr>
    </w:p>
    <w:bookmarkStart w:id="5" w:name="page6"/>
    <w:bookmarkEnd w:id="5"/>
    <w:p>
      <w:pPr>
        <w:ind w:right="80"/>
        <w:spacing w:after="0" w:line="26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3873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182880</wp:posOffset>
            </wp:positionV>
            <wp:extent cx="1448435" cy="3511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1448435" cy="351155"/>
                    </a:xfrm>
                    <a:prstGeom prst="rect">
                      <a:avLst/>
                    </a:prstGeom>
                    <a:noFill/>
                  </pic:spPr>
                </pic:pic>
              </a:graphicData>
            </a:graphic>
          </wp:anchor>
        </w:drawing>
        <w:t>General and administrative expenses for the three and twelve month periods ended December 31, 2021 were $11.7 million and $37.3 million, compared to $6.1 million and $21.9 million in the comparable prior year periods. The increases are primarily attributable to an increase in non-cash stock compensation from stock option awards, head count and consulting costs.</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color w:val="auto"/>
        </w:rPr>
        <w:t>Interest income for the three and twelve month periods ended December 31, 2021 was $0.1 million and $0.4 million, compared to $0.4 million and</w:t>
      </w:r>
    </w:p>
    <w:p>
      <w:pPr>
        <w:spacing w:after="0" w:line="35" w:lineRule="exact"/>
        <w:rPr>
          <w:sz w:val="20"/>
          <w:szCs w:val="20"/>
          <w:color w:val="auto"/>
        </w:rPr>
      </w:pPr>
    </w:p>
    <w:p>
      <w:pPr>
        <w:ind w:right="180"/>
        <w:spacing w:after="0" w:line="260" w:lineRule="auto"/>
        <w:rPr>
          <w:sz w:val="20"/>
          <w:szCs w:val="20"/>
          <w:color w:val="auto"/>
        </w:rPr>
      </w:pPr>
      <w:r>
        <w:rPr>
          <w:rFonts w:ascii="Arial" w:cs="Arial" w:eastAsia="Arial" w:hAnsi="Arial"/>
          <w:sz w:val="18"/>
          <w:szCs w:val="18"/>
          <w:color w:val="auto"/>
        </w:rPr>
        <w:t>$4.3 million in the comparable prior year periods. The decreases in interest income for the latest three and twelve month periods were due primarily to lower average principal balances in our investment accounts in 2021, and decreased interest rates.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Madrigal Pharmaceuticals</w:t>
      </w:r>
    </w:p>
    <w:p>
      <w:pPr>
        <w:spacing w:after="0" w:line="121"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 xml:space="preserve">Madrigal Pharmaceuticals, Inc. (Nasdaq: MDGL) is a clinical-stage biopharmaceutical company pursuing novel therapeutics for non-alcoholic steatohepatitis (NASH), a liver disease with high unmet medical need. Madrigal’s lead candidate, resmetirom, is a once daily, oral, thyroid hormone receptor (THR)-ß selective agonist that is designed to target key underlying causes of NASH in the liver. Resmetirom is currently being evaluated in two Phase 3 clinical studies, MAESTRO-NASH and MAESTRO- NAFLD-1, designed to demonstrate multiple benefits in patients with NASH. For more information, visit </w:t>
      </w:r>
      <w:r>
        <w:rPr>
          <w:rFonts w:ascii="Arial" w:cs="Arial" w:eastAsia="Arial" w:hAnsi="Arial"/>
          <w:sz w:val="18"/>
          <w:szCs w:val="18"/>
          <w:u w:val="single" w:color="auto"/>
          <w:color w:val="auto"/>
        </w:rPr>
        <w:t>www.madrigalpharma.com</w:t>
      </w:r>
      <w:r>
        <w:rPr>
          <w:rFonts w:ascii="Arial" w:cs="Arial" w:eastAsia="Arial" w:hAnsi="Arial"/>
          <w:sz w:val="18"/>
          <w:szCs w:val="18"/>
          <w:color w:val="auto"/>
        </w:rPr>
        <w:t>.</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 Looking Statements</w:t>
      </w:r>
    </w:p>
    <w:p>
      <w:pPr>
        <w:spacing w:after="0" w:line="121" w:lineRule="exact"/>
        <w:rPr>
          <w:sz w:val="20"/>
          <w:szCs w:val="20"/>
          <w:color w:val="auto"/>
        </w:rPr>
      </w:pPr>
    </w:p>
    <w:p>
      <w:pPr>
        <w:ind w:right="40"/>
        <w:spacing w:after="0" w:line="268" w:lineRule="auto"/>
        <w:rPr>
          <w:sz w:val="20"/>
          <w:szCs w:val="20"/>
          <w:color w:val="auto"/>
        </w:rPr>
      </w:pPr>
      <w:r>
        <w:rPr>
          <w:rFonts w:ascii="Arial" w:cs="Arial" w:eastAsia="Arial" w:hAnsi="Arial"/>
          <w:sz w:val="17"/>
          <w:szCs w:val="17"/>
          <w:i w:val="1"/>
          <w:iCs w:val="1"/>
          <w:color w:val="auto"/>
        </w:rPr>
        <w:t>This communication contains “forward-looking statements” made pursuant to the safe harbor provisions of the Private Securities Litigation Reform Act of 1995, that are based on our beliefs and assumptions and on information currently available to us but are subject to factors beyond our control. Forward-looking statements include but are not limited to statements or references concerning: our clinical trials, including the anticipated timing of disclosure, presentations of data from, or outcomes from our trials; research and development activities; market size and patient treatment estimates for NASH and NAFLD patients; the timing and results associated with the future development of our lead product candidate, MGL-3196 (resmetirom); our primary and secondary study endpoints for resmetirom and the potential for achieving such endpoints and projections; plans, objectives and timing for making a Subpart H (Accelerated Approval of New Drugs for Serious or Life-Threatening Illnesses) submission to FDA; optimal dosing levels for resmetirom; projections regarding potential future NASH resolution, safety, fibrosis treatment, cardiovascular effects, lipid treatment and/or biomarker effects with resmetirom; the potential efficacy and safety of resmetirom for non-cirrhotic NASH patients and cirrhotic NASH patients; ex-U.S. launch/partnering plans; the predictive power of liver fat reduction, as measured by non-invasive tests, on NASH resolution with fibrosis reduction or improvement; the predictive power of liver fat, liver volume changes or MAST scores for NASH and/or NAFLD patients; the effects of resmetirom’s mechanism of action; the achievement of enrollment objectives concerning patient number, safety database and/or timing for our studies; the predictive power of NASH resolution and/or liver fibrosis reduction or improvement</w:t>
      </w:r>
    </w:p>
    <w:p>
      <w:pPr>
        <w:sectPr>
          <w:pgSz w:w="11900" w:h="16838" w:orient="portrait"/>
          <w:cols w:equalWidth="0" w:num="1">
            <w:col w:w="11000"/>
          </w:cols>
          <w:pgMar w:left="440" w:top="1043" w:right="459" w:bottom="1440" w:gutter="0" w:footer="0" w:header="0"/>
        </w:sectPr>
      </w:pPr>
    </w:p>
    <w:bookmarkStart w:id="6" w:name="page7"/>
    <w:bookmarkEnd w:id="6"/>
    <w:p>
      <w:pPr>
        <w:spacing w:after="0" w:line="268" w:lineRule="auto"/>
        <w:rPr>
          <w:sz w:val="20"/>
          <w:szCs w:val="20"/>
          <w:color w:val="auto"/>
        </w:rPr>
      </w:pPr>
      <w:r>
        <w:rPr>
          <w:rFonts w:ascii="Arial" w:cs="Arial" w:eastAsia="Arial" w:hAnsi="Arial"/>
          <w:sz w:val="17"/>
          <w:szCs w:val="17"/>
          <w:i w:val="1"/>
          <w:i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100"/>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182880</wp:posOffset>
            </wp:positionV>
            <wp:extent cx="1448435" cy="3511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1448435" cy="351155"/>
                    </a:xfrm>
                    <a:prstGeom prst="rect">
                      <a:avLst/>
                    </a:prstGeom>
                    <a:noFill/>
                  </pic:spPr>
                </pic:pic>
              </a:graphicData>
            </a:graphic>
          </wp:anchor>
        </w:drawing>
        <w:t>with resmetirom using non-invasive tests, including the use of ELF, FibroScan, MRE and/or MRI-PDFF; the ability to develop clinical evidence demonstrating the utility of non-invasive tools and techniques to screen and diagnose NASH and/or NAFLD patients; the predictive power of non-invasive tests generally, including for purposes of diagnosing NASH, monitoring patient response to resmetirom, or recruiting a NASH clinical trial; potential NASH or NAFLD patient risk profile benefits with resmetirom; the potential for resmetirom to become the best-in-class and/or first-to-market treatment option for patients with NASH and liver fibrosis; and our possible or assumed future results of operations and expenses, business strategies and plans, capital needs and financing plans, trends, market sizing, competitive position, industry environment and potential growth opportunities, among other things. Forward-looking statements: reflect management’s current knowledge, assumptions, judgment and expectations regarding future performance or events; include all statements that are not historical facts; and can be identified by terms such as “allow,” “anticipates,” “be,” “believes,” “continue,” “could,” “demonstrate,” ”design,” “estimates,” “expectation,” “expects,” “forecasts,” “future,” “goal,” “hopeful,” ”inform,” “intends,” “may,” “might,” “planned”, “plans,” “positions,” “potential,” “powers,” “predicts,” ”predictive,” “projects,” “seeks,” “should,” “will,” “will be,” “would” or similar expressions and the negatives of those terms. Although management presently believes that the expectations reflected in such forward-looking statements are reasonable, it can give no assurance that such expectations will prove to be correct and you should be aware that actual results could differ materially from those contained in the forward- looking statements.</w:t>
      </w:r>
    </w:p>
    <w:p>
      <w:pPr>
        <w:spacing w:after="0" w:line="78" w:lineRule="exact"/>
        <w:rPr>
          <w:sz w:val="20"/>
          <w:szCs w:val="20"/>
          <w:color w:val="auto"/>
        </w:rPr>
      </w:pPr>
    </w:p>
    <w:p>
      <w:pPr>
        <w:ind w:right="20"/>
        <w:spacing w:after="0" w:line="269" w:lineRule="auto"/>
        <w:rPr>
          <w:sz w:val="20"/>
          <w:szCs w:val="20"/>
          <w:color w:val="auto"/>
        </w:rPr>
      </w:pPr>
      <w:r>
        <w:rPr>
          <w:rFonts w:ascii="Arial" w:cs="Arial" w:eastAsia="Arial" w:hAnsi="Arial"/>
          <w:sz w:val="17"/>
          <w:szCs w:val="17"/>
          <w:i w:val="1"/>
          <w:iCs w:val="1"/>
          <w:color w:val="auto"/>
        </w:rPr>
        <w:t>Forward-looking statements are subject to a number of risks and uncertainties including, but not limited to: our clinical development of resmetirom; enrollment uncertainties, generally and in relation to COVID-19-related measures that may be continued for an uncertain period of time or implemented; outcomes or trends from competitive studies; future topline data timing or results; the risks of achieving potential benefits in studies that include substantially more patients, and patients with different disease states, than our prior studies; limitations associated with early stage or non-placebo controlled study data; the timing and outcomes of clinical studies of resmetirom; and the uncertainties inherent in clinical testing. Undue reliance should not be placed on forward- looking statements, which speak only as of the date they are made. Madrigal undertakes no obligation to update any forward-looking statements to reflect new information, events or circumstances after the date they are made, or to reflect the occurrence of unanticipated events. Please refer to Madrigal’s submissions filed or furnished with the U.S. Securities and Exchange Commission for more detailed information regarding these risks and uncertainties and other factors that may cause actual results to differ materially from those expressed or implied. We specifically discuss these risks and uncertainties in greater detail in the section entitled “Risk Factors” in our Annual Report on Form 10-K for the year ended December 31, 2021, as well as in our other filings with the SEC.</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Contact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Alex Howarth, Madrigal Pharmaceuticals, Inc., IR@madrigalpharma.com</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Media Contacts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Christopher Frates, Madrigal Pharmaceuticals, Inc., cfrates@madrigalpharma.com</w:t>
      </w:r>
    </w:p>
    <w:p>
      <w:pPr>
        <w:sectPr>
          <w:pgSz w:w="11900" w:h="16838" w:orient="portrait"/>
          <w:cols w:equalWidth="0" w:num="1">
            <w:col w:w="10920"/>
          </w:cols>
          <w:pgMar w:left="440" w:top="976" w:right="539" w:bottom="1440" w:gutter="0" w:footer="0" w:header="0"/>
        </w:sectPr>
      </w:pPr>
    </w:p>
    <w:bookmarkStart w:id="7" w:name="page8"/>
    <w:bookmarkEnd w:id="7"/>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100"/>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182880</wp:posOffset>
            </wp:positionV>
            <wp:extent cx="1457325" cy="3086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clrChange>
                        <a:clrFrom>
                          <a:srgbClr val="FFFFFF"/>
                        </a:clrFrom>
                        <a:clrTo>
                          <a:srgbClr val="FFFFFF">
                            <a:alpha val="0"/>
                          </a:srgbClr>
                        </a:clrTo>
                      </a:clrChange>
                      <a:extLst>
                        <a:ext uri="{28A0092B-C50C-407E-A947-70E740481C1C}"/>
                      </a:extLst>
                    </a:blip>
                    <a:srcRect/>
                    <a:stretch>
                      <a:fillRect/>
                    </a:stretch>
                  </pic:blipFill>
                  <pic:spPr bwMode="auto">
                    <a:xfrm>
                      <a:off x="0" y="0"/>
                      <a:ext cx="1457325" cy="308610"/>
                    </a:xfrm>
                    <a:prstGeom prst="rect">
                      <a:avLst/>
                    </a:prstGeom>
                    <a:noFill/>
                  </pic:spPr>
                </pic:pic>
              </a:graphicData>
            </a:graphic>
          </wp:anchor>
        </w:drawing>
        <w:t>(Tables Follow)</w:t>
      </w:r>
    </w:p>
    <w:p>
      <w:pPr>
        <w:spacing w:after="0" w:line="11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Madrigal Pharmaceuticals, Inc.</w:t>
      </w:r>
    </w:p>
    <w:p>
      <w:pPr>
        <w:spacing w:after="0" w:line="27" w:lineRule="exact"/>
        <w:rPr>
          <w:sz w:val="20"/>
          <w:szCs w:val="20"/>
          <w:color w:val="auto"/>
        </w:rPr>
      </w:pPr>
    </w:p>
    <w:p>
      <w:pPr>
        <w:ind w:left="3560"/>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9" w:lineRule="exact"/>
        <w:rPr>
          <w:sz w:val="20"/>
          <w:szCs w:val="20"/>
          <w:color w:val="auto"/>
        </w:rPr>
      </w:pPr>
    </w:p>
    <w:p>
      <w:pPr>
        <w:ind w:left="3540"/>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(unaudited)</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80" w:type="dxa"/>
            <w:vAlign w:val="bottom"/>
            <w:gridSpan w:val="6"/>
          </w:tcPr>
          <w:p>
            <w:pPr>
              <w:jc w:val="center"/>
              <w:ind w:right="381"/>
              <w:spacing w:after="0"/>
              <w:rPr>
                <w:sz w:val="20"/>
                <w:szCs w:val="20"/>
                <w:color w:val="auto"/>
              </w:rPr>
            </w:pPr>
            <w:r>
              <w:rPr>
                <w:rFonts w:ascii="Arial" w:cs="Arial" w:eastAsia="Arial" w:hAnsi="Arial"/>
                <w:sz w:val="14"/>
                <w:szCs w:val="14"/>
                <w:b w:val="1"/>
                <w:bCs w:val="1"/>
                <w:color w:val="auto"/>
                <w:w w:val="93"/>
              </w:rPr>
              <w:t>Three Months Ended</w:t>
            </w:r>
          </w:p>
        </w:tc>
        <w:tc>
          <w:tcPr>
            <w:tcW w:w="80" w:type="dxa"/>
            <w:vAlign w:val="bottom"/>
          </w:tcPr>
          <w:p>
            <w:pPr>
              <w:spacing w:after="0"/>
              <w:rPr>
                <w:sz w:val="14"/>
                <w:szCs w:val="14"/>
                <w:color w:val="auto"/>
              </w:rPr>
            </w:pPr>
          </w:p>
        </w:tc>
        <w:tc>
          <w:tcPr>
            <w:tcW w:w="2220" w:type="dxa"/>
            <w:vAlign w:val="bottom"/>
            <w:gridSpan w:val="6"/>
          </w:tcPr>
          <w:p>
            <w:pPr>
              <w:jc w:val="right"/>
              <w:ind w:right="441"/>
              <w:spacing w:after="0"/>
              <w:rPr>
                <w:sz w:val="20"/>
                <w:szCs w:val="20"/>
                <w:color w:val="auto"/>
              </w:rPr>
            </w:pPr>
            <w:r>
              <w:rPr>
                <w:rFonts w:ascii="Arial" w:cs="Arial" w:eastAsia="Arial" w:hAnsi="Arial"/>
                <w:sz w:val="14"/>
                <w:szCs w:val="14"/>
                <w:b w:val="1"/>
                <w:bCs w:val="1"/>
                <w:color w:val="auto"/>
              </w:rPr>
              <w:t>Twelve Months Ended</w:t>
            </w:r>
          </w:p>
        </w:tc>
      </w:tr>
      <w:tr>
        <w:trPr>
          <w:trHeight w:val="171"/>
        </w:trPr>
        <w:tc>
          <w:tcPr>
            <w:tcW w:w="6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80" w:type="dxa"/>
            <w:vAlign w:val="bottom"/>
            <w:gridSpan w:val="6"/>
          </w:tcPr>
          <w:p>
            <w:pPr>
              <w:jc w:val="center"/>
              <w:ind w:right="401"/>
              <w:spacing w:after="0"/>
              <w:rPr>
                <w:sz w:val="20"/>
                <w:szCs w:val="20"/>
                <w:color w:val="auto"/>
              </w:rPr>
            </w:pPr>
            <w:r>
              <w:rPr>
                <w:rFonts w:ascii="Arial" w:cs="Arial" w:eastAsia="Arial" w:hAnsi="Arial"/>
                <w:sz w:val="14"/>
                <w:szCs w:val="14"/>
                <w:b w:val="1"/>
                <w:bCs w:val="1"/>
                <w:color w:val="auto"/>
                <w:w w:val="92"/>
              </w:rPr>
              <w:t>December 31,</w:t>
            </w:r>
          </w:p>
        </w:tc>
        <w:tc>
          <w:tcPr>
            <w:tcW w:w="80" w:type="dxa"/>
            <w:vAlign w:val="bottom"/>
          </w:tcPr>
          <w:p>
            <w:pPr>
              <w:spacing w:after="0"/>
              <w:rPr>
                <w:sz w:val="14"/>
                <w:szCs w:val="14"/>
                <w:color w:val="auto"/>
              </w:rPr>
            </w:pPr>
          </w:p>
        </w:tc>
        <w:tc>
          <w:tcPr>
            <w:tcW w:w="2220" w:type="dxa"/>
            <w:vAlign w:val="bottom"/>
            <w:gridSpan w:val="6"/>
          </w:tcPr>
          <w:p>
            <w:pPr>
              <w:jc w:val="right"/>
              <w:ind w:right="721"/>
              <w:spacing w:after="0"/>
              <w:rPr>
                <w:sz w:val="20"/>
                <w:szCs w:val="20"/>
                <w:color w:val="auto"/>
              </w:rPr>
            </w:pPr>
            <w:r>
              <w:rPr>
                <w:rFonts w:ascii="Arial" w:cs="Arial" w:eastAsia="Arial" w:hAnsi="Arial"/>
                <w:sz w:val="14"/>
                <w:szCs w:val="14"/>
                <w:b w:val="1"/>
                <w:bCs w:val="1"/>
                <w:color w:val="auto"/>
              </w:rPr>
              <w:t>December 31,</w:t>
            </w:r>
          </w:p>
        </w:tc>
      </w:tr>
      <w:tr>
        <w:trPr>
          <w:trHeight w:val="142"/>
        </w:trPr>
        <w:tc>
          <w:tcPr>
            <w:tcW w:w="6160" w:type="dxa"/>
            <w:vAlign w:val="bottom"/>
            <w:tcBorders>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ind w:right="234"/>
              <w:spacing w:after="0" w:line="142" w:lineRule="exact"/>
              <w:rPr>
                <w:sz w:val="20"/>
                <w:szCs w:val="20"/>
                <w:color w:val="auto"/>
              </w:rPr>
            </w:pPr>
            <w:r>
              <w:rPr>
                <w:rFonts w:ascii="Arial" w:cs="Arial" w:eastAsia="Arial" w:hAnsi="Arial"/>
                <w:sz w:val="14"/>
                <w:szCs w:val="14"/>
                <w:b w:val="1"/>
                <w:bCs w:val="1"/>
                <w:color w:val="auto"/>
              </w:rPr>
              <w:t>2021</w:t>
            </w:r>
          </w:p>
        </w:tc>
        <w:tc>
          <w:tcPr>
            <w:tcW w:w="220" w:type="dxa"/>
            <w:vAlign w:val="bottom"/>
            <w:tcBorders>
              <w:top w:val="single" w:sz="8" w:color="auto"/>
              <w:bottom w:val="single" w:sz="8" w:color="CCEEFF"/>
            </w:tcBorders>
          </w:tcPr>
          <w:p>
            <w:pPr>
              <w:spacing w:after="0"/>
              <w:rPr>
                <w:sz w:val="12"/>
                <w:szCs w:val="12"/>
                <w:color w:val="auto"/>
              </w:rPr>
            </w:pPr>
          </w:p>
        </w:tc>
        <w:tc>
          <w:tcPr>
            <w:tcW w:w="160" w:type="dxa"/>
            <w:vAlign w:val="bottom"/>
            <w:tcBorders>
              <w:top w:val="single" w:sz="8" w:color="auto"/>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ind w:right="212"/>
              <w:spacing w:after="0" w:line="142" w:lineRule="exact"/>
              <w:rPr>
                <w:sz w:val="20"/>
                <w:szCs w:val="20"/>
                <w:color w:val="auto"/>
              </w:rPr>
            </w:pPr>
            <w:r>
              <w:rPr>
                <w:rFonts w:ascii="Arial" w:cs="Arial" w:eastAsia="Arial" w:hAnsi="Arial"/>
                <w:sz w:val="14"/>
                <w:szCs w:val="14"/>
                <w:b w:val="1"/>
                <w:bCs w:val="1"/>
                <w:color w:val="auto"/>
              </w:rPr>
              <w:t>2020</w:t>
            </w:r>
          </w:p>
        </w:tc>
        <w:tc>
          <w:tcPr>
            <w:tcW w:w="380" w:type="dxa"/>
            <w:vAlign w:val="bottom"/>
            <w:tcBorders>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ind w:right="214"/>
              <w:spacing w:after="0" w:line="142" w:lineRule="exact"/>
              <w:rPr>
                <w:sz w:val="20"/>
                <w:szCs w:val="20"/>
                <w:color w:val="auto"/>
              </w:rPr>
            </w:pPr>
            <w:r>
              <w:rPr>
                <w:rFonts w:ascii="Arial" w:cs="Arial" w:eastAsia="Arial" w:hAnsi="Arial"/>
                <w:sz w:val="14"/>
                <w:szCs w:val="14"/>
                <w:b w:val="1"/>
                <w:bCs w:val="1"/>
                <w:color w:val="auto"/>
              </w:rPr>
              <w:t>2021</w:t>
            </w:r>
          </w:p>
        </w:tc>
        <w:tc>
          <w:tcPr>
            <w:tcW w:w="220" w:type="dxa"/>
            <w:vAlign w:val="bottom"/>
            <w:tcBorders>
              <w:top w:val="single" w:sz="8" w:color="auto"/>
              <w:bottom w:val="single" w:sz="8" w:color="CCEEFF"/>
            </w:tcBorders>
          </w:tcPr>
          <w:p>
            <w:pPr>
              <w:spacing w:after="0"/>
              <w:rPr>
                <w:sz w:val="12"/>
                <w:szCs w:val="12"/>
                <w:color w:val="auto"/>
              </w:rPr>
            </w:pPr>
          </w:p>
        </w:tc>
        <w:tc>
          <w:tcPr>
            <w:tcW w:w="16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12"/>
              <w:spacing w:after="0" w:line="142" w:lineRule="exact"/>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2"/>
                <w:szCs w:val="12"/>
                <w:color w:val="auto"/>
              </w:rPr>
            </w:pPr>
          </w:p>
        </w:tc>
      </w:tr>
      <w:tr>
        <w:trPr>
          <w:trHeight w:val="196"/>
        </w:trPr>
        <w:tc>
          <w:tcPr>
            <w:tcW w:w="616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Revenues:</w:t>
            </w:r>
          </w:p>
        </w:tc>
        <w:tc>
          <w:tcPr>
            <w:tcW w:w="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r>
      <w:tr>
        <w:trPr>
          <w:trHeight w:val="216"/>
        </w:trPr>
        <w:tc>
          <w:tcPr>
            <w:tcW w:w="6160" w:type="dxa"/>
            <w:vAlign w:val="bottom"/>
          </w:tcPr>
          <w:p>
            <w:pPr>
              <w:ind w:left="360"/>
              <w:spacing w:after="0"/>
              <w:rPr>
                <w:sz w:val="20"/>
                <w:szCs w:val="20"/>
                <w:color w:val="auto"/>
              </w:rPr>
            </w:pPr>
            <w:r>
              <w:rPr>
                <w:rFonts w:ascii="Arial" w:cs="Arial" w:eastAsia="Arial" w:hAnsi="Arial"/>
                <w:sz w:val="18"/>
                <w:szCs w:val="18"/>
                <w:color w:val="auto"/>
              </w:rPr>
              <w:t>Total revenues</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gridSpan w:val="2"/>
          </w:tcPr>
          <w:p>
            <w:pPr>
              <w:ind w:left="540"/>
              <w:spacing w:after="0"/>
              <w:rPr>
                <w:sz w:val="20"/>
                <w:szCs w:val="20"/>
                <w:color w:val="auto"/>
              </w:rPr>
            </w:pPr>
            <w:r>
              <w:rPr>
                <w:rFonts w:ascii="Arial" w:cs="Arial" w:eastAsia="Arial" w:hAnsi="Arial"/>
                <w:sz w:val="18"/>
                <w:szCs w:val="18"/>
                <w:color w:val="auto"/>
              </w:rPr>
              <w:t>—</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00" w:type="dxa"/>
            <w:vAlign w:val="bottom"/>
            <w:gridSpan w:val="2"/>
          </w:tcPr>
          <w:p>
            <w:pPr>
              <w:ind w:left="540"/>
              <w:spacing w:after="0"/>
              <w:rPr>
                <w:sz w:val="20"/>
                <w:szCs w:val="20"/>
                <w:color w:val="auto"/>
              </w:rPr>
            </w:pPr>
            <w:r>
              <w:rPr>
                <w:rFonts w:ascii="Arial" w:cs="Arial" w:eastAsia="Arial" w:hAnsi="Arial"/>
                <w:sz w:val="18"/>
                <w:szCs w:val="18"/>
                <w:color w:val="auto"/>
              </w:rPr>
              <w:t>—</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gridSpan w:val="2"/>
          </w:tcPr>
          <w:p>
            <w:pPr>
              <w:jc w:val="right"/>
              <w:ind w:right="221"/>
              <w:spacing w:after="0"/>
              <w:rPr>
                <w:sz w:val="20"/>
                <w:szCs w:val="20"/>
                <w:color w:val="auto"/>
              </w:rPr>
            </w:pPr>
            <w:r>
              <w:rPr>
                <w:rFonts w:ascii="Arial" w:cs="Arial" w:eastAsia="Arial" w:hAnsi="Arial"/>
                <w:sz w:val="18"/>
                <w:szCs w:val="18"/>
                <w:color w:val="auto"/>
              </w:rPr>
              <w:t>—</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21"/>
              <w:spacing w:after="0"/>
              <w:rPr>
                <w:sz w:val="20"/>
                <w:szCs w:val="20"/>
                <w:color w:val="auto"/>
              </w:rPr>
            </w:pPr>
            <w:r>
              <w:rPr>
                <w:rFonts w:ascii="Arial" w:cs="Arial" w:eastAsia="Arial" w:hAnsi="Arial"/>
                <w:sz w:val="18"/>
                <w:szCs w:val="18"/>
                <w:color w:val="auto"/>
              </w:rPr>
              <w:t>—</w:t>
            </w:r>
          </w:p>
        </w:tc>
      </w:tr>
      <w:tr>
        <w:trPr>
          <w:trHeight w:val="216"/>
        </w:trPr>
        <w:tc>
          <w:tcPr>
            <w:tcW w:w="6160" w:type="dxa"/>
            <w:vAlign w:val="bottom"/>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6160" w:type="dxa"/>
            <w:vAlign w:val="bottom"/>
          </w:tcPr>
          <w:p>
            <w:pPr>
              <w:ind w:left="720"/>
              <w:spacing w:after="0"/>
              <w:rPr>
                <w:sz w:val="20"/>
                <w:szCs w:val="20"/>
                <w:color w:val="auto"/>
              </w:rPr>
            </w:pPr>
            <w:r>
              <w:rPr>
                <w:rFonts w:ascii="Arial" w:cs="Arial" w:eastAsia="Arial" w:hAnsi="Arial"/>
                <w:sz w:val="18"/>
                <w:szCs w:val="18"/>
                <w:color w:val="auto"/>
              </w:rPr>
              <w:t>Research and development</w:t>
            </w:r>
          </w:p>
        </w:tc>
        <w:tc>
          <w:tcPr>
            <w:tcW w:w="80" w:type="dxa"/>
            <w:vAlign w:val="bottom"/>
          </w:tcPr>
          <w:p>
            <w:pPr>
              <w:spacing w:after="0"/>
              <w:rPr>
                <w:sz w:val="18"/>
                <w:szCs w:val="18"/>
                <w:color w:val="auto"/>
              </w:rPr>
            </w:pPr>
          </w:p>
        </w:tc>
        <w:tc>
          <w:tcPr>
            <w:tcW w:w="1040" w:type="dxa"/>
            <w:vAlign w:val="bottom"/>
            <w:gridSpan w:val="2"/>
          </w:tcPr>
          <w:p>
            <w:pPr>
              <w:jc w:val="right"/>
              <w:ind w:right="141"/>
              <w:spacing w:after="0"/>
              <w:rPr>
                <w:sz w:val="20"/>
                <w:szCs w:val="20"/>
                <w:color w:val="auto"/>
              </w:rPr>
            </w:pPr>
            <w:r>
              <w:rPr>
                <w:rFonts w:ascii="Arial" w:cs="Arial" w:eastAsia="Arial" w:hAnsi="Arial"/>
                <w:sz w:val="18"/>
                <w:szCs w:val="18"/>
                <w:color w:val="auto"/>
              </w:rPr>
              <w:t>52,889</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gridSpan w:val="2"/>
          </w:tcPr>
          <w:p>
            <w:pPr>
              <w:jc w:val="right"/>
              <w:ind w:right="301"/>
              <w:spacing w:after="0"/>
              <w:rPr>
                <w:sz w:val="20"/>
                <w:szCs w:val="20"/>
                <w:color w:val="auto"/>
              </w:rPr>
            </w:pPr>
            <w:r>
              <w:rPr>
                <w:rFonts w:ascii="Arial" w:cs="Arial" w:eastAsia="Arial" w:hAnsi="Arial"/>
                <w:sz w:val="18"/>
                <w:szCs w:val="18"/>
                <w:color w:val="auto"/>
              </w:rPr>
              <w:t>53,429</w:t>
            </w:r>
          </w:p>
        </w:tc>
        <w:tc>
          <w:tcPr>
            <w:tcW w:w="80" w:type="dxa"/>
            <w:vAlign w:val="bottom"/>
          </w:tcPr>
          <w:p>
            <w:pPr>
              <w:spacing w:after="0"/>
              <w:rPr>
                <w:sz w:val="18"/>
                <w:szCs w:val="18"/>
                <w:color w:val="auto"/>
              </w:rPr>
            </w:pPr>
          </w:p>
        </w:tc>
        <w:tc>
          <w:tcPr>
            <w:tcW w:w="1040" w:type="dxa"/>
            <w:vAlign w:val="bottom"/>
            <w:gridSpan w:val="2"/>
          </w:tcPr>
          <w:p>
            <w:pPr>
              <w:jc w:val="right"/>
              <w:ind w:right="141"/>
              <w:spacing w:after="0"/>
              <w:rPr>
                <w:sz w:val="20"/>
                <w:szCs w:val="20"/>
                <w:color w:val="auto"/>
              </w:rPr>
            </w:pPr>
            <w:r>
              <w:rPr>
                <w:rFonts w:ascii="Arial" w:cs="Arial" w:eastAsia="Arial" w:hAnsi="Arial"/>
                <w:sz w:val="18"/>
                <w:szCs w:val="18"/>
                <w:color w:val="auto"/>
              </w:rPr>
              <w:t>205,164</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41"/>
              <w:spacing w:after="0"/>
              <w:rPr>
                <w:sz w:val="20"/>
                <w:szCs w:val="20"/>
                <w:color w:val="auto"/>
              </w:rPr>
            </w:pPr>
            <w:r>
              <w:rPr>
                <w:rFonts w:ascii="Arial" w:cs="Arial" w:eastAsia="Arial" w:hAnsi="Arial"/>
                <w:sz w:val="18"/>
                <w:szCs w:val="18"/>
                <w:color w:val="auto"/>
              </w:rPr>
              <w:t>184,809</w:t>
            </w:r>
          </w:p>
        </w:tc>
      </w:tr>
      <w:tr>
        <w:trPr>
          <w:trHeight w:val="216"/>
        </w:trPr>
        <w:tc>
          <w:tcPr>
            <w:tcW w:w="6160" w:type="dxa"/>
            <w:vAlign w:val="bottom"/>
            <w:shd w:val="clear" w:color="auto" w:fill="CCEEFF"/>
          </w:tcPr>
          <w:p>
            <w:pPr>
              <w:ind w:left="720"/>
              <w:spacing w:after="0"/>
              <w:rPr>
                <w:sz w:val="20"/>
                <w:szCs w:val="20"/>
                <w:color w:val="auto"/>
              </w:rPr>
            </w:pPr>
            <w:r>
              <w:rPr>
                <w:rFonts w:ascii="Arial" w:cs="Arial" w:eastAsia="Arial" w:hAnsi="Arial"/>
                <w:sz w:val="18"/>
                <w:szCs w:val="18"/>
                <w:color w:val="auto"/>
              </w:rPr>
              <w:t>General and administrative</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11,712</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301"/>
              <w:spacing w:after="0"/>
              <w:rPr>
                <w:sz w:val="20"/>
                <w:szCs w:val="20"/>
                <w:color w:val="auto"/>
              </w:rPr>
            </w:pPr>
            <w:r>
              <w:rPr>
                <w:rFonts w:ascii="Arial" w:cs="Arial" w:eastAsia="Arial" w:hAnsi="Arial"/>
                <w:sz w:val="18"/>
                <w:szCs w:val="18"/>
                <w:color w:val="auto"/>
              </w:rPr>
              <w:t>6,126</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37,318</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1"/>
              <w:spacing w:after="0"/>
              <w:rPr>
                <w:sz w:val="20"/>
                <w:szCs w:val="20"/>
                <w:color w:val="auto"/>
              </w:rPr>
            </w:pPr>
            <w:r>
              <w:rPr>
                <w:rFonts w:ascii="Arial" w:cs="Arial" w:eastAsia="Arial" w:hAnsi="Arial"/>
                <w:sz w:val="18"/>
                <w:szCs w:val="18"/>
                <w:color w:val="auto"/>
              </w:rPr>
              <w:t>21,864</w:t>
            </w:r>
          </w:p>
        </w:tc>
      </w:tr>
      <w:tr>
        <w:trPr>
          <w:trHeight w:val="209"/>
        </w:trPr>
        <w:tc>
          <w:tcPr>
            <w:tcW w:w="6160" w:type="dxa"/>
            <w:vAlign w:val="bottom"/>
            <w:tcBorders>
              <w:bottom w:val="single" w:sz="8" w:color="CCEEFF"/>
            </w:tcBorders>
          </w:tcPr>
          <w:p>
            <w:pPr>
              <w:ind w:left="1080"/>
              <w:spacing w:after="0"/>
              <w:rPr>
                <w:sz w:val="20"/>
                <w:szCs w:val="20"/>
                <w:color w:val="auto"/>
              </w:rPr>
            </w:pPr>
            <w:r>
              <w:rPr>
                <w:rFonts w:ascii="Arial" w:cs="Arial" w:eastAsia="Arial" w:hAnsi="Arial"/>
                <w:sz w:val="18"/>
                <w:szCs w:val="18"/>
                <w:color w:val="auto"/>
              </w:rPr>
              <w:t>Total operating expenses</w:t>
            </w:r>
          </w:p>
        </w:tc>
        <w:tc>
          <w:tcPr>
            <w:tcW w:w="8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64,601</w:t>
            </w:r>
          </w:p>
        </w:tc>
        <w:tc>
          <w:tcPr>
            <w:tcW w:w="220" w:type="dxa"/>
            <w:vAlign w:val="bottom"/>
            <w:tcBorders>
              <w:bottom w:val="single" w:sz="8" w:color="CCEEFF"/>
            </w:tcBorders>
          </w:tcPr>
          <w:p>
            <w:pPr>
              <w:spacing w:after="0"/>
              <w:rPr>
                <w:sz w:val="18"/>
                <w:szCs w:val="18"/>
                <w:color w:val="auto"/>
              </w:rPr>
            </w:pPr>
          </w:p>
        </w:tc>
        <w:tc>
          <w:tcPr>
            <w:tcW w:w="160" w:type="dxa"/>
            <w:vAlign w:val="bottom"/>
            <w:tcBorders>
              <w:bottom w:val="single" w:sz="8" w:color="CCEEFF"/>
            </w:tcBorders>
          </w:tcPr>
          <w:p>
            <w:pPr>
              <w:spacing w:after="0"/>
              <w:rPr>
                <w:sz w:val="18"/>
                <w:szCs w:val="18"/>
                <w:color w:val="auto"/>
              </w:rPr>
            </w:pPr>
          </w:p>
        </w:tc>
        <w:tc>
          <w:tcPr>
            <w:tcW w:w="8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59,555</w:t>
            </w:r>
          </w:p>
        </w:tc>
        <w:tc>
          <w:tcPr>
            <w:tcW w:w="380" w:type="dxa"/>
            <w:vAlign w:val="bottom"/>
            <w:tcBorders>
              <w:bottom w:val="single" w:sz="8" w:color="CCEEFF"/>
            </w:tcBorders>
          </w:tcPr>
          <w:p>
            <w:pPr>
              <w:spacing w:after="0"/>
              <w:rPr>
                <w:sz w:val="18"/>
                <w:szCs w:val="18"/>
                <w:color w:val="auto"/>
              </w:rPr>
            </w:pPr>
          </w:p>
        </w:tc>
        <w:tc>
          <w:tcPr>
            <w:tcW w:w="8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242,482</w:t>
            </w:r>
          </w:p>
        </w:tc>
        <w:tc>
          <w:tcPr>
            <w:tcW w:w="220" w:type="dxa"/>
            <w:vAlign w:val="bottom"/>
            <w:tcBorders>
              <w:bottom w:val="single" w:sz="8" w:color="CCEEFF"/>
            </w:tcBorders>
          </w:tcPr>
          <w:p>
            <w:pPr>
              <w:spacing w:after="0"/>
              <w:rPr>
                <w:sz w:val="18"/>
                <w:szCs w:val="18"/>
                <w:color w:val="auto"/>
              </w:rPr>
            </w:pPr>
          </w:p>
        </w:tc>
        <w:tc>
          <w:tcPr>
            <w:tcW w:w="160" w:type="dxa"/>
            <w:vAlign w:val="bottom"/>
            <w:tcBorders>
              <w:bottom w:val="single" w:sz="8" w:color="CCEEFF"/>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206,673</w:t>
            </w:r>
          </w:p>
        </w:tc>
        <w:tc>
          <w:tcPr>
            <w:tcW w:w="120" w:type="dxa"/>
            <w:vAlign w:val="bottom"/>
            <w:tcBorders>
              <w:bottom w:val="single" w:sz="8" w:color="CCEEFF"/>
            </w:tcBorders>
          </w:tcPr>
          <w:p>
            <w:pPr>
              <w:spacing w:after="0"/>
              <w:rPr>
                <w:sz w:val="18"/>
                <w:szCs w:val="18"/>
                <w:color w:val="auto"/>
              </w:rPr>
            </w:pPr>
          </w:p>
        </w:tc>
      </w:tr>
      <w:tr>
        <w:trPr>
          <w:trHeight w:val="209"/>
        </w:trPr>
        <w:tc>
          <w:tcPr>
            <w:tcW w:w="6160" w:type="dxa"/>
            <w:vAlign w:val="bottom"/>
            <w:shd w:val="clear" w:color="auto" w:fill="CCEEFF"/>
          </w:tcPr>
          <w:p>
            <w:pPr>
              <w:ind w:left="1080"/>
              <w:spacing w:after="0"/>
              <w:rPr>
                <w:sz w:val="20"/>
                <w:szCs w:val="20"/>
                <w:color w:val="auto"/>
              </w:rPr>
            </w:pPr>
            <w:r>
              <w:rPr>
                <w:rFonts w:ascii="Arial" w:cs="Arial" w:eastAsia="Arial" w:hAnsi="Arial"/>
                <w:sz w:val="18"/>
                <w:szCs w:val="18"/>
                <w:color w:val="auto"/>
              </w:rPr>
              <w:t>Loss from operations</w:t>
            </w: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(64,601)</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(59,555)</w:t>
            </w: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(242,482)</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(206,673)</w:t>
            </w:r>
          </w:p>
        </w:tc>
        <w:tc>
          <w:tcPr>
            <w:tcW w:w="120" w:type="dxa"/>
            <w:vAlign w:val="bottom"/>
            <w:shd w:val="clear" w:color="auto" w:fill="CCEEFF"/>
          </w:tcPr>
          <w:p>
            <w:pPr>
              <w:spacing w:after="0"/>
              <w:rPr>
                <w:sz w:val="18"/>
                <w:szCs w:val="18"/>
                <w:color w:val="auto"/>
              </w:rPr>
            </w:pPr>
          </w:p>
        </w:tc>
      </w:tr>
      <w:tr>
        <w:trPr>
          <w:trHeight w:val="216"/>
        </w:trPr>
        <w:tc>
          <w:tcPr>
            <w:tcW w:w="6160" w:type="dxa"/>
            <w:vAlign w:val="bottom"/>
          </w:tcPr>
          <w:p>
            <w:pPr>
              <w:ind w:left="1440"/>
              <w:spacing w:after="0"/>
              <w:rPr>
                <w:sz w:val="20"/>
                <w:szCs w:val="20"/>
                <w:color w:val="auto"/>
              </w:rPr>
            </w:pPr>
            <w:r>
              <w:rPr>
                <w:rFonts w:ascii="Arial" w:cs="Arial" w:eastAsia="Arial" w:hAnsi="Arial"/>
                <w:sz w:val="18"/>
                <w:szCs w:val="18"/>
                <w:color w:val="auto"/>
              </w:rPr>
              <w:t>Interest income, net</w:t>
            </w:r>
          </w:p>
        </w:tc>
        <w:tc>
          <w:tcPr>
            <w:tcW w:w="80" w:type="dxa"/>
            <w:vAlign w:val="bottom"/>
          </w:tcPr>
          <w:p>
            <w:pPr>
              <w:spacing w:after="0"/>
              <w:rPr>
                <w:sz w:val="18"/>
                <w:szCs w:val="18"/>
                <w:color w:val="auto"/>
              </w:rPr>
            </w:pPr>
          </w:p>
        </w:tc>
        <w:tc>
          <w:tcPr>
            <w:tcW w:w="1040" w:type="dxa"/>
            <w:vAlign w:val="bottom"/>
            <w:gridSpan w:val="2"/>
          </w:tcPr>
          <w:p>
            <w:pPr>
              <w:jc w:val="right"/>
              <w:ind w:right="141"/>
              <w:spacing w:after="0"/>
              <w:rPr>
                <w:sz w:val="20"/>
                <w:szCs w:val="20"/>
                <w:color w:val="auto"/>
              </w:rPr>
            </w:pPr>
            <w:r>
              <w:rPr>
                <w:rFonts w:ascii="Arial" w:cs="Arial" w:eastAsia="Arial" w:hAnsi="Arial"/>
                <w:sz w:val="18"/>
                <w:szCs w:val="18"/>
                <w:color w:val="auto"/>
              </w:rPr>
              <w:t>52</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gridSpan w:val="2"/>
          </w:tcPr>
          <w:p>
            <w:pPr>
              <w:jc w:val="right"/>
              <w:ind w:right="301"/>
              <w:spacing w:after="0"/>
              <w:rPr>
                <w:sz w:val="20"/>
                <w:szCs w:val="20"/>
                <w:color w:val="auto"/>
              </w:rPr>
            </w:pPr>
            <w:r>
              <w:rPr>
                <w:rFonts w:ascii="Arial" w:cs="Arial" w:eastAsia="Arial" w:hAnsi="Arial"/>
                <w:sz w:val="18"/>
                <w:szCs w:val="18"/>
                <w:color w:val="auto"/>
              </w:rPr>
              <w:t>432</w:t>
            </w:r>
          </w:p>
        </w:tc>
        <w:tc>
          <w:tcPr>
            <w:tcW w:w="80" w:type="dxa"/>
            <w:vAlign w:val="bottom"/>
          </w:tcPr>
          <w:p>
            <w:pPr>
              <w:spacing w:after="0"/>
              <w:rPr>
                <w:sz w:val="18"/>
                <w:szCs w:val="18"/>
                <w:color w:val="auto"/>
              </w:rPr>
            </w:pPr>
          </w:p>
        </w:tc>
        <w:tc>
          <w:tcPr>
            <w:tcW w:w="1040" w:type="dxa"/>
            <w:vAlign w:val="bottom"/>
            <w:gridSpan w:val="2"/>
          </w:tcPr>
          <w:p>
            <w:pPr>
              <w:jc w:val="right"/>
              <w:ind w:right="141"/>
              <w:spacing w:after="0"/>
              <w:rPr>
                <w:sz w:val="20"/>
                <w:szCs w:val="20"/>
                <w:color w:val="auto"/>
              </w:rPr>
            </w:pPr>
            <w:r>
              <w:rPr>
                <w:rFonts w:ascii="Arial" w:cs="Arial" w:eastAsia="Arial" w:hAnsi="Arial"/>
                <w:sz w:val="18"/>
                <w:szCs w:val="18"/>
                <w:color w:val="auto"/>
              </w:rPr>
              <w:t>363</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41"/>
              <w:spacing w:after="0"/>
              <w:rPr>
                <w:sz w:val="20"/>
                <w:szCs w:val="20"/>
                <w:color w:val="auto"/>
              </w:rPr>
            </w:pPr>
            <w:r>
              <w:rPr>
                <w:rFonts w:ascii="Arial" w:cs="Arial" w:eastAsia="Arial" w:hAnsi="Arial"/>
                <w:sz w:val="18"/>
                <w:szCs w:val="18"/>
                <w:color w:val="auto"/>
              </w:rPr>
              <w:t>4,329</w:t>
            </w:r>
          </w:p>
        </w:tc>
      </w:tr>
      <w:tr>
        <w:trPr>
          <w:trHeight w:val="216"/>
        </w:trPr>
        <w:tc>
          <w:tcPr>
            <w:tcW w:w="6160" w:type="dxa"/>
            <w:vAlign w:val="bottom"/>
            <w:shd w:val="clear" w:color="auto" w:fill="CCEEFF"/>
          </w:tcPr>
          <w:p>
            <w:pPr>
              <w:ind w:left="1440"/>
              <w:spacing w:after="0"/>
              <w:rPr>
                <w:sz w:val="20"/>
                <w:szCs w:val="20"/>
                <w:color w:val="auto"/>
              </w:rPr>
            </w:pPr>
            <w:r>
              <w:rPr>
                <w:rFonts w:ascii="Arial" w:cs="Arial" w:eastAsia="Arial" w:hAnsi="Arial"/>
                <w:sz w:val="18"/>
                <w:szCs w:val="18"/>
                <w:color w:val="auto"/>
              </w:rPr>
              <w:t>Other income</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273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1"/>
              <w:spacing w:after="0"/>
              <w:rPr>
                <w:sz w:val="20"/>
                <w:szCs w:val="20"/>
                <w:color w:val="auto"/>
              </w:rPr>
            </w:pPr>
            <w:r>
              <w:rPr>
                <w:rFonts w:ascii="Arial" w:cs="Arial" w:eastAsia="Arial" w:hAnsi="Arial"/>
                <w:sz w:val="18"/>
                <w:szCs w:val="18"/>
                <w:color w:val="auto"/>
              </w:rPr>
              <w:t>100</w:t>
            </w:r>
          </w:p>
        </w:tc>
      </w:tr>
      <w:tr>
        <w:trPr>
          <w:trHeight w:val="249"/>
        </w:trPr>
        <w:tc>
          <w:tcPr>
            <w:tcW w:w="6160" w:type="dxa"/>
            <w:vAlign w:val="bottom"/>
            <w:tcBorders>
              <w:bottom w:val="single" w:sz="8" w:color="CCEEFF"/>
            </w:tcBorders>
          </w:tcPr>
          <w:p>
            <w:pPr>
              <w:ind w:left="1080"/>
              <w:spacing w:after="0"/>
              <w:rPr>
                <w:sz w:val="20"/>
                <w:szCs w:val="20"/>
                <w:color w:val="auto"/>
              </w:rPr>
            </w:pPr>
            <w:r>
              <w:rPr>
                <w:rFonts w:ascii="Arial" w:cs="Arial" w:eastAsia="Arial" w:hAnsi="Arial"/>
                <w:sz w:val="18"/>
                <w:szCs w:val="18"/>
                <w:color w:val="auto"/>
              </w:rPr>
              <w:t>Net loss</w:t>
            </w: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(64,549</w:t>
            </w:r>
          </w:p>
        </w:tc>
        <w:tc>
          <w:tcPr>
            <w:tcW w:w="220" w:type="dxa"/>
            <w:vAlign w:val="bottom"/>
            <w:tcBorders>
              <w:bottom w:val="single" w:sz="8" w:color="CCEEFF"/>
            </w:tcBorders>
          </w:tcPr>
          <w:p>
            <w:pPr>
              <w:jc w:val="right"/>
              <w:ind w:right="81"/>
              <w:spacing w:after="0"/>
              <w:rPr>
                <w:sz w:val="20"/>
                <w:szCs w:val="20"/>
                <w:color w:val="auto"/>
              </w:rPr>
            </w:pPr>
            <w:r>
              <w:rPr>
                <w:rFonts w:ascii="Arial" w:cs="Arial" w:eastAsia="Arial" w:hAnsi="Arial"/>
                <w:sz w:val="16"/>
                <w:szCs w:val="16"/>
                <w:color w:val="auto"/>
                <w:w w:val="74"/>
              </w:rPr>
              <w:t>)</w:t>
            </w:r>
          </w:p>
        </w:tc>
        <w:tc>
          <w:tcPr>
            <w:tcW w:w="160" w:type="dxa"/>
            <w:vAlign w:val="bottom"/>
            <w:tcBorders>
              <w:bottom w:val="single" w:sz="8" w:color="CCEEFF"/>
            </w:tcBorders>
          </w:tcPr>
          <w:p>
            <w:pPr>
              <w:spacing w:after="0"/>
              <w:rPr>
                <w:sz w:val="21"/>
                <w:szCs w:val="21"/>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(59,123</w:t>
            </w:r>
          </w:p>
        </w:tc>
        <w:tc>
          <w:tcPr>
            <w:tcW w:w="380" w:type="dxa"/>
            <w:vAlign w:val="bottom"/>
            <w:tcBorders>
              <w:bottom w:val="single" w:sz="8" w:color="CCEEFF"/>
            </w:tcBorders>
          </w:tcPr>
          <w:p>
            <w:pPr>
              <w:jc w:val="right"/>
              <w:ind w:right="241"/>
              <w:spacing w:after="0"/>
              <w:rPr>
                <w:sz w:val="20"/>
                <w:szCs w:val="20"/>
                <w:color w:val="auto"/>
              </w:rPr>
            </w:pPr>
            <w:r>
              <w:rPr>
                <w:rFonts w:ascii="Arial" w:cs="Arial" w:eastAsia="Arial" w:hAnsi="Arial"/>
                <w:sz w:val="16"/>
                <w:szCs w:val="16"/>
                <w:color w:val="auto"/>
                <w:w w:val="74"/>
              </w:rPr>
              <w:t>)</w:t>
            </w: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(241,846</w:t>
            </w:r>
          </w:p>
        </w:tc>
        <w:tc>
          <w:tcPr>
            <w:tcW w:w="220" w:type="dxa"/>
            <w:vAlign w:val="bottom"/>
            <w:tcBorders>
              <w:bottom w:val="single" w:sz="8" w:color="CCEEFF"/>
            </w:tcBorders>
          </w:tcPr>
          <w:p>
            <w:pPr>
              <w:jc w:val="right"/>
              <w:ind w:right="81"/>
              <w:spacing w:after="0"/>
              <w:rPr>
                <w:sz w:val="20"/>
                <w:szCs w:val="20"/>
                <w:color w:val="auto"/>
              </w:rPr>
            </w:pPr>
            <w:r>
              <w:rPr>
                <w:rFonts w:ascii="Arial" w:cs="Arial" w:eastAsia="Arial" w:hAnsi="Arial"/>
                <w:sz w:val="16"/>
                <w:szCs w:val="16"/>
                <w:color w:val="auto"/>
                <w:w w:val="74"/>
              </w:rPr>
              <w:t>)</w:t>
            </w:r>
          </w:p>
        </w:tc>
        <w:tc>
          <w:tcPr>
            <w:tcW w:w="16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(202,244</w:t>
            </w:r>
          </w:p>
        </w:tc>
        <w:tc>
          <w:tcPr>
            <w:tcW w:w="12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w w:val="74"/>
              </w:rPr>
              <w:t>)</w:t>
            </w:r>
          </w:p>
        </w:tc>
      </w:tr>
      <w:tr>
        <w:trPr>
          <w:trHeight w:val="197"/>
        </w:trPr>
        <w:tc>
          <w:tcPr>
            <w:tcW w:w="6160" w:type="dxa"/>
            <w:vAlign w:val="bottom"/>
            <w:shd w:val="clear" w:color="auto" w:fill="CCEEFF"/>
          </w:tcPr>
          <w:p>
            <w:pPr>
              <w:ind w:left="360"/>
              <w:spacing w:after="0" w:line="190" w:lineRule="exact"/>
              <w:rPr>
                <w:sz w:val="20"/>
                <w:szCs w:val="20"/>
                <w:color w:val="auto"/>
              </w:rPr>
            </w:pPr>
            <w:r>
              <w:rPr>
                <w:rFonts w:ascii="Arial" w:cs="Arial" w:eastAsia="Arial" w:hAnsi="Arial"/>
                <w:sz w:val="18"/>
                <w:szCs w:val="18"/>
                <w:color w:val="auto"/>
              </w:rPr>
              <w:t>Basic and diluted net loss per common share</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(3.78)</w:t>
            </w: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(3.82)</w:t>
            </w:r>
          </w:p>
        </w:tc>
        <w:tc>
          <w:tcPr>
            <w:tcW w:w="380" w:type="dxa"/>
            <w:vAlign w:val="bottom"/>
            <w:shd w:val="clear" w:color="auto" w:fill="CCEEFF"/>
          </w:tcPr>
          <w:p>
            <w:pPr>
              <w:spacing w:after="0"/>
              <w:rPr>
                <w:sz w:val="17"/>
                <w:szCs w:val="17"/>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(14.63)</w:t>
            </w: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(13.09)</w:t>
            </w:r>
          </w:p>
        </w:tc>
        <w:tc>
          <w:tcPr>
            <w:tcW w:w="120" w:type="dxa"/>
            <w:vAlign w:val="bottom"/>
            <w:shd w:val="clear" w:color="auto" w:fill="CCEEFF"/>
          </w:tcPr>
          <w:p>
            <w:pPr>
              <w:spacing w:after="0"/>
              <w:rPr>
                <w:sz w:val="17"/>
                <w:szCs w:val="17"/>
                <w:color w:val="auto"/>
              </w:rPr>
            </w:pPr>
          </w:p>
        </w:tc>
      </w:tr>
      <w:tr>
        <w:trPr>
          <w:trHeight w:val="230"/>
        </w:trPr>
        <w:tc>
          <w:tcPr>
            <w:tcW w:w="6160" w:type="dxa"/>
            <w:vAlign w:val="bottom"/>
          </w:tcPr>
          <w:p>
            <w:pPr>
              <w:ind w:left="360"/>
              <w:spacing w:after="0"/>
              <w:rPr>
                <w:sz w:val="20"/>
                <w:szCs w:val="20"/>
                <w:color w:val="auto"/>
              </w:rPr>
            </w:pPr>
            <w:r>
              <w:rPr>
                <w:rFonts w:ascii="Arial" w:cs="Arial" w:eastAsia="Arial" w:hAnsi="Arial"/>
                <w:sz w:val="18"/>
                <w:szCs w:val="18"/>
                <w:color w:val="auto"/>
                <w:w w:val="96"/>
              </w:rPr>
              <w:t>Basic and diluted weighted average number of common shares outstanding</w:t>
            </w:r>
          </w:p>
        </w:tc>
        <w:tc>
          <w:tcPr>
            <w:tcW w:w="80" w:type="dxa"/>
            <w:vAlign w:val="bottom"/>
          </w:tcPr>
          <w:p>
            <w:pPr>
              <w:spacing w:after="0"/>
              <w:rPr>
                <w:sz w:val="20"/>
                <w:szCs w:val="20"/>
                <w:color w:val="auto"/>
              </w:rPr>
            </w:pPr>
          </w:p>
        </w:tc>
        <w:tc>
          <w:tcPr>
            <w:tcW w:w="1040" w:type="dxa"/>
            <w:vAlign w:val="bottom"/>
            <w:gridSpan w:val="2"/>
          </w:tcPr>
          <w:p>
            <w:pPr>
              <w:jc w:val="right"/>
              <w:ind w:right="141"/>
              <w:spacing w:after="0"/>
              <w:rPr>
                <w:sz w:val="20"/>
                <w:szCs w:val="20"/>
                <w:color w:val="auto"/>
              </w:rPr>
            </w:pPr>
            <w:r>
              <w:rPr>
                <w:rFonts w:ascii="Arial" w:cs="Arial" w:eastAsia="Arial" w:hAnsi="Arial"/>
                <w:sz w:val="18"/>
                <w:szCs w:val="18"/>
                <w:color w:val="auto"/>
                <w:w w:val="88"/>
              </w:rPr>
              <w:t>17,074,543</w:t>
            </w: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0" w:type="dxa"/>
            <w:vAlign w:val="bottom"/>
            <w:gridSpan w:val="2"/>
          </w:tcPr>
          <w:p>
            <w:pPr>
              <w:jc w:val="right"/>
              <w:ind w:right="301"/>
              <w:spacing w:after="0"/>
              <w:rPr>
                <w:sz w:val="20"/>
                <w:szCs w:val="20"/>
                <w:color w:val="auto"/>
              </w:rPr>
            </w:pPr>
            <w:r>
              <w:rPr>
                <w:rFonts w:ascii="Arial" w:cs="Arial" w:eastAsia="Arial" w:hAnsi="Arial"/>
                <w:sz w:val="18"/>
                <w:szCs w:val="18"/>
                <w:color w:val="auto"/>
                <w:w w:val="88"/>
              </w:rPr>
              <w:t>15,475,291</w:t>
            </w:r>
          </w:p>
        </w:tc>
        <w:tc>
          <w:tcPr>
            <w:tcW w:w="80" w:type="dxa"/>
            <w:vAlign w:val="bottom"/>
          </w:tcPr>
          <w:p>
            <w:pPr>
              <w:spacing w:after="0"/>
              <w:rPr>
                <w:sz w:val="20"/>
                <w:szCs w:val="20"/>
                <w:color w:val="auto"/>
              </w:rPr>
            </w:pPr>
          </w:p>
        </w:tc>
        <w:tc>
          <w:tcPr>
            <w:tcW w:w="1040" w:type="dxa"/>
            <w:vAlign w:val="bottom"/>
            <w:gridSpan w:val="2"/>
          </w:tcPr>
          <w:p>
            <w:pPr>
              <w:jc w:val="right"/>
              <w:ind w:right="141"/>
              <w:spacing w:after="0"/>
              <w:rPr>
                <w:sz w:val="20"/>
                <w:szCs w:val="20"/>
                <w:color w:val="auto"/>
              </w:rPr>
            </w:pPr>
            <w:r>
              <w:rPr>
                <w:rFonts w:ascii="Arial" w:cs="Arial" w:eastAsia="Arial" w:hAnsi="Arial"/>
                <w:sz w:val="18"/>
                <w:szCs w:val="18"/>
                <w:color w:val="auto"/>
                <w:w w:val="88"/>
              </w:rPr>
              <w:t>16,535,188</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gridSpan w:val="2"/>
          </w:tcPr>
          <w:p>
            <w:pPr>
              <w:jc w:val="right"/>
              <w:ind w:right="41"/>
              <w:spacing w:after="0"/>
              <w:rPr>
                <w:sz w:val="20"/>
                <w:szCs w:val="20"/>
                <w:color w:val="auto"/>
              </w:rPr>
            </w:pPr>
            <w:r>
              <w:rPr>
                <w:rFonts w:ascii="Arial" w:cs="Arial" w:eastAsia="Arial" w:hAnsi="Arial"/>
                <w:sz w:val="18"/>
                <w:szCs w:val="18"/>
                <w:color w:val="auto"/>
                <w:w w:val="86"/>
              </w:rPr>
              <w:t>15,446,638</w:t>
            </w:r>
          </w:p>
        </w:tc>
      </w:tr>
    </w:tbl>
    <w:p>
      <w:pPr>
        <w:sectPr>
          <w:pgSz w:w="11900" w:h="16838" w:orient="portrait"/>
          <w:cols w:equalWidth="0" w:num="1">
            <w:col w:w="11020"/>
          </w:cols>
          <w:pgMar w:left="440" w:top="756" w:right="439" w:bottom="1440" w:gutter="0" w:footer="0" w:header="0"/>
        </w:sectPr>
      </w:pPr>
    </w:p>
    <w:bookmarkStart w:id="8" w:name="page9"/>
    <w:bookmarkEnd w:id="8"/>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100"/>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182880</wp:posOffset>
            </wp:positionV>
            <wp:extent cx="1457325" cy="3086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clrChange>
                        <a:clrFrom>
                          <a:srgbClr val="FFFFFF"/>
                        </a:clrFrom>
                        <a:clrTo>
                          <a:srgbClr val="FFFFFF">
                            <a:alpha val="0"/>
                          </a:srgbClr>
                        </a:clrTo>
                      </a:clrChange>
                      <a:extLst>
                        <a:ext uri="{28A0092B-C50C-407E-A947-70E740481C1C}"/>
                      </a:extLst>
                    </a:blip>
                    <a:srcRect/>
                    <a:stretch>
                      <a:fillRect/>
                    </a:stretch>
                  </pic:blipFill>
                  <pic:spPr bwMode="auto">
                    <a:xfrm>
                      <a:off x="0" y="0"/>
                      <a:ext cx="1457325" cy="308610"/>
                    </a:xfrm>
                    <a:prstGeom prst="rect">
                      <a:avLst/>
                    </a:prstGeom>
                    <a:noFill/>
                  </pic:spPr>
                </pic:pic>
              </a:graphicData>
            </a:graphic>
          </wp:anchor>
        </w:drawing>
        <w:t>Madrigal 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(in thousands)</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(unaudited)</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900" w:type="dxa"/>
            <w:vAlign w:val="bottom"/>
          </w:tcPr>
          <w:p>
            <w:pPr>
              <w:spacing w:after="0"/>
              <w:rPr>
                <w:sz w:val="14"/>
                <w:szCs w:val="14"/>
                <w:color w:val="auto"/>
              </w:rPr>
            </w:pPr>
          </w:p>
        </w:tc>
        <w:tc>
          <w:tcPr>
            <w:tcW w:w="1220" w:type="dxa"/>
            <w:vAlign w:val="bottom"/>
            <w:gridSpan w:val="4"/>
          </w:tcPr>
          <w:p>
            <w:pPr>
              <w:spacing w:after="0"/>
              <w:rPr>
                <w:sz w:val="20"/>
                <w:szCs w:val="20"/>
                <w:color w:val="auto"/>
              </w:rPr>
            </w:pPr>
            <w:r>
              <w:rPr>
                <w:rFonts w:ascii="Arial" w:cs="Arial" w:eastAsia="Arial" w:hAnsi="Arial"/>
                <w:sz w:val="14"/>
                <w:szCs w:val="14"/>
                <w:b w:val="1"/>
                <w:bCs w:val="1"/>
                <w:color w:val="auto"/>
              </w:rPr>
              <w:t>December 31,</w:t>
            </w:r>
          </w:p>
        </w:tc>
        <w:tc>
          <w:tcPr>
            <w:tcW w:w="900" w:type="dxa"/>
            <w:vAlign w:val="bottom"/>
            <w:gridSpan w:val="3"/>
          </w:tcPr>
          <w:p>
            <w:pPr>
              <w:spacing w:after="0"/>
              <w:rPr>
                <w:sz w:val="20"/>
                <w:szCs w:val="20"/>
                <w:color w:val="auto"/>
              </w:rPr>
            </w:pPr>
            <w:r>
              <w:rPr>
                <w:rFonts w:ascii="Arial" w:cs="Arial" w:eastAsia="Arial" w:hAnsi="Arial"/>
                <w:sz w:val="14"/>
                <w:szCs w:val="14"/>
                <w:b w:val="1"/>
                <w:bCs w:val="1"/>
                <w:color w:val="auto"/>
                <w:w w:val="96"/>
              </w:rPr>
              <w:t>December 31,</w:t>
            </w:r>
          </w:p>
        </w:tc>
        <w:tc>
          <w:tcPr>
            <w:tcW w:w="0" w:type="dxa"/>
            <w:vAlign w:val="bottom"/>
          </w:tcPr>
          <w:p>
            <w:pPr>
              <w:spacing w:after="0"/>
              <w:rPr>
                <w:sz w:val="1"/>
                <w:szCs w:val="1"/>
                <w:color w:val="auto"/>
              </w:rPr>
            </w:pPr>
          </w:p>
        </w:tc>
      </w:tr>
      <w:tr>
        <w:trPr>
          <w:trHeight w:val="171"/>
        </w:trPr>
        <w:tc>
          <w:tcPr>
            <w:tcW w:w="890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2021</w:t>
            </w:r>
          </w:p>
        </w:tc>
        <w:tc>
          <w:tcPr>
            <w:tcW w:w="20" w:type="dxa"/>
            <w:vAlign w:val="bottom"/>
            <w:tcBorders>
              <w:bottom w:val="single" w:sz="8" w:color="CCEEFF"/>
            </w:tcBorders>
          </w:tcPr>
          <w:p>
            <w:pPr>
              <w:spacing w:after="0"/>
              <w:rPr>
                <w:sz w:val="14"/>
                <w:szCs w:val="14"/>
                <w:color w:val="auto"/>
              </w:rPr>
            </w:pPr>
          </w:p>
        </w:tc>
        <w:tc>
          <w:tcPr>
            <w:tcW w:w="36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2020</w:t>
            </w:r>
          </w:p>
        </w:tc>
        <w:tc>
          <w:tcPr>
            <w:tcW w:w="6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890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Assets</w:t>
            </w:r>
          </w:p>
        </w:tc>
        <w:tc>
          <w:tcPr>
            <w:tcW w:w="1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900" w:type="dxa"/>
            <w:vAlign w:val="bottom"/>
          </w:tcPr>
          <w:p>
            <w:pPr>
              <w:spacing w:after="0"/>
              <w:rPr>
                <w:sz w:val="20"/>
                <w:szCs w:val="20"/>
                <w:color w:val="auto"/>
              </w:rPr>
            </w:pPr>
            <w:r>
              <w:rPr>
                <w:rFonts w:ascii="Arial" w:cs="Arial" w:eastAsia="Arial" w:hAnsi="Arial"/>
                <w:sz w:val="18"/>
                <w:szCs w:val="18"/>
                <w:color w:val="auto"/>
              </w:rPr>
              <w:t>Cash, cash equivalents and marketable securities</w:t>
            </w: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w w:val="98"/>
              </w:rPr>
              <w:t>270,346</w:t>
            </w:r>
          </w:p>
        </w:tc>
        <w:tc>
          <w:tcPr>
            <w:tcW w:w="360" w:type="dxa"/>
            <w:vAlign w:val="bottom"/>
          </w:tcPr>
          <w:p>
            <w:pPr>
              <w:spacing w:after="0"/>
              <w:rPr>
                <w:sz w:val="18"/>
                <w:szCs w:val="18"/>
                <w:color w:val="auto"/>
              </w:rPr>
            </w:pP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w w:val="98"/>
              </w:rPr>
              <w:t>284,149</w:t>
            </w:r>
          </w:p>
        </w:tc>
        <w:tc>
          <w:tcPr>
            <w:tcW w:w="0" w:type="dxa"/>
            <w:vAlign w:val="bottom"/>
          </w:tcPr>
          <w:p>
            <w:pPr>
              <w:spacing w:after="0"/>
              <w:rPr>
                <w:sz w:val="1"/>
                <w:szCs w:val="1"/>
                <w:color w:val="auto"/>
              </w:rPr>
            </w:pPr>
          </w:p>
        </w:tc>
      </w:tr>
      <w:tr>
        <w:trPr>
          <w:trHeight w:val="216"/>
        </w:trPr>
        <w:tc>
          <w:tcPr>
            <w:tcW w:w="8900" w:type="dxa"/>
            <w:vAlign w:val="bottom"/>
            <w:shd w:val="clear" w:color="auto" w:fill="CCEEFF"/>
          </w:tcPr>
          <w:p>
            <w:pPr>
              <w:spacing w:after="0"/>
              <w:rPr>
                <w:sz w:val="20"/>
                <w:szCs w:val="20"/>
                <w:color w:val="auto"/>
              </w:rPr>
            </w:pPr>
            <w:r>
              <w:rPr>
                <w:rFonts w:ascii="Arial" w:cs="Arial" w:eastAsia="Arial" w:hAnsi="Arial"/>
                <w:sz w:val="18"/>
                <w:szCs w:val="18"/>
                <w:color w:val="auto"/>
              </w:rPr>
              <w:t>Other current assets</w:t>
            </w:r>
          </w:p>
        </w:tc>
        <w:tc>
          <w:tcPr>
            <w:tcW w:w="1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1,338</w:t>
            </w:r>
          </w:p>
        </w:tc>
        <w:tc>
          <w:tcPr>
            <w:tcW w:w="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1,014</w:t>
            </w:r>
          </w:p>
        </w:tc>
        <w:tc>
          <w:tcPr>
            <w:tcW w:w="0" w:type="dxa"/>
            <w:vAlign w:val="bottom"/>
          </w:tcPr>
          <w:p>
            <w:pPr>
              <w:spacing w:after="0"/>
              <w:rPr>
                <w:sz w:val="1"/>
                <w:szCs w:val="1"/>
                <w:color w:val="auto"/>
              </w:rPr>
            </w:pPr>
          </w:p>
        </w:tc>
      </w:tr>
      <w:tr>
        <w:trPr>
          <w:trHeight w:val="223"/>
        </w:trPr>
        <w:tc>
          <w:tcPr>
            <w:tcW w:w="8900" w:type="dxa"/>
            <w:vAlign w:val="bottom"/>
          </w:tcPr>
          <w:p>
            <w:pPr>
              <w:spacing w:after="0"/>
              <w:rPr>
                <w:sz w:val="20"/>
                <w:szCs w:val="20"/>
                <w:color w:val="auto"/>
              </w:rPr>
            </w:pPr>
            <w:r>
              <w:rPr>
                <w:rFonts w:ascii="Arial" w:cs="Arial" w:eastAsia="Arial" w:hAnsi="Arial"/>
                <w:sz w:val="18"/>
                <w:szCs w:val="18"/>
                <w:color w:val="auto"/>
              </w:rPr>
              <w:t>Other non-current assets</w:t>
            </w:r>
          </w:p>
        </w:tc>
        <w:tc>
          <w:tcPr>
            <w:tcW w:w="18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1,648</w:t>
            </w:r>
          </w:p>
        </w:tc>
        <w:tc>
          <w:tcPr>
            <w:tcW w:w="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1,832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9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Total assets</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8"/>
              </w:rPr>
              <w:t>273,332</w:t>
            </w:r>
          </w:p>
        </w:tc>
        <w:tc>
          <w:tcPr>
            <w:tcW w:w="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8"/>
              </w:rPr>
              <w:t>286,995</w:t>
            </w:r>
          </w:p>
        </w:tc>
        <w:tc>
          <w:tcPr>
            <w:tcW w:w="0" w:type="dxa"/>
            <w:vAlign w:val="bottom"/>
          </w:tcPr>
          <w:p>
            <w:pPr>
              <w:spacing w:after="0"/>
              <w:rPr>
                <w:sz w:val="1"/>
                <w:szCs w:val="1"/>
                <w:color w:val="auto"/>
              </w:rPr>
            </w:pPr>
          </w:p>
        </w:tc>
      </w:tr>
      <w:tr>
        <w:trPr>
          <w:trHeight w:val="20"/>
        </w:trPr>
        <w:tc>
          <w:tcPr>
            <w:tcW w:w="8900" w:type="dxa"/>
            <w:vAlign w:val="bottom"/>
            <w:vMerge w:val="restart"/>
          </w:tcPr>
          <w:p>
            <w:pPr>
              <w:spacing w:after="0"/>
              <w:rPr>
                <w:sz w:val="20"/>
                <w:szCs w:val="20"/>
                <w:color w:val="auto"/>
              </w:rPr>
            </w:pPr>
            <w:r>
              <w:rPr>
                <w:rFonts w:ascii="Arial" w:cs="Arial" w:eastAsia="Arial" w:hAnsi="Arial"/>
                <w:sz w:val="18"/>
                <w:szCs w:val="18"/>
                <w:b w:val="1"/>
                <w:bCs w:val="1"/>
                <w:color w:val="auto"/>
              </w:rPr>
              <w:t>Liabilities and Equity</w:t>
            </w: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890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890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04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color w:val="auto"/>
              </w:rPr>
              <w:t>76,838</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46,557</w:t>
            </w:r>
          </w:p>
        </w:tc>
        <w:tc>
          <w:tcPr>
            <w:tcW w:w="0" w:type="dxa"/>
            <w:vAlign w:val="bottom"/>
          </w:tcPr>
          <w:p>
            <w:pPr>
              <w:spacing w:after="0"/>
              <w:rPr>
                <w:sz w:val="1"/>
                <w:szCs w:val="1"/>
                <w:color w:val="auto"/>
              </w:rPr>
            </w:pPr>
          </w:p>
        </w:tc>
      </w:tr>
      <w:tr>
        <w:trPr>
          <w:trHeight w:val="216"/>
        </w:trPr>
        <w:tc>
          <w:tcPr>
            <w:tcW w:w="8900" w:type="dxa"/>
            <w:vAlign w:val="bottom"/>
          </w:tcPr>
          <w:p>
            <w:pPr>
              <w:spacing w:after="0"/>
              <w:rPr>
                <w:sz w:val="20"/>
                <w:szCs w:val="20"/>
                <w:color w:val="auto"/>
              </w:rPr>
            </w:pPr>
            <w:r>
              <w:rPr>
                <w:rFonts w:ascii="Arial" w:cs="Arial" w:eastAsia="Arial" w:hAnsi="Arial"/>
                <w:sz w:val="18"/>
                <w:szCs w:val="18"/>
                <w:color w:val="auto"/>
              </w:rPr>
              <w:t>Long-term liabilities</w:t>
            </w:r>
          </w:p>
        </w:tc>
        <w:tc>
          <w:tcPr>
            <w:tcW w:w="180" w:type="dxa"/>
            <w:vAlign w:val="bottom"/>
          </w:tcPr>
          <w:p>
            <w:pPr>
              <w:spacing w:after="0"/>
              <w:rPr>
                <w:sz w:val="18"/>
                <w:szCs w:val="18"/>
                <w:color w:val="auto"/>
              </w:rPr>
            </w:pPr>
          </w:p>
        </w:tc>
        <w:tc>
          <w:tcPr>
            <w:tcW w:w="1040" w:type="dxa"/>
            <w:vAlign w:val="bottom"/>
            <w:gridSpan w:val="3"/>
          </w:tcPr>
          <w:p>
            <w:pPr>
              <w:jc w:val="right"/>
              <w:ind w:right="380"/>
              <w:spacing w:after="0"/>
              <w:rPr>
                <w:sz w:val="20"/>
                <w:szCs w:val="20"/>
                <w:color w:val="auto"/>
              </w:rPr>
            </w:pPr>
            <w:r>
              <w:rPr>
                <w:rFonts w:ascii="Arial" w:cs="Arial" w:eastAsia="Arial" w:hAnsi="Arial"/>
                <w:sz w:val="18"/>
                <w:szCs w:val="18"/>
                <w:color w:val="auto"/>
              </w:rPr>
              <w:t>387</w:t>
            </w:r>
          </w:p>
        </w:tc>
        <w:tc>
          <w:tcPr>
            <w:tcW w:w="18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468</w:t>
            </w:r>
          </w:p>
        </w:tc>
        <w:tc>
          <w:tcPr>
            <w:tcW w:w="0" w:type="dxa"/>
            <w:vAlign w:val="bottom"/>
          </w:tcPr>
          <w:p>
            <w:pPr>
              <w:spacing w:after="0"/>
              <w:rPr>
                <w:sz w:val="1"/>
                <w:szCs w:val="1"/>
                <w:color w:val="auto"/>
              </w:rPr>
            </w:pPr>
          </w:p>
        </w:tc>
      </w:tr>
      <w:tr>
        <w:trPr>
          <w:trHeight w:val="216"/>
        </w:trPr>
        <w:tc>
          <w:tcPr>
            <w:tcW w:w="8900" w:type="dxa"/>
            <w:vAlign w:val="bottom"/>
            <w:shd w:val="clear" w:color="auto" w:fill="CCEEFF"/>
          </w:tcPr>
          <w:p>
            <w:pPr>
              <w:spacing w:after="0"/>
              <w:rPr>
                <w:sz w:val="20"/>
                <w:szCs w:val="20"/>
                <w:color w:val="auto"/>
              </w:rPr>
            </w:pPr>
            <w:r>
              <w:rPr>
                <w:rFonts w:ascii="Arial" w:cs="Arial" w:eastAsia="Arial" w:hAnsi="Arial"/>
                <w:sz w:val="18"/>
                <w:szCs w:val="18"/>
                <w:color w:val="auto"/>
              </w:rPr>
              <w:t>Stockholders’ equity</w:t>
            </w:r>
          </w:p>
        </w:tc>
        <w:tc>
          <w:tcPr>
            <w:tcW w:w="1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8"/>
              </w:rPr>
              <w:t>196,107</w:t>
            </w:r>
          </w:p>
        </w:tc>
        <w:tc>
          <w:tcPr>
            <w:tcW w:w="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8"/>
              </w:rPr>
              <w:t>239,970</w:t>
            </w:r>
          </w:p>
        </w:tc>
        <w:tc>
          <w:tcPr>
            <w:tcW w:w="0" w:type="dxa"/>
            <w:vAlign w:val="bottom"/>
          </w:tcPr>
          <w:p>
            <w:pPr>
              <w:spacing w:after="0"/>
              <w:rPr>
                <w:sz w:val="1"/>
                <w:szCs w:val="1"/>
                <w:color w:val="auto"/>
              </w:rPr>
            </w:pPr>
          </w:p>
        </w:tc>
      </w:tr>
      <w:tr>
        <w:trPr>
          <w:trHeight w:val="223"/>
        </w:trPr>
        <w:tc>
          <w:tcPr>
            <w:tcW w:w="8900" w:type="dxa"/>
            <w:vAlign w:val="bottom"/>
          </w:tcPr>
          <w:p>
            <w:pPr>
              <w:ind w:left="360"/>
              <w:spacing w:after="0"/>
              <w:rPr>
                <w:sz w:val="20"/>
                <w:szCs w:val="20"/>
                <w:color w:val="auto"/>
              </w:rPr>
            </w:pPr>
            <w:r>
              <w:rPr>
                <w:rFonts w:ascii="Arial" w:cs="Arial" w:eastAsia="Arial" w:hAnsi="Arial"/>
                <w:sz w:val="18"/>
                <w:szCs w:val="18"/>
                <w:color w:val="auto"/>
              </w:rPr>
              <w:t>Total liabilities and stockholders’ equity</w:t>
            </w:r>
          </w:p>
        </w:tc>
        <w:tc>
          <w:tcPr>
            <w:tcW w:w="1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273,332</w:t>
            </w:r>
          </w:p>
        </w:tc>
        <w:tc>
          <w:tcPr>
            <w:tcW w:w="20" w:type="dxa"/>
            <w:vAlign w:val="bottom"/>
            <w:tcBorders>
              <w:bottom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286,995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9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 w:lineRule="exact"/>
        <w:rPr>
          <w:sz w:val="20"/>
          <w:szCs w:val="20"/>
          <w:color w:val="auto"/>
        </w:rPr>
      </w:pPr>
    </w:p>
    <w:sectPr>
      <w:pgSz w:w="11900" w:h="16838" w:orient="portrait"/>
      <w:cols w:equalWidth="0" w:num="1">
        <w:col w:w="11020"/>
      </w:cols>
      <w:pgMar w:left="440" w:top="904"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decimal"/>
      <w:start w:val="104"/>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pn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2022-02-24T07:02:41Z</dcterms:created>
  <dcterms:modified xsi:type="dcterms:W3CDTF">2022-02-24T07:02:41Z</dcterms:modified>
</cp:coreProperties>
</file>