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-648970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5612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56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rFonts w:ascii="Arial" w:cs="Arial" w:eastAsia="Arial" w:hAnsi="Arial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color w:val="0000EE"/>
                </w:rPr>
                <w:t>Howarth Alex G.</w:t>
              </w:r>
            </w:hyperlink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05/17/2021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3. Issuer Name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color w:val="0000EE"/>
        </w:rPr>
      </w:pPr>
      <w:hyperlink r:id="rId11">
        <w:r>
          <w:rPr>
            <w:rFonts w:ascii="Arial" w:cs="Arial" w:eastAsia="Arial" w:hAnsi="Arial"/>
            <w:sz w:val="24"/>
            <w:szCs w:val="24"/>
            <w:u w:val="single" w:color="auto"/>
            <w:color w:val="0000EE"/>
          </w:rPr>
          <w:t>MADRIGAL PHARMACEUTICALS, INC.</w:t>
        </w:r>
        <w:r>
          <w:rPr>
            <w:rFonts w:ascii="Arial" w:cs="Arial" w:eastAsia="Arial" w:hAnsi="Arial"/>
            <w:sz w:val="24"/>
            <w:szCs w:val="24"/>
            <w:color w:val="0000EE"/>
          </w:rPr>
          <w:t xml:space="preserve"> </w:t>
        </w:r>
      </w:hyperlink>
      <w:r>
        <w:rPr>
          <w:rFonts w:ascii="Arial" w:cs="Arial" w:eastAsia="Arial" w:hAnsi="Arial"/>
          <w:sz w:val="24"/>
          <w:szCs w:val="24"/>
          <w:color w:val="000000"/>
        </w:rPr>
        <w:t>[</w:t>
      </w:r>
      <w:r>
        <w:rPr>
          <w:rFonts w:ascii="Arial" w:cs="Arial" w:eastAsia="Arial" w:hAnsi="Arial"/>
          <w:sz w:val="24"/>
          <w:szCs w:val="24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FF"/>
        </w:rPr>
        <w:t>MDGL</w:t>
      </w:r>
      <w:r>
        <w:rPr>
          <w:rFonts w:ascii="Arial" w:cs="Arial" w:eastAsia="Arial" w:hAnsi="Arial"/>
          <w:sz w:val="24"/>
          <w:szCs w:val="24"/>
          <w:color w:val="0000E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]</w:t>
      </w:r>
    </w:p>
    <w:p>
      <w:pPr>
        <w:spacing w:after="0" w:line="4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1440" w:gutter="0" w:footer="0" w:header="0"/>
          <w:type w:val="continuous"/>
        </w:sect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(Middle)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FOUR TOWER BRIDGE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200 BARR HARBOR DRIVE, SUITE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200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WEST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9"/>
              </w:rPr>
              <w:t>PA19428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3"/>
              </w:rPr>
              <w:t>CONSHOHOCKEN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18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Director</w:t>
            </w:r>
          </w:p>
        </w:tc>
        <w:tc>
          <w:tcPr>
            <w:tcW w:w="1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X</w:t>
            </w: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Officer (give</w:t>
            </w:r>
          </w:p>
        </w:tc>
        <w:tc>
          <w:tcPr>
            <w:tcW w:w="1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title below)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Chief Financial Officer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39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4" w:lineRule="auto"/>
        <w:tabs>
          <w:tab w:leader="none" w:pos="451" w:val="left"/>
        </w:tabs>
        <w:numPr>
          <w:ilvl w:val="0"/>
          <w:numId w:val="3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51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(Zip)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II - Derivative Securities Beneficially Owned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7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Remarks: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No securities are beneficially owned.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/s/ Brian Lynch,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-15240</wp:posOffset>
            </wp:positionV>
            <wp:extent cx="929005" cy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Attorney- In-Fact for Alex 05/19/2021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-20320</wp:posOffset>
            </wp:positionV>
            <wp:extent cx="1955800" cy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Howarth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-20320</wp:posOffset>
            </wp:positionV>
            <wp:extent cx="43370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8460" w:type="dxa"/>
            <w:vAlign w:val="bottom"/>
          </w:tcPr>
          <w:p>
            <w:pPr>
              <w:ind w:left="6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4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60" w:type="dxa"/>
            <w:vAlign w:val="bottom"/>
            <w:vMerge w:val="restart"/>
          </w:tcPr>
          <w:p>
            <w:pPr>
              <w:ind w:left="6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6" w:right="4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0" Type="http://schemas.openxmlformats.org/officeDocument/2006/relationships/hyperlink" Target="http://www.sec.gov/cgi-bin/browse-edgar?action=getcompany&amp;CIK=0001795798" TargetMode="External"/><Relationship Id="rId11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2021-05-19T14:40:31Z</dcterms:created>
  <dcterms:modified xsi:type="dcterms:W3CDTF">2021-05-19T14:40:31Z</dcterms:modified>
</cp:coreProperties>
</file>