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_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Madrigal Pharmaceuti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558868105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360" w:type="dxa"/>
            <w:vAlign w:val="bottom"/>
          </w:tcPr>
          <w:p>
            <w:pPr>
              <w:spacing w:after="0"/>
              <w:rPr>
                <w:sz w:val="20"/>
                <w:szCs w:val="20"/>
                <w:color w:val="auto"/>
              </w:rPr>
            </w:pPr>
            <w:r>
              <w:rPr>
                <w:rFonts w:ascii="Arial" w:cs="Arial" w:eastAsia="Arial" w:hAnsi="Arial"/>
                <w:sz w:val="22"/>
                <w:szCs w:val="22"/>
                <w:color w:val="auto"/>
              </w:rPr>
              <w:t>5. SOLE VOTING POWER</w:t>
            </w:r>
          </w:p>
        </w:tc>
        <w:tc>
          <w:tcPr>
            <w:tcW w:w="2680" w:type="dxa"/>
            <w:vAlign w:val="bottom"/>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360" w:type="dxa"/>
            <w:vAlign w:val="bottom"/>
          </w:tcPr>
          <w:p>
            <w:pPr>
              <w:spacing w:after="0"/>
              <w:rPr>
                <w:sz w:val="4"/>
                <w:szCs w:val="4"/>
                <w:color w:val="auto"/>
              </w:rPr>
            </w:pPr>
          </w:p>
        </w:tc>
        <w:tc>
          <w:tcPr>
            <w:tcW w:w="2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894,043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360" w:type="dxa"/>
            <w:vAlign w:val="bottom"/>
            <w:vMerge w:val="continue"/>
          </w:tcPr>
          <w:p>
            <w:pPr>
              <w:spacing w:after="0"/>
              <w:rPr>
                <w:sz w:val="14"/>
                <w:szCs w:val="14"/>
                <w:color w:val="auto"/>
              </w:rPr>
            </w:pPr>
          </w:p>
        </w:tc>
        <w:tc>
          <w:tcPr>
            <w:tcW w:w="2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360" w:type="dxa"/>
            <w:vAlign w:val="bottom"/>
          </w:tcPr>
          <w:p>
            <w:pPr>
              <w:spacing w:after="0"/>
              <w:rPr>
                <w:sz w:val="6"/>
                <w:szCs w:val="6"/>
                <w:color w:val="auto"/>
              </w:rPr>
            </w:pPr>
          </w:p>
        </w:tc>
        <w:tc>
          <w:tcPr>
            <w:tcW w:w="2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360" w:type="dxa"/>
            <w:vAlign w:val="bottom"/>
            <w:vMerge w:val="continue"/>
          </w:tcPr>
          <w:p>
            <w:pPr>
              <w:spacing w:after="0"/>
              <w:rPr>
                <w:sz w:val="12"/>
                <w:szCs w:val="12"/>
                <w:color w:val="auto"/>
              </w:rPr>
            </w:pPr>
          </w:p>
        </w:tc>
        <w:tc>
          <w:tcPr>
            <w:tcW w:w="2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360" w:type="dxa"/>
            <w:vAlign w:val="bottom"/>
          </w:tcPr>
          <w:p>
            <w:pPr>
              <w:spacing w:after="0"/>
              <w:rPr>
                <w:sz w:val="9"/>
                <w:szCs w:val="9"/>
                <w:color w:val="auto"/>
              </w:rPr>
            </w:pPr>
          </w:p>
        </w:tc>
        <w:tc>
          <w:tcPr>
            <w:tcW w:w="2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957,146</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360" w:type="dxa"/>
            <w:vAlign w:val="bottom"/>
            <w:vMerge w:val="continue"/>
          </w:tcPr>
          <w:p>
            <w:pPr>
              <w:spacing w:after="0"/>
              <w:rPr>
                <w:sz w:val="7"/>
                <w:szCs w:val="7"/>
                <w:color w:val="auto"/>
              </w:rPr>
            </w:pPr>
          </w:p>
        </w:tc>
        <w:tc>
          <w:tcPr>
            <w:tcW w:w="2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957,146</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6.20%</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360" w:type="dxa"/>
            <w:vAlign w:val="bottom"/>
            <w:tcBorders>
              <w:bottom w:val="single" w:sz="8" w:color="808080"/>
            </w:tcBorders>
          </w:tcPr>
          <w:p>
            <w:pPr>
              <w:spacing w:after="0"/>
              <w:rPr>
                <w:sz w:val="8"/>
                <w:szCs w:val="8"/>
                <w:color w:val="auto"/>
              </w:rPr>
            </w:pPr>
          </w:p>
        </w:tc>
        <w:tc>
          <w:tcPr>
            <w:tcW w:w="26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360" w:type="dxa"/>
            <w:vAlign w:val="bottom"/>
          </w:tcPr>
          <w:p>
            <w:pPr>
              <w:spacing w:after="0"/>
              <w:rPr>
                <w:sz w:val="20"/>
                <w:szCs w:val="20"/>
                <w:color w:val="auto"/>
              </w:rPr>
            </w:pPr>
            <w:r>
              <w:rPr>
                <w:rFonts w:ascii="Arial" w:cs="Arial" w:eastAsia="Arial" w:hAnsi="Arial"/>
                <w:sz w:val="22"/>
                <w:szCs w:val="22"/>
                <w:color w:val="auto"/>
              </w:rPr>
              <w:t>5. SOLE VOTING POWER</w:t>
            </w:r>
          </w:p>
        </w:tc>
        <w:tc>
          <w:tcPr>
            <w:tcW w:w="2680" w:type="dxa"/>
            <w:vAlign w:val="bottom"/>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360" w:type="dxa"/>
            <w:vAlign w:val="bottom"/>
          </w:tcPr>
          <w:p>
            <w:pPr>
              <w:spacing w:after="0"/>
              <w:rPr>
                <w:sz w:val="4"/>
                <w:szCs w:val="4"/>
                <w:color w:val="auto"/>
              </w:rPr>
            </w:pPr>
          </w:p>
        </w:tc>
        <w:tc>
          <w:tcPr>
            <w:tcW w:w="2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894,043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360" w:type="dxa"/>
            <w:vAlign w:val="bottom"/>
            <w:vMerge w:val="continue"/>
          </w:tcPr>
          <w:p>
            <w:pPr>
              <w:spacing w:after="0"/>
              <w:rPr>
                <w:sz w:val="14"/>
                <w:szCs w:val="14"/>
                <w:color w:val="auto"/>
              </w:rPr>
            </w:pPr>
          </w:p>
        </w:tc>
        <w:tc>
          <w:tcPr>
            <w:tcW w:w="2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360" w:type="dxa"/>
            <w:vAlign w:val="bottom"/>
          </w:tcPr>
          <w:p>
            <w:pPr>
              <w:spacing w:after="0"/>
              <w:rPr>
                <w:sz w:val="6"/>
                <w:szCs w:val="6"/>
                <w:color w:val="auto"/>
              </w:rPr>
            </w:pPr>
          </w:p>
        </w:tc>
        <w:tc>
          <w:tcPr>
            <w:tcW w:w="2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360" w:type="dxa"/>
            <w:vAlign w:val="bottom"/>
            <w:vMerge w:val="continue"/>
          </w:tcPr>
          <w:p>
            <w:pPr>
              <w:spacing w:after="0"/>
              <w:rPr>
                <w:sz w:val="12"/>
                <w:szCs w:val="12"/>
                <w:color w:val="auto"/>
              </w:rPr>
            </w:pPr>
          </w:p>
        </w:tc>
        <w:tc>
          <w:tcPr>
            <w:tcW w:w="2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360" w:type="dxa"/>
            <w:vAlign w:val="bottom"/>
          </w:tcPr>
          <w:p>
            <w:pPr>
              <w:spacing w:after="0"/>
              <w:rPr>
                <w:sz w:val="9"/>
                <w:szCs w:val="9"/>
                <w:color w:val="auto"/>
              </w:rPr>
            </w:pPr>
          </w:p>
        </w:tc>
        <w:tc>
          <w:tcPr>
            <w:tcW w:w="2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957,146</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360" w:type="dxa"/>
            <w:vAlign w:val="bottom"/>
            <w:vMerge w:val="continue"/>
          </w:tcPr>
          <w:p>
            <w:pPr>
              <w:spacing w:after="0"/>
              <w:rPr>
                <w:sz w:val="7"/>
                <w:szCs w:val="7"/>
                <w:color w:val="auto"/>
              </w:rPr>
            </w:pPr>
          </w:p>
        </w:tc>
        <w:tc>
          <w:tcPr>
            <w:tcW w:w="2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957,146</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6.20%</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360" w:type="dxa"/>
            <w:vAlign w:val="bottom"/>
            <w:tcBorders>
              <w:bottom w:val="single" w:sz="8" w:color="808080"/>
            </w:tcBorders>
          </w:tcPr>
          <w:p>
            <w:pPr>
              <w:spacing w:after="0"/>
              <w:rPr>
                <w:sz w:val="8"/>
                <w:szCs w:val="8"/>
                <w:color w:val="auto"/>
              </w:rPr>
            </w:pPr>
          </w:p>
        </w:tc>
        <w:tc>
          <w:tcPr>
            <w:tcW w:w="26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360" w:type="dxa"/>
            <w:vAlign w:val="bottom"/>
          </w:tcPr>
          <w:p>
            <w:pPr>
              <w:spacing w:after="0"/>
              <w:rPr>
                <w:sz w:val="20"/>
                <w:szCs w:val="20"/>
                <w:color w:val="auto"/>
              </w:rPr>
            </w:pPr>
            <w:r>
              <w:rPr>
                <w:rFonts w:ascii="Arial" w:cs="Arial" w:eastAsia="Arial" w:hAnsi="Arial"/>
                <w:sz w:val="22"/>
                <w:szCs w:val="22"/>
                <w:color w:val="auto"/>
              </w:rPr>
              <w:t>5. SOLE VOTING POWER</w:t>
            </w:r>
          </w:p>
        </w:tc>
        <w:tc>
          <w:tcPr>
            <w:tcW w:w="2680" w:type="dxa"/>
            <w:vAlign w:val="bottom"/>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360" w:type="dxa"/>
            <w:vAlign w:val="bottom"/>
          </w:tcPr>
          <w:p>
            <w:pPr>
              <w:spacing w:after="0"/>
              <w:rPr>
                <w:sz w:val="4"/>
                <w:szCs w:val="4"/>
                <w:color w:val="auto"/>
              </w:rPr>
            </w:pPr>
          </w:p>
        </w:tc>
        <w:tc>
          <w:tcPr>
            <w:tcW w:w="2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894,043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360" w:type="dxa"/>
            <w:vAlign w:val="bottom"/>
            <w:vMerge w:val="continue"/>
          </w:tcPr>
          <w:p>
            <w:pPr>
              <w:spacing w:after="0"/>
              <w:rPr>
                <w:sz w:val="14"/>
                <w:szCs w:val="14"/>
                <w:color w:val="auto"/>
              </w:rPr>
            </w:pPr>
          </w:p>
        </w:tc>
        <w:tc>
          <w:tcPr>
            <w:tcW w:w="2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360" w:type="dxa"/>
            <w:vAlign w:val="bottom"/>
          </w:tcPr>
          <w:p>
            <w:pPr>
              <w:spacing w:after="0"/>
              <w:rPr>
                <w:sz w:val="6"/>
                <w:szCs w:val="6"/>
                <w:color w:val="auto"/>
              </w:rPr>
            </w:pPr>
          </w:p>
        </w:tc>
        <w:tc>
          <w:tcPr>
            <w:tcW w:w="2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360" w:type="dxa"/>
            <w:vAlign w:val="bottom"/>
            <w:vMerge w:val="continue"/>
          </w:tcPr>
          <w:p>
            <w:pPr>
              <w:spacing w:after="0"/>
              <w:rPr>
                <w:sz w:val="12"/>
                <w:szCs w:val="12"/>
                <w:color w:val="auto"/>
              </w:rPr>
            </w:pPr>
          </w:p>
        </w:tc>
        <w:tc>
          <w:tcPr>
            <w:tcW w:w="2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360" w:type="dxa"/>
            <w:vAlign w:val="bottom"/>
          </w:tcPr>
          <w:p>
            <w:pPr>
              <w:spacing w:after="0"/>
              <w:rPr>
                <w:sz w:val="9"/>
                <w:szCs w:val="9"/>
                <w:color w:val="auto"/>
              </w:rPr>
            </w:pPr>
          </w:p>
        </w:tc>
        <w:tc>
          <w:tcPr>
            <w:tcW w:w="2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957,146</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360" w:type="dxa"/>
            <w:vAlign w:val="bottom"/>
            <w:vMerge w:val="continue"/>
          </w:tcPr>
          <w:p>
            <w:pPr>
              <w:spacing w:after="0"/>
              <w:rPr>
                <w:sz w:val="7"/>
                <w:szCs w:val="7"/>
                <w:color w:val="auto"/>
              </w:rPr>
            </w:pPr>
          </w:p>
        </w:tc>
        <w:tc>
          <w:tcPr>
            <w:tcW w:w="2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957,146</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6.20%</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360" w:type="dxa"/>
            <w:vAlign w:val="bottom"/>
            <w:tcBorders>
              <w:bottom w:val="single" w:sz="8" w:color="808080"/>
            </w:tcBorders>
          </w:tcPr>
          <w:p>
            <w:pPr>
              <w:spacing w:after="0"/>
              <w:rPr>
                <w:sz w:val="8"/>
                <w:szCs w:val="8"/>
                <w:color w:val="auto"/>
              </w:rPr>
            </w:pPr>
          </w:p>
        </w:tc>
        <w:tc>
          <w:tcPr>
            <w:tcW w:w="26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360" w:type="dxa"/>
            <w:vAlign w:val="bottom"/>
          </w:tcPr>
          <w:p>
            <w:pPr>
              <w:spacing w:after="0"/>
              <w:rPr>
                <w:sz w:val="20"/>
                <w:szCs w:val="20"/>
                <w:color w:val="auto"/>
              </w:rPr>
            </w:pPr>
            <w:r>
              <w:rPr>
                <w:rFonts w:ascii="Arial" w:cs="Arial" w:eastAsia="Arial" w:hAnsi="Arial"/>
                <w:sz w:val="22"/>
                <w:szCs w:val="22"/>
                <w:color w:val="auto"/>
              </w:rPr>
              <w:t>5. SOLE VOTING POWER</w:t>
            </w:r>
          </w:p>
        </w:tc>
        <w:tc>
          <w:tcPr>
            <w:tcW w:w="2680" w:type="dxa"/>
            <w:vAlign w:val="bottom"/>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360" w:type="dxa"/>
            <w:vAlign w:val="bottom"/>
          </w:tcPr>
          <w:p>
            <w:pPr>
              <w:spacing w:after="0"/>
              <w:rPr>
                <w:sz w:val="4"/>
                <w:szCs w:val="4"/>
                <w:color w:val="auto"/>
              </w:rPr>
            </w:pPr>
          </w:p>
        </w:tc>
        <w:tc>
          <w:tcPr>
            <w:tcW w:w="2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878,137</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360" w:type="dxa"/>
            <w:vAlign w:val="bottom"/>
            <w:vMerge w:val="continue"/>
          </w:tcPr>
          <w:p>
            <w:pPr>
              <w:spacing w:after="0"/>
              <w:rPr>
                <w:sz w:val="14"/>
                <w:szCs w:val="14"/>
                <w:color w:val="auto"/>
              </w:rPr>
            </w:pPr>
          </w:p>
        </w:tc>
        <w:tc>
          <w:tcPr>
            <w:tcW w:w="26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360" w:type="dxa"/>
            <w:vAlign w:val="bottom"/>
          </w:tcPr>
          <w:p>
            <w:pPr>
              <w:spacing w:after="0"/>
              <w:rPr>
                <w:sz w:val="6"/>
                <w:szCs w:val="6"/>
                <w:color w:val="auto"/>
              </w:rPr>
            </w:pPr>
          </w:p>
        </w:tc>
        <w:tc>
          <w:tcPr>
            <w:tcW w:w="26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3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360" w:type="dxa"/>
            <w:vAlign w:val="bottom"/>
            <w:vMerge w:val="continue"/>
          </w:tcPr>
          <w:p>
            <w:pPr>
              <w:spacing w:after="0"/>
              <w:rPr>
                <w:sz w:val="12"/>
                <w:szCs w:val="12"/>
                <w:color w:val="auto"/>
              </w:rPr>
            </w:pPr>
          </w:p>
        </w:tc>
        <w:tc>
          <w:tcPr>
            <w:tcW w:w="26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360" w:type="dxa"/>
            <w:vAlign w:val="bottom"/>
          </w:tcPr>
          <w:p>
            <w:pPr>
              <w:spacing w:after="0"/>
              <w:rPr>
                <w:sz w:val="9"/>
                <w:szCs w:val="9"/>
                <w:color w:val="auto"/>
              </w:rPr>
            </w:pPr>
          </w:p>
        </w:tc>
        <w:tc>
          <w:tcPr>
            <w:tcW w:w="2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3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680" w:type="dxa"/>
            <w:vAlign w:val="bottom"/>
            <w:vMerge w:val="restart"/>
          </w:tcPr>
          <w:p>
            <w:pPr>
              <w:ind w:left="840"/>
              <w:spacing w:after="0"/>
              <w:rPr>
                <w:sz w:val="20"/>
                <w:szCs w:val="20"/>
                <w:color w:val="auto"/>
              </w:rPr>
            </w:pPr>
            <w:r>
              <w:rPr>
                <w:rFonts w:ascii="Arial" w:cs="Arial" w:eastAsia="Arial" w:hAnsi="Arial"/>
                <w:sz w:val="22"/>
                <w:szCs w:val="22"/>
                <w:color w:val="auto"/>
              </w:rPr>
              <w:t>911,159</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360" w:type="dxa"/>
            <w:vAlign w:val="bottom"/>
            <w:vMerge w:val="continue"/>
          </w:tcPr>
          <w:p>
            <w:pPr>
              <w:spacing w:after="0"/>
              <w:rPr>
                <w:sz w:val="7"/>
                <w:szCs w:val="7"/>
                <w:color w:val="auto"/>
              </w:rPr>
            </w:pPr>
          </w:p>
        </w:tc>
        <w:tc>
          <w:tcPr>
            <w:tcW w:w="2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911,159</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5.91%</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70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IA</w:t>
            </w:r>
          </w:p>
        </w:tc>
        <w:tc>
          <w:tcPr>
            <w:tcW w:w="6360" w:type="dxa"/>
            <w:vAlign w:val="bottom"/>
          </w:tcPr>
          <w:p>
            <w:pPr>
              <w:spacing w:after="0"/>
              <w:rPr>
                <w:sz w:val="24"/>
                <w:szCs w:val="24"/>
                <w:color w:val="auto"/>
              </w:rPr>
            </w:pPr>
          </w:p>
        </w:tc>
        <w:tc>
          <w:tcPr>
            <w:tcW w:w="2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360" w:type="dxa"/>
            <w:vAlign w:val="bottom"/>
            <w:tcBorders>
              <w:bottom w:val="single" w:sz="8" w:color="808080"/>
            </w:tcBorders>
          </w:tcPr>
          <w:p>
            <w:pPr>
              <w:spacing w:after="0"/>
              <w:rPr>
                <w:sz w:val="8"/>
                <w:szCs w:val="8"/>
                <w:color w:val="auto"/>
              </w:rPr>
            </w:pPr>
          </w:p>
        </w:tc>
        <w:tc>
          <w:tcPr>
            <w:tcW w:w="26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right="7560" w:hanging="407"/>
        <w:spacing w:after="0" w:line="335" w:lineRule="auto"/>
        <w:tabs>
          <w:tab w:leader="none" w:pos="178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Issuer </w:t>
      </w:r>
      <w:r>
        <w:rPr>
          <w:rFonts w:ascii="Arial" w:cs="Arial" w:eastAsia="Arial" w:hAnsi="Arial"/>
          <w:sz w:val="19"/>
          <w:szCs w:val="19"/>
          <w:color w:val="auto"/>
        </w:rPr>
        <w:t>Madrigal Pharmaceuti</w:t>
      </w:r>
    </w:p>
    <w:p>
      <w:pPr>
        <w:spacing w:after="0" w:line="11" w:lineRule="exact"/>
        <w:rPr>
          <w:rFonts w:ascii="Arial" w:cs="Arial" w:eastAsia="Arial" w:hAnsi="Arial"/>
          <w:sz w:val="19"/>
          <w:szCs w:val="19"/>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Four Tower Bridge</w:t>
      </w:r>
    </w:p>
    <w:p>
      <w:pPr>
        <w:ind w:left="1780" w:right="6640"/>
        <w:spacing w:after="0" w:line="308" w:lineRule="auto"/>
        <w:rPr>
          <w:rFonts w:ascii="Arial" w:cs="Arial" w:eastAsia="Arial" w:hAnsi="Arial"/>
          <w:sz w:val="22"/>
          <w:szCs w:val="22"/>
          <w:b w:val="1"/>
          <w:bCs w:val="1"/>
          <w:color w:val="auto"/>
        </w:rPr>
      </w:pPr>
      <w:r>
        <w:rPr>
          <w:rFonts w:ascii="Arial" w:cs="Arial" w:eastAsia="Arial" w:hAnsi="Arial"/>
          <w:sz w:val="19"/>
          <w:szCs w:val="19"/>
          <w:color w:val="auto"/>
        </w:rPr>
        <w:t>200 Bar Harbor Drive, Suite 200 West Conshohocken, PA 19428</w:t>
      </w:r>
    </w:p>
    <w:p>
      <w:pPr>
        <w:spacing w:after="0" w:line="3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3"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3"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558868105</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Group LLP - HC</w:t>
      </w:r>
    </w:p>
    <w:p>
      <w:pPr>
        <w:ind w:left="1380"/>
        <w:spacing w:after="0" w:line="238" w:lineRule="auto"/>
        <w:rPr>
          <w:sz w:val="20"/>
          <w:szCs w:val="20"/>
          <w:color w:val="auto"/>
        </w:rPr>
      </w:pPr>
      <w:r>
        <w:rPr>
          <w:rFonts w:ascii="Arial" w:cs="Arial" w:eastAsia="Arial" w:hAnsi="Arial"/>
          <w:sz w:val="22"/>
          <w:szCs w:val="22"/>
          <w:color w:val="auto"/>
        </w:rPr>
        <w:t>Wellington Group Holdings LLP - HC</w:t>
      </w:r>
    </w:p>
    <w:p>
      <w:pPr>
        <w:ind w:left="138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ectPr>
          <w:pgSz w:w="11900" w:h="16838" w:orient="portrait"/>
          <w:cols w:equalWidth="0" w:num="1">
            <w:col w:w="11260"/>
          </w:cols>
          <w:pgMar w:left="320" w:top="409" w:right="319" w:bottom="0" w:gutter="0" w:footer="0" w:header="0"/>
        </w:sectPr>
      </w:pPr>
    </w:p>
    <w:bookmarkStart w:id="6" w:name="page7"/>
    <w:bookmarkEnd w:id="6"/>
    <w:p>
      <w:pPr>
        <w:ind w:left="1780"/>
        <w:spacing w:after="0"/>
        <w:rPr>
          <w:sz w:val="20"/>
          <w:szCs w:val="20"/>
          <w:color w:val="auto"/>
        </w:rPr>
      </w:pPr>
      <w:r>
        <w:rPr>
          <w:rFonts w:ascii="Arial" w:cs="Arial" w:eastAsia="Arial" w:hAnsi="Arial"/>
          <w:sz w:val="18"/>
          <w:szCs w:val="18"/>
          <w:color w:val="auto"/>
        </w:rPr>
        <w:t>See the responses to Item 11 on the attached cover pages.</w:t>
      </w:r>
    </w:p>
    <w:p>
      <w:pPr>
        <w:sectPr>
          <w:pgSz w:w="11900" w:h="16838" w:orient="portrait"/>
          <w:cols w:equalWidth="0" w:num="1">
            <w:col w:w="11260"/>
          </w:cols>
          <w:pgMar w:left="320" w:top="118" w:right="319" w:bottom="0" w:gutter="0" w:footer="0" w:header="0"/>
        </w:sectPr>
      </w:pPr>
    </w:p>
    <w:p>
      <w:pPr>
        <w:spacing w:after="0" w:line="172" w:lineRule="exact"/>
        <w:rPr>
          <w:sz w:val="20"/>
          <w:szCs w:val="20"/>
          <w:color w:val="auto"/>
        </w:rPr>
      </w:pPr>
    </w:p>
    <w:p>
      <w:pPr>
        <w:ind w:left="1780" w:hanging="407"/>
        <w:spacing w:after="0"/>
        <w:tabs>
          <w:tab w:leader="none" w:pos="1780" w:val="left"/>
        </w:tabs>
        <w:numPr>
          <w:ilvl w:val="0"/>
          <w:numId w:val="6"/>
        </w:numPr>
        <w:rPr>
          <w:rFonts w:ascii="Arial" w:cs="Arial" w:eastAsia="Arial" w:hAnsi="Arial"/>
          <w:sz w:val="21"/>
          <w:szCs w:val="21"/>
          <w:color w:val="auto"/>
        </w:rPr>
      </w:pPr>
      <w:r>
        <w:rPr>
          <w:rFonts w:ascii="Arial" w:cs="Arial" w:eastAsia="Arial" w:hAnsi="Arial"/>
          <w:sz w:val="21"/>
          <w:szCs w:val="21"/>
          <w:color w:val="auto"/>
        </w:rPr>
        <w:t>Number of shares as to which such person has:</w:t>
      </w:r>
    </w:p>
    <w:p>
      <w:pPr>
        <w:spacing w:after="0" w:line="136" w:lineRule="exact"/>
        <w:rPr>
          <w:rFonts w:ascii="Arial" w:cs="Arial" w:eastAsia="Arial" w:hAnsi="Arial"/>
          <w:sz w:val="21"/>
          <w:szCs w:val="21"/>
          <w:color w:val="auto"/>
        </w:rPr>
      </w:pPr>
    </w:p>
    <w:p>
      <w:pPr>
        <w:ind w:left="2240" w:hanging="462"/>
        <w:spacing w:after="0"/>
        <w:tabs>
          <w:tab w:leader="none" w:pos="2240" w:val="left"/>
        </w:tabs>
        <w:numPr>
          <w:ilvl w:val="1"/>
          <w:numId w:val="6"/>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246" w:lineRule="exact"/>
        <w:rPr>
          <w:rFonts w:ascii="Arial" w:cs="Arial" w:eastAsia="Arial" w:hAnsi="Arial"/>
          <w:sz w:val="22"/>
          <w:szCs w:val="22"/>
          <w:color w:val="auto"/>
        </w:rPr>
      </w:pPr>
    </w:p>
    <w:p>
      <w:pPr>
        <w:ind w:left="2240" w:hanging="462"/>
        <w:spacing w:after="0"/>
        <w:tabs>
          <w:tab w:leader="none" w:pos="2240" w:val="left"/>
        </w:tabs>
        <w:numPr>
          <w:ilvl w:val="1"/>
          <w:numId w:val="6"/>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201" w:lineRule="exact"/>
        <w:rPr>
          <w:rFonts w:ascii="Arial" w:cs="Arial" w:eastAsia="Arial" w:hAnsi="Arial"/>
          <w:sz w:val="22"/>
          <w:szCs w:val="22"/>
          <w:color w:val="auto"/>
        </w:rPr>
      </w:pPr>
    </w:p>
    <w:p>
      <w:pPr>
        <w:ind w:left="2240" w:hanging="462"/>
        <w:spacing w:after="0"/>
        <w:tabs>
          <w:tab w:leader="none" w:pos="2240" w:val="left"/>
        </w:tabs>
        <w:numPr>
          <w:ilvl w:val="1"/>
          <w:numId w:val="6"/>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6 on the attached cover pages.</w:t>
      </w:r>
    </w:p>
    <w:p>
      <w:pPr>
        <w:spacing w:after="0" w:line="214"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00" w:lineRule="exact"/>
        <w:rPr>
          <w:sz w:val="20"/>
          <w:szCs w:val="20"/>
          <w:color w:val="auto"/>
        </w:rPr>
      </w:pPr>
    </w:p>
    <w:p>
      <w:pPr>
        <w:sectPr>
          <w:pgSz w:w="11900" w:h="16838" w:orient="portrait"/>
          <w:cols w:equalWidth="0" w:num="2">
            <w:col w:w="6420" w:space="280"/>
            <w:col w:w="4560"/>
          </w:cols>
          <w:pgMar w:left="320" w:top="118" w:right="319" w:bottom="0" w:gutter="0" w:footer="0" w:header="0"/>
          <w:type w:val="continuous"/>
        </w:sectPr>
      </w:pPr>
    </w:p>
    <w:p>
      <w:pPr>
        <w:spacing w:after="0" w:line="47" w:lineRule="exact"/>
        <w:rPr>
          <w:sz w:val="20"/>
          <w:szCs w:val="20"/>
          <w:color w:val="auto"/>
        </w:rPr>
      </w:pPr>
    </w:p>
    <w:p>
      <w:pPr>
        <w:ind w:left="2240" w:right="340" w:hanging="462"/>
        <w:spacing w:after="0" w:line="183" w:lineRule="auto"/>
        <w:tabs>
          <w:tab w:leader="none" w:pos="224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27"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5980" w:space="720"/>
            <w:col w:w="4560"/>
          </w:cols>
          <w:pgMar w:left="320" w:top="118" w:right="31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2020</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James Fricano</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2020</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James Fricano</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4920" w:type="dxa"/>
            <w:vAlign w:val="bottom"/>
          </w:tcPr>
          <w:p>
            <w:pPr>
              <w:spacing w:after="0" w:line="20" w:lineRule="exact"/>
              <w:rPr>
                <w:sz w:val="1"/>
                <w:szCs w:val="1"/>
                <w:color w:val="auto"/>
              </w:rPr>
            </w:pPr>
          </w:p>
        </w:tc>
      </w:tr>
    </w:tbl>
    <w:p>
      <w:pPr>
        <w:sectPr>
          <w:pgSz w:w="11900" w:h="16838" w:orient="portrait"/>
          <w:cols w:equalWidth="0" w:num="1">
            <w:col w:w="11260"/>
          </w:cols>
          <w:pgMar w:left="320" w:top="118" w:right="319" w:bottom="0" w:gutter="0" w:footer="0" w:header="0"/>
          <w:type w:val="continuous"/>
        </w:sectPr>
      </w:pPr>
    </w:p>
    <w:bookmarkStart w:id="7" w:name="page8"/>
    <w:bookmarkEnd w:id="7"/>
    <w:p>
      <w:pPr>
        <w:ind w:left="3360"/>
        <w:spacing w:after="0"/>
        <w:rPr>
          <w:sz w:val="20"/>
          <w:szCs w:val="20"/>
          <w:color w:val="auto"/>
        </w:rPr>
      </w:pPr>
      <w:r>
        <w:rPr>
          <w:rFonts w:ascii="Arial" w:cs="Arial" w:eastAsia="Arial" w:hAnsi="Arial"/>
          <w:sz w:val="22"/>
          <w:szCs w:val="22"/>
          <w:color w:val="auto"/>
        </w:rPr>
        <w:t>Name: James Fricano</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356870</wp:posOffset>
            </wp:positionV>
            <wp:extent cx="581850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Madrigal Pharmaceuti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308"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ectPr>
          <w:pgSz w:w="11900" w:h="16838" w:orient="portrait"/>
          <w:cols w:equalWidth="0" w:num="1">
            <w:col w:w="9020"/>
          </w:cols>
          <w:pgMar w:left="1440" w:top="118" w:right="1439" w:bottom="0" w:gutter="0" w:footer="0" w:header="0"/>
        </w:sectPr>
      </w:pPr>
    </w:p>
    <w:bookmarkStart w:id="8" w:name="page9"/>
    <w:bookmarkEnd w:id="8"/>
    <w:p>
      <w:pPr>
        <w:ind w:left="3360"/>
        <w:spacing w:after="0"/>
        <w:rPr>
          <w:sz w:val="20"/>
          <w:szCs w:val="20"/>
          <w:color w:val="auto"/>
        </w:rPr>
      </w:pPr>
      <w:r>
        <w:rPr>
          <w:rFonts w:ascii="Arial" w:cs="Arial" w:eastAsia="Arial" w:hAnsi="Arial"/>
          <w:sz w:val="22"/>
          <w:szCs w:val="22"/>
          <w:color w:val="auto"/>
        </w:rPr>
        <w:t>Name: James Fricano</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James Fricano</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2020</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2020-01-28T08:49:19Z</dcterms:created>
  <dcterms:modified xsi:type="dcterms:W3CDTF">2020-01-28T08:49:19Z</dcterms:modified>
</cp:coreProperties>
</file>