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125095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9" w:lineRule="exact"/>
        <w:rPr>
          <w:rFonts w:ascii="MS PGothic" w:cs="MS PGothic" w:eastAsia="MS PGothic" w:hAnsi="MS PGothic"/>
          <w:sz w:val="16"/>
          <w:szCs w:val="16"/>
          <w:color w:val="auto"/>
        </w:rPr>
      </w:pPr>
    </w:p>
    <w:p>
      <w:pPr>
        <w:ind w:left="4144"/>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For the fiscal year ended December 31, 2022</w:t>
      </w:r>
    </w:p>
    <w:p>
      <w:pPr>
        <w:spacing w:after="0" w:line="41" w:lineRule="exact"/>
        <w:rPr>
          <w:rFonts w:ascii="MS PGothic" w:cs="MS PGothic" w:eastAsia="MS PGothic" w:hAnsi="MS PGothic"/>
          <w:sz w:val="16"/>
          <w:szCs w:val="16"/>
          <w:color w:val="auto"/>
        </w:rPr>
      </w:pPr>
    </w:p>
    <w:p>
      <w:pPr>
        <w:ind w:left="5404"/>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OR</w:t>
      </w:r>
    </w:p>
    <w:p>
      <w:pPr>
        <w:spacing w:after="0" w:line="64"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4" w:lineRule="exact"/>
        <w:rPr>
          <w:sz w:val="24"/>
          <w:szCs w:val="24"/>
          <w:color w:val="auto"/>
        </w:rPr>
      </w:pPr>
    </w:p>
    <w:p>
      <w:pPr>
        <w:ind w:left="3904"/>
        <w:spacing w:after="0"/>
        <w:tabs>
          <w:tab w:leader="none" w:pos="6364"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3661410</wp:posOffset>
            </wp:positionH>
            <wp:positionV relativeFrom="paragraph">
              <wp:posOffset>0</wp:posOffset>
            </wp:positionV>
            <wp:extent cx="8528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2805" cy="8255"/>
                    </a:xfrm>
                    <a:prstGeom prst="rect">
                      <a:avLst/>
                    </a:prstGeom>
                    <a:noFill/>
                  </pic:spPr>
                </pic:pic>
              </a:graphicData>
            </a:graphic>
          </wp:anchor>
        </w:drawing>
      </w:r>
    </w:p>
    <w:p>
      <w:pPr>
        <w:spacing w:after="0" w:line="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119380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MADRIGAL PHARMACEUTICALS, INC.</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5" w:lineRule="exact"/>
        <w:rPr>
          <w:sz w:val="24"/>
          <w:szCs w:val="24"/>
          <w:color w:val="auto"/>
        </w:rPr>
      </w:pPr>
    </w:p>
    <w:tbl>
      <w:tblPr>
        <w:tblLayout w:type="fixed"/>
        <w:tblInd w:w="304" w:type="dxa"/>
        <w:tblCellMar>
          <w:top w:w="0" w:type="dxa"/>
          <w:left w:w="0" w:type="dxa"/>
          <w:bottom w:w="0" w:type="dxa"/>
          <w:right w:w="0" w:type="dxa"/>
        </w:tblCellMar>
      </w:tblPr>
      <w:tr>
        <w:trPr>
          <w:trHeight w:val="194"/>
        </w:trPr>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20" w:type="dxa"/>
            <w:vAlign w:val="bottom"/>
          </w:tcPr>
          <w:p>
            <w:pPr>
              <w:jc w:val="center"/>
              <w:ind w:right="182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00" w:type="dxa"/>
            <w:vAlign w:val="bottom"/>
            <w:gridSpan w:val="2"/>
          </w:tcPr>
          <w:p>
            <w:pPr>
              <w:jc w:val="right"/>
              <w:ind w:right="1764"/>
              <w:spacing w:after="0"/>
              <w:rPr>
                <w:sz w:val="20"/>
                <w:szCs w:val="20"/>
                <w:color w:val="auto"/>
              </w:rPr>
            </w:pPr>
            <w:r>
              <w:rPr>
                <w:rFonts w:ascii="Times New Roman" w:cs="Times New Roman" w:eastAsia="Times New Roman" w:hAnsi="Times New Roman"/>
                <w:sz w:val="16"/>
                <w:szCs w:val="16"/>
                <w:b w:val="1"/>
                <w:bCs w:val="1"/>
                <w:color w:val="auto"/>
              </w:rPr>
              <w:t>04-3508648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720" w:type="dxa"/>
            <w:vAlign w:val="bottom"/>
            <w:gridSpan w:val="2"/>
          </w:tcPr>
          <w:p>
            <w:pPr>
              <w:jc w:val="center"/>
              <w:ind w:right="72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920" w:type="dxa"/>
            <w:vAlign w:val="bottom"/>
            <w:gridSpan w:val="3"/>
          </w:tcPr>
          <w:p>
            <w:pPr>
              <w:jc w:val="center"/>
              <w:ind w:right="16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3720" w:type="dxa"/>
            <w:vAlign w:val="bottom"/>
            <w:gridSpan w:val="2"/>
          </w:tcPr>
          <w:p>
            <w:pPr>
              <w:jc w:val="center"/>
              <w:ind w:right="72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20" w:type="dxa"/>
            <w:vAlign w:val="bottom"/>
            <w:gridSpan w:val="3"/>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1"/>
        </w:trPr>
        <w:tc>
          <w:tcPr>
            <w:tcW w:w="1020" w:type="dxa"/>
            <w:vAlign w:val="bottom"/>
          </w:tcPr>
          <w:p>
            <w:pPr>
              <w:spacing w:after="0"/>
              <w:rPr>
                <w:sz w:val="21"/>
                <w:szCs w:val="21"/>
                <w:color w:val="auto"/>
              </w:rPr>
            </w:pPr>
          </w:p>
        </w:tc>
        <w:tc>
          <w:tcPr>
            <w:tcW w:w="3720" w:type="dxa"/>
            <w:vAlign w:val="bottom"/>
            <w:gridSpan w:val="2"/>
          </w:tcPr>
          <w:p>
            <w:pPr>
              <w:jc w:val="center"/>
              <w:ind w:right="726"/>
              <w:spacing w:after="0"/>
              <w:rPr>
                <w:sz w:val="20"/>
                <w:szCs w:val="20"/>
                <w:color w:val="auto"/>
              </w:rPr>
            </w:pPr>
            <w:r>
              <w:rPr>
                <w:rFonts w:ascii="Times New Roman" w:cs="Times New Roman" w:eastAsia="Times New Roman" w:hAnsi="Times New Roman"/>
                <w:sz w:val="16"/>
                <w:szCs w:val="16"/>
                <w:b w:val="1"/>
                <w:bCs w:val="1"/>
                <w:color w:val="auto"/>
                <w:w w:val="99"/>
              </w:rPr>
              <w:t>Four Tower Bridge</w:t>
            </w:r>
          </w:p>
        </w:tc>
        <w:tc>
          <w:tcPr>
            <w:tcW w:w="1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3720" w:type="dxa"/>
            <w:vAlign w:val="bottom"/>
            <w:gridSpan w:val="2"/>
          </w:tcPr>
          <w:p>
            <w:pPr>
              <w:jc w:val="center"/>
              <w:ind w:right="726"/>
              <w:spacing w:after="0"/>
              <w:rPr>
                <w:sz w:val="20"/>
                <w:szCs w:val="20"/>
                <w:color w:val="auto"/>
              </w:rPr>
            </w:pPr>
            <w:r>
              <w:rPr>
                <w:rFonts w:ascii="Times New Roman" w:cs="Times New Roman" w:eastAsia="Times New Roman" w:hAnsi="Times New Roman"/>
                <w:sz w:val="16"/>
                <w:szCs w:val="16"/>
                <w:b w:val="1"/>
                <w:bCs w:val="1"/>
                <w:color w:val="auto"/>
              </w:rPr>
              <w:t>200 Barr Harbor Drive, Suite 200</w:t>
            </w: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8"/>
                <w:szCs w:val="18"/>
                <w:color w:val="auto"/>
              </w:rPr>
            </w:pPr>
          </w:p>
        </w:tc>
        <w:tc>
          <w:tcPr>
            <w:tcW w:w="3720" w:type="dxa"/>
            <w:vAlign w:val="bottom"/>
            <w:gridSpan w:val="2"/>
          </w:tcPr>
          <w:p>
            <w:pPr>
              <w:jc w:val="center"/>
              <w:ind w:right="726"/>
              <w:spacing w:after="0"/>
              <w:rPr>
                <w:sz w:val="20"/>
                <w:szCs w:val="20"/>
                <w:color w:val="auto"/>
              </w:rPr>
            </w:pPr>
            <w:r>
              <w:rPr>
                <w:rFonts w:ascii="Times New Roman" w:cs="Times New Roman" w:eastAsia="Times New Roman" w:hAnsi="Times New Roman"/>
                <w:sz w:val="16"/>
                <w:szCs w:val="16"/>
                <w:b w:val="1"/>
                <w:bCs w:val="1"/>
                <w:color w:val="auto"/>
              </w:rPr>
              <w:t>West Conshohocken, Pennsylvania</w:t>
            </w: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900" w:type="dxa"/>
            <w:vAlign w:val="bottom"/>
            <w:gridSpan w:val="2"/>
          </w:tcPr>
          <w:p>
            <w:pPr>
              <w:jc w:val="right"/>
              <w:ind w:right="1964"/>
              <w:spacing w:after="0"/>
              <w:rPr>
                <w:sz w:val="20"/>
                <w:szCs w:val="20"/>
                <w:color w:val="auto"/>
              </w:rPr>
            </w:pPr>
            <w:r>
              <w:rPr>
                <w:rFonts w:ascii="Times New Roman" w:cs="Times New Roman" w:eastAsia="Times New Roman" w:hAnsi="Times New Roman"/>
                <w:sz w:val="16"/>
                <w:szCs w:val="16"/>
                <w:b w:val="1"/>
                <w:bCs w:val="1"/>
                <w:color w:val="auto"/>
              </w:rPr>
              <w:t>19428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3720" w:type="dxa"/>
            <w:vAlign w:val="bottom"/>
            <w:gridSpan w:val="2"/>
          </w:tcPr>
          <w:p>
            <w:pPr>
              <w:jc w:val="center"/>
              <w:ind w:right="74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61"/>
        </w:trPr>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60" w:type="dxa"/>
            <w:vAlign w:val="bottom"/>
            <w:gridSpan w:val="3"/>
          </w:tcPr>
          <w:p>
            <w:pPr>
              <w:jc w:val="center"/>
              <w:ind w:left="84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(267) 824-2827</w:t>
            </w:r>
          </w:p>
        </w:tc>
        <w:tc>
          <w:tcPr>
            <w:tcW w:w="2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180" w:type="dxa"/>
            <w:vAlign w:val="bottom"/>
            <w:gridSpan w:val="6"/>
          </w:tcPr>
          <w:p>
            <w:pPr>
              <w:jc w:val="center"/>
              <w:ind w:right="2020"/>
              <w:spacing w:after="0" w:line="149" w:lineRule="exact"/>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60" w:type="dxa"/>
            <w:vAlign w:val="bottom"/>
            <w:gridSpan w:val="3"/>
          </w:tcPr>
          <w:p>
            <w:pPr>
              <w:jc w:val="center"/>
              <w:ind w:left="826"/>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Exchange Act:</w:t>
            </w:r>
          </w:p>
        </w:tc>
        <w:tc>
          <w:tcPr>
            <w:tcW w:w="2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1"/>
              </w:rPr>
              <w:t>Common Stock,</w:t>
            </w:r>
          </w:p>
        </w:tc>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480" w:type="dxa"/>
            <w:vAlign w:val="bottom"/>
          </w:tcPr>
          <w:p>
            <w:pPr>
              <w:spacing w:after="0"/>
              <w:rPr>
                <w:sz w:val="18"/>
                <w:szCs w:val="18"/>
                <w:color w:val="auto"/>
              </w:rPr>
            </w:pPr>
          </w:p>
        </w:tc>
        <w:tc>
          <w:tcPr>
            <w:tcW w:w="2920" w:type="dxa"/>
            <w:vAlign w:val="bottom"/>
            <w:gridSpan w:val="3"/>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20" w:type="dxa"/>
            <w:vAlign w:val="bottom"/>
            <w:vMerge w:val="continue"/>
          </w:tcPr>
          <w:p>
            <w:pPr>
              <w:spacing w:after="0"/>
              <w:rPr>
                <w:sz w:val="17"/>
                <w:szCs w:val="17"/>
                <w:color w:val="auto"/>
              </w:rPr>
            </w:pPr>
          </w:p>
        </w:tc>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$0.0001 Par Value Per 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MDGL</w:t>
            </w:r>
          </w:p>
        </w:tc>
        <w:tc>
          <w:tcPr>
            <w:tcW w:w="14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127635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6" w:lineRule="exact"/>
        <w:rPr>
          <w:sz w:val="24"/>
          <w:szCs w:val="24"/>
          <w:color w:val="auto"/>
        </w:rPr>
      </w:pPr>
    </w:p>
    <w:p>
      <w:pPr>
        <w:ind w:left="4"/>
        <w:spacing w:after="0" w:line="161" w:lineRule="exact"/>
        <w:tabs>
          <w:tab w:leader="none" w:pos="6864" w:val="left"/>
          <w:tab w:leader="none" w:pos="7424"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69" w:lineRule="exact"/>
        <w:rPr>
          <w:sz w:val="24"/>
          <w:szCs w:val="24"/>
          <w:color w:val="auto"/>
        </w:rPr>
      </w:pPr>
    </w:p>
    <w:p>
      <w:pPr>
        <w:ind w:left="4"/>
        <w:spacing w:after="0" w:line="161" w:lineRule="exact"/>
        <w:tabs>
          <w:tab w:leader="none" w:pos="7604" w:val="left"/>
          <w:tab w:leader="none" w:pos="8164"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left="4" w:right="2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left="4" w:right="3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left="4" w:right="2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4"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460"/>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4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280" w:type="dxa"/>
            <w:vAlign w:val="bottom"/>
          </w:tcPr>
          <w:p>
            <w:pPr>
              <w:ind w:left="3460"/>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 w:lineRule="exact"/>
        <w:rPr>
          <w:sz w:val="24"/>
          <w:szCs w:val="24"/>
          <w:color w:val="auto"/>
        </w:rPr>
      </w:pPr>
    </w:p>
    <w:p>
      <w:pPr>
        <w:ind w:left="4" w:right="3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left="4" w:right="3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4" w:lineRule="exact"/>
        <w:rPr>
          <w:sz w:val="24"/>
          <w:szCs w:val="24"/>
          <w:color w:val="auto"/>
        </w:rPr>
      </w:pPr>
    </w:p>
    <w:p>
      <w:pPr>
        <w:ind w:left="4" w:right="60"/>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4" w:lineRule="exact"/>
        <w:rPr>
          <w:sz w:val="24"/>
          <w:szCs w:val="24"/>
          <w:color w:val="auto"/>
        </w:rPr>
      </w:pPr>
    </w:p>
    <w:p>
      <w:pPr>
        <w:ind w:left="4" w:right="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 w:lineRule="exact"/>
        <w:rPr>
          <w:sz w:val="24"/>
          <w:szCs w:val="24"/>
          <w:color w:val="auto"/>
        </w:rPr>
      </w:pPr>
    </w:p>
    <w:p>
      <w:pPr>
        <w:ind w:left="4"/>
        <w:spacing w:after="0" w:line="161" w:lineRule="exact"/>
        <w:tabs>
          <w:tab w:leader="none" w:pos="6644" w:val="left"/>
          <w:tab w:leader="none" w:pos="7204"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jc w:val="both"/>
        <w:ind w:left="4" w:right="180"/>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based upon the closing sale price of the registrant’s common stock on June 30, 2022 (the last business day of the registrant’s most recently completed second fiscal quarter), as reported on the Nasdaq Global Market, was $984,861,131. For purposes of this calculation, directors and executive officers of the registrant have been deemed affiliates. This determination of affiliate status is not necessarily a conclusive determination for other purposes.</w:t>
      </w:r>
    </w:p>
    <w:p>
      <w:pPr>
        <w:spacing w:after="0" w:line="1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4"/>
          <w:szCs w:val="14"/>
          <w:color w:val="auto"/>
        </w:rPr>
        <w:t>As of February 20, 2023, the registrant had 18,138,012 shares of common stock outstanding.</w:t>
      </w:r>
    </w:p>
    <w:p>
      <w:pPr>
        <w:spacing w:after="0" w:line="40" w:lineRule="exact"/>
        <w:rPr>
          <w:sz w:val="24"/>
          <w:szCs w:val="24"/>
          <w:color w:val="auto"/>
        </w:rPr>
      </w:pPr>
    </w:p>
    <w:p>
      <w:pPr>
        <w:ind w:left="3864"/>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ind w:left="4" w:right="20"/>
        <w:spacing w:after="0" w:line="241" w:lineRule="auto"/>
        <w:rPr>
          <w:sz w:val="20"/>
          <w:szCs w:val="20"/>
          <w:color w:val="auto"/>
        </w:rPr>
      </w:pPr>
      <w:r>
        <w:rPr>
          <w:rFonts w:ascii="Times New Roman" w:cs="Times New Roman" w:eastAsia="Times New Roman" w:hAnsi="Times New Roman"/>
          <w:sz w:val="14"/>
          <w:szCs w:val="14"/>
          <w:color w:val="auto"/>
        </w:rPr>
        <w:t>Certain information required by Part III, Items 10-14 of this Form 10-K is incorporated by reference to the registrant’s definitive Proxy Statement for the 2023 Annual Meeting of Stockholders to be filed with the Securities and Exchange Commission pursuant to Regulation 14A not later than 120 days after the end of the fiscal year covered by this Form 10-K, provided that if such Proxy Statement is not filed within such period, such information will be included in an amendment to this Form 10-K to be filed within such 120-day period.</w:t>
      </w:r>
    </w:p>
    <w:p>
      <w:pPr>
        <w:spacing w:after="0" w:line="28" w:lineRule="exact"/>
        <w:rPr>
          <w:sz w:val="24"/>
          <w:szCs w:val="24"/>
          <w:color w:val="auto"/>
        </w:rPr>
      </w:pPr>
    </w:p>
    <w:p>
      <w:pPr>
        <w:ind w:left="4"/>
        <w:spacing w:after="0"/>
        <w:tabs>
          <w:tab w:leader="none" w:pos="4404" w:val="left"/>
          <w:tab w:leader="none" w:pos="8364" w:val="left"/>
        </w:tabs>
        <w:rPr>
          <w:sz w:val="20"/>
          <w:szCs w:val="20"/>
          <w:color w:val="auto"/>
        </w:rPr>
      </w:pPr>
      <w:r>
        <w:rPr>
          <w:rFonts w:ascii="Times New Roman" w:cs="Times New Roman" w:eastAsia="Times New Roman" w:hAnsi="Times New Roman"/>
          <w:sz w:val="14"/>
          <w:szCs w:val="14"/>
          <w:color w:val="auto"/>
        </w:rPr>
        <w:t>Auditor Firm Id: 238</w:t>
      </w:r>
      <w:r>
        <w:rPr>
          <w:sz w:val="20"/>
          <w:szCs w:val="20"/>
          <w:color w:val="auto"/>
        </w:rPr>
        <w:tab/>
      </w:r>
      <w:r>
        <w:rPr>
          <w:rFonts w:ascii="Times New Roman" w:cs="Times New Roman" w:eastAsia="Times New Roman" w:hAnsi="Times New Roman"/>
          <w:sz w:val="14"/>
          <w:szCs w:val="14"/>
          <w:color w:val="auto"/>
        </w:rPr>
        <w:t>Auditor Name: PricewaterhouseCoopers LLP</w:t>
      </w:r>
      <w:r>
        <w:rPr>
          <w:sz w:val="20"/>
          <w:szCs w:val="20"/>
          <w:color w:val="auto"/>
        </w:rPr>
        <w:tab/>
      </w:r>
      <w:r>
        <w:rPr>
          <w:rFonts w:ascii="Times New Roman" w:cs="Times New Roman" w:eastAsia="Times New Roman" w:hAnsi="Times New Roman"/>
          <w:sz w:val="14"/>
          <w:szCs w:val="14"/>
          <w:color w:val="auto"/>
        </w:rPr>
        <w:t>Auditor Location: Philadelphia, Pennsylvania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109220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7"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6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56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6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0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0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1280" w:type="dxa"/>
            <w:vAlign w:val="bottom"/>
            <w:tcBorders>
              <w:top w:val="single" w:sz="8" w:color="0000EE"/>
            </w:tcBorders>
            <w:gridSpan w:val="8"/>
          </w:tcPr>
          <w:p>
            <w:pPr>
              <w:spacing w:after="0"/>
              <w:rPr>
                <w:sz w:val="17"/>
                <w:szCs w:val="17"/>
                <w:color w:val="auto"/>
              </w:rPr>
            </w:pPr>
          </w:p>
        </w:tc>
        <w:tc>
          <w:tcPr>
            <w:tcW w:w="698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68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0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8"/>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56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9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8220" w:type="dxa"/>
            <w:vAlign w:val="bottom"/>
            <w:gridSpan w:val="1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56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66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0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50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24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0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8"/>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56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920" w:type="dxa"/>
            <w:vAlign w:val="bottom"/>
            <w:gridSpan w:val="7"/>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0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72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0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62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8"/>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56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02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15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1600" w:type="dxa"/>
            <w:vAlign w:val="bottom"/>
            <w:tcBorders>
              <w:top w:val="single" w:sz="8" w:color="0000EE"/>
            </w:tcBorders>
            <w:gridSpan w:val="5"/>
          </w:tcPr>
          <w:p>
            <w:pPr>
              <w:spacing w:after="0"/>
              <w:rPr>
                <w:sz w:val="17"/>
                <w:szCs w:val="17"/>
                <w:color w:val="auto"/>
              </w:rPr>
            </w:pPr>
          </w:p>
        </w:tc>
        <w:tc>
          <w:tcPr>
            <w:tcW w:w="586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90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93"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CAUTIONARY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Annual Report on Form 10-K for the fiscal year ended December 31, 2022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“allow,” “anticipates,” “appear,” “be,” “believes,” “can,” “continue,” “could,” “demonstrates,” “design,” “estimates,” “expectation,” “expects,” “forecasts,” “future,” “goal,” “help,” “hopeful,” “inform,” “informed,” “intends,” “may,” “might,” “on track,” “planned,” “planning,” “plans,” “positions,” “potential,” “powers,” “predicts,” ”predictive,” “projects,” “seeks,” “should,” “will,” “will achieve,” “will be,” “would” or similar expressions and the negatives of those terms. In particular, forward-looking statements contained in or incorporated by reference to this Annual Report relate to, among other things,</w:t>
      </w:r>
    </w:p>
    <w:p>
      <w:pPr>
        <w:spacing w:after="0" w:line="94" w:lineRule="exact"/>
        <w:rPr>
          <w:sz w:val="20"/>
          <w:szCs w:val="20"/>
          <w:color w:val="auto"/>
        </w:rPr>
      </w:pPr>
    </w:p>
    <w:p>
      <w:pPr>
        <w:ind w:left="1420" w:right="220" w:hanging="331"/>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estimated future results, including the risks and uncertainties associated with our future operating performance and financial position,</w:t>
      </w:r>
    </w:p>
    <w:p>
      <w:pPr>
        <w:spacing w:after="0" w:line="67" w:lineRule="exact"/>
        <w:rPr>
          <w:rFonts w:ascii="Times New Roman" w:cs="Times New Roman" w:eastAsia="Times New Roman" w:hAnsi="Times New Roman"/>
          <w:sz w:val="18"/>
          <w:szCs w:val="18"/>
          <w:color w:val="auto"/>
        </w:rPr>
      </w:pPr>
    </w:p>
    <w:p>
      <w:pPr>
        <w:ind w:left="1420" w:right="300" w:hanging="331"/>
        <w:spacing w:after="0" w:line="261"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possible or assumed future results of operations and expenses, business strategies and plans (including ex-U.S. launch/partnering plans), capital needs and financing plans, including incurrence of indebtedness and compliance with debt covenants under the Loan and Security Agreement with Hercules Capital, Inc., as agent and lender, market trends, market sizing, competitive position, industry environment and potential growth opportunities, among other things,</w:t>
      </w:r>
    </w:p>
    <w:p>
      <w:pPr>
        <w:spacing w:after="0" w:line="85"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delay certain research activities and related clinical expenses as necessary,</w:t>
      </w:r>
    </w:p>
    <w:p>
      <w:pPr>
        <w:spacing w:after="0" w:line="130" w:lineRule="exact"/>
        <w:rPr>
          <w:rFonts w:ascii="Times New Roman" w:cs="Times New Roman" w:eastAsia="Times New Roman" w:hAnsi="Times New Roman"/>
          <w:sz w:val="18"/>
          <w:szCs w:val="18"/>
          <w:color w:val="auto"/>
        </w:rPr>
      </w:pPr>
    </w:p>
    <w:p>
      <w:pPr>
        <w:ind w:left="1420" w:right="520" w:hanging="331"/>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resources and sufficiency of capital to fund our operating expenses through the projected commercial launch of resmetirom, assuming Food and Drug Administration (“FDA”) approval is obtained;</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including the anticipated timing of disclosure, presentations of data from, or outcomes from our trials,</w:t>
      </w:r>
    </w:p>
    <w:p>
      <w:pPr>
        <w:spacing w:after="0" w:line="130" w:lineRule="exact"/>
        <w:rPr>
          <w:rFonts w:ascii="Times New Roman" w:cs="Times New Roman" w:eastAsia="Times New Roman" w:hAnsi="Times New Roman"/>
          <w:sz w:val="18"/>
          <w:szCs w:val="18"/>
          <w:color w:val="auto"/>
        </w:rPr>
      </w:pPr>
    </w:p>
    <w:p>
      <w:pPr>
        <w:ind w:left="1420" w:right="320" w:hanging="331"/>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activities, and the timing and results associated with the future development of our lead product candidate, resmetirom (formerly known as MGL-3196), including projected market size, sector leadership, and patient treatment estimates for non-alcoholic steatohepatitis (“NASH”) and nonalcoholic fatty liver disease (“NAFLD”) patients,</w:t>
      </w:r>
    </w:p>
    <w:p>
      <w:pPr>
        <w:spacing w:after="0" w:line="81"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completion of projected future clinical milestone events, including enrollment, additional studies, top-line data and open label projections,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Resmetirom’s potential to be a cost-effective specialty therapy for NASH patients with significant liver fibrosis,</w:t>
      </w:r>
    </w:p>
    <w:p>
      <w:pPr>
        <w:spacing w:after="0" w:line="130"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objectives and timing for making a Subpart H (Accelerated Approval of New Drugs for Serious or Life-Threatening Illnesses) submission to the FDA,</w:t>
      </w:r>
    </w:p>
    <w:p>
      <w:pPr>
        <w:spacing w:after="0" w:line="67" w:lineRule="exact"/>
        <w:rPr>
          <w:rFonts w:ascii="Times New Roman" w:cs="Times New Roman" w:eastAsia="Times New Roman" w:hAnsi="Times New Roman"/>
          <w:sz w:val="18"/>
          <w:szCs w:val="18"/>
          <w:color w:val="auto"/>
        </w:rPr>
      </w:pPr>
    </w:p>
    <w:p>
      <w:pPr>
        <w:ind w:left="1420" w:right="260" w:hanging="331"/>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or objectives for obtaining accelerated or full approval for resmetirom for NASH patients with significant fibrosis (or non-cirrhotic NASH patients) and NASH patients with compensated cirrhosis,</w:t>
      </w:r>
    </w:p>
    <w:p>
      <w:pPr>
        <w:spacing w:after="0" w:line="67" w:lineRule="exact"/>
        <w:rPr>
          <w:rFonts w:ascii="Times New Roman" w:cs="Times New Roman" w:eastAsia="Times New Roman" w:hAnsi="Times New Roman"/>
          <w:sz w:val="18"/>
          <w:szCs w:val="18"/>
          <w:color w:val="auto"/>
        </w:rPr>
      </w:pPr>
    </w:p>
    <w:p>
      <w:pPr>
        <w:ind w:left="1420" w:right="380" w:hanging="331"/>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and key secondary study endpoints for resmetirom, and the potential for achieving such endpoints and projections, including NASH resolution, safety, fibrosis treatment, cardiovascular effects and lipid treatment with resmetirom,</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93" w:right="479" w:bottom="1440" w:gutter="0" w:footer="0" w:header="0"/>
        </w:sectPr>
      </w:pPr>
    </w:p>
    <w:bookmarkStart w:id="3" w:name="page4"/>
    <w:bookmarkEnd w:id="3"/>
    <w:p>
      <w:pPr>
        <w:ind w:left="1420" w:right="220" w:hanging="331"/>
        <w:spacing w:after="0" w:line="266"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Optimal dosing levels for resmetirom and projections regarding potential NASH or NAFLD and potential patient benefits with resmetirom, including future NASH resolution, safety, fibrosis treatment, cardiovascular effects, lipid treatment and/or biomarker effects with resmetirom,</w:t>
      </w:r>
    </w:p>
    <w:p>
      <w:pPr>
        <w:spacing w:after="0" w:line="81"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the unmet needs of patients suffering from NASH with significant fibrosis,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safety of resmetirom for non-cirrhotic NASH patients and cirrhotic NASH patients,</w:t>
      </w:r>
    </w:p>
    <w:p>
      <w:pPr>
        <w:spacing w:after="0" w:line="130" w:lineRule="exact"/>
        <w:rPr>
          <w:rFonts w:ascii="Times New Roman" w:cs="Times New Roman" w:eastAsia="Times New Roman" w:hAnsi="Times New Roman"/>
          <w:sz w:val="18"/>
          <w:szCs w:val="18"/>
          <w:color w:val="auto"/>
        </w:rPr>
      </w:pPr>
    </w:p>
    <w:p>
      <w:pPr>
        <w:ind w:left="1420" w:right="200" w:hanging="331"/>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resmetirom to become the best-in-class and/or first-to-market treatment option for patients with NASH and liver fibrosis;</w:t>
      </w:r>
    </w:p>
    <w:p>
      <w:pPr>
        <w:spacing w:after="0" w:line="67" w:lineRule="exact"/>
        <w:rPr>
          <w:rFonts w:ascii="Times New Roman" w:cs="Times New Roman" w:eastAsia="Times New Roman" w:hAnsi="Times New Roman"/>
          <w:sz w:val="18"/>
          <w:szCs w:val="18"/>
          <w:color w:val="auto"/>
        </w:rPr>
      </w:pPr>
    </w:p>
    <w:p>
      <w:pPr>
        <w:ind w:left="1420" w:right="120" w:hanging="331"/>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estimated future results of operations and expenses as we expand our resmetirom clinical development program and our commercial development program;</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Ex-U.S. launch/partnering plans,</w:t>
      </w:r>
    </w:p>
    <w:p>
      <w:pPr>
        <w:spacing w:after="0" w:line="130"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clinical evidence demonstrating the utility of non-invasive tools and techniques to screen and diagnose NASH and/or NAFLD patients,</w:t>
      </w:r>
    </w:p>
    <w:p>
      <w:pPr>
        <w:spacing w:after="0" w:line="67" w:lineRule="exact"/>
        <w:rPr>
          <w:rFonts w:ascii="Times New Roman" w:cs="Times New Roman" w:eastAsia="Times New Roman" w:hAnsi="Times New Roman"/>
          <w:sz w:val="18"/>
          <w:szCs w:val="18"/>
          <w:color w:val="auto"/>
        </w:rPr>
      </w:pPr>
    </w:p>
    <w:p>
      <w:pPr>
        <w:ind w:left="1420" w:right="60" w:hanging="331"/>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liver fat reduction with resmetirom, as measured by non-invasive tests, on NASH resolution and/or fibrosis reduction or improvement, and potential NASH or NAFLD patient risk profile benefits with resmetirom,</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liver fat, liver volume changes or MAST scores for NASH and/or NAFLD patients,</w:t>
      </w:r>
    </w:p>
    <w:p>
      <w:pPr>
        <w:spacing w:after="0" w:line="130" w:lineRule="exact"/>
        <w:rPr>
          <w:rFonts w:ascii="Times New Roman" w:cs="Times New Roman" w:eastAsia="Times New Roman" w:hAnsi="Times New Roman"/>
          <w:sz w:val="18"/>
          <w:szCs w:val="18"/>
          <w:color w:val="auto"/>
        </w:rPr>
      </w:pPr>
    </w:p>
    <w:p>
      <w:pPr>
        <w:ind w:left="1420" w:right="80" w:hanging="331"/>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NASH resolution and/or liver fibrosis reduction with resmetirom or improvement using non-invasive tests, including the use of ELF, FibroScan, MRE and/or MRI-PDFF,</w:t>
      </w:r>
    </w:p>
    <w:p>
      <w:pPr>
        <w:spacing w:after="0" w:line="67" w:lineRule="exact"/>
        <w:rPr>
          <w:rFonts w:ascii="Times New Roman" w:cs="Times New Roman" w:eastAsia="Times New Roman" w:hAnsi="Times New Roman"/>
          <w:sz w:val="18"/>
          <w:szCs w:val="18"/>
          <w:color w:val="auto"/>
        </w:rPr>
      </w:pPr>
    </w:p>
    <w:p>
      <w:pPr>
        <w:ind w:left="1420" w:right="220" w:hanging="331"/>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non-invasive tests generally, including for purposes of diagnosing NASH, monitoring patient response to resmetirom, or recruiting and conducting a NASH clinical trial,</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and acceptance of our products,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and commercialization of new products,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resmetirom to be an effective treatment for other disease indications,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approvals, including, but not limited to, potential regulatory delays or rejections,</w:t>
      </w:r>
    </w:p>
    <w:p>
      <w:pPr>
        <w:spacing w:after="0" w:line="130" w:lineRule="exact"/>
        <w:rPr>
          <w:rFonts w:ascii="Times New Roman" w:cs="Times New Roman" w:eastAsia="Times New Roman" w:hAnsi="Times New Roman"/>
          <w:sz w:val="18"/>
          <w:szCs w:val="18"/>
          <w:color w:val="auto"/>
        </w:rPr>
      </w:pPr>
    </w:p>
    <w:p>
      <w:pPr>
        <w:ind w:left="1420" w:hanging="331"/>
        <w:spacing w:after="0" w:line="261"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meeting the objectives of our clinical studies, including, but not limited to our ability to achieve enrollment objectives concerning patient numbers (including an adequate safety database), outcomes objectives and/or timing objectives for our studies, any delays or failures in enrollment, the occurrence of adverse safety events, and the risks of successfully conducting trials that are substantially larger, and have patients with different disease states, than our past trials,</w:t>
      </w:r>
    </w:p>
    <w:p>
      <w:pPr>
        <w:spacing w:after="0" w:line="85"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third-party contract manufacturers for the manufacture of our product candidates, including resmetirom,</w:t>
      </w:r>
    </w:p>
    <w:p>
      <w:pPr>
        <w:spacing w:after="0" w:line="130" w:lineRule="exact"/>
        <w:rPr>
          <w:rFonts w:ascii="Times New Roman" w:cs="Times New Roman" w:eastAsia="Times New Roman" w:hAnsi="Times New Roman"/>
          <w:sz w:val="18"/>
          <w:szCs w:val="18"/>
          <w:color w:val="auto"/>
        </w:rPr>
      </w:pPr>
    </w:p>
    <w:p>
      <w:pPr>
        <w:ind w:left="1420" w:right="880" w:hanging="331"/>
        <w:spacing w:after="0" w:line="282"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effects of resmetirom’s mechanism of action and our ability to accomplish our business and business development objectives and realize the anticipated benefit of any such transactions, and</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any of the foregoing.</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caution you that the foregoing list may not include all of the forward-looking statements made in this Annual Report. Although management presently believes that the expectations reflected in such forward-looking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97" w:right="499" w:bottom="1440" w:gutter="0" w:footer="0" w:header="0"/>
        </w:sectPr>
      </w:pPr>
    </w:p>
    <w:bookmarkStart w:id="4" w:name="page5"/>
    <w:bookmarkEnd w:id="4"/>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statements are reasonable, it can give no assurance that such expectations will prove to be correct and you should be aware that actual results could differ materially from those contained in the forward-looking statements.</w:t>
      </w:r>
    </w:p>
    <w:p>
      <w:pPr>
        <w:spacing w:after="0" w:line="16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including, but not limited to: our clinical and commercial development of resmetirom; enrollment and trial outlook uncertainties, generally, based on blinded, locked or limited trial data and in relation to COVID-19-related measures and individual precautionary measures that may be implemented or continued for an uncertain period of time; our potential inability to raise sufficient capital to fund our ongoing operations as currently planned or to obtain financings on terms similar to those we have arranged in the past; our ability to service our indebtedness and otherwise comply with our debt covenants; outcomes or trends from competitive studies; future topline data timing or results; the risks of achieving potential benefits in studies that includes substantially more patients, and patients with different disease states, than our prior studies; limitations associated with early stage or non-placebo controlled study data; the timing and outcomes of clinical studies of resmetirom; and the uncertainties inherent in clinical testing.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or furnished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entitled “Risk Factors” in Part I, Item 1A of this Annual Report, as well as in our other filings with the SEC. You should read this Annual Report, and the other documents that we file or have filed with the SEC, with the understanding that our actual future results may be materially different from the results expressed or implied by these forward-looking statements.</w:t>
      </w:r>
    </w:p>
    <w:p>
      <w:pPr>
        <w:spacing w:after="0" w:line="1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7"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 FACTOR SUMMARY</w:t>
      </w:r>
    </w:p>
    <w:p>
      <w:pPr>
        <w:spacing w:after="0" w:line="22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risk factors that make an investment in our common stock speculative or risky. Before you invest in our securities, you should read the following summary together with the more detailed description of material risks described in the section entitled “Risk Factors” in Part I, Item 1A of this Annual Report and the other information contained in this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35" w:lineRule="exact"/>
        <w:rPr>
          <w:sz w:val="20"/>
          <w:szCs w:val="20"/>
          <w:color w:val="auto"/>
        </w:rPr>
      </w:pPr>
    </w:p>
    <w:p>
      <w:pPr>
        <w:ind w:left="1420" w:right="220" w:hanging="331"/>
        <w:spacing w:after="0" w:line="312" w:lineRule="auto"/>
        <w:tabs>
          <w:tab w:leader="none" w:pos="14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operating history, we have incurred significant operating losses since inception and we expect to incur significant operating losses for the foreseeable future. We may never become profitable or, if achieved, be able to sustain profitability.</w:t>
      </w:r>
    </w:p>
    <w:p>
      <w:pPr>
        <w:spacing w:after="0" w:line="45" w:lineRule="exact"/>
        <w:rPr>
          <w:rFonts w:ascii="Times New Roman" w:cs="Times New Roman" w:eastAsia="Times New Roman" w:hAnsi="Times New Roman"/>
          <w:sz w:val="17"/>
          <w:szCs w:val="17"/>
          <w:color w:val="auto"/>
        </w:rPr>
      </w:pPr>
    </w:p>
    <w:p>
      <w:pPr>
        <w:ind w:left="1420" w:right="80" w:hanging="331"/>
        <w:spacing w:after="0" w:line="266"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success of resmetirom, which is still in clinical development and has not completed a pivotal outcomes trial. If we are unable to obtain regulatory approval for and successfully commercialize resmetirom, or we experience significant delays in doing so, our business will be materially harmed.</w:t>
      </w:r>
    </w:p>
    <w:p>
      <w:pPr>
        <w:spacing w:after="0" w:line="81"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very expensive, time-consuming and difficult to design and implement and involve uncertain outcomes. The results of preclinical studies and early clinical trials are not always predictive of future results. Any product candidate that we advance into clinical trials may not have favorable results in later clinical trials or receive regulatory approval.</w:t>
      </w:r>
    </w:p>
    <w:p>
      <w:pPr>
        <w:spacing w:after="0" w:line="81" w:lineRule="exact"/>
        <w:rPr>
          <w:rFonts w:ascii="Times New Roman" w:cs="Times New Roman" w:eastAsia="Times New Roman" w:hAnsi="Times New Roman"/>
          <w:sz w:val="18"/>
          <w:szCs w:val="18"/>
          <w:color w:val="auto"/>
        </w:rPr>
      </w:pPr>
    </w:p>
    <w:p>
      <w:pPr>
        <w:ind w:left="1420" w:right="480" w:hanging="331"/>
        <w:spacing w:after="0" w:line="261"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resmetirom has not yet received regulatory approval for any indication, it is difficult to predict the time and cost of development and our ability to successfully complete clinical development and obtain the necessary regulatory approvals for commercialization and our ability to realize a benefit, if any, from Fast Track designation or any Subpart H application may be limited or unavailable.</w:t>
      </w:r>
    </w:p>
    <w:p>
      <w:pPr>
        <w:spacing w:after="0" w:line="85" w:lineRule="exact"/>
        <w:rPr>
          <w:rFonts w:ascii="Times New Roman" w:cs="Times New Roman" w:eastAsia="Times New Roman" w:hAnsi="Times New Roman"/>
          <w:sz w:val="18"/>
          <w:szCs w:val="18"/>
          <w:color w:val="auto"/>
        </w:rPr>
      </w:pPr>
    </w:p>
    <w:p>
      <w:pPr>
        <w:jc w:val="both"/>
        <w:ind w:left="1420" w:right="80" w:hanging="331"/>
        <w:spacing w:after="0" w:line="266"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or regulatory approval processes for our product candidates are prolonged, delayed or suspended, we may be unable to commercialize our product candidates on a timely basis, which would require us to incur additional costs and delay our receipt of any revenue from potential product sales.</w:t>
      </w:r>
    </w:p>
    <w:p>
      <w:pPr>
        <w:spacing w:after="0" w:line="81"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inadvertently fail to comply with foreign regulatory requirements governing human clinical trials and marketing approval for drugs, we could be prevented from selling our drug candidates in foreign markets.</w:t>
      </w:r>
    </w:p>
    <w:p>
      <w:pPr>
        <w:spacing w:after="0" w:line="67" w:lineRule="exact"/>
        <w:rPr>
          <w:rFonts w:ascii="Times New Roman" w:cs="Times New Roman" w:eastAsia="Times New Roman" w:hAnsi="Times New Roman"/>
          <w:sz w:val="18"/>
          <w:szCs w:val="18"/>
          <w:color w:val="auto"/>
        </w:rPr>
      </w:pPr>
    </w:p>
    <w:p>
      <w:pPr>
        <w:ind w:left="1420" w:right="20" w:hanging="331"/>
        <w:spacing w:after="0" w:line="266"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enrollment of patients in our clinical trials for our product candidates. If we encounter difficulties enrolling patients in our clinical trials, including those arising out of COVID-19</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our clinical development activities could be delayed or otherwise adversely affected.</w:t>
      </w:r>
    </w:p>
    <w:p>
      <w:pPr>
        <w:spacing w:after="0" w:line="81" w:lineRule="exact"/>
        <w:rPr>
          <w:rFonts w:ascii="Times New Roman" w:cs="Times New Roman" w:eastAsia="Times New Roman" w:hAnsi="Times New Roman"/>
          <w:sz w:val="18"/>
          <w:szCs w:val="18"/>
          <w:color w:val="auto"/>
        </w:rPr>
      </w:pPr>
    </w:p>
    <w:p>
      <w:pPr>
        <w:ind w:left="1420" w:right="340" w:hanging="331"/>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 in our current or future clinical trials may cause unacceptable adverse events or side effects or have other properties that may delay or prevent its regulatory approval or commercialization or limit its commercial potential.</w:t>
      </w:r>
    </w:p>
    <w:p>
      <w:pPr>
        <w:spacing w:after="0" w:line="67" w:lineRule="exact"/>
        <w:rPr>
          <w:rFonts w:ascii="Times New Roman" w:cs="Times New Roman" w:eastAsia="Times New Roman" w:hAnsi="Times New Roman"/>
          <w:sz w:val="18"/>
          <w:szCs w:val="18"/>
          <w:color w:val="auto"/>
        </w:rPr>
      </w:pPr>
    </w:p>
    <w:p>
      <w:pPr>
        <w:ind w:left="1420" w:right="200" w:hanging="331"/>
        <w:spacing w:after="0" w:line="266"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will remain subject to ongoing regulatory review even if they receive marketing approval, and if we fail to comply with continuing regulations, we could lose these approvals and the sale of any approved commercial products could be suspended.</w:t>
      </w:r>
    </w:p>
    <w:p>
      <w:pPr>
        <w:spacing w:after="0" w:line="81"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and rapidly changing industry, and our product candidates may become obsolete.</w:t>
      </w:r>
    </w:p>
    <w:p>
      <w:pPr>
        <w:spacing w:after="0" w:line="130"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or other applicable regulatory authorities approve generic products that compete with any of our or any of our partners’ product candidates, the sales of our product candidates would be adversely affected.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3" w:right="459" w:bottom="1440" w:gutter="0" w:footer="0" w:header="0"/>
        </w:sectPr>
      </w:pPr>
    </w:p>
    <w:bookmarkStart w:id="6" w:name="page7"/>
    <w:bookmarkEnd w:id="6"/>
    <w:p>
      <w:pPr>
        <w:ind w:left="1420" w:right="500" w:hanging="331"/>
        <w:spacing w:after="0" w:line="282"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If physicians and patients do not accept our future products or if the market for indications for which any product candidate is approved is smaller than expected, we may be unable to generate significant revenue, if any.</w:t>
      </w:r>
    </w:p>
    <w:p>
      <w:pPr>
        <w:spacing w:after="0" w:line="67" w:lineRule="exact"/>
        <w:rPr>
          <w:rFonts w:ascii="Times New Roman" w:cs="Times New Roman" w:eastAsia="Times New Roman" w:hAnsi="Times New Roman"/>
          <w:sz w:val="18"/>
          <w:szCs w:val="18"/>
          <w:color w:val="auto"/>
        </w:rPr>
      </w:pPr>
    </w:p>
    <w:p>
      <w:pPr>
        <w:jc w:val="both"/>
        <w:ind w:left="1420" w:right="220" w:hanging="331"/>
        <w:spacing w:after="0" w:line="266"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or worsening of the COVID-19 pandemic could affect our ability to complete our ongoing clinical trials, disrupt regulatory activities and delay or disrupt commercialization of resmetirom, and may have other adverse effects on our stock price and business operations.</w:t>
      </w:r>
    </w:p>
    <w:p>
      <w:pPr>
        <w:spacing w:after="0" w:line="81" w:lineRule="exact"/>
        <w:rPr>
          <w:rFonts w:ascii="Times New Roman" w:cs="Times New Roman" w:eastAsia="Times New Roman" w:hAnsi="Times New Roman"/>
          <w:sz w:val="18"/>
          <w:szCs w:val="18"/>
          <w:color w:val="auto"/>
        </w:rPr>
      </w:pPr>
    </w:p>
    <w:p>
      <w:pPr>
        <w:ind w:left="1420" w:right="1060" w:hanging="331"/>
        <w:spacing w:after="0" w:line="282"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evolve from a company that is primarily involved in clinical development to a company that is also involved in commercialization, we may encounter difficulties in expanding our operations successfully.</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associated with pharmaceutical reimbursement and related matters may adversely affect our business.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commercialize other product candidates, we may be unable to grow our business.</w:t>
      </w:r>
    </w:p>
    <w:p>
      <w:pPr>
        <w:spacing w:after="0" w:line="130" w:lineRule="exact"/>
        <w:rPr>
          <w:rFonts w:ascii="Times New Roman" w:cs="Times New Roman" w:eastAsia="Times New Roman" w:hAnsi="Times New Roman"/>
          <w:sz w:val="18"/>
          <w:szCs w:val="18"/>
          <w:color w:val="auto"/>
        </w:rPr>
      </w:pPr>
    </w:p>
    <w:p>
      <w:pPr>
        <w:ind w:left="1420" w:right="40" w:hanging="331"/>
        <w:spacing w:after="0" w:line="266"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third-party collaborators, service providers, contractors or consultants, may fail or suffer security breaches, which could result in a material disruption of our development programs and have a material adverse effect on our reputation, business, financial condition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w:t>
      </w:r>
    </w:p>
    <w:p>
      <w:pPr>
        <w:spacing w:after="0" w:line="135" w:lineRule="exact"/>
        <w:rPr>
          <w:sz w:val="20"/>
          <w:szCs w:val="20"/>
          <w:color w:val="auto"/>
        </w:rPr>
      </w:pPr>
    </w:p>
    <w:p>
      <w:pPr>
        <w:ind w:left="1420" w:right="540" w:hanging="331"/>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to develop and commercialize our product candidates are subject in part to the terms and conditions of a license to resmetirom granted to us by Hoffmann-La Roche.</w:t>
      </w:r>
    </w:p>
    <w:p>
      <w:pPr>
        <w:spacing w:after="0" w:line="67"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comply with any of our obligations under agreements pursuant to which we license rights or technology, which could result in the loss of rights or technology that are material to our business.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protect our intellectual property and our proprietary technologies.</w:t>
      </w:r>
    </w:p>
    <w:p>
      <w:pPr>
        <w:spacing w:after="0" w:line="130" w:lineRule="exact"/>
        <w:rPr>
          <w:rFonts w:ascii="Times New Roman" w:cs="Times New Roman" w:eastAsia="Times New Roman" w:hAnsi="Times New Roman"/>
          <w:sz w:val="18"/>
          <w:szCs w:val="18"/>
          <w:color w:val="auto"/>
        </w:rPr>
      </w:pPr>
    </w:p>
    <w:p>
      <w:pPr>
        <w:ind w:left="1420" w:right="840" w:hanging="331"/>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third parties that we infringe their proprietary rights may result in liability for damages or prevent or delay our developmental and commercialization efforts.</w:t>
      </w:r>
    </w:p>
    <w:p>
      <w:pPr>
        <w:spacing w:after="0" w:line="67" w:lineRule="exact"/>
        <w:rPr>
          <w:rFonts w:ascii="Times New Roman" w:cs="Times New Roman" w:eastAsia="Times New Roman" w:hAnsi="Times New Roman"/>
          <w:sz w:val="18"/>
          <w:szCs w:val="18"/>
          <w:color w:val="auto"/>
        </w:rPr>
      </w:pPr>
    </w:p>
    <w:p>
      <w:pPr>
        <w:ind w:left="1420" w:right="360" w:hanging="331"/>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our patents or the patents of our licensors, which could be expensive, time consuming, and unsuccessful. Further, our issued patents could be found invalid or unenforceable if challenged in court.</w:t>
      </w:r>
    </w:p>
    <w:p>
      <w:pPr>
        <w:spacing w:after="0" w:line="67" w:lineRule="exact"/>
        <w:rPr>
          <w:rFonts w:ascii="Times New Roman" w:cs="Times New Roman" w:eastAsia="Times New Roman" w:hAnsi="Times New Roman"/>
          <w:sz w:val="18"/>
          <w:szCs w:val="18"/>
          <w:color w:val="auto"/>
        </w:rPr>
      </w:pPr>
    </w:p>
    <w:p>
      <w:pPr>
        <w:ind w:left="1420" w:right="800" w:hanging="331"/>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obtaining or maintaining necessary rights to our product candidates through acquisitions and in-licenses.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Financial Position and Need for Capital</w:t>
      </w:r>
    </w:p>
    <w:p>
      <w:pPr>
        <w:spacing w:after="0" w:line="135" w:lineRule="exact"/>
        <w:rPr>
          <w:sz w:val="20"/>
          <w:szCs w:val="20"/>
          <w:color w:val="auto"/>
        </w:rPr>
      </w:pPr>
    </w:p>
    <w:p>
      <w:pPr>
        <w:ind w:left="1420" w:right="580" w:hanging="331"/>
        <w:spacing w:after="0" w:line="282" w:lineRule="auto"/>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obtain the capital necessary to fund all of our planned operations, we may be unable to successfully develop and commercialize resmetirom and other future product candidates.</w:t>
      </w:r>
    </w:p>
    <w:p>
      <w:pPr>
        <w:spacing w:after="0" w:line="67" w:lineRule="exact"/>
        <w:rPr>
          <w:rFonts w:ascii="Times New Roman" w:cs="Times New Roman" w:eastAsia="Times New Roman" w:hAnsi="Times New Roman"/>
          <w:sz w:val="18"/>
          <w:szCs w:val="18"/>
          <w:color w:val="auto"/>
        </w:rPr>
      </w:pPr>
    </w:p>
    <w:p>
      <w:pPr>
        <w:ind w:left="1420" w:right="260" w:hanging="331"/>
        <w:spacing w:after="0" w:line="282" w:lineRule="auto"/>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 and tax credit carryforwards and certain built-in losses to reduce future tax payments may be limited by provisions of the Internal Revenue Code.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97"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Risks Relating to our Indebtedness</w:t>
      </w:r>
    </w:p>
    <w:p>
      <w:pPr>
        <w:spacing w:after="0" w:line="135" w:lineRule="exact"/>
        <w:rPr>
          <w:sz w:val="20"/>
          <w:szCs w:val="20"/>
          <w:color w:val="auto"/>
        </w:rPr>
      </w:pPr>
    </w:p>
    <w:p>
      <w:pPr>
        <w:ind w:left="1420" w:hanging="331"/>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and Security Agreement contains restrictive and financial covenants that may limit our operating flexibility.</w:t>
      </w:r>
    </w:p>
    <w:p>
      <w:pPr>
        <w:spacing w:after="0" w:line="130" w:lineRule="exact"/>
        <w:rPr>
          <w:rFonts w:ascii="Times New Roman" w:cs="Times New Roman" w:eastAsia="Times New Roman" w:hAnsi="Times New Roman"/>
          <w:sz w:val="18"/>
          <w:szCs w:val="18"/>
          <w:color w:val="auto"/>
        </w:rPr>
      </w:pPr>
    </w:p>
    <w:p>
      <w:pPr>
        <w:ind w:left="1420" w:right="120" w:hanging="331"/>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or other terms of the Loan Agreement, including as a result of events beyond our control, could result in a default under the Loan Agreement that could materially and adversely affect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35" w:lineRule="exact"/>
        <w:rPr>
          <w:sz w:val="20"/>
          <w:szCs w:val="20"/>
          <w:color w:val="auto"/>
        </w:rPr>
      </w:pPr>
    </w:p>
    <w:p>
      <w:pPr>
        <w:ind w:left="1420" w:hanging="331"/>
        <w:spacing w:after="0"/>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may continue to be, volatile.</w:t>
      </w:r>
    </w:p>
    <w:p>
      <w:pPr>
        <w:spacing w:after="0" w:line="130" w:lineRule="exact"/>
        <w:rPr>
          <w:rFonts w:ascii="Times New Roman" w:cs="Times New Roman" w:eastAsia="Times New Roman" w:hAnsi="Times New Roman"/>
          <w:sz w:val="18"/>
          <w:szCs w:val="18"/>
          <w:color w:val="auto"/>
        </w:rPr>
      </w:pPr>
    </w:p>
    <w:p>
      <w:pPr>
        <w:ind w:left="1420" w:right="560" w:hanging="331"/>
        <w:spacing w:after="0" w:line="282" w:lineRule="auto"/>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number of our stockholders own a substantial amount of our outstanding common stock and may be deemed to have substantial control over us; therefore, your ability to influence corporate matters may be limited.</w:t>
      </w:r>
    </w:p>
    <w:p>
      <w:pPr>
        <w:spacing w:after="0" w:line="67" w:lineRule="exact"/>
        <w:rPr>
          <w:rFonts w:ascii="Times New Roman" w:cs="Times New Roman" w:eastAsia="Times New Roman" w:hAnsi="Times New Roman"/>
          <w:sz w:val="18"/>
          <w:szCs w:val="18"/>
          <w:color w:val="auto"/>
        </w:rPr>
      </w:pPr>
    </w:p>
    <w:p>
      <w:pPr>
        <w:ind w:left="1420" w:right="120" w:hanging="331"/>
        <w:spacing w:after="0" w:line="266" w:lineRule="auto"/>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charter documents and under Delaware law could make an acquisition of our company, which may be beneficial to our stockholders, more difficult and may prevent attempts by our stockholders to replace or remove our current management.</w:t>
      </w:r>
    </w:p>
    <w:p>
      <w:pPr>
        <w:spacing w:after="0" w:line="81" w:lineRule="exact"/>
        <w:rPr>
          <w:rFonts w:ascii="Times New Roman" w:cs="Times New Roman" w:eastAsia="Times New Roman" w:hAnsi="Times New Roman"/>
          <w:sz w:val="18"/>
          <w:szCs w:val="18"/>
          <w:color w:val="auto"/>
        </w:rPr>
      </w:pPr>
    </w:p>
    <w:p>
      <w:pPr>
        <w:ind w:left="1420" w:right="560" w:hanging="331"/>
        <w:spacing w:after="0" w:line="282" w:lineRule="auto"/>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 issuances of our common stock or rights to purchase common stock could result in additional dilution of the percentage ownership of our stockholders and could cause our share price to fall.</w:t>
      </w:r>
    </w:p>
    <w:p>
      <w:pPr>
        <w:spacing w:after="0" w:line="67"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significant number of shares of our common stock in the public markets or significant short sales of our common stock, or the perception that such sales could occur, could depress the market price of our common stock and impair our ability to raise capital.</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93" w:right="4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 I</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9"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References in this Annual Report on Form 10-K to Madrigal, the Company, we, our and us refer to Madrigal Pharmaceuticals, Inc. “Madrigal” is a registered trademark of Madrigal Pharmaceuticals, Inc. in the U.S. and/or other countries. Other trademarks or service marks appearing in this report may be trademarks or service marks of other owners.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19" w:lineRule="exact"/>
        <w:rPr>
          <w:sz w:val="20"/>
          <w:szCs w:val="20"/>
          <w:color w:val="auto"/>
        </w:rPr>
      </w:pPr>
    </w:p>
    <w:p>
      <w:pPr>
        <w:jc w:val="both"/>
        <w:ind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Focus. </w:t>
      </w:r>
      <w:r>
        <w:rPr>
          <w:rFonts w:ascii="Times New Roman" w:cs="Times New Roman" w:eastAsia="Times New Roman" w:hAnsi="Times New Roman"/>
          <w:sz w:val="18"/>
          <w:szCs w:val="18"/>
          <w:color w:val="auto"/>
        </w:rPr>
        <w:t>We are a clinical-stage biopharmaceutical company pursuing novel therapeutics for nonalcoholic steatohepatitis, or NASH. Our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candidate, resmetirom, is a proprietary, liver-directed, selective thyroid hormone receptor-ß, or THR-ß, agonist being developed as a once-daily oral pill for the treatment of NASH.</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Patient Market Opportunity. </w:t>
      </w:r>
      <w:r>
        <w:rPr>
          <w:rFonts w:ascii="Times New Roman" w:cs="Times New Roman" w:eastAsia="Times New Roman" w:hAnsi="Times New Roman"/>
          <w:sz w:val="18"/>
          <w:szCs w:val="18"/>
          <w:color w:val="auto"/>
        </w:rPr>
        <w:t>NASH is a serious inflammatory form of nonalcoholic fatty liver disease, or NAFLD. NAFLD has become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the United States, NAFLD is estimated to affect approximately 25% of the population, and approximately 25% of those will progress from NAFLD to NASH. Current estimates place NASH prevalence at approximately 22 million people in the United States by 2024, with similar prevalence in Europe and Asia. The prevalence of NASH is also increasing in developing regions due to the adoption of a more sedentary lifestyle and a diet consisting of processed foods with high fat and fructose content.</w:t>
      </w:r>
    </w:p>
    <w:p>
      <w:pPr>
        <w:spacing w:after="0" w:line="18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Completed Studies. </w:t>
      </w:r>
      <w:r>
        <w:rPr>
          <w:rFonts w:ascii="Times New Roman" w:cs="Times New Roman" w:eastAsia="Times New Roman" w:hAnsi="Times New Roman"/>
          <w:sz w:val="18"/>
          <w:szCs w:val="18"/>
          <w:color w:val="auto"/>
        </w:rPr>
        <w:t>For NASH, we enrolled 125 patients in a Phase 2 clinical trial with resmetirom. We achieved the 12-week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endpoint for this Phase 2 clinical trial and reported the results in December 2017, and we reported positive topline 36-week results at the conclusion of the Phase 2 clinical trial in May 2018. We also completed a 36-week, open-label extension study in 31 participating NASH patients from our Phase 2 clinical trial, which included 14 patients who received placebo in the main study.</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December 18, 2019 the Company announced it had opened for enrollment MAESTRO-NAFLD-1, a 52-week, non-invasive, multi-center, double-blind, placebo-controlled Phase 3 clinical study of patients with biopsy-confirmed or presumed NASH recruited from sites in the U.S. Key endpoints are safety, including safety biomarkers. Secondary endpoints include LDL cholesterol, lipid biomarkers, MRI-PDFF, NASH and fibrosis biomarkers. Except for serial liver biopsies, the study protocol is similar to the MAESTRO-NASH study (discussed below under “—Our Ongoing and Planned Studies”), with resmetirom doses of 80 mg or 100 mg or placebo. Enrollment objectives for this study were exceeded, with approximately 1,300 patients enrolled overall. The MAESTRO-NAFLD-1 study will help support the adequacy of the safety database at the time of NDA submission for Subpart H approval for treatment of patients with NASH with fibrosis. In November of 2021, we reported data from the open label non-cirrhotic arm of MAESTRO-NAFLD-1, and in January 2022 we announced that we achieved primary and secondary endpoints for the double-blind portion of MAESTRO-NAFLD-1, as summarized in “- Key Developments” below.</w:t>
      </w:r>
    </w:p>
    <w:p>
      <w:pPr>
        <w:spacing w:after="0" w:line="186"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Ongoing and Planned Studies. </w:t>
      </w:r>
      <w:r>
        <w:rPr>
          <w:rFonts w:ascii="Times New Roman" w:cs="Times New Roman" w:eastAsia="Times New Roman" w:hAnsi="Times New Roman"/>
          <w:sz w:val="18"/>
          <w:szCs w:val="18"/>
          <w:color w:val="auto"/>
        </w:rPr>
        <w:t>On March 28, 2019, the Company announced that it had initiated MAESTRO-NASH, a Phase 3 trial in NASH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its once daily, oral thyroid hormone receptor beta selective agonist, resmetirom. This double-blind, placebo-controlled study is being conducted at more than 220 sites in the United States and the rest of the world. MAESTRO-NASH is a multicenter, randomized, double-blind, placebo-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93" w:right="459" w:bottom="1440" w:gutter="0" w:footer="0" w:header="0"/>
        </w:sectPr>
      </w:pPr>
    </w:p>
    <w:bookmarkStart w:id="9" w:name="page10"/>
    <w:bookmarkEnd w:id="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controlled Phase 3 study of resmetirom in patients with liver biopsy-confirmed NASH and was initiated in March 2019. The subpart H portion of the study enrolled more than 1,000 patients with biopsy-proven NASH (at least half with F3 (advanced) fibrosis, the remainder F2 or F1B (moderate fibrosis) with a few earlier F1 patients), randomized 1:1:1 to receive once-daily resmetirom 80 mg, resmetirom 100 mg, or placebo. After 52 weeks of treatment, a second liver biopsy is performed. The dual primary surrogate endpoints on biopsy are NASH resolution with ≥2-point reduction in NAS (NAFLD Activity Score), and with no worsening of fibrosis OR a 1-point decrease in fibrosis with no worsening of NAS. Achievement of either primary endpoint is considered a successful trial outcome. A key secondary endpoint is lowering of LDL-C. All patients enrolled in the MAESTRO-NASH study (up to 2,000 in total) continue on therapy after the initial 52-week treatment period for up to 54 months to accrue and measure hepatic clinical outcome events including progression to cirrhosis on biopsy (52 weeks and 54 months) and hepatic decompensation events, as well as all-cause mortality. In December 2022, we reported topline results from the subpart H portion of the study: resmetirom achieved both primary endpoints with both daily oral doses, 80 mg and 100 mg, relative to placebo, as summarized in “- Key Developments” below.</w:t>
      </w:r>
    </w:p>
    <w:p>
      <w:pPr>
        <w:spacing w:after="0" w:line="19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July 13, 2021 we announced first patient dosed in a planned 52-week open label active treatment extension study of MAESTRO-NAFLD-1, named MAESTRO-NAFLD-Open Label Extension (OLE). The OLE study allows patients who complete MAESTRO-NAFLD-1 to consent to 52 weeks of active treatment with resmetirom, making this treatment available to both patients who were assigned to placebo in MAESTRO-NAFLD-1 and patients who were on resmetirom in MAESTRO-NAFLD-1.</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In August 2022, Madrigal initiated MAESTRO-NASH-OUTCOMES, a randomized double-blind placebo-controlled study in approximately 700 patients with early NASH cirrhosis to allow for noninvasive monitoring of progression to liver decompensation events. A positive outcome is expected to support the full approval of resmetirom for noncirrhotic NASH, potentially accelerating the timeline to full approval. In addition, this study has the potential to support an additional indication for resmetirom in patients with well-compensated NASH cirrhosis.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chart summarizes the status of our product candidate development programs for resmetirom: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171450</wp:posOffset>
            </wp:positionV>
            <wp:extent cx="5186045" cy="1851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8604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97"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Key Developments</w:t>
      </w:r>
    </w:p>
    <w:p>
      <w:pPr>
        <w:spacing w:after="0" w:line="119" w:lineRule="exact"/>
        <w:rPr>
          <w:sz w:val="20"/>
          <w:szCs w:val="20"/>
          <w:color w:val="auto"/>
        </w:rPr>
      </w:pPr>
    </w:p>
    <w:p>
      <w:pPr>
        <w:ind w:right="28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MAESTRO-NASH TRIAL. </w:t>
      </w:r>
      <w:r>
        <w:rPr>
          <w:rFonts w:ascii="Times New Roman" w:cs="Times New Roman" w:eastAsia="Times New Roman" w:hAnsi="Times New Roman"/>
          <w:sz w:val="17"/>
          <w:szCs w:val="17"/>
          <w:color w:val="auto"/>
        </w:rPr>
        <w:t>In December 2022, Madrigal announced topline results from the pivotal Phase 3 MAESTRO-NASH biopsy study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resmetirom. Madrigal reported that resmetirom achieved both primary endpoints with both daily oral doses, 80 mg and 100 mg, relative to placebo.</w:t>
      </w:r>
    </w:p>
    <w:p>
      <w:pPr>
        <w:spacing w:after="0" w:line="13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Patients meeting eligibility requirements for MAESTRO-NASH were randomized 1:1:1 to receive resmetirom 80 mg, resmetirom 100 mg, or placebo taken orally once daily. Baseline characteristics in the 966 randomized patients in the primary analysis NASH population (ITT, safety population) were balanced across treatment arms and include age 57 (10) (mean (SD)), female 56%, white 89%, Hispanic 21%, BMI 36 (7) kg/m2, type 2 diabetes 67%, hypertension 78%, dyslipidemia 71%, hypothyroidism 13%, FibroScan, kilopascals (kPa) 13 (7), CAP 348 (38), MRI-PDFF 18% (7), FIB-4 1.4 (0.7), ALT 55 (32) IU, AST 41 (23) IU, LDL 99 (40) mg/dL, triglycerides 188 (132) mg/dL, hemoglobin A1C 6.6 (1) %, ELF 9.8 (0.9). Medications included 49% on statins, 14% on GLP-1 agonists, 14% on SGLT2 inhibitors. Baseline liver biopsy fibrosis scores included F3 (~60%), F2 (~35%), F1B (~5%) (primary analysis population) with 84% with NAS ≥5 based on independent primary glass slide reads of the entire study by two central pathologists.</w:t>
      </w:r>
    </w:p>
    <w:p>
      <w:pPr>
        <w:spacing w:after="0" w:line="192" w:lineRule="exact"/>
        <w:rPr>
          <w:sz w:val="20"/>
          <w:szCs w:val="20"/>
          <w:color w:val="auto"/>
        </w:rPr>
      </w:pPr>
    </w:p>
    <w:p>
      <w:pPr>
        <w:jc w:val="both"/>
        <w:ind w:right="80" w:firstLine="440"/>
        <w:spacing w:after="0" w:line="277" w:lineRule="auto"/>
        <w:rPr>
          <w:sz w:val="20"/>
          <w:szCs w:val="20"/>
          <w:color w:val="auto"/>
        </w:rPr>
      </w:pPr>
      <w:r>
        <w:rPr>
          <w:rFonts w:ascii="Times New Roman" w:cs="Times New Roman" w:eastAsia="Times New Roman" w:hAnsi="Times New Roman"/>
          <w:sz w:val="17"/>
          <w:szCs w:val="17"/>
          <w:color w:val="auto"/>
        </w:rPr>
        <w:t>A second biopsy was conducted after 52 weeks of treatment for assessment of the dual primary endpoints. The primary efficacy analysis assessed histological response at 52 weeks in 955 patients with biopsy-confirmed NASH with fibrosis (modified intent-to-treat (mITT) population) that excluded 11 ITT patients who had their Week 52 biopsy after Week 60 due to COVID-related reasons per regulatory guidelines. Patients without a second biopsy due to early study discontinuation or missing liver biopsy (~17% across treatment arms) were included and considered as non-responders in the primary efficacy analyses (mITT). The compliance to treatment was high and minimally impacted by COVID-19 pandemic restrictions.</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Dual Primary Endpoints (52 Weeks) and Key Secondary Endpoint (24 weeks)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Primary Endpoint</w:t>
            </w:r>
          </w:p>
        </w:tc>
        <w:tc>
          <w:tcPr>
            <w:tcW w:w="18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Resmetirom 80 mg</w:t>
            </w: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p-value</w:t>
            </w:r>
          </w:p>
        </w:tc>
        <w:tc>
          <w:tcPr>
            <w:tcW w:w="19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Resmetirom 100 mg</w:t>
            </w: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p-value</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Placebo</w:t>
            </w:r>
          </w:p>
        </w:tc>
        <w:tc>
          <w:tcPr>
            <w:tcW w:w="0" w:type="dxa"/>
            <w:vAlign w:val="bottom"/>
          </w:tcPr>
          <w:p>
            <w:pPr>
              <w:spacing w:after="0"/>
              <w:rPr>
                <w:sz w:val="1"/>
                <w:szCs w:val="1"/>
                <w:color w:val="auto"/>
              </w:rPr>
            </w:pPr>
          </w:p>
        </w:tc>
      </w:tr>
      <w:tr>
        <w:trPr>
          <w:trHeight w:val="160"/>
        </w:trPr>
        <w:tc>
          <w:tcPr>
            <w:tcW w:w="4080" w:type="dxa"/>
            <w:vAlign w:val="bottom"/>
            <w:gridSpan w:val="2"/>
            <w:vMerge w:val="continue"/>
          </w:tcPr>
          <w:p>
            <w:pPr>
              <w:spacing w:after="0"/>
              <w:rPr>
                <w:sz w:val="13"/>
                <w:szCs w:val="13"/>
                <w:color w:val="auto"/>
              </w:rPr>
            </w:pPr>
          </w:p>
        </w:tc>
        <w:tc>
          <w:tcPr>
            <w:tcW w:w="1860" w:type="dxa"/>
            <w:vAlign w:val="bottom"/>
            <w:gridSpan w:val="2"/>
          </w:tcPr>
          <w:p>
            <w:pPr>
              <w:jc w:val="right"/>
              <w:ind w:right="1040"/>
              <w:spacing w:after="0" w:line="160" w:lineRule="exact"/>
              <w:rPr>
                <w:sz w:val="20"/>
                <w:szCs w:val="20"/>
                <w:color w:val="auto"/>
              </w:rPr>
            </w:pPr>
            <w:r>
              <w:rPr>
                <w:rFonts w:ascii="Times New Roman" w:cs="Times New Roman" w:eastAsia="Times New Roman" w:hAnsi="Times New Roman"/>
                <w:sz w:val="14"/>
                <w:szCs w:val="14"/>
                <w:b w:val="1"/>
                <w:bCs w:val="1"/>
                <w:color w:val="auto"/>
              </w:rPr>
              <w:t>(n=316)</w:t>
            </w:r>
          </w:p>
        </w:tc>
        <w:tc>
          <w:tcPr>
            <w:tcW w:w="1220" w:type="dxa"/>
            <w:vAlign w:val="bottom"/>
            <w:gridSpan w:val="2"/>
            <w:vMerge w:val="continue"/>
          </w:tcPr>
          <w:p>
            <w:pPr>
              <w:spacing w:after="0"/>
              <w:rPr>
                <w:sz w:val="13"/>
                <w:szCs w:val="13"/>
                <w:color w:val="auto"/>
              </w:rPr>
            </w:pPr>
          </w:p>
        </w:tc>
        <w:tc>
          <w:tcPr>
            <w:tcW w:w="1940" w:type="dxa"/>
            <w:vAlign w:val="bottom"/>
            <w:gridSpan w:val="2"/>
          </w:tcPr>
          <w:p>
            <w:pPr>
              <w:jc w:val="right"/>
              <w:ind w:right="1080"/>
              <w:spacing w:after="0" w:line="160" w:lineRule="exact"/>
              <w:rPr>
                <w:sz w:val="20"/>
                <w:szCs w:val="20"/>
                <w:color w:val="auto"/>
              </w:rPr>
            </w:pPr>
            <w:r>
              <w:rPr>
                <w:rFonts w:ascii="Times New Roman" w:cs="Times New Roman" w:eastAsia="Times New Roman" w:hAnsi="Times New Roman"/>
                <w:sz w:val="14"/>
                <w:szCs w:val="14"/>
                <w:b w:val="1"/>
                <w:bCs w:val="1"/>
                <w:color w:val="auto"/>
              </w:rPr>
              <w:t>(n=321)</w:t>
            </w:r>
          </w:p>
        </w:tc>
        <w:tc>
          <w:tcPr>
            <w:tcW w:w="1220" w:type="dxa"/>
            <w:vAlign w:val="bottom"/>
            <w:gridSpan w:val="2"/>
            <w:vMerge w:val="continue"/>
          </w:tcPr>
          <w:p>
            <w:pPr>
              <w:spacing w:after="0"/>
              <w:rPr>
                <w:sz w:val="13"/>
                <w:szCs w:val="13"/>
                <w:color w:val="auto"/>
              </w:rPr>
            </w:pPr>
          </w:p>
        </w:tc>
        <w:tc>
          <w:tcPr>
            <w:tcW w:w="7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(n=318)</w:t>
            </w:r>
          </w:p>
        </w:tc>
        <w:tc>
          <w:tcPr>
            <w:tcW w:w="0" w:type="dxa"/>
            <w:vAlign w:val="bottom"/>
          </w:tcPr>
          <w:p>
            <w:pPr>
              <w:spacing w:after="0"/>
              <w:rPr>
                <w:sz w:val="1"/>
                <w:szCs w:val="1"/>
                <w:color w:val="auto"/>
              </w:rPr>
            </w:pPr>
          </w:p>
        </w:tc>
      </w:tr>
      <w:tr>
        <w:trPr>
          <w:trHeight w:val="20"/>
        </w:trPr>
        <w:tc>
          <w:tcPr>
            <w:tcW w:w="112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8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NASH resolution (ballooning o, inflammation</w:t>
            </w:r>
          </w:p>
        </w:tc>
        <w:tc>
          <w:tcPr>
            <w:tcW w:w="1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0,1) with ≥2-point reduction in NAS and no</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worsening of fibrosis</w:t>
            </w:r>
          </w:p>
        </w:tc>
        <w:tc>
          <w:tcPr>
            <w:tcW w:w="18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&lt;0.0001</w:t>
            </w:r>
          </w:p>
        </w:tc>
        <w:tc>
          <w:tcPr>
            <w:tcW w:w="1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&lt;0.0001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≥-stage improvement in fibrosis with no</w:t>
            </w: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worsening of NAS</w:t>
            </w:r>
          </w:p>
        </w:tc>
        <w:tc>
          <w:tcPr>
            <w:tcW w:w="18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0.0002</w:t>
            </w:r>
          </w:p>
        </w:tc>
        <w:tc>
          <w:tcPr>
            <w:tcW w:w="1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&lt;0.0001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Secondary Endpoint</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LDL-C lowering (24 weeks)</w:t>
            </w:r>
          </w:p>
        </w:tc>
        <w:tc>
          <w:tcPr>
            <w:tcW w:w="18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&lt;0.0001</w:t>
            </w:r>
          </w:p>
        </w:tc>
        <w:tc>
          <w:tcPr>
            <w:tcW w:w="1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&lt;0.0001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All biopsies were read independently by two central pathologists. Each pathologist’s scores showed a similar statistically significant magnitude of response at both doses for both liver biopsy endpoints. Biopsy endpoints were achieved independent of baseline fibrosis stage or diabetes status, including similar statistical significance and magnitude of effect at both doses in subgroups of F2, F3, and F2/F3 patients. Other secondary liver biopsy endpoints that were achieved at both doses include ≥2 point reduction in NAS with no worsening of fibrosis, ≥2 point reduction in NAS with ≥1-stage improvement in fibrosis, NASH resolution (with ≥2 point reduction in NAS) with ≥1-stage improvement in fibrosis, and a 2-stage reduction in fibrosis without worsening of NAS.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93" w:right="439" w:bottom="1440" w:gutter="0" w:footer="0" w:header="0"/>
        </w:sectPr>
      </w:pPr>
    </w:p>
    <w:bookmarkStart w:id="11" w:name="page12"/>
    <w:bookmarkEnd w:id="11"/>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Multiple secondary endpoints were achieved, including statistically significant reduction from baseline in liver enzymes (ALT, AST and GGT). Reductions in atherogenic lipids and lipoproteins, fibrosis biomarkers and imaging tests (MRI-PDFF, CAP and liver stiffness measures) were observed in resmetirom treatment arms as compared with placebo. MAESTRO-NASH included many biomarker and imaging assessments that may be used in real world clinical practice to identify appropriate patients for treatment and monitor response to resmetirom, if approved.</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Resmetirom was safe and well-tolerated at both the 80 mg and 100 mg doses. The frequency of serious adverse events (SAEs) was similar across treatment arms: 11.8%, 12.7% and 12.1% for the 80 mg, 100 mg, and placebo groups, respectively. The rate of study discontinuation for adverse events was low: 2.8%, 7.7% and 3.7% for the 80 mg, 100 mg and placebo groups, respectively. SAEs occurred at expected rates based on the patient population.</w:t>
      </w:r>
    </w:p>
    <w:p>
      <w:pPr>
        <w:spacing w:after="0" w:line="180"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Consistent with previous Phase 2 and Phase 3 data, the most common adverse events reported with greater frequency in the resmetirom groups versus placebo were an excess of generally mild and transient diarrhea at the beginning of therapy, in 28%, 34%, 16% in the 80 mg, 100 mg and placebo groups, respectively, and generally mild nausea that occurred at rates of 22%, 19% and 13% in the 80 mg, 100 mg and placebo arms, respectively.</w:t>
      </w:r>
    </w:p>
    <w:p>
      <w:pPr>
        <w:spacing w:after="0" w:line="158"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MAESTRO-NASH is an ongoing blinded Phase 3 clinical trial, and enrolled patients continue on therapy after the Week 52 liver biopsy for up to a total of 54 months to accrue hepatic clinical outcome events including histologic conversion to cirrhosis and hepatic decompensation events.</w:t>
      </w:r>
    </w:p>
    <w:p>
      <w:pPr>
        <w:spacing w:after="0" w:line="16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MAESTRO-NAFLD-1. </w:t>
      </w:r>
      <w:r>
        <w:rPr>
          <w:rFonts w:ascii="Times New Roman" w:cs="Times New Roman" w:eastAsia="Times New Roman" w:hAnsi="Times New Roman"/>
          <w:sz w:val="18"/>
          <w:szCs w:val="18"/>
          <w:color w:val="auto"/>
        </w:rPr>
        <w:t>In January 2022, Madrigal announced topline results from the Phase 3 MAESTRO-NAFLD-1 safety study of resmetirom.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Madrigal reported that resmetirom demonstrated statistical significance for primary and key secondary endpoints summarized below, from the double-blind placebo-controlled 969-patient portion of the study. These endpoints indicated that resmetirom (1) was well-tolerated at 80 and 100 mg in patients treated for 52 weeks, (2) provided significant and clinically relevant reductions in liver fat as measured by MRI-PDFF and (3) significantly reduced atherogenic lipids, including LDLc, apolipoprotein B and triglycerides.</w:t>
      </w:r>
    </w:p>
    <w:p>
      <w:pPr>
        <w:spacing w:after="0" w:line="18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 total of 972 patients were randomized in the double-blind arms of the MAESTRO-NAFLD-1 study: 969 patients were included in the safety population and 943 patients in a modified intent-to-treat population for evaluation of key secondary and other endpoints. Important inclusion criteria included the presence of three risk factors of metabolic syndrome, a level of liver fibrosis (measured by FibroScan) consistent with a range of stages of liver fibrosis, and &gt;=8% liver fat (measured by MRI-PDFF).</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Adverse events observed in the MAESTRO-NAFLD-1 trial were generally mild to moderate in severity. The frequency of serious adverse events was similar across treatment arms and discontinuation for adverse events was low.</w:t>
      </w:r>
    </w:p>
    <w:p>
      <w:pPr>
        <w:spacing w:after="0" w:line="16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Consistent with published data, the most common adverse event reported with greater frequency in the resmetirom groups vs placebo was generally mild diarrhea or increased stool frequency at the beginning of therapy, which occurred in 9% and ~17% over the placebo rate in the 80 and 100 mg dose groups, respectively.</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Resmetirom</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Resmetirom</w:t>
            </w:r>
          </w:p>
        </w:tc>
        <w:tc>
          <w:tcPr>
            <w:tcW w:w="10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80 mg</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100 mg</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 population</w:t>
            </w:r>
          </w:p>
        </w:tc>
        <w:tc>
          <w:tcPr>
            <w:tcW w:w="16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(N=327)</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(N=324)</w:t>
            </w:r>
          </w:p>
        </w:tc>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(N=318)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At least one TEAE</w:t>
            </w:r>
          </w:p>
        </w:tc>
        <w:tc>
          <w:tcPr>
            <w:tcW w:w="2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289 (88.4)</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279 (86.1)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 (81.8)</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least one Serious TEAE</w:t>
            </w:r>
          </w:p>
        </w:tc>
        <w:tc>
          <w:tcPr>
            <w:tcW w:w="28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 (6.1)</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 (7.4)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 (6.3)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TEAE ≥ Grade 3 Severity</w:t>
            </w:r>
          </w:p>
        </w:tc>
        <w:tc>
          <w:tcPr>
            <w:tcW w:w="28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26 (8.0)</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 (9.0)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 (9.1)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 discontinuations from study</w:t>
            </w:r>
          </w:p>
        </w:tc>
        <w:tc>
          <w:tcPr>
            <w:tcW w:w="1640" w:type="dxa"/>
            <w:vAlign w:val="bottom"/>
            <w:shd w:val="clear" w:color="auto" w:fill="CCEEFF"/>
          </w:tcPr>
          <w:p>
            <w:pPr>
              <w:spacing w:after="0"/>
              <w:rPr>
                <w:sz w:val="18"/>
                <w:szCs w:val="18"/>
                <w:color w:val="auto"/>
              </w:rPr>
            </w:pPr>
          </w:p>
        </w:tc>
        <w:tc>
          <w:tcPr>
            <w:tcW w:w="35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All treatments combined, n=21; (2.17%)</w:t>
            </w:r>
          </w:p>
        </w:tc>
        <w:tc>
          <w:tcPr>
            <w:tcW w:w="0" w:type="dxa"/>
            <w:vAlign w:val="bottom"/>
          </w:tcPr>
          <w:p>
            <w:pPr>
              <w:spacing w:after="0"/>
              <w:rPr>
                <w:sz w:val="1"/>
                <w:szCs w:val="1"/>
                <w:color w:val="auto"/>
              </w:rPr>
            </w:pPr>
          </w:p>
        </w:tc>
      </w:tr>
      <w:tr>
        <w:trPr>
          <w:trHeight w:val="365"/>
        </w:trPr>
        <w:tc>
          <w:tcPr>
            <w:tcW w:w="3200" w:type="dxa"/>
            <w:vAlign w:val="bottom"/>
          </w:tcPr>
          <w:p>
            <w:pPr>
              <w:spacing w:after="0"/>
              <w:rPr>
                <w:sz w:val="24"/>
                <w:szCs w:val="24"/>
                <w:color w:val="auto"/>
              </w:rPr>
            </w:pP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97" w:right="47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Resmetirom</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Resmetirom</w:t>
            </w:r>
          </w:p>
        </w:tc>
        <w:tc>
          <w:tcPr>
            <w:tcW w:w="10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80 mg</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100 mg</w:t>
            </w: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Maximum NCI CTCAE Severity Grade</w:t>
            </w: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Grade 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Grade 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AEs over 10%</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Diarrhea</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Nausea</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 (11.6)</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 (7.9)</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AE (adverse event); TEAE (treatment emergent adverse event); NCI (National Cancer Institute); CTCAE (Common Terminology Criteria for Adverse Events)</w:t>
      </w:r>
    </w:p>
    <w:p>
      <w:pPr>
        <w:spacing w:after="0" w:line="160"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The following hierarchically-controlled key secondary endpoints were reported for both the 80 and 100 mg resmetirom dose groups. Resmetirom provided significant reductions in liver fat as measured by MRI-PDFF and reduced atherogenic lipids, including LDLc, apolipoprotein B and triglycerides. Open-label arm data is reported in the far left column below and double-blind arm data are reported in the remaining columns below. Although both arms were randomized in MAESTRO-NAFLD-1, lipid reductions were numerically greater in the 100 mg open label treatment arm compared to the 100 mg double-blind arm, and we believe this is due to greater visit and dose interruptions experienced by open-label arm patients during the height of the COVID-19 pandemic, as patients in the open-label active 100 mg treatment arm were less impacted by COVID-related dose interruptions than double-blind patients.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Resmetirom</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Resmetirom</w:t>
            </w:r>
          </w:p>
        </w:tc>
        <w:tc>
          <w:tcPr>
            <w:tcW w:w="8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p-value</w:t>
            </w: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Resmetirom 100</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p-value</w:t>
            </w:r>
          </w:p>
        </w:tc>
        <w:tc>
          <w:tcPr>
            <w:tcW w:w="13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100 mg OL</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80 mg</w:t>
            </w:r>
          </w:p>
        </w:tc>
        <w:tc>
          <w:tcPr>
            <w:tcW w:w="800" w:type="dxa"/>
            <w:vAlign w:val="bottom"/>
            <w:gridSpan w:val="2"/>
            <w:vMerge w:val="continue"/>
          </w:tcPr>
          <w:p>
            <w:pPr>
              <w:spacing w:after="0"/>
              <w:rPr>
                <w:sz w:val="15"/>
                <w:szCs w:val="15"/>
                <w:color w:val="auto"/>
              </w:rPr>
            </w:pPr>
          </w:p>
        </w:tc>
        <w:tc>
          <w:tcPr>
            <w:tcW w:w="9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mg</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LDLc %CFB (SE) (Week 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(1.9)</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(2.1)</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&lt;.0001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&lt;.0001</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(2.0)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ApoB %CFB (SE) (Week 24)</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 (1.5)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 (1.5)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&lt;.0001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&lt;.0001</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 (1.5)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MRI-PDFF %CFB (Week 16)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&lt;.0001</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-48%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&lt;.0001</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Liver volume PDFF correction %CFB</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MRI-PDFF %CFB (Week 52)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&lt;.0001</w:t>
            </w:r>
          </w:p>
        </w:tc>
        <w:tc>
          <w:tcPr>
            <w:tcW w:w="9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-48%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&lt;.0001</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Liver volume PDFF correction %CFB</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Triglycerides baseline &gt;150 mg/dL, CFB (SE)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 (8.3)</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 (8.6)</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 (16.1)</w:t>
            </w:r>
          </w:p>
        </w:tc>
        <w:tc>
          <w:tcPr>
            <w:tcW w:w="0" w:type="dxa"/>
            <w:vAlign w:val="bottom"/>
          </w:tcPr>
          <w:p>
            <w:pPr>
              <w:spacing w:after="0"/>
              <w:rPr>
                <w:sz w:val="1"/>
                <w:szCs w:val="1"/>
                <w:color w:val="auto"/>
              </w:rPr>
            </w:pPr>
          </w:p>
        </w:tc>
      </w:tr>
      <w:tr>
        <w:trPr>
          <w:trHeight w:val="198"/>
        </w:trPr>
        <w:tc>
          <w:tcPr>
            <w:tcW w:w="4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Triglycerides baseline &gt;150 mg/dL (geomean) %CFB</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-19.5 (-27.0</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ind w:left="260"/>
              <w:spacing w:after="0" w:line="198" w:lineRule="exact"/>
              <w:rPr>
                <w:sz w:val="20"/>
                <w:szCs w:val="20"/>
                <w:color w:val="auto"/>
              </w:rPr>
            </w:pPr>
            <w:r>
              <w:rPr>
                <w:rFonts w:ascii="Times New Roman" w:cs="Times New Roman" w:eastAsia="Times New Roman" w:hAnsi="Times New Roman"/>
                <w:sz w:val="18"/>
                <w:szCs w:val="18"/>
                <w:color w:val="auto"/>
              </w:rPr>
              <w:t>-21.5 (-28.0 to</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-2.1 (-10.6 to</w:t>
            </w:r>
          </w:p>
        </w:tc>
        <w:tc>
          <w:tcPr>
            <w:tcW w:w="0" w:type="dxa"/>
            <w:vAlign w:val="bottom"/>
          </w:tcPr>
          <w:p>
            <w:pPr>
              <w:spacing w:after="0"/>
              <w:rPr>
                <w:sz w:val="1"/>
                <w:szCs w:val="1"/>
                <w:color w:val="auto"/>
              </w:rPr>
            </w:pPr>
          </w:p>
        </w:tc>
      </w:tr>
      <w:tr>
        <w:trPr>
          <w:trHeight w:val="234"/>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(95% CI)</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 (3.1)</w:t>
            </w: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 -11.1)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=.0005</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&lt;.0001</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CFB (change from baseline); SE (standard error); APOB (Apolipoprotein B); MRI-PDFF (magnetic resonance imaging proton density fat-fraction); CI (confidence interval); OL, open label non-cirrhotic arm randomized concurrently with double-blind arms</w:t>
      </w:r>
    </w:p>
    <w:p>
      <w:pPr>
        <w:spacing w:after="0" w:line="158" w:lineRule="exact"/>
        <w:rPr>
          <w:sz w:val="20"/>
          <w:szCs w:val="20"/>
          <w:color w:val="auto"/>
        </w:rPr>
      </w:pPr>
    </w:p>
    <w:p>
      <w:pPr>
        <w:ind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MASESTRO-NASH OUTCOMES. </w:t>
      </w:r>
      <w:r>
        <w:rPr>
          <w:rFonts w:ascii="Times New Roman" w:cs="Times New Roman" w:eastAsia="Times New Roman" w:hAnsi="Times New Roman"/>
          <w:sz w:val="18"/>
          <w:szCs w:val="18"/>
          <w:color w:val="auto"/>
        </w:rPr>
        <w:t>In August 2022, we announced initiation of MAESTRO-NASH OUTCOMES, a Phase 3, double-blind,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randomized, placebo-controlled study that will noninvasively measure progression to liver decompensation events in approximately 700 patients with compensated NASH cirrhosis.</w:t>
      </w:r>
    </w:p>
    <w:p>
      <w:pPr>
        <w:spacing w:after="0" w:line="17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primary endpoint of MAESTRO-NASH OUTCOMES is the incidence of composite liver-related outcome events, including all-cause mortality, liver transplant, hepatic decompensation (ascites, hepatic encephalopathy, gastroesophageal variceal hemorrhage), and confirmed increase of Model for End-Stage Liver Disease (MELD) score from &lt;12 to ≥15 due to progression of NASH cirrhosis. Key inclusion criteria are well-compensated NASH cirrhosis (Child-Pugh A) and presence of three metabolic risk factors (metabolic syndrome). Patients will be randomized 3:1 in a blinded manner to receive 80 mg resmetirom or matching placebo, given orally once daily. The study duration is expected to be two to three years for accrual of the required number of composite clinical outcome events.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8" w:right="439" w:bottom="1440" w:gutter="0" w:footer="0" w:header="0"/>
        </w:sectPr>
      </w:pPr>
    </w:p>
    <w:bookmarkStart w:id="13" w:name="page14"/>
    <w:bookmarkEnd w:id="13"/>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 positive outcome is expected to support the full approval of resmetirom for noncirrhotic NASH, potentially accelerating the timeline to full approval. In addition, this study has the potential to support an additional indication for resmetirom in patients with well-compensated NASH cirrhosis.</w:t>
      </w:r>
    </w:p>
    <w:p>
      <w:pPr>
        <w:spacing w:after="0" w:line="138"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RESMETIROM PHASE 2 CLINICAL TRIAL in NASH. </w:t>
      </w:r>
      <w:r>
        <w:rPr>
          <w:rFonts w:ascii="Times New Roman" w:cs="Times New Roman" w:eastAsia="Times New Roman" w:hAnsi="Times New Roman"/>
          <w:sz w:val="18"/>
          <w:szCs w:val="18"/>
          <w:color w:val="auto"/>
        </w:rPr>
        <w:t>As summarized above, the Company successfully completed its Phase 2 clinical trial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NASH in 2018. In this clinical trial, resmetirom demonstrated statistical significance in the primary endpoint (p&lt;0.0001), the relative reduction of liver fat compared with baseline on magnetic resonance imaging-estimated proton density fat fraction, or MRI-PDFF, at 12-weeks which was reported in December 2017, and statistically significant results in multiple 36-week endpoints, including key secondary endpoints, reduction and resolution of NASH on liver biopsy as set forth in the table below, which was reported in May 2018. This clinical trial was published in the Lancet in November, 2019.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Product Candidate—Resmetirom</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believe that resmetirom may be the first THR-agonist product candidate in development for NASH that selectively targets the THR-ß pathway. Active thyroid hormone, known as T3, interacts with two nuclear receptors, THR-α, which is the predominant receptor expressed in most human tissues, including heart and bone, and THR-ß, which has more restricted tissue expression, and is the predominant receptor responsible for metabolic actions in the liver, including both cholesterol- and TG-lowering. Selective activation of the THR-ßreceptor in liver tissue is believed to favorably affect cholesterol and lipoprotein levels via multiple mechanisms, which may be complementary to those of other lipid-lowering therapies such as statin drugs. We believe that these characteristics of THR-ß activation by resmetirom will in turn lead to clinically meaningful reductions in LDL-C, and plasma and liver TGs.</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believe that resmetirom is the first selective small molecule THR-ß agonist compound. Resmetirom, along with MGL-3745, a potential backup compound to resmetirom, was discovered at Hoffmann-La Roche, or Roche, in Nutley, New Jersey, by utilizing a novel functional assay that, unlike a simple receptor binding assay, assessed the functional activity of compounds which interacted with thyroid hormone receptors. In a published study by Madrigal and Roche in the Journal of Medicinal Chemistry using this functional assay, resmetirom was shown to be highly selective for the THR-ß receptor, with almost no effect on THR-α, unlike other compounds purported in published studies to be ß -selective based on binding affinity, but which were shown to equally activate THR-α and THR-ß in the novel functional assay.</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believe that the ß-selectivity and liver-targeting properties of resmetirom are critically important for resmetirom’s beneficial metabolic actions in the liver, and enable avoidance of safety issues associated with THR-α activation by thyroid hormone and/or less selective THR agonists in tissues such as heart and bone. In a variety of preclinical animal model studies, resmetirom showed enhanced safety relative to T3 or other thyroid agonists. In animal models, resmetirom demonstrated cholesterol lowering, liver TG lowering, and reduction of markers of NASH-related liver inflammation and fibrosis at drug levels similar to those that lowered LDL-C in human clinical trials, providing data to support the advancement of resmetirom into NASH clinical trials. In chronic animal toxicology studies in dogs and rats, no effects on bone or cartilage histology were seen at any resmetirom dose in either species.</w:t>
      </w:r>
    </w:p>
    <w:p>
      <w:pPr>
        <w:spacing w:after="0" w:line="189"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Resmetirom did not increase liver enzymes in Phase 1 studies and there were no bone and cartilage histologic findings in chronic animal toxicology studies.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Our goal is to become a leading biopharmaceutical company developing and commercializing innovative liver-directed, ß-selective thyroid hormone receptor agonists for the treatment of cardio-metabolic and liver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97"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disease, fibrosis and inflammation. A key element is building a multi-therapy NASH focused company. To achieve our goal, we plan to:</w:t>
      </w:r>
    </w:p>
    <w:p>
      <w:pPr>
        <w:spacing w:after="0" w:line="127" w:lineRule="exact"/>
        <w:rPr>
          <w:sz w:val="20"/>
          <w:szCs w:val="20"/>
          <w:color w:val="auto"/>
        </w:rPr>
      </w:pPr>
    </w:p>
    <w:p>
      <w:pPr>
        <w:ind w:left="1420" w:right="20" w:hanging="331"/>
        <w:spacing w:after="0" w:line="259"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Complete clinical development and seek regulatory approval of resmetirom in NASH. </w:t>
      </w:r>
      <w:r>
        <w:rPr>
          <w:rFonts w:ascii="Times New Roman" w:cs="Times New Roman" w:eastAsia="Times New Roman" w:hAnsi="Times New Roman"/>
          <w:sz w:val="18"/>
          <w:szCs w:val="18"/>
          <w:color w:val="auto"/>
        </w:rPr>
        <w:t>We successfully completed a Phase 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trial in NASH in 2018. NASH is a disease driven by the growing epidemic of obesity, with a significant unmet need for approved therapies that are effective and well tolerated. We believe resmetirom is an excellent candidate for the chronic treatment of NASH due to its safety profile and first-in-class pleiotropic actions in liver cells and potential to reduce cardiovascular risk in NASH patients.</w:t>
      </w:r>
    </w:p>
    <w:p>
      <w:pPr>
        <w:spacing w:after="0" w:line="84" w:lineRule="exact"/>
        <w:rPr>
          <w:rFonts w:ascii="Times New Roman" w:cs="Times New Roman" w:eastAsia="Times New Roman" w:hAnsi="Times New Roman"/>
          <w:sz w:val="18"/>
          <w:szCs w:val="18"/>
          <w:color w:val="auto"/>
        </w:rPr>
      </w:pPr>
    </w:p>
    <w:p>
      <w:pPr>
        <w:ind w:left="1420" w:hanging="331"/>
        <w:spacing w:after="0" w:line="259"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Establish commercial capabilities to market resmetirom as a leading treatment for NASH. </w:t>
      </w:r>
      <w:r>
        <w:rPr>
          <w:rFonts w:ascii="Times New Roman" w:cs="Times New Roman" w:eastAsia="Times New Roman" w:hAnsi="Times New Roman"/>
          <w:sz w:val="18"/>
          <w:szCs w:val="18"/>
          <w:color w:val="auto"/>
        </w:rPr>
        <w:t>If approved, we intend to establish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and marketing organization with technical expertise and supporting distribution capabilities to commercialize resmetirom in the United States and through a biopharma partner in rest of the world. Patients with NASH and liver fibrosis are primarily managed by a concentrated group of NASH specialists in the United States. We believe this will enable us to launch resmetirom in NASH in a cost-effective, targeted manner, in the United States.</w:t>
      </w:r>
    </w:p>
    <w:p>
      <w:pPr>
        <w:spacing w:after="0" w:line="84" w:lineRule="exact"/>
        <w:rPr>
          <w:rFonts w:ascii="Times New Roman" w:cs="Times New Roman" w:eastAsia="Times New Roman" w:hAnsi="Times New Roman"/>
          <w:sz w:val="18"/>
          <w:szCs w:val="18"/>
          <w:color w:val="auto"/>
        </w:rPr>
      </w:pPr>
    </w:p>
    <w:p>
      <w:pPr>
        <w:ind w:left="1420" w:right="20" w:hanging="331"/>
        <w:spacing w:after="0" w:line="259"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the resmetirom market opportunity to include patients with compensated NASH cirrhosis. </w:t>
      </w:r>
      <w:r>
        <w:rPr>
          <w:rFonts w:ascii="Times New Roman" w:cs="Times New Roman" w:eastAsia="Times New Roman" w:hAnsi="Times New Roman"/>
          <w:sz w:val="18"/>
          <w:szCs w:val="18"/>
          <w:color w:val="auto"/>
        </w:rPr>
        <w:t>Madrigal is conducting a Phase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 trial – MAESTRO-NASH OUTCOMES – to noninvasively evaluate the effects of resmetirom on progression to liver decompensation events in NASH patients with compensated cirrhosis. A positive outcome is expected to support the full approval of resmetirom for noncirrhotic NASH, potentially accelerating the timeline to full approval. In addition, this study has the potential to support an additional indication for resmetirom in patients with well-compensated NASH cirrhosis.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Target Indications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Nonalcoholic Fatty Liver Disease and Nonalcoholic Steatohepatitis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and Market Opportunity</w:t>
      </w:r>
    </w:p>
    <w:p>
      <w:pPr>
        <w:spacing w:after="0" w:line="121" w:lineRule="exact"/>
        <w:rPr>
          <w:sz w:val="20"/>
          <w:szCs w:val="20"/>
          <w:color w:val="auto"/>
        </w:rPr>
      </w:pPr>
    </w:p>
    <w:p>
      <w:pPr>
        <w:ind w:right="120" w:firstLine="440"/>
        <w:spacing w:after="0" w:line="274" w:lineRule="auto"/>
        <w:rPr>
          <w:sz w:val="20"/>
          <w:szCs w:val="20"/>
          <w:color w:val="auto"/>
        </w:rPr>
      </w:pPr>
      <w:r>
        <w:rPr>
          <w:rFonts w:ascii="Times New Roman" w:cs="Times New Roman" w:eastAsia="Times New Roman" w:hAnsi="Times New Roman"/>
          <w:sz w:val="17"/>
          <w:szCs w:val="17"/>
          <w:color w:val="auto"/>
        </w:rPr>
        <w:t>NASH is a serious inflammatory form of nonalcoholic fatty liver disease, or NAFLD. NAFLD has become the most common liver disease in the United States and other developed countries and is characterized by an accumulation of fat in the liver with no other apparent causes. NASH and NAFLD have grown as a consequence of rising worldwide obesity-related disorders. In the United States, NAFLD is estimated to affect approximately 25% of the population, and approximately 25% of those will progress from NAFLD to NASH. Current estimates place NASH prevalence at approximately 22 million people in the United States by 2024, with similar prevalence in Europe and Asia. The prevalence of NASH is also increasing in developing regions due to the adoption of a more sedentary lifestyle and a diet consisting of processed foods with high fat and fructose content.</w:t>
      </w:r>
    </w:p>
    <w:p>
      <w:pPr>
        <w:spacing w:after="0" w:line="173"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In addition to the accumulation of fat in the liver, NASH is characterized by inflammation and cellular damage with or without fibrosis, the first stage of liver scarring, which may ultimately progress to cirrhosis. Within NASH cirrhosis, patients can be categorized as being compensated or decompensated. NASH with compensated cirrhosis is characterized by liver scarring / damage that reduces the ability to process blood supplied to the liver, though patients generally remain asymptomatic with normal liver function. NASH patients with compensated cirrhosis are on the cusp of negative consequences associated with end-stage liver disease such as portal hypertension, esophageal varices, ascites, liver cancer and liver failure. It is estimated that by 2024 the prevalent cirrhotic NASH population in the US will be approximately 2.4 million with the vast majority of these patients (2.1 million) being categorized as compensated. The progression rate from compensated cirrhosis to decompensation, HCC, or death is ~20% over two years.</w:t>
      </w:r>
    </w:p>
    <w:p>
      <w:pPr>
        <w:spacing w:after="0" w:line="17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NASH is strongly associated with cardiovascular disease, or CVD, and the most common cause of death in NASH patients is CVD. Progression to cirrhosis and other late-stage complications can occur within five to ten years after an initial NASH diagnosis. NASH patients with type-2 diabetes have a heightened risk of NASH disease progression. Once the disease advances beyond NASH to such life-threatening conditions as liver cancer and liver failure, then liver transplantation is the only treatment alternative.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97" w:right="459" w:bottom="1440" w:gutter="0" w:footer="0" w:header="0"/>
        </w:sectPr>
      </w:pPr>
    </w:p>
    <w:bookmarkStart w:id="15" w:name="page16"/>
    <w:bookmarkEnd w:id="15"/>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Centers for Disease Control and Prevention projects the prevalence of obesity to increase from 34% of the United States population to 42% of the United States population by 2030. Driven by this epidemic of obesity, NASH is projected to become the leading cause of liver transplants in the near future. Given the extremely limited availability of organ donors and high transplant costs, NASH patients who require transplantation will place a significant economic burden on the healthcare system. As such, there is a significant unmet medical need for well-tolerated oral treatments for NASH. Because there are currently no therapeutic products approved for the treatment of NASH, the market size is difficult to estimate. However, based on our analysis of multiple market assessments, we estimate that the addressable NASH population is several million patients worldwide, and that NASH could become a multi-billion dollar market able to support multiple approved drug products.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Resmetirom Commercial Strategy</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We have conducted quantitative and qualitative market research studies and secondary data analytics to inform the commercial strategy for resmetirom. These studies and analytics evaluated the size of the market opportunity for resmetirom as well as physician, patient and payer perspectives on unmet needs in NASH patient care and the resmetirom product profile.</w:t>
      </w:r>
    </w:p>
    <w:p>
      <w:pPr>
        <w:spacing w:after="0" w:line="176"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Based on published epidemiology data and an analysis of medical claims using ICD-10 disease diagnosis codes, we believe that approximately one million NASH patients in the US have been coded with NASH as of 2021. Appropriate NASH patients with significant fibrosis within this group will be the initial focus of a potential resmetirom launch in the US. Over time, as disease awareness improves and disease prevalence increases, we expect the number of identified NASH patients with significant fibrosis eligible for treatment to grow meaningfully following the potential launch of resmetirom.</w:t>
      </w:r>
    </w:p>
    <w:p>
      <w:pPr>
        <w:spacing w:after="0" w:line="17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Our market research indicates the following. Key stakeholder audiences view NASH with significant fibrosis as an unmet medical need. </w:t>
      </w:r>
      <w:r>
        <w:rPr>
          <w:rFonts w:ascii="Times New Roman" w:cs="Times New Roman" w:eastAsia="Times New Roman" w:hAnsi="Times New Roman"/>
          <w:sz w:val="18"/>
          <w:szCs w:val="18"/>
          <w:b w:val="1"/>
          <w:bCs w:val="1"/>
          <w:color w:val="auto"/>
        </w:rPr>
        <w:t>NASH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specialist healthcare providers </w:t>
      </w:r>
      <w:r>
        <w:rPr>
          <w:rFonts w:ascii="Times New Roman" w:cs="Times New Roman" w:eastAsia="Times New Roman" w:hAnsi="Times New Roman"/>
          <w:sz w:val="18"/>
          <w:szCs w:val="18"/>
          <w:color w:val="auto"/>
        </w:rPr>
        <w:t>(hepatologists, gastroenterologists, a subset of endocrinologists and affiliated advanced practice providers)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currently manage patients with NASH perceive the urgency to treat NASH with significant fibrosis to be similar to uncontrolled type 2 diabetes. In a market research survey, more than 70% of these healthcare providers indicated that they consider NASH with significant fibrosis to be a very high to extremely high unmet need. A separate survey found that </w:t>
      </w:r>
      <w:r>
        <w:rPr>
          <w:rFonts w:ascii="Times New Roman" w:cs="Times New Roman" w:eastAsia="Times New Roman" w:hAnsi="Times New Roman"/>
          <w:sz w:val="18"/>
          <w:szCs w:val="18"/>
          <w:b w:val="1"/>
          <w:bCs w:val="1"/>
          <w:color w:val="auto"/>
        </w:rPr>
        <w:t>patients</w:t>
      </w:r>
      <w:r>
        <w:rPr>
          <w:rFonts w:ascii="Times New Roman" w:cs="Times New Roman" w:eastAsia="Times New Roman" w:hAnsi="Times New Roman"/>
          <w:sz w:val="18"/>
          <w:szCs w:val="18"/>
          <w:color w:val="auto"/>
        </w:rPr>
        <w:t xml:space="preserve"> perceive NASH as a priority condition, with approximately 60% ranking NASH as a priority over their other comorbidities. Patients reported low levels of satisfaction with current treatment options, and a majority of patients (~60%) strongly desire a new treatment for NASH. Market research interviews conducted with </w:t>
      </w:r>
      <w:r>
        <w:rPr>
          <w:rFonts w:ascii="Times New Roman" w:cs="Times New Roman" w:eastAsia="Times New Roman" w:hAnsi="Times New Roman"/>
          <w:sz w:val="18"/>
          <w:szCs w:val="18"/>
          <w:b w:val="1"/>
          <w:bCs w:val="1"/>
          <w:color w:val="auto"/>
        </w:rPr>
        <w:t>payers</w:t>
      </w:r>
      <w:r>
        <w:rPr>
          <w:rFonts w:ascii="Times New Roman" w:cs="Times New Roman" w:eastAsia="Times New Roman" w:hAnsi="Times New Roman"/>
          <w:sz w:val="18"/>
          <w:szCs w:val="18"/>
          <w:color w:val="auto"/>
        </w:rPr>
        <w:t xml:space="preserve"> found that the vast majority of payers consider NASH with significant fibrosis to be a high unmet need given the lack of approved treatment options and that they intend to cover new product entrants for the treatment of patients with NASH. In market research conducted in Europe, payers indicated that the efficacy data demonstrated in our Phase 3 MAESTRO-NASH study may support reimbursement with key health technology assessment bodies in Europe similar to first-to-market products in disease categories with high unmet need.</w:t>
      </w:r>
    </w:p>
    <w:p>
      <w:pPr>
        <w:spacing w:after="0" w:line="18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In market research examining perceptions of the resmetirom product profile, U.S. physicians prioritized NASH resolution, fibrosis improvement, reduction in liver stiffness and improvement in cardiovascular/metabolic risk parameters as key profile attributes. Approximately 85% of physicians surveyed viewed the resmetirom product profile as offering high to extremely high clinical utility for the treatment of patients with NASH with significant fibrosis, with 40% of NASH specialists indicating anticipated use immediately at launch, if approved.</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 key focus of our commercial strategy for the launch of resmetirom is educating physicians on the role of noninvasive tests for identifying patients who may be appropriate for resmetirom treatment and monitoring treatment response. Multiple medical societies, including the American Association for the Study of Liver Disease (AASLD), European Association for the Study of the Liver (EASL), American Gastroenterological Association (AGA), American Association of Clinical Endocrinologists and American Heart Association (AHA) have published guidance documents or scientific statements that provide community physicians with information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97" w:right="479" w:bottom="1440" w:gutter="0" w:footer="0" w:header="0"/>
        </w:sectPr>
      </w:pPr>
    </w:p>
    <w:bookmarkStart w:id="16" w:name="page17"/>
    <w:bookmarkEnd w:id="16"/>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about the use of noninvasive tests to identify and manage patients with NASH. Our market research conducted in 2022 found that 80% of specialist healthcare providers managing patients with NASH in the U.S. have access to FibroScan, a noninvasive test that measures liver stiffness to estimate progression of fibrosis in patients with liver disease.</w:t>
      </w:r>
    </w:p>
    <w:p>
      <w:pPr>
        <w:spacing w:after="0" w:line="176"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By 2030, we believe, including based on published research, that the prevalence of NASH patients with significant fibrosis (excluding NASH patients with compensated cirrhosis) will be approximately 19.1 million patients across the US, Germany, France, United Kingdom, Italy, Spain and Japan.</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To evaluate the potential value and cost effectiveness of resmetirom as a treatment for NASH patients with significant liver fibrosis, we have initiated a series of health economics outcomes research studies and published a preliminary cost-effectiveness model (Javanbakht, Pharmacoecon Open, 2022) using data from the Phase 2 study of resmetirom. The cost-effectiveness model publication found that resmetirom is a potentially cost-effective treatment option for patients with NASH patients with significant liver fibrosis based on an analysis performed from a U.S. commercial payer perspective.</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the U.S., the Institute for Clinical and Economic Review (“ICER”) performs value assessments of prescription drugs, medical tests, devices, and health system delivery innovations. Payers frequently review ICER reports when making coverage decisions about new therapies. In October 2022, ICER announced plans to perform a value assessment of resmetirom and obeticholic acid for the treatment of NASH. We have engaged in the assessment process by responding to data requests from ICER and providing public comment on ICER’s cost-effectiveness modeling methods. In February 2023, a “Draft Evidence Report” was released with ICER’s initial assessment of resmetirom cost-effectiveness. Threshold analyses were conducted by ICER to calculate the annual price needed to meet commonly accepted cost-effectiveness thresholds for quality-adjusted life years (QALY) gained. In ICER’s draft assessment, the annual price to achieve $50,000 per QALY gained is $31,700. The annual price to achieve $100,000 per QALY gained is $39,400. The cost-effectiveness threshold analyses included in ICER’s Draft Evidence Report are one input we will consider as we develop the pricing strategy for resmetirom. Other inputs include primary market research with payers and our health economics outcomes research. We plan to finalize and announce any U.S. pricing of resmetirom following approval.</w:t>
      </w:r>
    </w:p>
    <w:p>
      <w:pPr>
        <w:spacing w:after="0" w:line="19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We are tailoring our commercial strategy in the U.S. to support access and reimbursement for patients with different types of insurance coverage. Based on an analysis of claims data, we estimate that approximately 55% of patients with NASH in the U.S. have commercial insurance, 35% are insured through Medicare (half with the Medicare Part D Low Income Subsidy) and 10% through Medicaid. To support patient access and affordability, we intend to establish a specialty pharmacy network to distribute resmetirom and a patient services hub to help patients initiate and remain adherent to resmetirom therapy.</w:t>
      </w:r>
    </w:p>
    <w:p>
      <w:pPr>
        <w:spacing w:after="0" w:line="18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Based on market research and an assessment of the potential market opportunity for therapies to treat NASH with significant fibrosis, we have developed a commercial strategy for the launch of resmetirom that focuses on NASH specialist healthcare providers (hepatologists, gastroenterologists and a subset of endocrinologists) who already treat NASH patients with significant fibrosis. We estimate that there are 15,000 to 20,000 of these NASH specialists in the US. We believe that a specialty pharmaceutical sales force of up to 200 field sales representatives and account managers in the U.S. would be capable of reaching these healthcare providers during a launch of resmetirom. In addition to educating healthcare providers, we intend to launch direct-to-patient marketing efforts to improve awareness of NASH and resmetirom. Patient marketing initiatives will include unbranded NASH disease education resources prior to potential approval of resmetirom, followed by branded product advertising during the launch.</w:t>
      </w:r>
    </w:p>
    <w:p>
      <w:pPr>
        <w:spacing w:after="0" w:line="18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By 2030, we believe, including based on published studies, that the prevalence of NASH with compensated cirrhosis alone will be approximately 5.3 million patients across the US, Germany, France, United Kingdom, Italy, Spain and Japan. In market research, NASH specialists indicated that the unmet need in NASH with compensated cirrhosis is seen as higher than the unmet need in NASH with significant fibrosis because patients with compensated cirrhosis are closer to progressing to negative outcomes. Therefore, we believe that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97" w:right="459" w:bottom="1440" w:gutter="0" w:footer="0" w:header="0"/>
        </w:sectPr>
      </w:pPr>
    </w:p>
    <w:bookmarkStart w:id="17" w:name="page18"/>
    <w:bookmarkEnd w:id="17"/>
    <w:p>
      <w:pPr>
        <w:ind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urgency to treat NASH patients with compensated cirrhosis will be high and resmetirom may be used in a larger proportion of NASH patients with compensated cirrhosis (relative to NASH patients with significant fibrosis).</w:t>
      </w:r>
    </w:p>
    <w:p>
      <w:pPr>
        <w:spacing w:after="0" w:line="162"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By 2030, we believe, including based on published research, that the prevalence of NASH with significant fibrosis and NASH with compensated cirrhosis collectively will be approximately 24.4 million patients across the US, Germany, France, United Kingdom, Italy, Spain and Japan.</w:t>
      </w:r>
    </w:p>
    <w:p>
      <w:pPr>
        <w:spacing w:after="0" w:line="14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2022, we conducted market research examining physician perspectives on resmetirom’s potential treatment profile for patients with compensated NASH cirrhosis. This research found that prescriber perceptions of efficacy and safety would improve if a medication were approved for use in patients with compensated NASH cirrhosis; more than 40% of physicians indicated that an approval for the NASH-compensated cirrhosis population would increase their willingness to prescribe for patients with significant fibrosis. Given that NASH patients with compensated cirrhosis require treatment from the same specialist physicians Madrigal is targeting for the launch of resmetirom in NASH with significant fibrosis, we anticipate that Madrigal will be able to support a potential expanded indication without a significant increase in the size of our commercial field force.</w:t>
      </w:r>
    </w:p>
    <w:p>
      <w:pPr>
        <w:spacing w:after="0" w:line="187"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Over time, we believe primary care physicians will play a larger role in the management of patients with NASH, driven by factors that include improved disease awareness, uptake of noninvasive tests to screen and diagnose patients, and the growing global prevalence of NASH fueled by Western lifestyle.</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intend to commercialize resmetirom alone in the U.S. and to engage with a strategic partner or partners for commercializing resmetirom in all ex-U.S. territories.</w:t>
      </w:r>
    </w:p>
    <w:p>
      <w:pPr>
        <w:spacing w:after="0" w:line="16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We believe that the MAESTRO-NASH biopsy study results announced in December 2022 currently places resmetirom in a strong competitive position in Europe. In a draft reflection paper on regulatory requirements for the development of medicinal products for chronic non-infectious liver diseases, the EMA indicated that conditional approval of NASH therapies in Europe may require achievement of two composite endpoints – (i) resolution of NASH with no worsening of the stage of fibrosis and (ii) improvement of fibrosis by at least one stage without any worsening of NASH – in a Phase 3 trial. The draft reflection paper states that “efficacy in these two composites should be demonstrated in co-primary fashion, meaning that both will have to independently demonstrate a statistically significant and clinically relevant difference to placebo.” In the Phase 3 MAESTRO-NASH biopsy study, resmetirom achieved these composite endpoints.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Resmetirom in NASH</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We are developing resmetirom for the treatment of non-cirrhotic NASH with fibrosis and NASH with compensated cirrhosis. Based on the scientific literature in human and animal studies, we believe that NASH livers in humans frequently have a deficiency in THR-ß activity that leads to features of NASH, including fatty liver, inflammation and fibrosis, and that treatment with resmetirom will replace this hormone deficiency and be an effective NASH treatment. We believe that resmetirom is an excellent candidate for the chronic treatment of NASH because of its safety and tolerability profile observed to date in healthy subjects, its effects in reducing cardiovascular risk factors such as LDL-C and TGs in early-stage clinical trials, and its multiple beneficial effects in animal models of NASH. CVD is the most common cause of death in patients with NASH. We have completed multiple studies in animal models of metabolic diseases, dyslipidemia and NASH in which resmetirom demonstrated a statistically significant reduction in liver TGs, insulin resistance, liver enzymes (which may be elevated in NASH), and markers of inflammation and fibrosis. We believe that resmetirom will treat the underlying lipotoxicity that drives the inflammation and liver cell damage observed in NASH patients, and after the underlying lipotoxicity is treated, NASH-related liver fibrosis will resolve as the liver regenerates.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Resmetirom NASH Phase 2 and 3 Clinical Studies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October 2016, we initiated a Phase 2 proof of concept clinical trial in patients with liver biopsy documented NASH, including those with type-2 diabetes, dyslipidemia and hypertension. In the study we randomized 125</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97" w:right="459" w:bottom="1440" w:gutter="0" w:footer="0" w:header="0"/>
        </w:sectPr>
      </w:pPr>
    </w:p>
    <w:bookmarkStart w:id="18" w:name="page19"/>
    <w:bookmarkEnd w:id="1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NASH patients 2:1, resmetirom or placebo QD in a double-blind, placebo-controlled, study of once-daily resmetirom versus placebo in patients with NASH, including those with type-2 diabetes. Patients continued treatment through 36 weeks. The study was conducted in the United States. The primary endpoint was to evaluate the efficacy of resmetirom as measured by the reduction of liver fat at 12 weeks, and the secondary endpoint was to evaluate the efficacy of resmetirom as measured by a reduction of NASH, which was assessed by liver biopsy, at 36 weeks. Other secondary and exploratory endpoints included safety and tolerability, and effects on serum biomarkers at 12 and 36 weeks, lipid parameters, and biomarker measures of insulin sensitivity. We reached our top-line analysis of the primary endpoint in December 2017, and we reached our top-line analysis of the secondary endpoint (NASH assessment on liver biopsy) in May 2018. There was an extension study in a subset of the patients that completed the main 36-week study which was completed in 2019. Madrigal has ongoing Phase 3 resmetirom studies for patients with NASH or presumed NASH as discussed in detail in this report.</w:t>
      </w:r>
    </w:p>
    <w:p>
      <w:pPr>
        <w:spacing w:after="0" w:line="188"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We believe that the designs of our Phase 2 and Phase 3 NASH studies are consistent with principles for NASH drug development outlined by the FDA in its public communications and draft guidance for industry and based on our past interactions with FDA, including our end of Phase 2 meeting with the FDA in 2019.</w:t>
      </w:r>
    </w:p>
    <w:p>
      <w:pPr>
        <w:spacing w:after="0" w:line="176"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Because of the slow progression of NASH and the time required to conduct an outcomes trial that would evaluate clinical endpoints such as progression to cirrhosis or survival, the FDA recommends sponsors consider the following liver histological improvements as Phase 3 trial endpoints reasonably likely to predict clinical benefit to support accelerated approval under subpart H regulations: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Resolution of steatohepatitis on overall histopathological reading and no worsening of liver fibrosis;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Improvement in liver fibrosis greater than or equal to one stage and no worsening of steatohepatitis;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Both resolution of steatohepatitis and improvement in fibrosis.</w:t>
      </w:r>
    </w:p>
    <w:p>
      <w:pPr>
        <w:spacing w:after="0" w:line="225"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In March 2019, the Company announced that it had initiated MAESTRO-NASH, a Phase 3 trial of resmetirom in patients with NASH. MAESTRO-NASH is a multicenter, randomized, double-blind, placebo-controlled Phase 3 study of resmetirom in patients with liver biopsy-confirmed NASH and was initiated in March 2019. The subpart H portion of the study enrolled more than 1,000 patients with biopsy-proven NASH (at least half with F3 (advanced) fibrosis, the remainder F2 or F1B (moderate fibrosis) with a few earlier F1 patients), randomized 1:1:1 to receive once-daily resmetirom 80 mg, resmetirom 100 mg, or placebo. After 52 weeks of treatment, a second liver biopsy is performed. The dual primary surrogate endpoints on biopsy are NASH resolution with ≥2-point reduction in NAS (NAFLD Activity Score), and with no worsening of fibrosis OR a 1-point decrease in fibrosis with no worsening of NAS. Achievement of either primary endpoint is considered a successful trial outcome. A key secondary endpoint is lowering of LDL-C.</w:t>
      </w:r>
    </w:p>
    <w:p>
      <w:pPr>
        <w:spacing w:after="0" w:line="19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All patients enrolled in the MAESTRO-NASH study (up to 2,000 in total) continue on therapy after the initial 52-week treatment period for up to 54 months to accrue and measure hepatic clinical outcome events including progression to cirrhosis on biopsy (52 weeks and 54 months) and hepatic decompensation events, as well as all-cause mortality.</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In December 2022, we reported topline results from the subpart H portion of the study: resmetirom achieved both primary endpoints with both daily oral doses, 80 mg and 100 mg, relative to placebo, as summarized in “- Key Developments” above.</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In December 2019 the Company announced it had opened for enrollment MAESTRO-NAFLD-1, a 52-week, double-blind, placebo controlled Phase 3 clinical study in 700 patients with biopsy-confirmed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97" w:right="459" w:bottom="1440" w:gutter="0" w:footer="0" w:header="0"/>
        </w:sectPr>
      </w:pPr>
    </w:p>
    <w:bookmarkStart w:id="19" w:name="page20"/>
    <w:bookmarkEnd w:id="19"/>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presumed NASH recruited from sites in the U.S. Key endpoints are safety, including safety biomarkers, LDL cholesterol, lipid biomarkers, and fibrosis biomarkers. Except for serial liver biopsies, the study protocol is similar to the MAESTRO-NASH study with resmetirom doses of 80 mg or 100 mg or placebo and includes key secondary lipid, MRI-PDFF and NASH biomarker endpoints. In addition, MAESTRO-NAFLD-1 includes an open label arm in which up to 100 patients will be dosed with 100 mg resmetirom. Enrollment objectives for this study have been exceeded, with approximately 1,200 patients enrolled overall. In October 2020 we completed enrollment of the double-blind, placebo controlled arms of the study. The MAESTRO-NAFLD-1 study will help support the adequacy of the safety database at the time of NDA submission for subpart H approval or treatment of NASH in patients with F2 or F3 fibrosis.</w:t>
      </w:r>
    </w:p>
    <w:p>
      <w:pPr>
        <w:spacing w:after="0" w:line="18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MAESTRO-NAFLD-1 also includes an open label arm with approximately 170 non-cirrhotic patients with NASH treated with 100 mg resmetirom. Data from this open label portion of the MAESTRO-NAFLD-1 study have been reported at various professional society conferences, demonstrating statistically significant reductions from baseline in liver fat as assessed by MRI-PDFF and Fibroscan CAP, as well as reductions in liver stiffness as determined by MRE and Fibroscan TE (a surrogate for liver fibrosis). Markers of liver fibrosis and inflammation were also reduced by resmetirom relative to baseline. Additionally, atherogenic lipids, including LDL-cholesterol, apolipoprotein B, triglycerides, and lipoprotein (a) were reduced relative to baseline. The adverse event profile in this open label cohort has been similar to that observed in Phase 2. The MAESTRO-NAFLD-1 open label arm over-enrolled and includes more than 150 patients with NASH and compensated cirrhosis to obtain a preliminary assessment of the use of resmetirom in patients with more advanced disease.</w:t>
      </w:r>
    </w:p>
    <w:p>
      <w:pPr>
        <w:spacing w:after="0" w:line="192" w:lineRule="exact"/>
        <w:rPr>
          <w:sz w:val="20"/>
          <w:szCs w:val="20"/>
          <w:color w:val="auto"/>
        </w:rPr>
      </w:pPr>
    </w:p>
    <w:p>
      <w:pPr>
        <w:ind w:right="540" w:firstLine="440"/>
        <w:spacing w:after="0" w:line="266" w:lineRule="auto"/>
        <w:rPr>
          <w:sz w:val="20"/>
          <w:szCs w:val="20"/>
          <w:color w:val="auto"/>
        </w:rPr>
      </w:pPr>
      <w:r>
        <w:rPr>
          <w:rFonts w:ascii="Times New Roman" w:cs="Times New Roman" w:eastAsia="Times New Roman" w:hAnsi="Times New Roman"/>
          <w:sz w:val="18"/>
          <w:szCs w:val="18"/>
          <w:color w:val="auto"/>
        </w:rPr>
        <w:t>In January 2022, Madrigal announced topline results from the Phase 3 MAESTRO-NAFLD-1 safety study of resmetirom. Primary and key secondary endpoints from the double-blind placebo-controlled 969-patient portion of the study were achieved, as described herein. See “ – Key Developments”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VIA Pharmaceuticals, Inc., or VIA, entered into a research, development and commercialization agreement, or the Roche Agreement, with Roche, on December 18, 2008. We subsequently assumed all of VIA’s rights in, to and under, and all of VIA’s obligations under, the Roche Agreement pursuant to an asset purchase agreement, dated September 14, 2011. Pursuant to the terms of the Roche Agreement, we, as successor-in-interest to VIA, assumed control of all development and commercialization of resmetirom and will hold exclusive worldwide rights for all potential indications. Under the Roche Agreement, Roche exclusively licensed certain patent rights and know-how relating to resmetirom in exchange for consideration consisting of an upfront payment, milestone payments, the remainder of which total $8 million and are tied to regulatory approval in the United States and Europe of resmetirom or any derivative product, and single-digit royalty payments based on net sales of resmetirom and any derivative products, subject to certain reductions. In 2011, we commenced Phase 1 clinical trials and subsequently paid Roche a related milestone payment. In October 2016, we commenced a Phase 2 study in NASH and subsequently paid Roche a related milestone payment. In 2019, we commenced a Phase 3 study in NASH and subsequently paid Roche a $2 million related milestone payment. Except as described above, we have not achieved any additional product development or regulatory milestones under the Roche Agreement and have generated no net sales of products developed from resmetirom.</w:t>
      </w:r>
    </w:p>
    <w:p>
      <w:pPr>
        <w:spacing w:after="0" w:line="19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the Roche Agreement, we must use commercially reasonable efforts to conduct clinical and commercial development programs for products containing resmetirom. If we determine that it is not reasonable to continue clinical trials or other development of resmetirom, we may elect to cease further development and Roche may terminate the license. If we determine not to pursue the development or commercialization of resmetirom in certain jurisdictions, including the United States, Roche may terminate the license for such territories. The Roche Agreement will expire, unless earlier terminated pursuant to other provisions of the agreement, on the last to occur of (i) the expiration of the last valid claim of a licensed patent covering the manufacture, use or sale of products containing resmetirom, or (ii) ten years after the first sale of a product containing resmetirom.</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97"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Competition</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will face competition with respect to all product candidates we may develop or commercialize in the future from pharmaceutical and biotechnology companies worldwide. The key factors affecting the success of any approved product will be its efficacy, safety profile, drug interactions, method of administration, pricing, reimbursement and level of promotional activity relative to those of competing drugs.</w:t>
      </w:r>
    </w:p>
    <w:p>
      <w:pPr>
        <w:spacing w:after="0" w:line="85" w:lineRule="exact"/>
        <w:rPr>
          <w:sz w:val="20"/>
          <w:szCs w:val="20"/>
          <w:color w:val="auto"/>
        </w:rPr>
      </w:pPr>
    </w:p>
    <w:p>
      <w:pPr>
        <w:jc w:val="both"/>
        <w:ind w:left="1420" w:right="140" w:hanging="331"/>
        <w:spacing w:after="0" w:line="266" w:lineRule="auto"/>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competitors may have substantially greater financial, technical, and personnel resources than us. In addition, many of these competitors have significantly greater commercial infrastructures. Our ability to compete successfully will depend largely on our ability to leverage our collective experience in drug discovery, development and commercialization to:</w:t>
      </w:r>
    </w:p>
    <w:p>
      <w:pPr>
        <w:spacing w:after="0" w:line="81"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develop medicines that are differentiated from other products in the market,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and/or proprietary protection for our products and technologies;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commercial partner;</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drugs, if approved;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high-quality research, development and commercial personnel.</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There are currently no therapeutic products approved and marketed for the treatment of NASH in North America and Europe. There are several commercially available products that are currently used off-label for NASH, such as vitamin E, an antioxidant, insulin sensitizers, such as pioglitazone, anti-hyperlipidemic agents, such as gemfibrozil, pentoxifylline, ursodiol and others. In addition, there are numerous drugs in development for the treatment of NASH. We are aware of several companies that have product candidates in clinical development for the treatment of NASH, including Intercept Pharmaceuticals, Inc., Gilead Sciences, Inc., Galectin Therapeutics, Inc., Galmed Medical Research Ltd., Cirius Therapeutics, Novartis AG, Novo Nordisk A/S, Takeda, Inventiva, Boehringer Ingelheim GmbH, Bristol-Myers Squibb, Pfizer, Inc., Merck &amp; Co., Lilly, Genentech, Sanofi S.A., NGM Biopharmaceutical, Viking Therapeutics, Akero Therapeutics, Enanta Pharmaceuticals, 89Bio Inc., Axcella, Can-Fite, Hepion, NorthSea, Terns, Zydus Cadila and MedImmune LLC, Altimune, Poxel, Ascletis Pharma, and there are other companies with candidates in earlier stages of development. Given resmetirom’s actions on the underlying biological pathways across the spectrum of early to late stages of NASH, its CV beneficial effects, and its complementary mechanism to other therapies, we believe that resmetirom has the potential to be used alone or in combination with some of these potential NASH products.</w:t>
      </w:r>
    </w:p>
    <w:p>
      <w:pPr>
        <w:spacing w:after="0" w:line="192"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Glucagon-like peptide 1 (GLP-1) agonists play an increasing role in the management of patients with diabetes and obesity, and are being studied for the treatment of NASH in Phase 2 and Phase 3 trials. Based on analysis of claims data, Madrigal estimates that approximately 6% of ICD-10 coded patients with NASH in the U.S. are currently being treated with GLP-1 agonists for any indication. As of the date of this filing, there have been no successful Phase 3 trials evaluating a GLP-1 agonist for the treatment of NASH. Madrigal believes that resmetirom should have a competitive advantage based on its liver-directed efficacy, tolerability profile and once-daily oral dosing. Madrigal anticipates that combination therapy with resmetirom and GLP-1 agonists may be used to manage NASH patients with significant fibrosis and comorbiditis such as diabetes or obesity Madrigal believes the introduction of GLP-1 medications for the treatment of NASH should not have a material adverse effect on market potential of resmetirom, if approved.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Madrigal has established a commercial leadership team with expertise in launching pharmaceutical products. As of the date of this filing, Madrigal has no field sales team and no product distribution capabilities. As resmetirom nears potential accelerated approval in the U.S., we intend to expand our marketing organization, establish a sales organization, and build distribution capabilities to commercialize resmetirom.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93"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Manufacturing</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rely, on third-party contract manufacturers, or CMOs, for all required starting materials, API and finished product for the manufacture of any product candidates that we may develop for larger-scale preclinical and clinical testing, as well as for commercial quantities of any drug candidates that are approved. We do not have long-term supply agreements for any of our product candidates and regularly obtain supplies and services related to our product candidates from CMO’s on a purchase order basis. We currently have a single source for API and finished product for resmetirom and are developing a second source for API. We plan to continue to rely on CMOs for API, finished product, packaging, storage, and distribution for both clinical supplies and any of our product candidates that receive health authority approval.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580" w:firstLine="440"/>
        <w:spacing w:after="0" w:line="276" w:lineRule="auto"/>
        <w:rPr>
          <w:sz w:val="20"/>
          <w:szCs w:val="20"/>
          <w:color w:val="auto"/>
        </w:rPr>
      </w:pPr>
      <w:r>
        <w:rPr>
          <w:rFonts w:ascii="Times New Roman" w:cs="Times New Roman" w:eastAsia="Times New Roman" w:hAnsi="Times New Roman"/>
          <w:sz w:val="17"/>
          <w:szCs w:val="17"/>
          <w:color w:val="auto"/>
        </w:rPr>
        <w:t>Research and development expenses primarily consist of costs associated with our research activities, including the preclinical and clinical development of our product candidates. Our research and development expenses were $245.4 million for the year ended December 31, 2022,</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$205.2 million for the year ended December 31, 2021, and $184.8 million for year ended December 31, 2020. The increase in research and development expenses was primarily due to the advancement of clinical programs to Phase 3 studies, further API manufacturing studies and the continuation of preclinical studies. We expect research and development expenses to increase over time as we advance our clinical and preclinical development programs for resmetirom.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will be able to protect our technology and products from unauthorized use by third parties only to the extent we are covered by valid and enforceable patents or such knowledge is effectively maintained as trade secrets. Patents and other proprietary rights are thus an essential element of our business. We also rely on trade secrets, know-how, continuing technological innovation and licensing opportunities to develop and maintain our competitive position.</w:t>
      </w:r>
    </w:p>
    <w:p>
      <w:pPr>
        <w:spacing w:after="0" w:line="180"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t>Our success will depend in part on our ability to obtain and maintain patent and other proprietary protection for our current and future product candidates, technology and know-how, to operate without infringing on the proprietary rights of others, and to prevent others from infringing our proprietary rights. We seek to protect our proprietary position by, among other methods, filing United States and foreign patent applications related to our proprietary technology, and maintaining the confidentiality of inventions and improvements that are important to the development of our business.</w:t>
      </w:r>
    </w:p>
    <w:p>
      <w:pPr>
        <w:spacing w:after="0" w:line="164" w:lineRule="exact"/>
        <w:rPr>
          <w:sz w:val="20"/>
          <w:szCs w:val="20"/>
          <w:color w:val="auto"/>
        </w:rPr>
      </w:pPr>
    </w:p>
    <w:p>
      <w:pPr>
        <w:ind w:right="160" w:firstLine="440"/>
        <w:spacing w:after="0" w:line="254" w:lineRule="auto"/>
        <w:rPr>
          <w:sz w:val="20"/>
          <w:szCs w:val="20"/>
          <w:color w:val="auto"/>
        </w:rPr>
      </w:pPr>
      <w:r>
        <w:rPr>
          <w:rFonts w:ascii="Times New Roman" w:cs="Times New Roman" w:eastAsia="Times New Roman" w:hAnsi="Times New Roman"/>
          <w:sz w:val="18"/>
          <w:szCs w:val="18"/>
          <w:color w:val="auto"/>
        </w:rPr>
        <w:t>As of December 7, 2022, we own or co-own: five United States and 38 foreign issued patents; five United States and 43 foreign pending patent applications; and three international patent applications filed under the Patent Cooperation Treaty. Each of these patents and applications relates to resmetirom, including composition-of-matter, certain dosage forms, methods of making resmetirom, its use in the treatment of key disease indications, or other THR beta analogs and uses thereof. Our current patent portfolio covers the United States and certain other jurisdictions worldwide. The three international patent applications can be used as the basis for multiple additional patent applications worldwide. In addition, pursuant to the Roche Agreement, Roche granted us an exclusive license to certain United States and foreign patents and patent applications owned by Roche and Roche know-how relating to resmetirom. The Roche Agreement imposes various diligence, milestone payment, royalty payment, insurance, indemnification, and other obligations on us.</w:t>
      </w:r>
    </w:p>
    <w:p>
      <w:pPr>
        <w:spacing w:after="0" w:line="192"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Issued patents directed to resmetirom, including certain dosage forms, have statutory expiration dates between 2026 and 2037, excluding any patent term extensions or equivalents thereof that might be available following the grant of marketing authorizations. We have pending patent applications for resmetirom that, if issued, would be expected to expire in the United States and in countries outside of the United States between 2033 and 2042, excluding any patent term adjustment that might be available following the grant of the patent and any patent term extensions that might be available following the grant of marketing authorizations. We have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93" w:right="459" w:bottom="1440" w:gutter="0" w:footer="0" w:header="0"/>
        </w:sectPr>
      </w:pPr>
    </w:p>
    <w:bookmarkStart w:id="22" w:name="page23"/>
    <w:bookmarkEnd w:id="2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 pending patent application for other THR beta analogs that, if issued, would be expected to expire in the United States and in countries outside of the United States in 2043, excluding any patent term adjustment that might be available following the grant of the patent and any patent term extensions that might be available following the grant of marketing authorizations.</w:t>
      </w:r>
    </w:p>
    <w:p>
      <w:pPr>
        <w:spacing w:after="0" w:line="176" w:lineRule="exact"/>
        <w:rPr>
          <w:sz w:val="20"/>
          <w:szCs w:val="20"/>
          <w:color w:val="auto"/>
        </w:rPr>
      </w:pPr>
    </w:p>
    <w:p>
      <w:pPr>
        <w:jc w:val="both"/>
        <w:ind w:right="580" w:firstLine="440"/>
        <w:spacing w:after="0" w:line="266" w:lineRule="auto"/>
        <w:rPr>
          <w:sz w:val="20"/>
          <w:szCs w:val="20"/>
          <w:color w:val="auto"/>
        </w:rPr>
      </w:pPr>
      <w:r>
        <w:rPr>
          <w:rFonts w:ascii="Times New Roman" w:cs="Times New Roman" w:eastAsia="Times New Roman" w:hAnsi="Times New Roman"/>
          <w:sz w:val="18"/>
          <w:szCs w:val="18"/>
          <w:color w:val="auto"/>
        </w:rPr>
        <w:t>Our trademarks are protected under the common law and/or by registration in the United States and other countries. We seek to protect our proprietary processes, in part, by confidentiality agreements and invention assignment agreements with our personnel, including consultants and commercial partners. These agreements are designed to protect our proprietary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Orphan Drug Designation</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Some potential target disease indications for resmetirom are rare diseases or may be designated rare diseases and we plan to pursue orphan drug designation where possible. If granted, each such designation might provide for regulatory exclusivity for seven years in the United States and ten years in the EU from the date of product approval for individual indications.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Product Approval</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record-keeping, monitoring and reporting, promotion, advertising, distribution, marketing and export and import of drug products such as those we are developing. A new drug must be approved by the FDA through the new drug application, or NDA, process before it may be legally marketed in the United States, and must be approved by foreign regulatory authorities via various analogous procedures before it can be marketed in the applicable country. The animal and other non-clinical data and the results of human clinical trials performed under an Investigational New Drug application, or IND, and under similar foreign applications will become part of the NDA.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Development Process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implementing regulations. The process of obtaining regulatory approvals and the subsequent compliance with appropriate federal, state and local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among other things, the FDA’s refusal to approve pending applications, withdrawal of an approval, a clinical hold, warning letters and other types of enforcement-related letters, requesting product recalls, product seizures, changes to the conditions surrounding marketing approval such as labeling changes or changes to a Risk Evaluation and Mitigations Strategies, or REMS, program, total or partial suspension of production or distribution, injunctions, fines, refusals of government contracts, debarment, restitution, disgorgement of profits, or civil or criminal investigations and penalties. Any agency or judicial enforcement action could have a material adverse effect on us. The process required by the FDA before a drug or biologic may be marketed in the United States generally involves the following:</w:t>
      </w:r>
    </w:p>
    <w:p>
      <w:pPr>
        <w:spacing w:after="0" w:line="100" w:lineRule="exact"/>
        <w:rPr>
          <w:sz w:val="20"/>
          <w:szCs w:val="20"/>
          <w:color w:val="auto"/>
        </w:rPr>
      </w:pPr>
    </w:p>
    <w:p>
      <w:pPr>
        <w:ind w:left="1420" w:right="120" w:hanging="331"/>
        <w:spacing w:after="0" w:line="266" w:lineRule="auto"/>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some in accordance with the FDA’s current Good Laboratory Practices, or GLP, the Animal Welfare Act administered and enforced by the United States Department of Agriculture, and other applicable regulations;</w:t>
      </w:r>
    </w:p>
    <w:p>
      <w:pPr>
        <w:spacing w:after="0" w:line="81"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97" w:right="459" w:bottom="1440" w:gutter="0" w:footer="0" w:header="0"/>
        </w:sectPr>
      </w:pPr>
    </w:p>
    <w:bookmarkStart w:id="23" w:name="page24"/>
    <w:bookmarkEnd w:id="23"/>
    <w:p>
      <w:pPr>
        <w:ind w:left="1420" w:hanging="331"/>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approval by an institutional review board, or IRB, before each trial may be initiated at each clinical site;</w:t>
      </w:r>
    </w:p>
    <w:p>
      <w:pPr>
        <w:spacing w:after="0" w:line="130"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under protocols submitted to the FDA and reviewed and approved by each IRB, conducted in accordance with federal regulations and according to Good Clinical Practices, or GCP, to establish the safety and efficacy of the proposed drug for its intended use;</w:t>
      </w:r>
    </w:p>
    <w:p>
      <w:pPr>
        <w:spacing w:after="0" w:line="81"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w:t>
      </w:r>
    </w:p>
    <w:p>
      <w:pPr>
        <w:spacing w:after="0" w:line="130" w:lineRule="exact"/>
        <w:rPr>
          <w:rFonts w:ascii="Times New Roman" w:cs="Times New Roman" w:eastAsia="Times New Roman" w:hAnsi="Times New Roman"/>
          <w:sz w:val="18"/>
          <w:szCs w:val="18"/>
          <w:color w:val="auto"/>
        </w:rPr>
      </w:pPr>
    </w:p>
    <w:p>
      <w:pPr>
        <w:ind w:left="1420" w:right="540" w:hanging="331"/>
        <w:spacing w:after="0" w:line="282"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registration batches and validation of the manufacturing process to show ability to consistently produce quality batches of product;</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30" w:lineRule="exact"/>
        <w:rPr>
          <w:rFonts w:ascii="Times New Roman" w:cs="Times New Roman" w:eastAsia="Times New Roman" w:hAnsi="Times New Roman"/>
          <w:sz w:val="18"/>
          <w:szCs w:val="18"/>
          <w:color w:val="auto"/>
        </w:rPr>
      </w:pPr>
    </w:p>
    <w:p>
      <w:pPr>
        <w:ind w:left="1420" w:right="240" w:hanging="331"/>
        <w:spacing w:after="0" w:line="266"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practice, or cGMP, to assure that the facilities, methods and controls are adequate to preserve the drug’s identity, strength, quality and purity; and</w:t>
      </w:r>
    </w:p>
    <w:p>
      <w:pPr>
        <w:spacing w:after="0" w:line="81"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Once a pharmaceutical candidate is identified for development, it enters the preclinical testing stage. Preclinical tests include laboratory evaluations of product chemistry, toxicity and formulation, as well as animal studies, to assess the safety and quality of the product. Animal studies must be performed in compliance with federal regulations and requirements, including, as applicable, GLP and the Animal Welfare Act. An IND sponsor must submit the results of the preclinical tests, together with manufacturing information and analytical data, to the FDA as part of the IND. The sponsor will also include a protocol detailing, among other things, the objectives of the clinical trial, the parameters to be used in monitoring safety, and the effectiveness criteria to be evaluated, if the trial lends itself to an efficacy evaluation. Some preclinical testing may continue even after the IND is submitted. A 30-day waiting period after the submission of each IND is required prior to the commencement of clinical testing in humans. If during this 30-day period the FDA does not raise any concerns or issues that must be addressed prior to the commencement of clinical trials or does not impose a clinical hold, the IND becomes effective 30 days following the FDA’s receipt of the IND and the clinical trial proposed in the IND may begin. Clinical holds also may be imposed by the FDA at any time before or during studies due to safety concerns or non-compliance, or other reasons.</w:t>
      </w:r>
    </w:p>
    <w:p>
      <w:pPr>
        <w:spacing w:after="0" w:line="194"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in accordance with GCP. They must be conducted under protocols detailing the objectives of the trial, dosing procedures, subject selection and exclusion criteria and the safety and effectiveness criteria to be evaluated. Each protocol must be submitted to the FDA as part of the IND, and progress reports detailing the results of the clinical trials must be submitted at least annually. In addition, timely safety reports must be submitted to the FDA and the investigators for serious and unexpected adverse events or animal test results that suggest a significant risk to human subjects. An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 Foreign studies conducted under an IND must meet the same requirements that apply to studies being conducted in the U.S. Data from a foreign study not conducted under an IND may be submitted in support of an NDA if the study was conducted in accordance with GCP and the FDA is able to validate the data.</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29" w:lineRule="exact"/>
        <w:rPr>
          <w:sz w:val="20"/>
          <w:szCs w:val="20"/>
          <w:color w:val="auto"/>
        </w:rPr>
      </w:pPr>
    </w:p>
    <w:p>
      <w:pPr>
        <w:ind w:left="1420" w:right="120" w:hanging="331"/>
        <w:spacing w:after="0" w:line="267" w:lineRule="auto"/>
        <w:tabs>
          <w:tab w:leader="none" w:pos="1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product candidate is initially introduced into humans. Phase 1 clinical trials are typically conducted in healthy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subjects, but in some situations are conducted in patients with the target disease or condition. Phase 1 clinical trials are generally designed to evaluate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97" w:right="479" w:bottom="1440" w:gutter="0" w:footer="0" w:header="0"/>
        </w:sectPr>
      </w:pPr>
    </w:p>
    <w:bookmarkStart w:id="24" w:name="page25"/>
    <w:bookmarkEnd w:id="24"/>
    <w:p>
      <w:pPr>
        <w:ind w:left="1420"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safety, dosage tolerance, absorption, metabolism, distribution and excretion of the product candidate in humans, and, if possible, to gain early evidence of effectiveness.</w:t>
      </w:r>
    </w:p>
    <w:p>
      <w:pPr>
        <w:spacing w:after="0" w:line="65" w:lineRule="exact"/>
        <w:rPr>
          <w:sz w:val="20"/>
          <w:szCs w:val="20"/>
          <w:color w:val="auto"/>
        </w:rPr>
      </w:pPr>
    </w:p>
    <w:p>
      <w:pPr>
        <w:ind w:left="1420" w:right="400" w:hanging="331"/>
        <w:spacing w:after="0" w:line="267"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This phase involves studies in a limited patient population to identify possible adverse effects and safety risks,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preliminarily evaluate the efficacy of the product candidate for specific targeted diseases and to determine dosage tolerance and optimal dosage.</w:t>
      </w:r>
    </w:p>
    <w:p>
      <w:pPr>
        <w:spacing w:after="0" w:line="78" w:lineRule="exact"/>
        <w:rPr>
          <w:rFonts w:ascii="Times New Roman" w:cs="Times New Roman" w:eastAsia="Times New Roman" w:hAnsi="Times New Roman"/>
          <w:sz w:val="18"/>
          <w:szCs w:val="18"/>
          <w:color w:val="auto"/>
        </w:rPr>
      </w:pPr>
    </w:p>
    <w:p>
      <w:pPr>
        <w:ind w:left="1420" w:right="60" w:hanging="331"/>
        <w:spacing w:after="0" w:line="258" w:lineRule="auto"/>
        <w:tabs>
          <w:tab w:leader="none" w:pos="1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This phase involves trials undertaken to further evaluate dosage, clinical efficacy and safety in an expanded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at geographically dispersed clinical study sites. These studies are intended to establish the overall risk-benefit ratio of the product candidate and provide, if appropriate, an adequate basis for product approval and product labeling. In most cases, the FDA requires two adequate and well controlled Phase 3 clinical trials to demonstrate the efficacy of the product candidate, although a single Phase 3 clinical trial with other confirmatory evidence may be sufficient in certain instances.</w:t>
      </w:r>
    </w:p>
    <w:p>
      <w:pPr>
        <w:spacing w:after="0" w:line="18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Phase 1, Phase 2, and Phase 3 testing may not be completed successfully within any specified period, if at all. Further, success in either preclinical studies or early-stage clinical trials does not assure success in later-stage clinical trials. Sponsors of all controlled clinical trials, except for Phase 1 trials, are required to submit certain clinical trial information for inclusion in the public clinical trial registry and results data bank maintained by the National Institutes of Health, which are publicly available at http://clinicaltrials.gov.</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FDA to reach agreement on the next phase of development. Sponsors typically use the end of Phase 2 meeting to discuss their Phase 2 clinical results and present their plans for the pivotal Phase 3 clinical trial that they believe will support approval of the new drug.</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Review and Approval Processes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for a specific indication. The submission of an NDA is subject to the payment of user fees under the Prescription Drug User Fee Act, or PDUFA, as amended; a waiver of such fees may be obtained under certain limited circumstances. The FDA conducts a preliminary review of a submitted NDA within 60 days from receipt to ensure that the application is sufficiently complete for substantive review before it accepts the application for filing. The FDA may request additional information rather than accept an NDA for filing. In this event, the NDA must be resubmitted with the additional information. The resubmitted application also is subject to review before the FDA accepts it for filing. Once the submission is accepted for filing, the FDA begins an in-depth substantive review. The FDA’s PDUFA performance goals generally provide for action on an NDA within 10 months of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97" w:right="459" w:bottom="1440" w:gutter="0" w:footer="0" w:header="0"/>
        </w:sectPr>
      </w:pPr>
    </w:p>
    <w:bookmarkStart w:id="25" w:name="page26"/>
    <w:bookmarkEnd w:id="25"/>
    <w:p>
      <w:pPr>
        <w:ind w:right="10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60-day filing date. That deadline can be extended under certain circumstances, including by the FDA’s requests for additional information. The targeted action date can also be shortened to within 6 months of the 60-day filing date for products that are granted priority review designation because they are intended to treat serious or life-threatening conditions and demonstrate the potential to address unmet medical needs. The FDA reviews an NDA to determine, among other things, whether a product is safe and effective for its intended use and whether its manufacturing is cGMP-compliant to assure and preserve the product’s identity, strength, quality and purity. Before approving an NDA, the FDA will inspect the facility or facilities where the product is manufactured. In addition, the FDA often will conduct a bioresearch monitoring inspection of the clinical trial sites involved in conducting pivotal studies to ensure data integrity and compliance with applicable GCP requirements. The FDA may refer the NDA to an advisory committee for review, evaluation and recommendation as to whether the application should be approved and under what conditions. The FDA is not bound by the recommendation of an advisory committee, but it generally follows such recommendations. The approval process is lengthy and often difficult, and the FDA may refuse to approve an NDA if the applicable regulatory criteria are not satisfied or may require additional clinical or other data and information. Even if such data and information are submitted, the FDA may ultimately decide that the NDA does not satisfy the regulatory criteria for approval. Data obtained from clinical trials are not always conclusive, and the FDA may interpret data differently than we interpret the same data.</w:t>
      </w:r>
    </w:p>
    <w:p>
      <w:pPr>
        <w:spacing w:after="0" w:line="17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At the end of the review period, the FDA may issue an approval letter following satisfactory completion of all aspects of the review process, or the FDA may issue a complete response letter, or CRL, which generally outlines the deficiencies in the submission and may require additional clinical or other data or impose other conditions that must be met in order to secure final approval of the NDA. If and when deficiencies outlined in a CRL have been addressed to the FDA’s satisfaction in a resubmission of the NDA,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NDA.</w:t>
      </w:r>
    </w:p>
    <w:p>
      <w:pPr>
        <w:spacing w:after="0" w:line="189"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NDAs receive either standard or priority review. An application for a drug that treats a serious condition and, if approved, would provide a significant improvement in treatment, prevention or diagnosis of disease may qualify for priority review. Priority review for an NDA for a new molecular entity will be six months from the date that the NDA is filed. The FDA has ten months in which to complete its initial review of a standard new molecular entity NDA. The FDA does not always meet its goal dates and in certain circumstances the goal date may be extended. Priority review does not change the standard for approval, but may expedite the approval process.</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Product candidates may qualify for review and approval under the subpart H-accelerated approval pathway if the candidates are intended to treat a serious condition, provide meaningful therapeutic benefit over existing treatments, and demonstrate an effect on a surrogate endpoint that is reasonably likely to predict clinical benefit or on an intermediate clinical endpoint. 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As a condition of accelerated approval, the FDA requires that a sponsor of a drug receiving accelerated approval perform confirmatory adequate and well-controlled post-marketing clinical trials. Accelerated approval does not change the standards for approval. All promotional materials for drug candidates approved under the accelerated approval pathway are subject to prior review by the FDA. If a sponsor fails to conduct any required post-approval trial with “due diligence” FDA may withdraw the drug from the market.</w:t>
      </w:r>
    </w:p>
    <w:p>
      <w:pPr>
        <w:spacing w:after="0" w:line="19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Further, on December 29, 2022, Congress enacted the Consolidated Appropriations Act of 2023, which included the Food and Drug Omnibus Reform Act (FDORA). Under FDORA, FDA must specify the conditions for any post-approval studies by the date of the accelerated approval and gives the agency much flexibility in setting forth such conditions, which may include enrollment targets, study protocol and milestones – including the target date of study completion. FDA may also require, as appropriate, that certain post-approval studies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97" w:right="459" w:bottom="1440" w:gutter="0" w:footer="0" w:header="0"/>
        </w:sectPr>
      </w:pPr>
    </w:p>
    <w:bookmarkStart w:id="26" w:name="page27"/>
    <w:bookmarkEnd w:id="2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underway prior to accelerated approval or within a specified time from the date of approval. Accelerated approval sponsors must submit progress reports every six months on required post-approval trials.</w:t>
      </w:r>
    </w:p>
    <w:p>
      <w:pPr>
        <w:spacing w:after="0" w:line="16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An approval letter authorizes commercial marketing of the product candidate with specific prescribing information for specific indications. If a product receives regulatory approval, the approval may be further limited to specific diseases, dosages or patient populations,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which have been commercialized.</w:t>
      </w:r>
    </w:p>
    <w:p>
      <w:pPr>
        <w:spacing w:after="0" w:line="183"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The Food and Drug Administration Safety and Innovation Act, or FDASIA, which was enacted in 2012, made permanent the Pediatric Research Equity Act, or PREA, which requires a sponsor to conduct pediatric studies for most drugs and biologics, for a new active ingredient, new indication, new dosage form, new dosing regimen or new route of administration. Under PREA, original NDAs and supplements thereto must contain a pediatric assessment unless the sponsor has received a deferral or waiver. The required assessment must assess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studies for some or all of the pediatric subpopulations. A deferral may be granted for several reasons, including a finding that the drug or biologic is ready for approval for use in adults before pediatric studies are complete or that additional safety or effectiveness data needs to be collected before the pediatric studies begin. The FDA must send a non-compliance letter to any sponsor that fails to submit the required assessment, keep a deferral current or fails to submit a request for approval of a pediatric formulation.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Regulatory Exclusivities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product candidates, some of our United States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period is reduced by any time during which the applicant failed to exercise due diligence. Only one patent applicable to an approved drug is eligible for the extension, and the extension must be applied for prior to expiration of the patent and within 60 days of approval. The United States Patent and Trademark Office, in consultation with the FDA, reviews and approves the application for any patent term extension or restoration.</w:t>
      </w:r>
    </w:p>
    <w:p>
      <w:pPr>
        <w:spacing w:after="0" w:line="188"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The Hatch-Waxman Act also provides periods of regulatory exclusivity for products that would serve as a reference listed drug, or RLD, for an abbreviated new drug application, or ANDA, or application submitted under section 505(b)(2) of the FDCA, or 505(b)(2) application. If a product is a new chemical entity, or NCE—generally meaning that the active moiety has never before been approved in any drug—there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w:t>
      </w:r>
    </w:p>
    <w:p>
      <w:pPr>
        <w:spacing w:after="0" w:line="168" w:lineRule="exact"/>
        <w:rPr>
          <w:sz w:val="20"/>
          <w:szCs w:val="20"/>
          <w:color w:val="auto"/>
        </w:rPr>
      </w:pPr>
    </w:p>
    <w:p>
      <w:pPr>
        <w:ind w:right="200" w:firstLine="440"/>
        <w:spacing w:after="0" w:line="289" w:lineRule="auto"/>
        <w:rPr>
          <w:sz w:val="20"/>
          <w:szCs w:val="20"/>
          <w:color w:val="auto"/>
        </w:rPr>
      </w:pPr>
      <w:r>
        <w:rPr>
          <w:rFonts w:ascii="Times New Roman" w:cs="Times New Roman" w:eastAsia="Times New Roman" w:hAnsi="Times New Roman"/>
          <w:sz w:val="17"/>
          <w:szCs w:val="17"/>
          <w:color w:val="auto"/>
        </w:rPr>
        <w:t>A product that is not an NCE may qualify for a three-year period of exclusivity if the NDA contains new clinical data (other than bioavailability studies), derived from studies conducted by or for the sponsor, that were necessary for approval. In that instance, the exclusivity period does not preclude filing or review of an ANDA or 505(b)(2) application; rather, the FDA is precluded from granting final approval to the ANDA or 505(b)(2)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97" w:right="459" w:bottom="1440" w:gutter="0" w:footer="0" w:header="0"/>
        </w:sectPr>
      </w:pPr>
    </w:p>
    <w:bookmarkStart w:id="27" w:name="page28"/>
    <w:bookmarkEnd w:id="27"/>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application until three years after approval of the RLD. Additionally, the exclusivity applies only to the conditions of approval that required submission of the clinical data.</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Once the FDA accepts for filing an ANDA or 505(b)(2) application containing a Paragraph IV certification, the applicant must within 20 days provide notice to the RLD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 If the RLD has NCE exclusivity and the notice is given and suit filed during the fifth year of exclusivity, the regulatory stay extends until seven and a half years after the RLD approval. The FDA may approve the proposed product before the expiration of the regulatory stay if a court finds the patent invalid or not infringed or if the court shortens the period because the parties have failed to cooperate in expediting the litigation.</w:t>
      </w:r>
    </w:p>
    <w:p>
      <w:pPr>
        <w:spacing w:after="0" w:line="19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The FDASIA made permanent the Best Pharmaceuticals for Children Act, or BPCA, which provides for an additional six months of marketing exclusivity if a sponsor conducts clinical trials in children in response to a written request from the FDA, or a Written Request. If the Written Request does not include studies in neonates, the FDA is required to include its rationale for not requesting those studies. The FDA may request studies on approved or unapproved indications in separate Written Requests. The issuance of a Written Request does not require the sponsor to undertake the described studies.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 If a product that has orphan drug designation subsequently receives the first FDA approval for the disease for which it has such designation, the product is entitled to orphan product exclusivity, which means that the FDA may not approve any other applications to market the same drug for the same indication, except in very limited circumstances, for seven years. Orphan drug exclusivity, however, also could block the approval of one of our product candidates for seven years if a competitor obtains approval of the same drug as defined by the FDA or if our product candidate is determined to be contained within the competitor’s product for the same indication or disease.</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FDA also administers an orphan drug clinical research grants program, whereby researchers may apply for funding to conduct clinical trials to support the approval of drugs, biologics, medical devices, and medical foods for rare diseases and conditions. A product does not have to be designated as an orphan drug to be eligible for the grant program. An application for an orphan grant should propose one discrete clinical study to facilitate FDA approval of the product for a rare disease or condition. The study may address an unapproved new product or an unapproved new use for a product already on the market.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Programs</w:t>
      </w:r>
    </w:p>
    <w:p>
      <w:pPr>
        <w:spacing w:after="0" w:line="121"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The FDA maintains several programs to facilitate and expedite the development and review of drug applications that are intended for the treatment of a serious or life-threatening disease or condition for which there is no effective treatment and that demonstrate the potential to address unmet medical needs for such 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97" w:right="459" w:bottom="1440" w:gutter="0" w:footer="0" w:header="0"/>
        </w:sectPr>
      </w:pPr>
    </w:p>
    <w:bookmarkStart w:id="28" w:name="page29"/>
    <w:bookmarkEnd w:id="28"/>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disease or condition, including Fast Track Designation, Breakthrough Designation, Priority Review (discussed above in United States Review and Approval Processes), and the Accelerated Approval pathway (discussed above in United States Review and Approval Processes). Under the Fast Track Designation program, the sponsor of a new drug candidate may request that the FDA designate the drug candidate for a specific indication as a fast track drug concurrent with, or after, the filing of the IND for the drug candidate. The FDA must determine if the drug candidate qualifies for fast track designation within 60 days of receipt of the sponsor’s request. Under the Fast Track Designation program, the FDA may grant fast track designation for a product candidate if it is intended to treat a serious or life-threatening condition and nonclinical or clinical data demonstrate the potential to address an unmet medical need. Features of Fast Track Designation include more frequent interactions with the review team, and the possibility of rolling review.</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Under the Breakthrough Designation Program, FDA may grant a drug Breakthrough Therapy Designation if it is intended to treat a serious condition and preliminary clinical evidence indicates that the drug may demonstrate substantial improvement on a clinically significant endpoint over available therapies. Features of Breakthrough Therapy Designation include intensive guidance on an efficient drug development program, an organizational commitment by the agency involving senior managers in a proactive, cross-disciplinary review of the drug application, and the possibility of rolling review.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180" w:firstLine="440"/>
        <w:spacing w:after="0" w:line="253" w:lineRule="auto"/>
        <w:rPr>
          <w:sz w:val="20"/>
          <w:szCs w:val="20"/>
          <w:color w:val="auto"/>
        </w:rPr>
      </w:pPr>
      <w:r>
        <w:rPr>
          <w:rFonts w:ascii="Times New Roman" w:cs="Times New Roman" w:eastAsia="Times New Roman" w:hAnsi="Times New Roman"/>
          <w:sz w:val="18"/>
          <w:szCs w:val="18"/>
          <w:color w:val="auto"/>
        </w:rPr>
        <w:t>Once an approval is granted, products are subject to continuing regulation by the FDA. The FDA may withdraw the approval if, among other things, compliance with regulatory standards is not maintained or if safety or efficacy problems occur after the product reaches the market. Later discovery of previously unknown problems with a product may result in restrictions on product marketing or even withdrawal of approval for the product application. If new safety issues are identified following approval, the FDA may require the NDA sponsor to take certain measures, such as revising the approved labeling to reflect the new safety information, conducting post-market studies or clinical trials to assess the new safety information, and/or implementing or changing a risk evaluation and mitigation strategy, or REMS, program to mitigate newly-identified risks. After approval, some types of changes to the approved product, such as adding new indications,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and regulations. We rely, and expect to continue to rely, on third parties for the production of clinical and commercial quantities of our product candidates. Future inspections by the FDA and other regulatory agencies may identify compliance issues at the facilities of our contract manufacturers that may disrupt production or distribution, or require substantial resources to correct.</w:t>
      </w:r>
    </w:p>
    <w:p>
      <w:pPr>
        <w:spacing w:after="0" w:line="190" w:lineRule="exact"/>
        <w:rPr>
          <w:sz w:val="20"/>
          <w:szCs w:val="20"/>
          <w:color w:val="auto"/>
        </w:rPr>
      </w:pPr>
    </w:p>
    <w:p>
      <w:pPr>
        <w:ind w:right="180" w:firstLine="440"/>
        <w:spacing w:after="0" w:line="277" w:lineRule="auto"/>
        <w:rPr>
          <w:sz w:val="20"/>
          <w:szCs w:val="20"/>
          <w:color w:val="auto"/>
        </w:rPr>
      </w:pPr>
      <w:r>
        <w:rPr>
          <w:rFonts w:ascii="Times New Roman" w:cs="Times New Roman" w:eastAsia="Times New Roman" w:hAnsi="Times New Roman"/>
          <w:sz w:val="17"/>
          <w:szCs w:val="17"/>
          <w:color w:val="auto"/>
        </w:rPr>
        <w:t>Any drug products manufactured or distributed by us pursuant to FDA approvals are subject to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w:t>
      </w:r>
    </w:p>
    <w:p>
      <w:pPr>
        <w:spacing w:after="0" w:line="168"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and guidance are often revised or interpreted by the agency in ways that may significantly affect our business and our products. It is impossible to predict whether further legislative changes will be enacted, or FDA regulations, guidance or interpretations changed or what the impact of such changes, if any, may be.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97"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Foreign Regulation</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its products. Whether or not we obtain FDA approval for a product, we must obtain approval by the comparable regulatory authorities of foreign countries or economic areas, such as the European Union, before we may commence clinical trials or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83"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Under EU regulatory systems, a company may submit marketing authorization applications either under a centralized or decentralized procedure. The centralized procedure, which is compulsory for medicinal products produced by biotechnology or those medicinal products containing new active substances for specific indications such as the treatment of AIDS, cancer, neurodegenerative disorders, diabetes, viral diseases and designated orphan medicines, and optional for other medicines which are highly innovative. Under the centralized procedure, a marketing application is submitted to the EMA where it will be evaluated by the Committee for Medicinal Products for Human Use and a favorable opinion typically results in the grant by the European Commission of a single marketing authorization that is valid for all EU member states within 67 days of receipt of the opinion. The initial marketing authorization is valid for five years, but once renewed is usually valid for an unlimited period. The decentralized procedure provides for approval by one or more “concerned” member states based on an assessment of an application performed by one member state, known as the “reference” member state. Under the decentralized approval procedure, an applicant submits an application, or dossier, and related materials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does not recognize the marketing authorization, the disputed points are eventually referred to the European Commission, whose decision is binding on all member states. In addition to the centralized procedure and the decentralized procedure, it may also be possible to obtain a marketing authorization for one single EU Member State through a national procedure. Under a mutual recognition procedure, a national marketing authorization granted by one EU Member State may be recognized by one or more other EU Member States resulting in harmonized marketing authorizations in those EU Member States.</w:t>
      </w:r>
    </w:p>
    <w:p>
      <w:pPr>
        <w:spacing w:after="0" w:line="19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When conducting clinical trials in the EU, we must adhere to the provisions of the EU Clinical Trials Directive and the laws and regulations of the EU Member States implementing them. These provisions require, among other things, that the prior authorization of an Ethics Committee and the submission and approval of a clinical trial authorization application be obtained in each Member State before commencing a clinical trial in that Member State. On January 31, 2022, the EU Clinical Trials Regulation (EU) No 536/2014 (Clinical Trials Regulation) came into effect. The Clinical Trials Regulation applies to clinical trials in all countries of the European Economic Area (EEA, i.e., the EU Member States plus Iceland, Norway and Liechtenstein). The Clinical Trials Regulation allows investigators to start and conduct a clinical trial in accordance with the Clinical Trials Directive during a transitional period of one year after the application date (i.e., January 31, 2022). Clinical trials authorized under the Clinical Trials Directive before January 31, 2023 can continue to be conducted under the Clinical Trials Directive until January 31, 2025. An application to transition ongoing trials from the current Clinical Trials Directive to the new Clinical Trials Regulation will need to be submitted and authorized in time before the end of the transitional period. The EU Clinical Trials Regulation introduces a complete overhaul of the existing regulation of clinical trials for medicinal products in the EU, including a new coordinated procedure for authorization of clinical trials that is similar to the mutual recognition procedure for marketing authorization of medicinal products, and increased obligations on sponsors to publish clinical trial results.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93" w:right="479" w:bottom="1440" w:gutter="0" w:footer="0" w:header="0"/>
        </w:sectPr>
      </w:pPr>
    </w:p>
    <w:bookmarkStart w:id="30" w:name="page31"/>
    <w:bookmarkEnd w:id="30"/>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As in the United States, it may be possible in foreign countries to obtain a period of market and/or data exclusivity that would have the effect of postponing the entry into the marketplace of a competitor’s generic product. For example, in the EU, if any of our products receive marketing approval in the European Economic Area, or EEA, which is comprised of the 27 member states of the EU plus Norway, Iceland and Liechtenstein, we expect that we will benefit from eight years of data exclusivity and an additional two years of marketing exclusivity. An additional one-year extension of marketing exclusivity is possible if during the data exclusivity period we obtain an authorization for one or more new therapeutic indications that is deemed to bring a significant clinical benefit compared to existing therapies. The data exclusivity period begins on the date of the product’s first marketing authorization in the EU and prevents biosimilars from relying on the holder of the marketing authorization for the reference biological medicine’s pharmacological, toxicological and clinical data for a period of eight years. After eight years, a biosimilar product application may be submitted and the sponsoring companies may rely on the marketing authorization holder’s data. However, a biosimilar medicine cannot launch until 2 years later (or a total of ten years after the first marketing authorization in the EU of the innovator product), or 3 years later (or a total of eleven years after the first marketing authorization in the EU of the innovator product) if the marketing authorization holder obtains marketing authorization for a new indication with significant clinical benefit within the eight year data exclusivity period.</w:t>
      </w:r>
    </w:p>
    <w:p>
      <w:pPr>
        <w:spacing w:after="0" w:line="19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As in the United States, a sponsor may apply for designation of a product as an orphan drug for the treatment of a specific indication in the EU before the application for marketing authorization is made. Orphan drugs in Europe enjoy economic and marketing benefits, including up to ten years of market exclusivity for the approved indication unless another applicant can show that its product is safer, more effective or otherwise clinically superior to the orphan-designated product.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w:t>
      </w:r>
    </w:p>
    <w:p>
      <w:pPr>
        <w:spacing w:after="0" w:line="121" w:lineRule="exact"/>
        <w:rPr>
          <w:sz w:val="20"/>
          <w:szCs w:val="20"/>
          <w:color w:val="auto"/>
        </w:rPr>
      </w:pPr>
    </w:p>
    <w:p>
      <w:pPr>
        <w:ind w:right="80" w:firstLine="440"/>
        <w:spacing w:after="0" w:line="272" w:lineRule="auto"/>
        <w:rPr>
          <w:sz w:val="20"/>
          <w:szCs w:val="20"/>
          <w:color w:val="auto"/>
        </w:rPr>
      </w:pPr>
      <w:r>
        <w:rPr>
          <w:rFonts w:ascii="Times New Roman" w:cs="Times New Roman" w:eastAsia="Times New Roman" w:hAnsi="Times New Roman"/>
          <w:sz w:val="17"/>
          <w:szCs w:val="17"/>
          <w:color w:val="auto"/>
        </w:rPr>
        <w:t>Significant uncertainty exists regarding the coverage and reimbursement status of products approved by the FDA and other government authorities. In the United States, sales of any products for which we may receive regulatory approval for commercial sale will depend in significant part on the availability and adequacy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which might not include all of the FDA-approved products for a particular indication. 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examining the medical necessity of, and assessing the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drug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U.S. government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drugs. For example, the Patient Protection and Affordable Care Act, as amended the ACA, contains provisions that may reduce the profitability of drug products, including, for example, increased rebates for drugs reimbursed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97" w:right="459" w:bottom="1440" w:gutter="0" w:footer="0" w:header="0"/>
        </w:sectPr>
      </w:pPr>
    </w:p>
    <w:bookmarkStart w:id="31" w:name="page32"/>
    <w:bookmarkEnd w:id="31"/>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by Medicaid programs, extension of Medicaid rebates to Medicaid managed care plans, mandatory discounts for certain Medicare Part D beneficiaries and annual fees based on pharmaceutical companies’ share of sales for branded prescription drugs to federal health care programs. Adoption of government controls and measures, and tightening of restrictive policies in jurisdictions with existing controls and measures, could limit payments for pharmaceuticals.</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or IRA, which, among other things, establishes Medicare Part B and Part D inflation rebate schemes. Failure to timely pay a Part B or Part D inflation rebate is subject to a civil monetary penalty. The IRA also creates a drug price negotiation program under which the prices for Medicare units of certain high Medicare spend drugs and biologics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The IRA further makes changes to the Medicare Part D benefit, including a limit on annual out-of-pocket costs, and a change in manufacturer liability on account of a new discount program which could negatively affect the profitability of our product candidates. Failure to pay a discount under this new program will be subject to a civil monetary penalty. Congress continues to examine various policy proposals that may result in pressure on the prices of prescription drugs in the government health benefit programs. The IRA or other legislative changes could impact the market conditions for our product candidate. The marketability of any products for which we receive regulatory approval for commercial sale may suffer if the government and third-party payors fail to provide adequate coverage and reimbursement. In addition, an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97"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United States and generally tend to be significantly lower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As of February 20, 2023, we had 92 full-time employees, including 66 engaged in research, development, and regulatory activities, and 26 in executive, commercial, general and administrative functions, and multiple part-time consultants. We believe that our future success will be shaped by our continued ability to attract and retain highly skilled employees. We provide our employees with competitive salaries and bonuses, opportunities for equity ownership in the Company, and an employment package that is designed to promote well-being across all aspects of their lives, including health care, disability, retirement investment options and paid time off.</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September 2011. Our principal executive offices are located at 200 Barr Harbor Drive, Suite 200, West Conshohocken, PA 19428. Our Internet website address is www.madrigalpharma.com. No portion of our website is incorporated by reference into this Annual Report on Form 10-K.</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97" w:right="479" w:bottom="1440" w:gutter="0" w:footer="0" w:header="0"/>
        </w:sectPr>
      </w:pPr>
    </w:p>
    <w:bookmarkStart w:id="32" w:name="page33"/>
    <w:bookmarkEnd w:id="32"/>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We advise you to read this Annual Report on Form 10-K in conjunction with other reports and documents that we file from time to time with the SEC. In particular, please read our definitive proxy statement, which will be filed with the SEC in connection with our 2023 annual meeting of stockholders, our quarterly reports on Form 10-Q and any current reports on Form 8-K that we may file from time to time. You may obtain copies of these reports after the date of this annual report directly from us or from the SEC at its website at www.sec.gov. We make our periodic and current reports available on our internet website, free of charge, as soon as reasonably practicable after such material is electronically filed with, or furnished to, the SEC.</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97" w:right="499" w:bottom="1440" w:gutter="0" w:footer="0" w:header="0"/>
        </w:sectPr>
      </w:pPr>
    </w:p>
    <w:bookmarkStart w:id="33" w:name="page34"/>
    <w:bookmarkEnd w:id="3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risks described below, together with all of the other information included in or incorporated by reference into this report, before making an investment decision. The risks and uncertainties described below are not the only ones we face. Additional risks and uncertainties not presently known to us or that we do not currently believe are important to an investor may also harm our business. If any of the events, contingencies, circumstances or conditions described in the following risks actually occur, our business, financial condition or our results of operations could be seriously harmed. If that happens, the trading price of our common stock could decline and you may lose part or all of the value of any of our shares held by you.</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we have incurred significant operating losses since inception and we expect to incur significant operating losses for the foreseeable future. We may never become profitable or, if profitability is achieved, we may be unable to sustain profitability.</w:t>
      </w:r>
    </w:p>
    <w:p>
      <w:pPr>
        <w:spacing w:after="0" w:line="5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incur significant losses for the foreseeable future as we continue our clinical trial and development programs for resmetirom and other future product candidates. As of December 31, 2022, we had an accumulated deficit of approximately $962.7 million. Losses have principally resulted from costs incurred in our preclinical and clinical trials, research and development programs and from our general and administrative expenses. As of December 31, 2022, we had cash, cash equivalents and marketable securities of approximately $358.8 million. In the future, we intend to continue to conduct research and development, clinical testing, regulatory compliance and, if resmetirom or other future product candidates are approved, sales and marketing activities that, together with anticipated general and administrative expenses, will likely result in us incurring further significant losses for the foreseeable future.</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currently generate no revenue from product sales, and we may never be able to commercialize resmetirom or other future product candidates. We do not currently have the required approvals to market resmetirom or any other future product candidates, and we may never receive them. We may not be profitable even if we or any of our future development partners succeed in commercializing any of our product candidates. Because of the numerous risks and uncertainties associated with developing and commercializing our product candidates, we are unable to predict the extent of any future losses or when we will become profitable, if at all.</w:t>
      </w:r>
    </w:p>
    <w:p>
      <w:pPr>
        <w:spacing w:after="0" w:line="28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success of resmetirom, which is still in clinical development and has not completed a pivotal trial. If we are unable to obtain regulatory approval for and successfully commercialize resmetirom, or we experience significant delays in doing so, our business will be materially harmed.</w:t>
      </w:r>
    </w:p>
    <w:p>
      <w:pPr>
        <w:spacing w:after="0" w:line="67" w:lineRule="exact"/>
        <w:rPr>
          <w:sz w:val="20"/>
          <w:szCs w:val="20"/>
          <w:color w:val="auto"/>
        </w:rPr>
      </w:pPr>
    </w:p>
    <w:p>
      <w:pPr>
        <w:ind w:right="100" w:firstLine="440"/>
        <w:spacing w:after="0" w:line="277" w:lineRule="auto"/>
        <w:rPr>
          <w:sz w:val="20"/>
          <w:szCs w:val="20"/>
          <w:color w:val="auto"/>
        </w:rPr>
      </w:pPr>
      <w:r>
        <w:rPr>
          <w:rFonts w:ascii="Times New Roman" w:cs="Times New Roman" w:eastAsia="Times New Roman" w:hAnsi="Times New Roman"/>
          <w:sz w:val="17"/>
          <w:szCs w:val="17"/>
          <w:color w:val="auto"/>
        </w:rPr>
        <w:t>The primary focus of our product development since mid- 2018 has been resmetirom, a liver-directed selective thyroid hormone receptor beta agonist for potential use in non-alcoholic steatohepatitis, or NASH. Successful continued development and ultimate regulatory approval of resmetirom for NASH is critical to the future success of our business. We have invested, and will continue to invest, a significant portion of our time and financial resources in the clinical development of resmetirom. We will need to raise sufficient funds to successfully complete our clinical development program for resmetirom in NASH. The future regulatory and commercial success of resmetirom is subject to a number of risks, including the following:</w:t>
      </w:r>
    </w:p>
    <w:p>
      <w:pPr>
        <w:spacing w:after="0" w:line="73" w:lineRule="exact"/>
        <w:rPr>
          <w:sz w:val="20"/>
          <w:szCs w:val="20"/>
          <w:color w:val="auto"/>
        </w:rPr>
      </w:pPr>
    </w:p>
    <w:p>
      <w:pPr>
        <w:ind w:left="1420" w:right="100" w:hanging="331"/>
        <w:spacing w:after="0" w:line="282" w:lineRule="auto"/>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sufficient financial and other resources to complete the necessary clinical trials for resmetirom, including, but not limited to, our planned registrational clinical trials to obtain drug approval;</w:t>
      </w:r>
    </w:p>
    <w:p>
      <w:pPr>
        <w:spacing w:after="0" w:line="67" w:lineRule="exact"/>
        <w:rPr>
          <w:rFonts w:ascii="Times New Roman" w:cs="Times New Roman" w:eastAsia="Times New Roman" w:hAnsi="Times New Roman"/>
          <w:sz w:val="18"/>
          <w:szCs w:val="18"/>
          <w:color w:val="auto"/>
        </w:rPr>
      </w:pPr>
    </w:p>
    <w:p>
      <w:pPr>
        <w:ind w:left="1420" w:right="260" w:hanging="331"/>
        <w:spacing w:after="0" w:line="261" w:lineRule="auto"/>
        <w:tabs>
          <w:tab w:leader="none" w:pos="1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mechanism of action of resmetirom is complex and we do not know the degree to which it will translate into a therapeutic benefit, if any, in NASH or any other indication, and we do not know the degree to which the complex mechanism of action may contribute to long term safety issues or adverse events, if any, when resmetirom is taken for prolonged periods such as in the treatment of NASH or any other indication;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440" w:top="293" w:right="519" w:bottom="1440" w:gutter="0" w:footer="0" w:header="0"/>
        </w:sectPr>
      </w:pPr>
    </w:p>
    <w:bookmarkStart w:id="34" w:name="page35"/>
    <w:bookmarkEnd w:id="34"/>
    <w:p>
      <w:pPr>
        <w:ind w:left="1420" w:hanging="331"/>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delay or inability to reach agreement with the FDA or comparable foreign regulatory authorities on acceptable clinical trial design;</w:t>
      </w:r>
    </w:p>
    <w:p>
      <w:pPr>
        <w:spacing w:after="0" w:line="130"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ethics committees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1420" w:right="420" w:hanging="331"/>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adequate evidence from clinical trials of efficacy and safety for resmetirom in NASH or any other indication;</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know the degree to which resmetirom will be accepted as a therapy by physicians, patients and payors, even if approved;</w:t>
      </w:r>
    </w:p>
    <w:p>
      <w:pPr>
        <w:spacing w:after="0" w:line="130" w:lineRule="exact"/>
        <w:rPr>
          <w:rFonts w:ascii="Times New Roman" w:cs="Times New Roman" w:eastAsia="Times New Roman" w:hAnsi="Times New Roman"/>
          <w:sz w:val="18"/>
          <w:szCs w:val="18"/>
          <w:color w:val="auto"/>
        </w:rPr>
      </w:pPr>
    </w:p>
    <w:p>
      <w:pPr>
        <w:ind w:left="1420" w:right="240" w:hanging="331"/>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clinical programs for resmetirom, we may experience variability in patients, adjustments to clinical trial procedures and the need for additional clinical trial sites, which could delay our clinical trial progress;</w:t>
      </w:r>
    </w:p>
    <w:p>
      <w:pPr>
        <w:spacing w:after="0" w:line="67" w:lineRule="exact"/>
        <w:rPr>
          <w:rFonts w:ascii="Times New Roman" w:cs="Times New Roman" w:eastAsia="Times New Roman" w:hAnsi="Times New Roman"/>
          <w:sz w:val="18"/>
          <w:szCs w:val="18"/>
          <w:color w:val="auto"/>
        </w:rPr>
      </w:pPr>
    </w:p>
    <w:p>
      <w:pPr>
        <w:ind w:left="1420" w:right="480" w:hanging="331"/>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or comparable foreign regulatory bodies for marketing approval;</w:t>
      </w:r>
    </w:p>
    <w:p>
      <w:pPr>
        <w:spacing w:after="0" w:line="67" w:lineRule="exact"/>
        <w:rPr>
          <w:rFonts w:ascii="Times New Roman" w:cs="Times New Roman" w:eastAsia="Times New Roman" w:hAnsi="Times New Roman"/>
          <w:sz w:val="18"/>
          <w:szCs w:val="18"/>
          <w:color w:val="auto"/>
        </w:rPr>
      </w:pPr>
    </w:p>
    <w:p>
      <w:pPr>
        <w:ind w:left="1420" w:right="100" w:hanging="331"/>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in our clinical trials may die or suffer other adverse effects for reasons that may or may not be related to resmetirom, which could delay or prevent further clinical development;</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standards implemented by clinical or regulatory agencies may change at any time;</w:t>
      </w:r>
    </w:p>
    <w:p>
      <w:pPr>
        <w:spacing w:after="0" w:line="130" w:lineRule="exact"/>
        <w:rPr>
          <w:rFonts w:ascii="Times New Roman" w:cs="Times New Roman" w:eastAsia="Times New Roman" w:hAnsi="Times New Roman"/>
          <w:sz w:val="18"/>
          <w:szCs w:val="18"/>
          <w:color w:val="auto"/>
        </w:rPr>
      </w:pPr>
    </w:p>
    <w:p>
      <w:pPr>
        <w:ind w:left="1420" w:right="220" w:hanging="331"/>
        <w:spacing w:after="0" w:line="266"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what efficacy endpoints clinical or regulatory agencies may require in a Phase 3 clinical trial of NASH or for approval of our product candidates; we also cannot be certain if we will be able to gain Subpart H approval of any of our product candidates based on surrogate endpoints;</w:t>
      </w:r>
    </w:p>
    <w:p>
      <w:pPr>
        <w:spacing w:after="0" w:line="81" w:lineRule="exact"/>
        <w:rPr>
          <w:rFonts w:ascii="Times New Roman" w:cs="Times New Roman" w:eastAsia="Times New Roman" w:hAnsi="Times New Roman"/>
          <w:sz w:val="18"/>
          <w:szCs w:val="18"/>
          <w:color w:val="auto"/>
        </w:rPr>
      </w:pPr>
    </w:p>
    <w:p>
      <w:pPr>
        <w:ind w:left="1420" w:right="80" w:hanging="331"/>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clinical or regulatory agencies may require efficacy and safety endpoints for Phase 3 clinical trials that may not be favorable to us and different from the results we have observed to date in our current trials;</w:t>
      </w:r>
    </w:p>
    <w:p>
      <w:pPr>
        <w:spacing w:after="0" w:line="67" w:lineRule="exact"/>
        <w:rPr>
          <w:rFonts w:ascii="Times New Roman" w:cs="Times New Roman" w:eastAsia="Times New Roman" w:hAnsi="Times New Roman"/>
          <w:sz w:val="18"/>
          <w:szCs w:val="18"/>
          <w:color w:val="auto"/>
        </w:rPr>
      </w:pPr>
    </w:p>
    <w:p>
      <w:pPr>
        <w:ind w:left="1420" w:right="240" w:hanging="331"/>
        <w:spacing w:after="0" w:line="266"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differences in the design of our ongoing and planned Phase 3 clinical trials of the treatment of NASH, including the use of a new tablet formulation of resmetirom and/or the inclusion of patients with more advanced NASH, could cause the results of our Phase 3 trials to be less favorable than the results we observed in our Phase 2 trials in NASH;</w:t>
      </w:r>
    </w:p>
    <w:p>
      <w:pPr>
        <w:spacing w:after="0" w:line="81" w:lineRule="exact"/>
        <w:rPr>
          <w:rFonts w:ascii="Times New Roman" w:cs="Times New Roman" w:eastAsia="Times New Roman" w:hAnsi="Times New Roman"/>
          <w:sz w:val="18"/>
          <w:szCs w:val="18"/>
          <w:color w:val="auto"/>
        </w:rPr>
      </w:pPr>
    </w:p>
    <w:p>
      <w:pPr>
        <w:ind w:left="1420" w:right="20" w:hanging="331"/>
        <w:spacing w:after="0" w:line="266"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obtain Subpart H approval of resmetirom based on a surrogate endpoint, consistent with our ongoing Phase 3 trial, we will be required to conduct a post-approval clinical outcomes trial under conditions set by FDA to confirm the clinical benefit of the product candidate and if the post-approval trial is not successful we may not be able to continue marketing the product;</w:t>
      </w:r>
    </w:p>
    <w:p>
      <w:pPr>
        <w:spacing w:after="0" w:line="81" w:lineRule="exact"/>
        <w:rPr>
          <w:rFonts w:ascii="Times New Roman" w:cs="Times New Roman" w:eastAsia="Times New Roman" w:hAnsi="Times New Roman"/>
          <w:sz w:val="18"/>
          <w:szCs w:val="18"/>
          <w:color w:val="auto"/>
        </w:rPr>
      </w:pPr>
    </w:p>
    <w:p>
      <w:pPr>
        <w:ind w:left="1420" w:right="360" w:hanging="331"/>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of the number and type of clinical trials and non-clinical studies that FDA or other regulatory agencies will require in order to approve resmetirom for NASH;</w:t>
      </w:r>
    </w:p>
    <w:p>
      <w:pPr>
        <w:spacing w:after="0" w:line="67" w:lineRule="exact"/>
        <w:rPr>
          <w:rFonts w:ascii="Times New Roman" w:cs="Times New Roman" w:eastAsia="Times New Roman" w:hAnsi="Times New Roman"/>
          <w:sz w:val="18"/>
          <w:szCs w:val="18"/>
          <w:color w:val="auto"/>
        </w:rPr>
      </w:pPr>
    </w:p>
    <w:p>
      <w:pPr>
        <w:ind w:left="1420" w:right="180" w:hanging="331"/>
        <w:spacing w:after="0" w:line="282" w:lineRule="auto"/>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for NASH, resmetirom will likely compete with the off-label use of currently marketed products and other therapies in development that may reach approval for NASH prior to resmetirom; and</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maintain or enforce our patents and other intellectual property rights.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could also encounter delays if a clinical trial is placed on clinical hold, suspended or terminated by us, the IRBs of the institutions in which such trials are being conducted, or the FDA, the competent authorities and/or ethics committees of the EU Member States or other regulatory authorities, if a clinical trial is recommended for suspension or termination by the Data Safety Monitoring Board, or DSMB, for such trial, or on account of changes to federal, state, or local laws. A suspension or termination may be imposed due to a number of factors, including failure to conduct the clinical trial in accordance with regulatory requirements or our clinical protocols,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97" w:right="459" w:bottom="1440" w:gutter="0" w:footer="0" w:header="0"/>
        </w:sectPr>
      </w:pPr>
    </w:p>
    <w:bookmarkStart w:id="35" w:name="page36"/>
    <w:bookmarkEnd w:id="35"/>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inspection of the clinical trial operations or trial site by the FDA, EMA, competent authorities and/or ethics committees of the EU Member States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also ultimately lead to the denial of regulatory approval of our product candidates. Further, the FDA, EMA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could also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8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Of the large number of drugs in development in the pharmaceutical industry, only a small percentage results in the submission of a new drug application, or NDA, to the FDA and even fewer are approved for commercialization. Furthermore, even if we do receive regulatory approval to market resmetirom, any such approval may be subject to limitations on the indicated uses or patient populations for which we may market the products. Accordingly, even if we are able to obtain the requisite financing to continue to fund our development programs, we may be unable to successfully develop or commercialize resmetirom. If we or any of our future development partners are unable to develop, or obtain regulatory approval for, or, if approved, successfully commercialize resmetirom, we may not be able to generate sufficient revenue to continue our business.</w:t>
      </w:r>
    </w:p>
    <w:p>
      <w:pPr>
        <w:spacing w:after="0" w:line="291"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very expensive, time-consuming and difficult to design and implement and involve uncertain outcomes. Furthermore, the results of preclinical studies and early clinical trials are not always predictive of future results. Any product candidate that we advance into clinical trials, including resmetirom, may not have favorable results in later clinical trials or receive regulatory approval.</w:t>
      </w:r>
    </w:p>
    <w:p>
      <w:pPr>
        <w:spacing w:after="0" w:line="6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Drug development has inherent risk. We will be required to demonstrate through adequate and well-controlled clinical trials that our product candidates are safe and effective, with a favorable benefit-risk profile, for use in our target indications before we can seek regulatory approvals for commercial sale. Clinical studies are expensive, difficult to design and implement, can take many years to complete and are uncertain as to outcome. Delay or failure can occur at any stage of development, including after commencement of any of our clinical trials. In addition, success in early clinical trials does not mean that later clinical trials will be successful, because later-stage clinical trials may be conducted in broader patient populations and involve different study designs. For instance, our Phase 1 results and our Phase 2 primary endpoint results in NASH may not be predictive of any future results in any Phase 3 clinical trial in NASH. Furthermore, our ongoing and future trials will need to demonstrate sufficient safety and efficacy in large patient populations for approval by regulatory authorities. Companies frequently suffer significant setbacks in advanced clinical trials, even after earlier clinical trials have shown promising results,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In addition, only a small percentage of drugs under development result in the submission of an NDA to the FDA and even fewer are approved for commercialization.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97" w:right="459" w:bottom="1440" w:gutter="0" w:footer="0" w:header="0"/>
        </w:sectPr>
      </w:pPr>
    </w:p>
    <w:bookmarkStart w:id="36" w:name="page37"/>
    <w:bookmarkEnd w:id="3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We cannot be certain that any of our ongoing or future clinical trials will be successful, and any safety concerns observed in any one of our clinical trials in our targeted indications could limit the prospects for regulatory approval of our product candidates in those and other indications.</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resmetirom has not yet received regulatory approval for any indication, it is difficult to predict the time and cost of development and our ability to successfully complete clinical development and obtain the necessary regulatory approvals for commercialization.</w:t>
      </w:r>
    </w:p>
    <w:p>
      <w:pPr>
        <w:spacing w:after="0" w:line="51"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Resmetirom has neither received Subpart H or full regulatory approval for the treatment of NASH or any other indication, and unexpected problems may arise that could cause us to delay, suspend or terminate our development efforts in any or all indications. Even if resmetirom receives Subpart H approval for the treatment of NASH or any other indication, we will be required to conduct post-approval confirmatory trials under conditions specified by FDA. Failure to complete the post-approval trial may jeopardize our ability to market resmetirom.</w:t>
      </w:r>
    </w:p>
    <w:p>
      <w:pPr>
        <w:spacing w:after="0" w:line="180"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Further, the long-term safety consequences of a liver-directed thyroid hormone receptor beta agonist are not known. Regulatory approval of new product candidates such as resmetirom can be more expensive and take longer than approval for candidates for the treatment of more well-understood diseases with previously approved products.</w:t>
      </w:r>
    </w:p>
    <w:p>
      <w:pPr>
        <w:spacing w:after="0" w:line="28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or regulatory approval processes for our product candidates are prolonged, delayed or suspended, we may be unable to commercialize our product candidates on a timely basis, which would require us to incur additional costs and delay our receipt of any revenue from potential product sales.</w:t>
      </w:r>
    </w:p>
    <w:p>
      <w:pPr>
        <w:spacing w:after="0" w:line="6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We cannot predict whether we will encounter problems with any of our completed, ongoing or planned clinical trials that will cause us or any regulatory authority to delay, suspend, or terminate those clinical trials or delay the analysis of data derived from them. A number of events, including but are not limited to any of the following, could delay or impede completely the completion of our ongoing and planned clinical trials and negatively affect our ability to obtain regulatory approval for, and to market and sell, a particular product candidate:</w:t>
      </w:r>
    </w:p>
    <w:p>
      <w:pPr>
        <w:spacing w:after="0" w:line="85" w:lineRule="exact"/>
        <w:rPr>
          <w:sz w:val="20"/>
          <w:szCs w:val="20"/>
          <w:color w:val="auto"/>
        </w:rPr>
      </w:pPr>
    </w:p>
    <w:p>
      <w:pPr>
        <w:ind w:left="1420" w:hanging="331"/>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on us by the FDA or other regulatory authorities regarding the scope or design of our clinical trials;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of our product candidates or other materials necessary to conduct and complete our clinical trials;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enrollment and retention rate of subjects in our clinical trials;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or recruiting sufficient study sites or investigators for clinical trials;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related to the product candidate being tested.</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Commercialization of our product candidates may be delayed by the imposition of additional conditions on our clinical trials by the FDA or any other applicable foreign regulatory authority or the requirement of additional supportive studies by the FDA or such foreign regulatory authority.</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We do not know whether our ongoing clinical trials will need to be restructured, will enroll an adequate number of patients on time, or will be completed on schedule, if at all, or whether future clinical trials will begin as planned or have similar future challenges. Delays in the initiation, enrollment or completion of our clinical trials will result in increased development costs for our product candidates, and our financial resources may be insufficient to fund any incremental costs. In addition, if our clinical trials are delayed, our competitors may be able to bring products to market before we do and the commercial viability of our product candidates could be limited.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97" w:right="459" w:bottom="1440" w:gutter="0" w:footer="0" w:header="0"/>
        </w:sectPr>
      </w:pPr>
    </w:p>
    <w:bookmarkStart w:id="37" w:name="page38"/>
    <w:bookmarkEnd w:id="37"/>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If we inadvertently fail to comply with foreign regulatory requirements governing human clinical trials and marketing approval for drugs, we could be prevented from selling our drug candidates in foreign markets, which may adversely affect our operating results and financial condition.</w:t>
      </w:r>
    </w:p>
    <w:p>
      <w:pPr>
        <w:spacing w:after="0" w:line="5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requirements governing the conduct of clinical trials, product licensing, pricing, and reimbursement for marketing our drug candidates outside the United States vary greatly from country to country and may require additional testing. We expect that our future clinical development of our drug candidates will involve a number of clinical trials in foreign jurisdictions, particularly in Europe. We have no experience in obtaining foreign regulatory approvals. The time required to obtain approvals outside the United States may differ from that required to obtain FDA approval. We may not obtain foreign regulatory approvals on a timely basis, if at all. Approval by the FDA does not guarantee approval by regulatory authorities in other countries, and approval by one foreign regulatory authority does not ensure approval by regulatory authorities in other foreign countries or by the FDA. Failure to comply with these regulatory requirements or obtain required approvals could impair our ability to develop foreign markets for our drug candidates and may have a material adverse effect on our results of operations and financial condition.</w:t>
      </w:r>
    </w:p>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for our product candidates. If we encounter difficulties enrolling patients in our clinical trials, our clinical development activities could be delayed or otherwise adversely affected.</w:t>
      </w:r>
    </w:p>
    <w:p>
      <w:pPr>
        <w:spacing w:after="0" w:line="51"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Identifying and qualifying patients to participate in clinical trials of our product candidates is critical to our success. We may not be able to initiate, continue, or complete clinical trials required by the FDA or foreign regulatory agencies for resmetirom if we are unable to locate, enroll and maintain a sufficient number of eligible patients to participate. Our Phase 3 clinical trials have significantly more patients than were enrolled in our Phase 2 trials. Although we have satisfied Subpart H patient enrollment for MAESTRO-NASH, clinical enrollment is not complete as of December 31, 2022 and significant additional enrollment will be necessary and will be ongoing for some time. The timing to conduct and complete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and disadvantages of the product candidate being studied in relation to other available therapies, including any new drugs that may be approved for the indications we are investigating. For instance, we are aware that other companies conducting clinical trials in NASH patients have had delays in recruiting patients for their trials. In the MAESTRO-NASH Phase 3 trial, patients’ willingness to undergo a liver biopsy involves risk factors. In addition, potential patients for resmetirom may not be adequately diagnosed or identified with the diseases which we are targeting or may not meet the entry criteria for our studies.</w:t>
      </w:r>
    </w:p>
    <w:p>
      <w:pPr>
        <w:spacing w:after="0" w:line="18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the FDA typically requires sponsors of lipid-lowering product candidates to conduct drug-drug interaction studies with statins because statins may have increased safety risks when administered together with other drug therapies that affect their pharmacokinetic profile. We have completed two Phase 1 clinical drug interaction studies of resmetirom and statins in 39 normal healthy volunteers, which showed resmetirom to have a favorable safety profile and to be well-tolerated. We have completed a Phase 2 clinical trial in NASH including patients taking low dose statins. We have also completed a Phase 2 clinical trial in HeFH including patients taking high dose statins. In general, drug interactions between resmetirom and statins and any other drug that might result in adverse events could delay development in later clinical trials.</w:t>
      </w:r>
    </w:p>
    <w:p>
      <w:pPr>
        <w:spacing w:after="0" w:line="187"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to identify and enroll a sufficient number of patients for our clinical trials. We also may encounter difficulties in identifying and enrolling NASH patients with a stage of disease appropriate for our future clinical trials. We may not be able to initiate or continue clinical trials if we are unable to locate and maintain a sufficient number of eligible patients to participate in the clinical trials required (or as may be required) by the FDA or other foreign regulatory agencies. In addition, the process of finding and diagnosing patients is costly and may prove more costly in the future. Our inability to enroll a sufficient number of patients for any of our clinical trials could result in significant delays or may require us to abandon one or more clinical trials.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93" w:right="459" w:bottom="1440" w:gutter="0" w:footer="0" w:header="0"/>
        </w:sectPr>
      </w:pPr>
    </w:p>
    <w:bookmarkStart w:id="38" w:name="page39"/>
    <w:bookmarkEnd w:id="38"/>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Any product candidate in our current or future clinical trials may cause unacceptable adverse events or side effects or have other properties that may delay or prevent its regulatory approval or commercialization or limit its commercial potential.</w:t>
      </w:r>
    </w:p>
    <w:p>
      <w:pPr>
        <w:spacing w:after="0" w:line="5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Unacceptable adverse events or undesirable side effects caused by any of our product candidates in current or future clinical trials could cause us or regulatory authorities to interrupt, delay or halt clinical trials and could result in the denial of regulatory approval by the FDA or other regulatory authorities for any or all targeted indications and markets. This in turn could prevent us from completing development of or commercializing the affected product candidate and generating revenue from its sale. If any of our product candidates cause unacceptable adverse events in clinical trials, we may not be able to obtain regulatory approval or commercialize such product candidate.</w:t>
      </w:r>
    </w:p>
    <w:p>
      <w:pPr>
        <w:spacing w:after="0" w:line="183"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Occurrence of serious treatment-related side effects could impede subject recruitment and clinical trial enrollment or the ability of enrolled patients to complete the trial, require us to halt the clinical trial, and prevent receipt of regulatory approval from the FDA. They could also adversely affect physician or patient acceptance of our product candidates or result in potential product liability claims. Any of these occurrences may harm our business, financial condition and prospects significantly.</w:t>
      </w:r>
    </w:p>
    <w:p>
      <w:pPr>
        <w:spacing w:after="0" w:line="2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from the FDA for resmetirom for NASH; however, such designation may not actually lead to a faster development or regulatory review or approval process, and the designation may be rescinded if the product candidate no longer meets the qualifying criteria for Fast Track.</w:t>
      </w:r>
    </w:p>
    <w:p>
      <w:pPr>
        <w:spacing w:after="0" w:line="6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October 2019, FDA granted Fast Track designation to resmetirom for NASH. Products that have been designated as Fast Track may be eligible for certain action to expedite development and review of the application, including rolling review. The receipt of Fast Track designation for a product candidate may not result in a faster development process, review or approval compared to products considered for approval under conventional FDA procedures and does not assure ultimate approval by the FDA. In addition, the FDA may withdraw Fast Track Designation if it believes that the designation is no longer supported by data from our clinical development program.</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will remain subject to ongoing regulatory review even if they receive marketing approval, and if we fail to comply with continuing regulations, we could lose these approvals and the sale of any approved commercial products could be suspended.</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Even if we receive regulatory approval to market a particular product candidate, the manufacturing, labeling, packaging, distribution, adverse event reporting, storage, advertising, promotion, sampling, and record keeping related to the product will remain subject to extensive regulatory requirements. 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such products. As such, we and our contract manufacturers will be subject to periodic review and inspections to assess compliance with cGMP and adherence to commitments made in any NDA or other marketing application and previous responses to inspection observations. Accordingly, we and others with whom we work must continue to expend time, money, and effort in all areas of regulatory compliance, including manufacturing, production and quality control. In addition, any regulatory approvals that we receive for resmetirom may also be subject to limitations on the approved indicated uses for which the product may be marketed or to the conditions of approval, and will contain requirements for costly post-marketing testing, including Phase 4 clinical trials, and surveillance to monitor the safety and efficacy of the product candidate. The FDA may also require a REMS Program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93" w:right="479" w:bottom="1440" w:gutter="0" w:footer="0" w:header="0"/>
        </w:sectPr>
      </w:pPr>
    </w:p>
    <w:bookmarkStart w:id="39" w:name="page40"/>
    <w:bookmarkEnd w:id="39"/>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we fail to comply with the regulatory requirements of the FDA and other applicable domestic and foreign regulatory authorities, or previously unknown problems with any approved product, manufacturer, or manufacturing process are discovered, we could be subject to administrative or judicially imposed sanctions, including:</w:t>
      </w:r>
    </w:p>
    <w:p>
      <w:pPr>
        <w:spacing w:after="0" w:line="81" w:lineRule="exact"/>
        <w:rPr>
          <w:sz w:val="20"/>
          <w:szCs w:val="20"/>
          <w:color w:val="auto"/>
        </w:rPr>
      </w:pPr>
    </w:p>
    <w:p>
      <w:pPr>
        <w:ind w:left="1420" w:hanging="331"/>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marketing or manufacturing of our products, withdrawal of the product from the market;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on clinical trials;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or detentions;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to initiate voluntary product recalls;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for marketing approval of new products or supplements to approved applications.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If any of these events occurs, our ability to sell such products may be impaired, and we may incur substantial additional expense to comply with regulatory requirements, which could adversely affect our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 and our product candidates may become obsolete.</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are engaged in a rapidly evolving field. Competition from other pharmaceutical companies, biotechnology companies and research and academic institutions is intense and likely to increase. Many of those companies and institutions have substantially greater financial, technical and human resources than us. Those companies and institutions also have substantially greater experience in developing products, conducting clinical trials, obtaining regulatory approval and in manufacturing and marketing pharmaceutical products. Our competitors may succeed in obtaining regulatory approval for their products more rapidly than we do. Competitors have developed or are in the process of developing technologies that are, or in the future may be, the basis for competitive products. Some of these competitive products may have an entirely different approach or means of accomplishing the desired therapeutic effect than products being developed by us. Our competitors may succeed in developing products that are more effective and/or cost competitive than those we are developing, or that would render our product candidates less competitive or even obsolete. In addition, one or more of our competitors may achieve product commercialization or patent protection earlier than we may, which could materially adversely affect our business.</w:t>
      </w:r>
    </w:p>
    <w:p>
      <w:pPr>
        <w:spacing w:after="0" w:line="29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or other applicable regulatory authorities approve generic products that compete with any of our or any of our partners’ product candidates, the sales of our product candidates would be adversely affected.</w:t>
      </w:r>
    </w:p>
    <w:p>
      <w:pPr>
        <w:spacing w:after="0" w:line="5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Once an NDA or marketing authorization application outside the United States is approved, the product covered thereby becomes a “listed drug” that can, in turn, be cited by potential competitors in support of approval of an abbreviated new drug application in the United States. Agency regulations and other applicable regulations and policies provide incentives to manufacturers to create modified, non-infringing versions of a drug to facilitate the approval of an abbreviated new drug application or other application for generic substitutes in the United States and in nearly every pharmaceutical market around the world. These manufacturers might only be required to conduct a</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20"/>
          </w:cols>
          <w:pgMar w:left="440" w:top="297" w:right="539" w:bottom="1440" w:gutter="0" w:footer="0" w:header="0"/>
        </w:sectPr>
      </w:pPr>
    </w:p>
    <w:bookmarkStart w:id="40" w:name="page41"/>
    <w:bookmarkEnd w:id="4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relatively inexpensive study to show that their product has the same active ingredient(s), dosage form, strength, route of administration and conditions of use, or labeling, as our product and that the generic product is bioequivalent to our product, meaning it is absorbed in the body at the same rate and to the same extent as our product. These generic equivalents, which must meet the same quality standards as branded pharmaceuticals, would be significantly less costly than our product to bring to market, and companies that produce generic equivalents are generally able to offer their products at lower prices. Thus, after the introduction of a generic competitor, a significant percentage of the sales of any branded product are typically lost to the generic product. Accordingly, competition from generic equivalents to our product or any of our partners’ future products, if any, would materially adversely affect our future revenue, profitability and cash flows and substantially limit our ability to obtain a return on the investments we have made and expect to make in our or any of our partners’ product candidates, including resmetirom.</w:t>
      </w:r>
    </w:p>
    <w:p>
      <w:pPr>
        <w:spacing w:after="0" w:line="19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Competition that our or any of our partners’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and patients do not accept our future products or if the market for indications for which any product candidate is approved is smaller than expected, we may be unable to generate significant revenue, if any.</w:t>
      </w:r>
    </w:p>
    <w:p>
      <w:pPr>
        <w:spacing w:after="0" w:line="51" w:lineRule="exact"/>
        <w:rPr>
          <w:sz w:val="20"/>
          <w:szCs w:val="20"/>
          <w:color w:val="auto"/>
        </w:rPr>
      </w:pPr>
    </w:p>
    <w:p>
      <w:pPr>
        <w:ind w:right="200" w:firstLine="440"/>
        <w:spacing w:after="0" w:line="281" w:lineRule="auto"/>
        <w:rPr>
          <w:sz w:val="20"/>
          <w:szCs w:val="20"/>
          <w:color w:val="auto"/>
        </w:rPr>
      </w:pPr>
      <w:r>
        <w:rPr>
          <w:rFonts w:ascii="Times New Roman" w:cs="Times New Roman" w:eastAsia="Times New Roman" w:hAnsi="Times New Roman"/>
          <w:sz w:val="17"/>
          <w:szCs w:val="17"/>
          <w:color w:val="auto"/>
        </w:rPr>
        <w:t>Even if any of our product candidates obtain regulatory approval, they may not gain market acceptance among physicians, patients, and third-party payers. Efforts to educate the medical community and third-party payers on the benefits of our product candidates may require significant resources and may not be successful. If any of our product candidates do not achieve an adequate level of acceptance, we may not generate significant product revenue or any profits from operations. Physicians may decide not to recommend our treatments for a variety of reasons including:</w:t>
      </w:r>
    </w:p>
    <w:p>
      <w:pPr>
        <w:spacing w:after="0" w:line="70" w:lineRule="exact"/>
        <w:rPr>
          <w:sz w:val="20"/>
          <w:szCs w:val="20"/>
          <w:color w:val="auto"/>
        </w:rPr>
      </w:pPr>
    </w:p>
    <w:p>
      <w:pPr>
        <w:ind w:left="1420" w:hanging="331"/>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of competitive products;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safety and efficacy compared to other products;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no coverage by third-party payers;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and severity of adverse side effects;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the label of the drug;</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advantages of alternative treatment methods;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marketing and distribution support of its products.</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are approved, but fail to achieve market acceptance or such market is smaller than anticipated, we may not be able to generate significant revenue and our business would suffer.</w:t>
      </w:r>
    </w:p>
    <w:p>
      <w:pPr>
        <w:spacing w:after="0" w:line="2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evolve from a company that is primarily involved in clinical development to a company that is also involved in commercialization, we may encounter difficulties in expanding our operations successfully.</w:t>
      </w:r>
    </w:p>
    <w:p>
      <w:pPr>
        <w:spacing w:after="0" w:line="51"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As we advance our product candidates through clinical trials, we will need to expand our development, regulatory, manufacturing, and marketing and sales capabilities and may need to further contract with third parties to provide these capabilities. As our operations expand, we likely will need to manage additional relationships with such third parties, as well as additional collaborators, distributors, marketers and suppliers.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97" w:right="459" w:bottom="1440" w:gutter="0" w:footer="0" w:header="0"/>
        </w:sectPr>
      </w:pPr>
    </w:p>
    <w:bookmarkStart w:id="41" w:name="page42"/>
    <w:bookmarkEnd w:id="41"/>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Maintaining third party relationships for these purposes will impose significant added responsibilities on members of our management and other personnel. We must be able to effectively manage our development efforts, recruit and train sales and marketing personnel, effectively manage our participation in the clinical trials in which our product candidates are involved and improve our managerial, development, operational and finance systems, all of which may impose a strain on our administrative and operational infrastructure.</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or distribution services, any product revenues that we receive, or the profitability of these product revenues to us, are likely to be lower than if we were to market and sell any products that we develop without the involvement of these third parties. In addition, we may not be successful in entering into arrangements with third parties to sell and market our products or in doing so on terms that are favorable to us. We likely will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uncertainty associated with pharmaceutical reimbursement and related matters may adversely affect our business.</w:t>
      </w:r>
    </w:p>
    <w:p>
      <w:pPr>
        <w:spacing w:after="0" w:line="121"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Market acceptance and sales of any one or more of our product candidates will depend on reimbursement policies and may be affected by future healthcare reform measures in the United States and in foreign jurisdictions. Government authorities and third-party payers, such as private health insurers and health maintenance organizations, decide which drugs they will cover and establish payment levels. We cannot be certain that reimbursement will be available for any of our product candidates. Also, we cannot be certain that reimbursement policies will not reduce the demand for, or the price paid for, our products. If reimbursement is not available or is available on a limited basis, we may not be able to successfully commercialize any product candidates that we develop.</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also called the Medicare Modernization Act, or MMA, changed the way Medicare covers and pays for pharmaceutical products. The legislation established Medicare Part D, which expanded Medicare coverage for outpatient prescription drug purchases by the elderly but provided authority for limiting the number of drugs that will be covered in any therapeutic class. The United States and several foreign jurisdictions are considering, or have already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due to the trend toward managed healthcare, the increasing influence of health maintenance organizations, and additional legislative proposals.</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(the ACA) became law in the United States. The goal of the ACA is to reduce the cost of healthcare and substantially change the way healthcare is financed by both government and private insurers. The ACA may result in downward pressure on pharmaceutical reimbursement, which could negatively affect market acceptance of, and the price we may charge for, any products we develop that receives regulatory approval. Additional legislative changes to and regulatory changes under the ACA remain possible, but the nature and extent of such potential additional changes are uncertain at this time. We expect that the ACA, its implementation, efforts to challenge or modify the ACA or its implementing regulations, or portions thereof, and other healthcare reform measures including those that may be adopted in the future, could have a material adverse effect on our industry generally and on our ability to maintain or increase sales of existing products or to successfully commercialize product candidates, if approved.</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440" w:top="297" w:right="499" w:bottom="1440" w:gutter="0" w:footer="0" w:header="0"/>
        </w:sectPr>
      </w:pPr>
    </w:p>
    <w:bookmarkStart w:id="42" w:name="page43"/>
    <w:bookmarkEnd w:id="42"/>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On August 16, 2022, President Biden signed into law the IRA, which, among other things, establishes Medicare Part B and Part D inflation rebate schemes. Failure to timely pay a Part B or Part D inflation rebate is subject to a civil monetary penalty. The IRA also creates a drug price negotiation program under which the prices for Medicare units of certain high Medicare spend drugs and biologics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The IRA further makes changes to the Medicare Part D benefit, including a limit on annual out-of-pocket costs, and a change in manufacturer liability under a new discount program which could negatively affect the profitability of our product candidates. Failure to pay a discount under this new program will be subject to a civil monetary penalty. Congress continues to examine various policy proposals that may result in pressure on the prices of prescription drugs in the government health benefit programs. The IRA or other legislative changes could impact the market conditions for our product candidate.</w:t>
      </w:r>
    </w:p>
    <w:p>
      <w:pPr>
        <w:spacing w:after="0" w:line="2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liability lawsuits are successfully brought against us or any of our collaborative partners, we may incur substantial liabilities and may be required to limit commercialization of our product candidates.</w:t>
      </w:r>
    </w:p>
    <w:p>
      <w:pPr>
        <w:spacing w:after="0" w:line="5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lawsuits related to the testing of our product candidates in seriously ill patients and will face an even greater risk if product candidates are approved by regulatory authorities and introduced commercially. Product liability claims may be brought against us or our partners by participants enrolled in our clinical trials, patients, healthcare providers or others using, administering or selling any of our future approved products. If we cannot successfully defend ourselves against any such claims, we may incur substantial liabilities. Regardless of merit or eventual outcome, liability claims may result in:</w:t>
      </w:r>
    </w:p>
    <w:p>
      <w:pPr>
        <w:spacing w:after="0" w:line="89" w:lineRule="exact"/>
        <w:rPr>
          <w:sz w:val="20"/>
          <w:szCs w:val="20"/>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future approved products;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patients or other claimants;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products may be used;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are approved for commercial sale, we will be highly dependent upon consumer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Also, because of our dependence upon consumer perceptions, any adverse publicity associated with illness or other adverse effects resulting from patients’ use or misuse of our products or any similar products distributed by other companies could have a material adverse impact on our results of operations.</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We do not currently hold product liability insurance coverage. Prior to commercialization of our product candidates, we will need to purchase insurance coverage. As a result, we may be unable to maintain or obtain sufficient insurance at a reasonable cost to protect us against losses that could have a material adverse effect on our business. These liabilities could prevent or interfere with our product development and commercialization efforts. A successful product liability claim or series of claims brought against us, particularly if judgments exceed our insurance coverage, could decrease our cash resources and adversely affect our business, financial condition and results of operations.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97" w:right="459" w:bottom="1440" w:gutter="0" w:footer="0" w:header="0"/>
        </w:sectPr>
      </w:pPr>
    </w:p>
    <w:bookmarkStart w:id="43" w:name="page44"/>
    <w:bookmarkEnd w:id="43"/>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employees, contractors, vendors and partners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contractors, vendors or partners. Misconduct by these parties could include failures to comply with FDA regulations, to provide accurate information to the FDA, to comply with federal and state healthcare fraud and abuse laws and regulations, to report financial information or data timely, completely or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w:t>
      </w:r>
    </w:p>
    <w:p>
      <w:pPr>
        <w:spacing w:after="0" w:line="29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6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potential sublicensees’ exercise of rights under the agreements. With respect to our commercial agreements, we indemnify our vendors from any third-party product liability claims that could result from the production, use or consumption of the product, as well as for alleged infringements of any patent or other intellectual property right by a third party.</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Should our obligation under an indemnification provision exceed applicable insurance coverage or if we are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other product candidates, we may be unable to grow our business.</w:t>
      </w:r>
    </w:p>
    <w:p>
      <w:pPr>
        <w:spacing w:after="0" w:line="121" w:lineRule="exact"/>
        <w:rPr>
          <w:sz w:val="20"/>
          <w:szCs w:val="20"/>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color w:val="auto"/>
        </w:rPr>
        <w:t>Although the development and commercialization of resmetirom is our primary focus, as part of our longer-term growth strategy, we plan to evaluate the development and commercialization of other therapies related to thyroid hormone, orphan and other diseases. We will evaluate internal opportunities from our compound libraries, and also may choose to in-license or acquire other product candidates as well as commercial products to treat patients suffering from thyroid hormone, orphan or other disorders with high unmet medical needs and limited treatment options. These other product candidates may require additional, time-consuming development efforts prior to commercial sale, including preclinical studies, clinical trials and approval by the FDA and/or applicable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440" w:top="293" w:right="519" w:bottom="1440" w:gutter="0" w:footer="0" w:header="0"/>
        </w:sectPr>
      </w:pPr>
    </w:p>
    <w:bookmarkStart w:id="44" w:name="page45"/>
    <w:bookmarkEnd w:id="44"/>
    <w:p>
      <w:pPr>
        <w:ind w:right="6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any such products that are approved will be manufactured or produced economically, be successfully commercialized, be widely accepted in the marketplace, or be more effective than other commercially available alternatives.</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or if we fail to recruit additional highly skilled personnel, our ability to identify, develop and commercialize products will be impaired.</w:t>
      </w:r>
    </w:p>
    <w:p>
      <w:pPr>
        <w:spacing w:after="0" w:line="5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are highly dependent on principal members of our management team, including our Chief Executive Officer, Paul A. Friedman, M.D., and our President, Research and Development, and Chief Medical Officer, Rebecca Taub, M.D. These executives each have significant pharmaceutical industry experience. The loss of any member of our management team or scientific staff, including Drs. Friedman and Taub, would impair our ability to identify, develop and market new products. Our management and other employees may voluntarily terminate their employment with us at any time. The loss of the services of these or other key personnel, or the inability to attract and retain additional qualified personnel, could result in delays to development or approval, loss of sales and diversion of management resources. In addition, we depend on our ability to attract and retain other highly skilled personnel. Competition for qualified personnel is intense, and the process of hiring and integrating such qualified personnel is often lengthy. We may be unable to recruit such personnel on a timely basis, if at all, which would negatively impact our development and commercialization programs.</w:t>
      </w:r>
    </w:p>
    <w:p>
      <w:pPr>
        <w:spacing w:after="0" w:line="192"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Additionally, we do not currently maintain “key person” life insurance on the lives of our executives or any of our employees. This lack of insurance means that we may not receive adequate compensation for the loss of the services of these individuals.</w:t>
      </w:r>
    </w:p>
    <w:p>
      <w:pPr>
        <w:spacing w:after="0" w:line="26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have significant marketing, sales or distribution infrastructure with respect to our product candidates. If we are unable to fully develop our sales, marketing and distribution capabilities on our own or through collaborations with marketing partners, we will not be successful in commercializing our product candidates.</w:t>
      </w:r>
    </w:p>
    <w:p>
      <w:pPr>
        <w:spacing w:after="0" w:line="6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We currently do not have significant marketing, sales or distribution capabilities and have limited sales or marketing experience within our organization. If our lead product candidate, resmetirom, is approved, we intend to establish a sales and marketing organization with technical expertise and supporting distribution capabilities to commercialize resmetirom in the United States, and to license or outsource this function to a third party or third parties outside of the United States. Either of these options would be expensive and time-consuming. Some or all of these costs may be incurred in advance of any approval of resmetirom. In addition, we may not be able to hire a sales force in the United States that is sufficient in size or has adequate expertise in the medical markets that we intend to target. Any failure or delay in the development of our internal sales, marketing and distribution capabilities would adversely affect the commercialization of resmetirom and other future product candidates.</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we may choose to collaborate with third parties that have direct sales forces and established distribution systems, either to augment our own sales force and distribution systems or as an alternative to our own sales force and distribution systems. To the extent that we enter into co-promotion or other licensing arrangements, our product revenue may be lower than if we directly marketed or sold any approved products. In addition, any revenue we receive will depend in whole or in part upon the efforts of these third parties,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97" w:right="479" w:bottom="1440" w:gutter="0" w:footer="0" w:header="0"/>
        </w:sectPr>
      </w:pPr>
    </w:p>
    <w:bookmarkStart w:id="45" w:name="page46"/>
    <w:bookmarkEnd w:id="45"/>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Even if we obtain FDA approval of resmetirom or any other future product candidate, we may never obtain approval or commercialize our products outside of the United States, which would limit our ability to realize their full market potential.</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order to market any products outside of the United States, we must establish and comply with numerous and varying regulatory requirements of other countries regarding clinical trial design,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or our partners fail to comply with regulatory requirements in international markets or to obtain and maintain required approvals, our target market will be reduced and our ability to realize the full market potential of our products will be harmed.</w:t>
      </w:r>
    </w:p>
    <w:p>
      <w:pPr>
        <w:spacing w:after="0" w:line="29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Act and similar foreign legislation by extending the term of patents covering each of our product candidates, our business may be materially harmed.</w:t>
      </w:r>
    </w:p>
    <w:p>
      <w:pPr>
        <w:spacing w:after="0" w:line="5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United States patents may be eligible for limited patent term extension under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may not extend beyond the current patent expiration dates and competitors may obtain approval to market competing products sooner. As a result, our revenue could be potentially materially reduced. Further, if this occurs, our competitors may take advantage of our investment in development and trials by referencing our clinical and preclinical data and launch their product earlier than might otherwise be the case.</w:t>
      </w:r>
    </w:p>
    <w:p>
      <w:pPr>
        <w:spacing w:after="0" w:line="29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obtain orphan drug designations from the FDA for our product candidates, as applicable, and even if we obtain such designations, we may be unable to maintain the benefits associated with orphan drug designation, including the potential for market exclusivity.</w:t>
      </w:r>
    </w:p>
    <w:p>
      <w:pPr>
        <w:spacing w:after="0" w:line="5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Our strategy includes filing for orphan drug designation where available for our product candidates. Under the Orphan Drug Act, the FDA may grant orphan drug designation to a drug or biologic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NDA, to market the same drug or biologic for the same indication for seven years, except in limited circumstances, such as a showing of clinical superiority to the product with orphan drug exclusivity or where the manufacturer is unable to assure sufficient product quantity.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93" w:right="439" w:bottom="1440" w:gutter="0" w:footer="0" w:header="0"/>
        </w:sectPr>
      </w:pPr>
    </w:p>
    <w:bookmarkStart w:id="46" w:name="page47"/>
    <w:bookmarkEnd w:id="46"/>
    <w:p>
      <w:pPr>
        <w:ind w:right="6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have not obtained orphan designation for any product candidates to date, although we believe some of the potential indications of our product candidates could qualify for orphan drug designation and the related benefits if approved for such indications and we may file for orphan drug designation with respect to such indications. Even if we obtain such designations, we may not be the first to obtain regulatory approval of a product candidate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orphan-designated disease or condition. Further, even if we obtain orphan drug designation exclusivity for a product, that exclusivity may not effectively protect the product from competition because different drugs with different active moieties may be approved for the same condition, and only the first applicant to receive approval will receive the benefits of marketing exclusivity. Even after an orphan-designated product is approved, the FDA can subsequently approve a later drug with the same active moiety for the same condition if the FDA concludes that the later drug is clinically superior if it is shown to be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 Failure to obtain an orphan drug designation for our product candidates may have a material adverse effect on our business, results of operations and financial condition.</w:t>
      </w:r>
    </w:p>
    <w:p>
      <w:pPr>
        <w:spacing w:after="0" w:line="28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market products in a manner that violates fraud and abuse and other healthcare laws, or if we or our partners violate government price reporting laws, we or our partners may be subject to administrative civil and/or criminal penalties.</w:t>
      </w:r>
    </w:p>
    <w:p>
      <w:pPr>
        <w:spacing w:after="0" w:line="5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These laws include, among others, the U.S. federal Anti-Kickback Statute and the U.S. federal civil and criminal false claims laws. At such time, if ever, as we or any of our partners market any of our future approved products, it is possible that some of our business activities and/or our partners could be subject to challenge under one or more of these laws.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Federal false claims, false statements and civil monetary penalties laws prohibit, among others, any person from knowingly presenting, or causing to be presented, a false or fraudulent claim for payment of government funds, or knowingly making, using, or causing to be made or used, a false record or statement material to a false or fraudulent claim to the federal government, or knowingly concealing or knowing and improperly avoiding, decreasing, or concealing an obligation to pay money to the federal government. 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 exceptions and safe harbors are drawn narrowly, and practices that involve remuneration intended to induce prescribing, purchasing or recommending may be subject to scrutiny if they do not qualify for an exception or safe harbor. There are other federal and state anti-fraud and abuse laws and regulations, as well as laws that require reporting of payments to certain health care professionals and adoption of certain compliance program requirements, that will govern our operations if and when we begin commercializing our products.</w:t>
      </w:r>
    </w:p>
    <w:p>
      <w:pPr>
        <w:spacing w:after="0" w:line="19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In addition, we and/or our partners may be subject to patient data privacy and security regulation, including the Health Insurance Portability and Accountability Act of 1996, and its implementing regulations (“HIPAA”), which impose specified requirements relating to the privacy, security and transmission of protected health information.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97" w:right="459" w:bottom="1440" w:gutter="0" w:footer="0" w:header="0"/>
        </w:sectPr>
      </w:pPr>
    </w:p>
    <w:bookmarkStart w:id="47" w:name="page48"/>
    <w:bookmarkEnd w:id="47"/>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Most states also have statutes or regulations similar to these federal laws, which may apply to items such as pharmaceutical products and services reimbursed by private insurers. We and/or our partners may be subject to administrative, civil and criminal sanctions for violations of any of these federal and state laws. Pharmaceutical and other healthcare companies have been sued or found to have violated these laws for a variety of promotional and marketing and other activities, such as: providing free trips, free goods, sham consulting fees and grants and other monetary benefits to prescribers; reporting to pricing services average prices that are then used by federal programs to set reimbursement rates, rebates, and discounts; engaging in off-label promotion; and knowingly submitting false pricing information to the federal government, knowingly misrepresenting that information, or failing to timely submit that information. Pharmaceutical companies may further be found liable for civil monetary penalties for knowing and intentionally overcharging covered entities under the 340B Drug Pricing Program.</w:t>
      </w:r>
    </w:p>
    <w:p>
      <w:pPr>
        <w:spacing w:after="0" w:line="192"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Additionally, in order to be eligible to have its products paid for with federal funds under the Medicaid and Medicare Part B programs and purchased by the Department of Veterans Affairs (“VA”), Department of Defense (“DoD”), Public Health Service, and Coast Guard (the “Big Four agencies”) and certain federal grantees, a manufacturer is required to list its innovator products on a VA Federal Supply Schedule (“FSS”) contract and charge a price to the Big Four agencies that is no higher than the Federal Ceiling Price (“FCP”), which is a price calculated pursuant to a statutory formula. In addition, manufactures must submit to the VA quarterly and annual “non federal average manufacturer price” (“Non FAMP”) calculations for each NDC-11 of their innovator drugs. Under Section 703 of the National Defense Authorization Act for FY 2008, the manufacturer is required to pay quarterly rebates to DoD on utilization of its innovator products that are dispensed through DoD’s Tricare network pharmacies to Tricare beneficiaries.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federal and state laws described above or any other governmental regulations that apply to us, we may be subject to penalties, including (depending on the applicable law) criminal and significant civil monetary penalties, damages, fines, imprisonment, exclusion from participation in government programs, injunctions, recall or seizure of products, total or partial suspension of production, denial or withdrawal of pre-marketing product approvals, private ‘‘qui tam’’ actions brought by individual whistleblowers in the name of the government or refusal to allow us to enter into supply contracts, including government contracts, and the curtailment or restructuring of our operations, any of which could adversely affect our ability to operate our business and our results of operations.</w:t>
      </w:r>
    </w:p>
    <w:p>
      <w:pPr>
        <w:spacing w:after="0" w:line="29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for the conduct of our clinical trials and results do not perform our clinical trial activities in accordance with good clinical practices and related regulatory requirements, we may be unable to obtain regulatory approval for or commercialize our product candidates.</w:t>
      </w:r>
    </w:p>
    <w:p>
      <w:pPr>
        <w:spacing w:after="0" w:line="6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conduct and/or oversee the clinical trials of our product candidates and expect to continue to do so for the foreseeable future. We rely heavily on these parties for successful execution of our clinical trials. Nonetheless, we are responsible for confirming that each of our clinical trials is conducted in accordance with FDA requirements and our general investigational plan and protocol.</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FDA requires us and our third-party service providers to comply with GCP for conducting, recording and reporting the results of clinical trials to assure that data and reported results are credible and accurate, and that the trial participants are adequately protected. Our reliance on third parties that we do not control does not relieve us of these responsibilities and requirements. Third parties may not complete activities on schedule or may not conduct our clinical trials in accordance with regulatory or GCP requirements or the respective trial plans and protocols. In addition, third parties may not be able to repeat their past successes in clinical trials. The failure of these third parties to carry out their obligations could delay or prevent the development, approval and commercialization of our product candidates or result in enforcement action against us.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97" w:right="459" w:bottom="1440" w:gutter="0" w:footer="0" w:header="0"/>
        </w:sectPr>
      </w:pPr>
    </w:p>
    <w:bookmarkStart w:id="48" w:name="page49"/>
    <w:bookmarkEnd w:id="48"/>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our relationship with these third-party providers terminates, we may not be able to enter into arrangements with alternative providers or do so on commercially reasonable terms. Switching or adding additional third-party providers involves substantial cost and requires management time and focus, and could delay development and commercialization of our product candidates. Though we intend to carefully manage our relationships with our third-party providers, there can be no assurance that we will not encounter challenges or delays in the future or that these delays or challenges will not have a negative impact on our business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relied on, and expect to continue to rely on, third-party manufacturers to produce our product candidates.</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our product candidates, and we lack the resources and the capabilities to do so. As a result, we currently rely, and expect to rely on third-party manufacturers to supply our product candidates. Reliance on third-party manufacturers entails risks to which we would not be subject if we manufactured our product candidates or products ourselves. For example, if we do not maintain our key manufacturing relationships, we may fail to find replacement manufacturers or develop our own manufacturing capabilities, which could delay or impair our ability to obtain regulatory approval for our products and substantially increase our costs or deplete profit margins, if any.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FDA and other foreign regulatory authorities require manufacturers to register manufacturing facilities. The FDA and corresponding foreign regulators also inspect these facilities to confirm compliance with current good manufacturing practices, or cGMPs.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European Medicines Agency, or EMA, and comparable foreign regulatory requirements could adversely affect our clinical research activities and our ability to develop our product candidates and market our products following approval.</w:t>
      </w:r>
    </w:p>
    <w:p>
      <w:pPr>
        <w:spacing w:after="0" w:line="18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develop our product candidates and commercialize any products that receive regulatory approval on a timely basis.</w:t>
      </w:r>
    </w:p>
    <w:p>
      <w:pPr>
        <w:spacing w:after="0" w:line="26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development programs and have a material adverse effect on our reputation, business, financial condition or results of operations.</w:t>
      </w:r>
    </w:p>
    <w:p>
      <w:pPr>
        <w:spacing w:after="0" w:line="67"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development programs and significant reputational, financial, legal, regulatory, business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97" w:right="459" w:bottom="1440" w:gutter="0" w:footer="0" w:header="0"/>
        </w:sectPr>
      </w:pPr>
    </w:p>
    <w:bookmarkStart w:id="49" w:name="page50"/>
    <w:bookmarkEnd w:id="49"/>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operational harm.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 In addition, our liability insurance may not be sufficient in type or amount to cover us against claims related to security breaches, cyberattacks and other related breaches.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 that could adversely affect our business.</w:t>
      </w:r>
    </w:p>
    <w:p>
      <w:pPr>
        <w:spacing w:after="0" w:line="29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1"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We may be subject to data privacy and security regulation by both the federal government and the states in which we conduct our business. HIPAA imposes privacy and security obligations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We could potentially be subject to criminal penalties if we, our affiliates, or our agents knowingly receive individually identifiable health information maintained by a HIPAA-covered entity in a manner that is not authorized or permitted by HIPAA.</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To the extent we collect California resident personal information, we may also be subject to the CCPA. The CCPA, created new transparency requirements and granted California residents several new rights with regard to their personal information. In addition,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went into effect on January 1, 2023, and new implementing regulations are expected to be introduced by the CPPA. Failure to comply with the CCPA 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Virginia and Colorado also adopted laws, effective January 1, 2023, and July 1, 2023, respectively, introducing new privacy obligations for which we may need to take additional steps to comply. Similarly, there are a number of legislative proposals in the United States, at both the federal and state level, that could impose new obligations or limitations in the area of consumer protection. For example, Utah and Connecticut have enacted privacy laws similar to the CCPA that impose new obligations or limitations in areas affecting our business. These laws and regulations are evolving and may impose limitations on our business activities. The obligations to comply with new privacy laws may require us, among other things, to update our notices and develop new processes internally and with our third-party collaborators, service providers, contractors or consultants to facilitate consumer rights requests, and such laws may impose restrictions on our processing of personal information that may impact the way we operate our business. We may be subject to fines,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97" w:right="459" w:bottom="1440" w:gutter="0" w:footer="0" w:header="0"/>
        </w:sectPr>
      </w:pPr>
    </w:p>
    <w:bookmarkStart w:id="50" w:name="page51"/>
    <w:bookmarkEnd w:id="50"/>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penalties, or private actions in the event of non-compliance with such laws. The CCPA, the CPRA or other domestic privacy and data protection laws and regulations may increase our compliance costs and potential liability.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Outside the United States, our clinical trial programs and operations implicate international data protection laws, including the EU General Data Protection Regulation 2016/679 (“GDPR”). The GDPR increases our responsibility and liability in relation to the processing of personal data of individuals located in the EU. The GDPR, together with the national legislation of the EU member states governing the processing of personal data, impose strict obligations and restrictions on the ability to collect, analyze and transfer personal data, including health data and samples from clinical trials and adverse event reporting. In particular, these obligations and restrictions concern the consent of the individuals to whom the personal data relates, the processing details disclosed to the individuals, the sharing of personal data with third parties, the transfer of personal data out of the EU, security breach notifications, as well as substantial potential fines for violations of the data protection obligations. Specifically regarding the transfer of personal data outside of the EU, while there are legal mechanisms available to lawfully transfer personal data outside of the EU, including to the United States, there are certain unsettled legal issues regarding such data transfers, the resolution of which may adversely affect our ability to transfer personal data or otherwise may cause us to incur significant costs to come into compliance with applicable data transfer impact assessments and implementation of legal data transfer mechanisms. On July 16, 2020, the European Court of Justice ruled the EU-US Privacy Shield to be an invalid data transfer mechanism and confirmed that the Model Clauses remain valid, and in June 2021, the European Commission published updated versions of the Model Clauses, which must be incorporated into new and existing agreements within prescribed timeframes in order to continue to lawfully transfer personal data outside of the EU. Data protection authorities from the different EU member states, as well as in the United Kingdom and Switzerland, have promulgated national privacy laws that impose additional requirements, which add to the complexity of processing and transferring EU personal data, with the United Kingdom and Switzerland following the EU with the publication of new Model Clauses to be incorporated in all applicable contracts within a specified timeframe in order to legitimize data transfers from those jurisdictions. The UK adopted versions of their Model Clauses during 2022. Our ability to continue to transfer personal data outside of the EU, United Kingdom, or Switzerland may become significantly more expensive and may subject us to increased scrutiny and liability under the GDPR or similar local laws, and we may experience operating disruptions if we are unable to conduct these transfers in the future.</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December, 13 2022, the European Commission adopted a draft adequacy decision for the EU-U.S. Data Privacy Framework, which reflects the assessment by the European Commission of the US legal framework. The draft decision concludes that the United States ensures an adequate level of protection for personal data transferred from the EU to U.S. companies. After an approval process, the European Commission is expected to adopt the final adequacy decision, which will allow data to flow freely from the EU to the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part to the terms and conditions of a license to resmetirom granted to us by Roche.</w:t>
      </w:r>
    </w:p>
    <w:p>
      <w:pPr>
        <w:spacing w:after="0" w:line="51"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We entered into a Research, Development and Commercialization Agreement, or the Roche Agreement, with Hoffmann-La Roche, or Roche, on December 18, 2008. Pursuant to the terms of the Roche Agreement, we assumed control of all development and commercialization of resmetirom and hold exclusive worldwide rights for all potential indications. Under the Roche Agreement, Roche exclusively licensed certain patent rights and know-how relating to resmetirom in exchange for consideration consisting of an upfront payment, milestone payments tied to the achievement of product development and regulatory milestones, and royalty payments based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97" w:right="459" w:bottom="1440" w:gutter="0" w:footer="0" w:header="0"/>
        </w:sectPr>
      </w:pPr>
    </w:p>
    <w:bookmarkStart w:id="51" w:name="page52"/>
    <w:bookmarkEnd w:id="51"/>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on net sales of products containing resmetirom or another licensed product, subject to certain reductions. The Roche Agreement will expire, unless earlier terminated pursuant to other provisions thereof, on the last to occur of (i) the expiration of the last valid claim of a licensed patent covering the manufacture, use or sale of products containing resmetirom, or (ii) ten years after the first sale of a product containing resmetirom. Under the Roche Agreement, Roche controls prosecution of the licensed patent rights, although we have a right to comment.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do not have, nor have we had, any material disputes with Roche regarding the Roche Agreement. However, if there is any future dispute between us and Roche regarding the parties’ rights under the Roche Agreement, our ability to develop and commercialize resmetirom, or any other product candidate covered by the Roche Agreement, may be materially harmed. Any uncured, material breach under the Roche Agreement could result in our loss of exclusive rights to resmetirom and may lead to a complete termination of the Roche Agreement and force us to cease product development efforts for resmetirom.</w:t>
      </w:r>
    </w:p>
    <w:p>
      <w:pPr>
        <w:spacing w:after="0" w:line="28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comply with any of our obligations under agreements pursuant to which we license rights or technology, which could result in the loss of rights or technology that are material to our business.</w:t>
      </w:r>
    </w:p>
    <w:p>
      <w:pPr>
        <w:spacing w:after="0" w:line="51" w:lineRule="exact"/>
        <w:rPr>
          <w:sz w:val="20"/>
          <w:szCs w:val="20"/>
          <w:color w:val="auto"/>
        </w:rPr>
      </w:pPr>
    </w:p>
    <w:p>
      <w:pPr>
        <w:ind w:right="360" w:firstLine="440"/>
        <w:spacing w:after="0" w:line="312" w:lineRule="auto"/>
        <w:rPr>
          <w:sz w:val="20"/>
          <w:szCs w:val="20"/>
          <w:color w:val="auto"/>
        </w:rPr>
      </w:pPr>
      <w:r>
        <w:rPr>
          <w:rFonts w:ascii="Times New Roman" w:cs="Times New Roman" w:eastAsia="Times New Roman" w:hAnsi="Times New Roman"/>
          <w:sz w:val="17"/>
          <w:szCs w:val="17"/>
          <w:color w:val="auto"/>
        </w:rPr>
        <w:t>We may enter into license agreements from time to time. Licensing of intellectual property is important to our business and involves complex legal, business and scientific issues. Disputes may arise regarding intellectual property subject to a license agreement, including but not limited to:</w:t>
      </w:r>
    </w:p>
    <w:p>
      <w:pPr>
        <w:spacing w:after="0" w:line="45" w:lineRule="exact"/>
        <w:rPr>
          <w:sz w:val="20"/>
          <w:szCs w:val="20"/>
          <w:color w:val="auto"/>
        </w:rPr>
      </w:pPr>
    </w:p>
    <w:p>
      <w:pPr>
        <w:ind w:left="1420" w:hanging="33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30" w:lineRule="exact"/>
        <w:rPr>
          <w:rFonts w:ascii="Times New Roman" w:cs="Times New Roman" w:eastAsia="Times New Roman" w:hAnsi="Times New Roman"/>
          <w:sz w:val="18"/>
          <w:szCs w:val="18"/>
          <w:color w:val="auto"/>
        </w:rPr>
      </w:pPr>
    </w:p>
    <w:p>
      <w:pPr>
        <w:ind w:left="1420" w:right="240" w:hanging="331"/>
        <w:spacing w:after="0" w:line="282" w:lineRule="auto"/>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us and our licensors and collaborators; and</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jc w:val="both"/>
        <w:ind w:right="60" w:firstLine="440"/>
        <w:spacing w:after="0" w:line="312" w:lineRule="auto"/>
        <w:rPr>
          <w:sz w:val="20"/>
          <w:szCs w:val="20"/>
          <w:color w:val="auto"/>
        </w:rPr>
      </w:pPr>
      <w:r>
        <w:rPr>
          <w:rFonts w:ascii="Times New Roman" w:cs="Times New Roman" w:eastAsia="Times New Roman" w:hAnsi="Times New Roman"/>
          <w:sz w:val="17"/>
          <w:szCs w:val="17"/>
          <w:color w:val="auto"/>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protect our intellectual property and our proprietary technologies.</w:t>
      </w:r>
    </w:p>
    <w:p>
      <w:pPr>
        <w:spacing w:after="0" w:line="121"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protect our intellectual property and our proprietary technologies. 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w:t>
      </w:r>
    </w:p>
    <w:p>
      <w:pPr>
        <w:spacing w:after="0" w:line="176"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We can provide no assurance that our patent applications or those of our licensors will result in additional patents being issued or that issued patents will afford sufficient protection against competitors with similar technologies, nor can we provide any assurance that the patents issued will not be infringed, designed around or invalidated by third parties. Even issued patents may later be found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 While we have licensed rights to issued patents in the United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97" w:right="479" w:bottom="1440" w:gutter="0" w:footer="0" w:header="0"/>
        </w:sectPr>
      </w:pPr>
    </w:p>
    <w:bookmarkStart w:id="52" w:name="page53"/>
    <w:bookmarkEnd w:id="52"/>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States and other jurisdictions for resmetirom, we cannot be certain that the claims in issued patents will not be found invalid or unenforceable if challenged. We cannot be certain that the claims in owned and licensed patent applications covering our product candidates will be considered patentable by the United States Patent and Trademark Office, or USPTO, and valid by courts in the United States or by the patent offices and courts in foreign jurisdictions. Even if we owned and licensed patent applications covering our product candidates, the patents may not be enforced against competitors. For example, a formulation patent may not be enforced against those making and marketing a product that has the same active pharmaceutical ingredient in a different formulation that is not claimed in the formulation patent. Method-of-use patents protect the use of a product for the specified method or for treatment of a particular indication. This type of patent may not be enforced against competitors making and marketing a product that has the same active pharmaceutical ingredient but is used for a method not claimed in the patent.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composition-of-matter patent licensed from Roche relating to resmetirom is scheduled to expire in the United States in 2026. Our co-owned patents and pending patent applications that cover our particular solid form, dosage, method of manufacturing, and uses of resmetirom to treat various indications are scheduled to expire in 2033. Our exclusively-owned pending patent applications that cover companion diagnostics, various solid forms of resmetirom, combination therapy, method of use, and method of manufacturing, if issued, are expected to expire between 2037 and 2042. Our exclusively-owned pending patent application that covers other THR beta analogs and uses thereof, if issued, is expected to expire in 2043. While patent term adjustments or patent term extensions could result in later expiration dates for each of these patents, there can be no assurances that we will receive any patent adjustments or patent term extensions. The patent application process and patent maintenance and enforcement are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94" w:lineRule="exact"/>
        <w:rPr>
          <w:sz w:val="20"/>
          <w:szCs w:val="20"/>
          <w:color w:val="auto"/>
        </w:rPr>
      </w:pPr>
    </w:p>
    <w:p>
      <w:pPr>
        <w:ind w:left="1420" w:right="200" w:hanging="331"/>
        <w:spacing w:after="0" w:line="258"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and after a patent has issued.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88"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30"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licensor(s) may not have been the first to make the inventions covered by pending patent applications or issued patents;</w:t>
      </w:r>
    </w:p>
    <w:p>
      <w:pPr>
        <w:spacing w:after="0" w:line="130" w:lineRule="exact"/>
        <w:rPr>
          <w:rFonts w:ascii="Times New Roman" w:cs="Times New Roman" w:eastAsia="Times New Roman" w:hAnsi="Times New Roman"/>
          <w:sz w:val="18"/>
          <w:szCs w:val="18"/>
          <w:color w:val="auto"/>
        </w:rPr>
      </w:pPr>
    </w:p>
    <w:p>
      <w:pPr>
        <w:ind w:left="1420" w:right="700" w:hanging="331"/>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licensor(s) may not have been the first to file patent applications for our product candidates or the compositions developed, or for their uses;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identical, similar or alternative products or compositions and uses thereof;</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licensor(s)’ disclosures in patent applications may not be sufficient to meet the statutory requirements for patentability;</w:t>
      </w:r>
    </w:p>
    <w:p>
      <w:pPr>
        <w:spacing w:after="0" w:line="130"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design around our owned and licensed patent claims to produce competitive products which fall outside of the scope of the patents;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identify prior art or other bases which could invalidate our or our licensor(s)’ patents;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97" w:right="479" w:bottom="1440" w:gutter="0" w:footer="0" w:header="0"/>
        </w:sectPr>
      </w:pPr>
    </w:p>
    <w:bookmarkStart w:id="53" w:name="page54"/>
    <w:bookmarkEnd w:id="53"/>
    <w:p>
      <w:pPr>
        <w:ind w:left="1420" w:hanging="331"/>
        <w:spacing w:after="0" w:line="261" w:lineRule="auto"/>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competitors might conduct research and development activities in the United States and other countries that provide a safe harbor from patent infringement claims for certain research and development activities, as well as in countries where us and our licensor(s) do not have patent rights, and then use the information learned from such activities to develop competitive products for sale in major commercial markets;</w:t>
      </w:r>
    </w:p>
    <w:p>
      <w:pPr>
        <w:spacing w:after="0" w:line="85" w:lineRule="exact"/>
        <w:rPr>
          <w:rFonts w:ascii="Times New Roman" w:cs="Times New Roman" w:eastAsia="Times New Roman" w:hAnsi="Times New Roman"/>
          <w:sz w:val="18"/>
          <w:szCs w:val="18"/>
          <w:color w:val="auto"/>
        </w:rPr>
      </w:pPr>
    </w:p>
    <w:p>
      <w:pPr>
        <w:ind w:left="1420" w:right="40" w:hanging="331"/>
        <w:spacing w:after="0" w:line="266" w:lineRule="auto"/>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1" w:lineRule="exact"/>
        <w:rPr>
          <w:rFonts w:ascii="Times New Roman" w:cs="Times New Roman" w:eastAsia="Times New Roman" w:hAnsi="Times New Roman"/>
          <w:sz w:val="18"/>
          <w:szCs w:val="18"/>
          <w:color w:val="auto"/>
        </w:rPr>
      </w:pPr>
    </w:p>
    <w:p>
      <w:pPr>
        <w:ind w:left="1420" w:right="280" w:hanging="331"/>
        <w:spacing w:after="0" w:line="282" w:lineRule="auto"/>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United States courts, allowing foreign competitors a better opportunity to create, develop and market competing product candidates.</w:t>
      </w:r>
    </w:p>
    <w:p>
      <w:pPr>
        <w:spacing w:after="0" w:line="16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any of these parties would not breach the agreements to disclose any proprietary information, including trade secrets, and we may not be able to obtain adequate remedies for such breaches. Further, third parties may still obtain this information by other means, such as breaches of our physical or computer security systems. Enforcing a claim that a party illegally disclosed or misappropriated a trade secret is difficult, expensive and time-consuming, and the outcome is unpredictable. Moreover, third parties may come upon this or similar information lawfully and independently. We would have no right to prevent them, or those to whom they communicate it, from using that technology or information to compete with us. Further, intellectual property rights have limitations and do not necessarily address all potential threats to our competitive position. If any of these events occurs or if we otherwise lose protection for our trade secrets or proprietary know-how, our business may be harmed.</w:t>
      </w:r>
    </w:p>
    <w:p>
      <w:pPr>
        <w:spacing w:after="0" w:line="298"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5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the first inventor to file a patent application will be entitled to the patent. Third parties are allowed to submit prior art before the issuance of a patent by the USPTO, and a patent may become subject to post-grant proceedings including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29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third parties that we infringe their proprietary rights may result in liability for damages or prevent or delay our developmental and commercialization efforts.</w:t>
      </w:r>
    </w:p>
    <w:p>
      <w:pPr>
        <w:spacing w:after="0" w:line="51"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biotechnology industry has been characterized by frequent litigation regarding patent and other intellectual property rights. Numerous U.S. and foreign issued patents and pending patent applications, which are owned by third parties, exist in the fields in which we are developing product candidates. As the biotechnology industry expands and more patents are issued, the risk increases that our product candidates may be subject to claims of infringement of the patent rights of third parties. Because patent applications are maintained in secrecy until the application is published, we may be unaware of third party patents that may be infringed by commercialization of resmetirom or our other product candidates. Moreover, because patent applications can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97" w:right="439" w:bottom="1440" w:gutter="0" w:footer="0" w:header="0"/>
        </w:sectPr>
      </w:pPr>
    </w:p>
    <w:bookmarkStart w:id="54" w:name="page55"/>
    <w:bookmarkEnd w:id="5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take many years to issue, there may be currently-pending patent applications that may later result in issued patents that our product candidates may infringe. In addition, identification of third 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 likely:</w:t>
      </w:r>
    </w:p>
    <w:p>
      <w:pPr>
        <w:spacing w:after="0" w:line="85" w:lineRule="exact"/>
        <w:rPr>
          <w:sz w:val="20"/>
          <w:szCs w:val="20"/>
          <w:color w:val="auto"/>
        </w:rPr>
      </w:pPr>
    </w:p>
    <w:p>
      <w:pPr>
        <w:ind w:left="1420" w:hanging="331"/>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30" w:lineRule="exact"/>
        <w:rPr>
          <w:rFonts w:ascii="Times New Roman" w:cs="Times New Roman" w:eastAsia="Times New Roman" w:hAnsi="Times New Roman"/>
          <w:sz w:val="18"/>
          <w:szCs w:val="18"/>
          <w:color w:val="auto"/>
        </w:rPr>
      </w:pPr>
    </w:p>
    <w:p>
      <w:pPr>
        <w:ind w:left="1420" w:right="220" w:hanging="331"/>
        <w:spacing w:after="0" w:line="282" w:lineRule="auto"/>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resmetirom for NASH or our other product candidates until the asserted patent expires or is held finally invalid or not infringed in a court of law;</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 or</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the filing date of this report, others may hold proprietary rights that could prevent resmetirom or our other product candidates from being marketed. Any patent-related legal action against us claiming damages and seeking to enjoin commercial activities relating to our product candidate or processes could subject us to potential liability for damages and require us to obtain a license to continue to manufacture or market resmetirom or our other product candidates. We cannot predict whether we would prevail in any such actions or that any license required under any of these patents would be made available on commercially acceptable terms, if at all. In addition, we cannot be sure that we could redesign our product candidate or processes to avoid infringement, if necessary. Accordingly, an adverse determination in a judicial or administrative proceeding, or the failure to obtain necessary licenses, could prevent us from developing and commercializing resmetirom or our other product candidates, which could harm our business, financial condition and operating results.</w:t>
      </w:r>
    </w:p>
    <w:p>
      <w:pPr>
        <w:spacing w:after="0" w:line="19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Moreover, we may be subject to a third party preissuance submission of prior art to the USPTO or in addition to interference proceedings, may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other post-grant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29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 in court.</w:t>
      </w:r>
    </w:p>
    <w:p>
      <w:pPr>
        <w:spacing w:after="0" w:line="51"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If we or any of our future development partners were to initiate legal proceedings against a third party to enforce a patent directed at one of our product candidates, or one of our future product candidates,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97" w:right="459" w:bottom="1440" w:gutter="0" w:footer="0" w:header="0"/>
        </w:sectPr>
      </w:pPr>
    </w:p>
    <w:bookmarkStart w:id="55" w:name="page56"/>
    <w:bookmarkEnd w:id="5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8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We currently have rights to the intellectual property, through licenses from third parties and under patents that we own or co-own, to develop our product candidates. Because our programs may require the use of proprietary rights held by third parties, the growth of our business may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 party intellectual property rights from third parties that we identify as necessary for our product candidates. The licensing and acquisition of third party intellectual property rights is a competitive area, and a number of more established companies are also pursuing strategies to license or acquire third 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w:t>
      </w:r>
    </w:p>
    <w:p>
      <w:pPr>
        <w:spacing w:after="0" w:line="194"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We may collaborate with U.S. and foreign academic institutions and industry collaborators to accelerate our preclinical or clinical research.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obtain rights to required third party intellectual property rights or maintain the existing intellectual property rights we have, we may have to abandon development of that program and our business and financial condition could suffer.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97" w:right="439" w:bottom="1440" w:gutter="0" w:footer="0" w:header="0"/>
        </w:sectPr>
      </w:pPr>
    </w:p>
    <w:bookmarkStart w:id="56" w:name="page57"/>
    <w:bookmarkEnd w:id="56"/>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 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Any of these could impair our competitive position.</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 party collaborators. A competitor’s discovery of our trade secrets would impair our competitive position and have an adverse impact on our business.</w:t>
      </w:r>
    </w:p>
    <w:p>
      <w:pPr>
        <w:spacing w:after="0" w:line="2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While we have licensed from Roche issued patents directed at resmetirom in the United States and other countries, filing, prosecuting and defending patents on resmetirom in all countries throughout the world would be prohibitively expensive, and our intellectual property rights in some countries outside the United States can be less extensive than those in the United States. In addition, the laws of some foreign countries may not protect intellectual property rights to the same extent as federal and state laws in the United States. Consequently, we may not be able to prevent third parties from practicing their inventions in all countries outside the United States, or from selling or importing products made using our inventions in and into the United States or other jurisdictions. Competitors may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93" w:right="479" w:bottom="1440" w:gutter="0" w:footer="0" w:header="0"/>
        </w:sectPr>
      </w:pPr>
    </w:p>
    <w:bookmarkStart w:id="57" w:name="page58"/>
    <w:bookmarkEnd w:id="57"/>
    <w:p>
      <w:pPr>
        <w:jc w:val="both"/>
        <w:ind w:right="3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resmetirom, and our patents or other intellectual property rights may not be effective or sufficient to prevent them from competing.</w:t>
      </w:r>
    </w:p>
    <w:p>
      <w:pPr>
        <w:spacing w:after="0" w:line="158"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Financial Position and Need for Capital</w:t>
      </w:r>
    </w:p>
    <w:p>
      <w:pPr>
        <w:spacing w:after="0" w:line="11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the capital necessary to fund all of our planned operations, we may be unable to successfully develop and commercialize resmetirom and other future product candidates.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Although we believe that our existing cash and cash equivalents will be sufficient to fund our current operations through at least the next</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12 months, we will require additional working capital in order to complete the remaining clinical development primarily for resmetirom and potentially for other product candidates through potential regulatory approval and through potential commercialization of these product candidates. We expect our spending levels overall to increase in connection with our clinical trials of resmetirom as well as other corporate activities. The amount and timing of any expenditure needed to implement our development and commercialization programs will depend on numerous factors, including:</w:t>
      </w:r>
    </w:p>
    <w:p>
      <w:pPr>
        <w:spacing w:after="0" w:line="94" w:lineRule="exact"/>
        <w:rPr>
          <w:sz w:val="20"/>
          <w:szCs w:val="20"/>
          <w:color w:val="auto"/>
        </w:rPr>
      </w:pPr>
    </w:p>
    <w:p>
      <w:pPr>
        <w:ind w:left="1420" w:right="20" w:hanging="331"/>
        <w:spacing w:after="0" w:line="266"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 costs, results of and timing of our future clinical trials and projected product label or the need for additional clinical trials of resmetirom for NASH and dyslipidemia or any of our other product candidates which we are pursuing or may choose to pursue in the future;</w:t>
      </w:r>
    </w:p>
    <w:p>
      <w:pPr>
        <w:spacing w:after="0" w:line="81"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regulatory approval for resmetirom for NASH and any of our other potential product candidates;</w:t>
      </w:r>
    </w:p>
    <w:p>
      <w:pPr>
        <w:spacing w:after="0" w:line="130" w:lineRule="exact"/>
        <w:rPr>
          <w:rFonts w:ascii="Times New Roman" w:cs="Times New Roman" w:eastAsia="Times New Roman" w:hAnsi="Times New Roman"/>
          <w:sz w:val="18"/>
          <w:szCs w:val="18"/>
          <w:color w:val="auto"/>
        </w:rPr>
      </w:pPr>
    </w:p>
    <w:p>
      <w:pPr>
        <w:ind w:left="1420" w:right="140" w:hanging="331"/>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or maintaining manufacturing for resmetirom for NASH and any of our other product candidates, including commercial manufacturing if any product candidate is approved;</w:t>
      </w:r>
    </w:p>
    <w:p>
      <w:pPr>
        <w:spacing w:after="0" w:line="67" w:lineRule="exact"/>
        <w:rPr>
          <w:rFonts w:ascii="Times New Roman" w:cs="Times New Roman" w:eastAsia="Times New Roman" w:hAnsi="Times New Roman"/>
          <w:sz w:val="18"/>
          <w:szCs w:val="18"/>
          <w:color w:val="auto"/>
        </w:rPr>
      </w:pPr>
    </w:p>
    <w:p>
      <w:pPr>
        <w:ind w:left="1420" w:right="200" w:hanging="331"/>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reimbursement capabilities and enhanced internal controls over financial reporting;</w:t>
      </w:r>
    </w:p>
    <w:p>
      <w:pPr>
        <w:spacing w:after="0" w:line="67" w:lineRule="exact"/>
        <w:rPr>
          <w:rFonts w:ascii="Times New Roman" w:cs="Times New Roman" w:eastAsia="Times New Roman" w:hAnsi="Times New Roman"/>
          <w:sz w:val="18"/>
          <w:szCs w:val="18"/>
          <w:color w:val="auto"/>
        </w:rPr>
      </w:pPr>
    </w:p>
    <w:p>
      <w:pPr>
        <w:ind w:left="1420" w:right="60" w:hanging="331"/>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 agreements and other partnerships, including for ex-US resmetirom opportunities;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new product candidates that we may develop, in-license or acquire;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Some of these factors are outside of our control. Our existing capital resources may not be sufficient to enable us to fund the completion of all planned clinical trials and commercialization objectives for our product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60"/>
          </w:cols>
          <w:pgMar w:left="440" w:top="297" w:right="499" w:bottom="1440" w:gutter="0" w:footer="0" w:header="0"/>
        </w:sectPr>
      </w:pPr>
    </w:p>
    <w:bookmarkStart w:id="58" w:name="page59"/>
    <w:bookmarkEnd w:id="58"/>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candidates. These and other circumstances may cause us to delay certain research activities and related clinical expenses, but such delays will not alter our need to raise additional funding. As a result, we will need to raise substantial additional funds in the future.</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have not sold any products, and we do not expect to sell or derive revenue from any product sales for the foreseeable future. We may seek additional funding through future debt and equity financings, as well as potential additional collaborations or strategic partnerships with other companies or through non-dilutive financings. Additional funding may not be available to us on acceptable terms or at all. In addition, the terms of any financing may adversely affect the holdings or the rights of our stockholders or have a potential restrictive effect on how we operate our business. In addition, market perception that we need to issue additional shares, the issuance of additional shares by us, or the possibility of such issuance, may cause the market price of our shares to decline.</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obtain additional funding on a timely basis, we may need to delay certain aspects of, or be unable to complete, planned clinical trials for resmetirom for NASH and our other product candidates, and we may be required to significantly curtail some or all of our activities. We also could be required to seek funds through arrangements with collaborative partners or otherwise that may require us to relinquish rights to our product candidates or otherwise agree to terms unfavorable to us.</w:t>
      </w:r>
    </w:p>
    <w:p>
      <w:pPr>
        <w:spacing w:after="0" w:line="28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and tax credit carryforwards and certain built-in losses to reduce future tax payments may be limited by provisions of the Internal Revenue Code.</w:t>
      </w:r>
    </w:p>
    <w:p>
      <w:pPr>
        <w:spacing w:after="0" w:line="5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Our net operating losses have been fully offset by a valuation allowance due to uncertainties surrounding our ability to realize these tax benefits. Under Section 382 of the Internal Revenue Code of 1986, as amended, if a corporation undergoes an “ownership change” (generally defined as a greater than 50% change (by value) in its equity ownership over a three year period), the corporation’s ability to use its pre-change net operating loss carryforwards and other pre-change tax attributes to offset its post-change income may be limited. Similar rules may apply under state tax laws. We have not performed a detailed analysis to determine whether an ownership change under Section 382 of the Code, or similar state provisions, has previously occurred. As a result, if we earn net taxable income, our ability to use our pre-change net operating loss carryforwards to offset U.S. federal taxable income may become subject to limitations, which could potentially result in increased future tax liability to us and may be substantial.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and Security Agreement contains restrictive and financial covenants that may limit our operating flexibility.</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On May 6, 2022, we and our subsidiary, Canticle Pharmaceuticals, Inc. (“Canticle”) entered into a Loan and Security Agreement with Hercules, as amended on February 3, 2023 (as amended, the “Loan Agreement”), providing for an aggregate of $250.0 million in term loans that will be available to us in four tranches subject to the conditions set forth in the Loan Agreement (collectively, the “Term Loans”). Our obligations under the Loan Agreement are secured by a security interest in substantially all of our assets, other than intellectual property. Until we have repaid such indebtedness, the Loan Agreement subjects us to various terms, conditions and covenants. These include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Additionally, the Loan Agreement contains affirmative and restrictive financial covenants commencing on January 1, 2023, including maintenance of a minimum cash, cash equivalents and liquid funds covenant of $35.0 million, which may decrease in certain circumstances if the Company achieves both a certain FDA approval for resmetirom and a revenue milestone (the “Minimum Cash Covenant”). The Loan Agreement also includes a revenue-based covenant (the “Revenue Covenant”) that could apply commencing at or after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97" w:right="459" w:bottom="1440" w:gutter="0" w:footer="0" w:header="0"/>
        </w:sectPr>
      </w:pPr>
    </w:p>
    <w:bookmarkStart w:id="59" w:name="page60"/>
    <w:bookmarkEnd w:id="59"/>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time that financial reporting is due for the quarter ending September 30, 2024; however, the Revenue Covenant will be waived at any time in which the Company maintains, as measured monthly (i) a certain level of cash, cash equivalents and liquid funds relative to outstanding Hercules debt or (ii) a market capitalization of at least $1.2 billion. The Revenue Covenant, as and when effective on or after November of 2024, would require the Company to maintain a minimum amount of trailing three-month net product revenue. Our business may be adversely affected by these restrictions on our ability to operate our business. If we raise any additional debt financing, as permitted by the Loan Agreement and if pursued and secured by the Company, the terms of such additional debt could further restrict our operating and financial flexibility.</w:t>
      </w:r>
    </w:p>
    <w:p>
      <w:pPr>
        <w:spacing w:after="0" w:line="18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We may not be able to generate sufficient cash flow or sales to meet the financial covenants or pay the principal and interest under the Term Loans. Furthermore, our future working capital, borrowings or equity financing could be unavailable to repay or refinance the amounts outstanding under the Term Loans. In the event of a liquidation, the lender under the facility would be repaid all outstanding principal and interest prior to distribution of assets to unsecured creditors, and the holders of our common stock would receive a portion of any liquidation proceeds only if all of our creditors then existing, including the lender under the Term Loans, were first repaid in full.</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or other terms of the Loan Agreement, including as a result of events beyond our control, could result in a default under the Loan Agreement that could materially and adversely affect our business.</w:t>
      </w:r>
    </w:p>
    <w:p>
      <w:pPr>
        <w:spacing w:after="0" w:line="5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Additionally, we may be required to repay the outstanding indebtedness under the loan if an event of default occurs under the Loan Agreement or, if applicable, any future debt facility. The Loan Agreement includes customary events of default, including payment defaults, breaches of covenants following any applicable cure period, the occurrence of certain events that could reasonably be expected to have a “material adverse effect” as set forth in the Loan Agreement, and cross acceleration.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Our business, financial condition and results of operations could be materially adversely affected as a result of any of these events.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w:t>
      </w:r>
    </w:p>
    <w:p>
      <w:pPr>
        <w:spacing w:after="0" w:line="121"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over a wide range, and it is likely that the price of our common stock will continue to be volatile in the future. The closing price of our common stock has ranged from $55.89 to $296.54 per share during the period from January 1, 2022 to January 31, 2023. The market price of our common stock could be impacted due to a variety of factors, including: global market or financial developments; prevailing macroeconomic conditions, including potential recession or economic downturns; US market events (including the potential for unusual market trading activity following external short interest developments or social media activity); the outbreak of war or hostilities; NASH therapeutic company developments and/or FDA developments, regardless of whether occurring generally and/or specifically as to our clinical trials and development programs; industry-wide events; and the following events or developments:</w:t>
      </w:r>
    </w:p>
    <w:p>
      <w:pPr>
        <w:spacing w:after="0" w:line="94" w:lineRule="exact"/>
        <w:rPr>
          <w:sz w:val="20"/>
          <w:szCs w:val="20"/>
          <w:color w:val="auto"/>
        </w:rPr>
      </w:pPr>
    </w:p>
    <w:p>
      <w:pPr>
        <w:ind w:left="1420" w:hanging="331"/>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losses we may incur, including increased losses resulting from costs associated with increases in our clinical trial activity;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 owned or licensed by us, our collaborative partners or our competitors;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60"/>
          </w:cols>
          <w:pgMar w:left="440" w:top="297" w:right="499" w:bottom="1440" w:gutter="0" w:footer="0" w:header="0"/>
        </w:sectPr>
      </w:pPr>
    </w:p>
    <w:bookmarkStart w:id="60" w:name="page61"/>
    <w:bookmarkEnd w:id="60"/>
    <w:p>
      <w:pPr>
        <w:ind w:left="1420" w:right="280" w:hanging="331"/>
        <w:spacing w:after="0" w:line="282" w:lineRule="auto"/>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public or regulatory concern as to the safety and efficacy of NASH products developed by us or others or public safety generally; and</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due to one or more of the foregoing factors in one or more future quarters, our results of operations may fall below the expectations of securities analysts and investors. In the event any of the foregoing occur, the market price of our common stock could be highly volatile and may materially decline.</w:t>
      </w:r>
    </w:p>
    <w:p>
      <w:pPr>
        <w:spacing w:after="0" w:line="2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small number of our stockholders own a substantial amount of our outstanding common stock and may be deemed to have substantial control over us; therefore, your ability to influence corporate matters may be limited.</w:t>
      </w:r>
    </w:p>
    <w:p>
      <w:pPr>
        <w:spacing w:after="0" w:line="5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Certain stockholders affiliated and associated with our officers and directors collectively own approximately 21.9% of our outstanding common stock as of December 31, 2022 and acting together, may have the ability to substantially affect matters submitted to our stockholders for approval. This concentration of ownership may have the effect of delaying, deferring or preventing a strategic transaction, even if such a transaction would benefit other stockholders.</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which may be beneficial to our stockholders, more difficult and may prevent attempts by our stockholders to replace or remove our current management.</w:t>
      </w:r>
    </w:p>
    <w:p>
      <w:pPr>
        <w:spacing w:after="0" w:line="5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Provisions in our charter and bylaws may delay or prevent a merger, acquisition or other change of control that stockholders may consider favorable, including transactions in which you might otherwise receive a premium for your shares. These provisions include a classified board of directors. In addition, we are governed by the provisions of Section 203 of the Delaware General Corporation Law, which prohibits, with some exceptions, stockholders owning in excess of 15% of our outstanding voting stock from merging or combining with us. Although we believe these provisions together provide for an opportunity to receive higher bids by requiring potential acquirers to negotiate with our board of directors, they would apply even if the offer may be considered beneficial by some stockholders.</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could result in additional dilution of the percentage ownership of our stockholders and could cause our share price to fall.</w:t>
      </w:r>
    </w:p>
    <w:p>
      <w:pPr>
        <w:spacing w:after="0" w:line="5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We may sell common stock, convertible securities or other equity securities in one or more transactions at prices and in a manner we determine from time to time. We have in the past utilized an “at-the-market” (“ATM”) sales program to raise capital by selling our securities through a sales agent up to established limits, and have also issued shares of our common stock in registered offerings and shares of convertible preferred equity to institutional investors in registered and private direct offerings. We expect that significant additional capital will be needed in the future to continue our planned operations. To the extent we raise additional capital or convertible securities, through any ATM program, public equity offering, direct offering, private offering or otherwise, our stockholders may experience substantial dilution.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shares of our common stock in the public markets or significant short sales of our common stock, or the perception that such sales could occur, could depress the market price of our common stock and impair our ability to raise capital.</w:t>
      </w:r>
    </w:p>
    <w:p>
      <w:pPr>
        <w:spacing w:after="0" w:line="5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2022, there were a number of investors or investor groups that held a significant beneficial ownership interest in our common stock, including: 2,049,629 shares of our outstanding common stock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97" w:right="459" w:bottom="1440" w:gutter="0" w:footer="0" w:header="0"/>
        </w:sectPr>
      </w:pPr>
    </w:p>
    <w:bookmarkStart w:id="61" w:name="page62"/>
    <w:bookmarkEnd w:id="6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“Bay City Affiliate Holdings”) beneficially owned by Dr. Fred Craves, our Lead Director, which includes 1,511,782 shares beneficially owned by Bay City Capital LLC (“Bay City”); 2,119,603 shares of our outstanding common stock beneficially owned by Drs. Paul Friedman and Becky Taub (the “Friedman/Taub Holdings”), our Chairman and Chief Executive Officer and President of R&amp;D and Chief Medical Officer, respectively; 1,969,797 shares of outstanding Series A Convertible Preferred stock and 400,000 shares of outstanding Series B Convertible Preferred Stock (collectively, the “Common Shares Underlying Our Preferred Stock”), each of which are common stock equivalents with no voting rights, that are convertible into shares of Common Stock on a 1-for-1 basis only to the extent that after giving effect to such conversion the holders thereof and their affiliates and any persons who are members of a Section 13(d) group with the holders or their affiliates would beneficially own (in the aggregate, for purposes of Rule 13d-3 under the Exchange Act) no more than 4.99% of the outstanding Common Stock, subject to adjustment with 61 days’ notice and certain limitations (the “Beneficial Ownership Limitation”); and 2,857,054 shares of our common stock issuable upon the exercise of outstanding stock options under our 2015 Stock Plan, as amended and 14,899 shares of our common stock issuable upon the exercise of outstanding vested warrants held by our creditors (the “Common Shares Underlying Our Stock Options and Warrants”). In addition, there are other institutional investors who from time to time file Schedule 13Gs (or amendments thereto) or Form 13Fs reflecting substantial beneficial ownership of outstanding common stock (“Our Other Shares Beneficially Owned by Institutional Investors”).</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Bay City Affiliate Holdings and the Friedman/Taub Holdings collectively represent beneficial ownership of approximately 21.9% of our outstanding common stock as of December 31, 2022, and are capable of being sold directly (including by Bay City or its affiliated funds) or indirectly (following any future distribution to Bay City from affiliated funds, to Bay City fund limited partners, or by Bay City to its partners), and any material sale of such shares could significantly reduce the market price of our common stock and impair our ability to raise adequate capital. As of December 31, 2022, the 2,369,797 Common Shares Underlying Our Preferred Stock (disregarding the Beneficial Ownership Limitation and assuming the full conversion of all currently outstanding preferred shares) owned by entities affiliated with Baker Bros. Advisors LP and 1,545,113 additional shares of common stock directly owned by entities affiliated with Baker Bros. Advisors LP collectively represented beneficial ownership of approximately 19.1% of our common stock on an as converted basis (the “Baker Bros. Fully Converted Interest”).</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Sales of a substantial number of shares of our common stock by one or more of the investors or groups listed above (such as the Common Shares Underlying Our Preferred Stock, the Bay City Affiliate Holdings, the Friedman/Taub Holdings, the Baker Bros. Fully Converted Interest, the Common Shares Underlying Our Stock Options and Warrants and Our Other Shares Beneficially Owned by Institutional Investors) or other equity-related securities in the public markets, could depress the market price of our common stock. If there are significant sales or short sales of our stock, the price decline that could result from this activity may cause the share price to decline further, which, in turn, may cause long holders of the common stock to sell their shares, thereby contributing to sales of common stock in the market. See “Risk Factors; Risks Relating to Ownership of Our Common Stock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price of our common stock has been, and may continue to be, volatile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Such sales or short sales also may impair our ability to raise capital through the sale of additional shares in the future at a time and price that our management deems acceptable, if at all.</w:t>
      </w:r>
    </w:p>
    <w:p>
      <w:pPr>
        <w:spacing w:after="0" w:line="2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on our common stock, and accordingly, stockholders must rely on stock appreciation for any return on their investment.</w:t>
      </w:r>
    </w:p>
    <w:p>
      <w:pPr>
        <w:spacing w:after="0" w:line="51"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and do not anticipate paying cash dividends on our common stock in the future. As a result, the only return to stockholders will be appreciation in the price of our common stock, which may never occur. Investors seeking cash dividends should not invest in our common stock.</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97" w:right="459" w:bottom="1440" w:gutter="0" w:footer="0" w:header="0"/>
        </w:sectPr>
      </w:pPr>
    </w:p>
    <w:bookmarkStart w:id="62" w:name="page63"/>
    <w:bookmarkEnd w:id="6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2022, we leased our approximately 30,500 square-foot corporate headquarters facility located in West Conshohocken, Pennsylvania. We believe our facility is adequate for our current needs. Our lease contains extension rights beyond the scheduled lease expiration date of November 30, 2023. We plan to lease or acquire additional space as our business continues to grow. We continue to evaluate our facility requirements and believe that appropriate space will be available to accommodate our future needs.</w:t>
      </w:r>
    </w:p>
    <w:p>
      <w:pPr>
        <w:spacing w:after="0" w:line="32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currently are not a party to any material legal proceedings.</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440" w:top="293" w:right="479" w:bottom="1440" w:gutter="0" w:footer="0" w:header="0"/>
        </w:sectPr>
      </w:pPr>
    </w:p>
    <w:bookmarkStart w:id="63" w:name="page64"/>
    <w:bookmarkEnd w:id="6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PART II</w:t>
      </w:r>
    </w:p>
    <w:p>
      <w:pPr>
        <w:spacing w:after="0" w:line="252" w:lineRule="exact"/>
        <w:rPr>
          <w:sz w:val="20"/>
          <w:szCs w:val="20"/>
          <w:color w:val="auto"/>
        </w:rPr>
      </w:pPr>
    </w:p>
    <w:p>
      <w:pPr>
        <w:ind w:right="108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 of Equity Securities. Market Information</w:t>
      </w: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Our common stock has traded on the Nasdaq stock market under the symbol “MDGL” since July 25, 2016. Prior to July 25, 2016, our common stock was traded on the Nasdaq stock market under the symbol “SNTA.”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2022, there were approximately 43 holders of record of our common stock. This number does not include “street name” or beneficial holders, whose shares are held of record by banks, brokers, financial institutions and other nominees. In addition, we had two holders of record who owned shares of our Series A Convertible Preferred Stock and Series B Convertible Preferred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We currently intend to retain all available funds and any future earnings to fund the development and expansion of our business, and we do not anticipate paying any cash dividends in the foreseeable future. Any future determination to pay cash dividends will be at the discretion of our board of directors and will depend on our financial condition, results of operations, contractual restrictions, capital requirements, and other factors that our board of directors deems relevant.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820"/>
          </w:cols>
          <w:pgMar w:left="440" w:top="293" w:right="6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 Performance Graph</w:t>
      </w:r>
    </w:p>
    <w:p>
      <w:pPr>
        <w:spacing w:after="0" w:line="121"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common stock between January 1, 2018 and December 31, 2022, with the cumulative total return of (a) the Nasdaq Biotechnology Index and (b) the Nasdaq Composite Index, over the same period. This graph assumes the investment of $100 on January 1, 2018 in our common stock, the Nasdaq Biotechnology Index and the Nasdaq Composite Index and assumes the reinvestment of dividends, if any.</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131445</wp:posOffset>
            </wp:positionV>
            <wp:extent cx="5186045" cy="34201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86045"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above Stock Performance Graph and related information shall not be deemed to be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request that such information be treated as soliciting material or specifically incorporate it by reference into a filing.</w:t>
      </w:r>
    </w:p>
    <w:p>
      <w:pPr>
        <w:spacing w:after="0" w:line="32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20"/>
          </w:cols>
          <w:pgMar w:left="440" w:top="293" w:right="539" w:bottom="1440" w:gutter="0" w:footer="0" w:header="0"/>
        </w:sectPr>
      </w:pPr>
    </w:p>
    <w:bookmarkStart w:id="65" w:name="page66"/>
    <w:bookmarkEnd w:id="6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60" w:firstLine="440"/>
        <w:spacing w:after="0" w:line="271" w:lineRule="auto"/>
        <w:rPr>
          <w:sz w:val="20"/>
          <w:szCs w:val="20"/>
          <w:color w:val="auto"/>
        </w:rPr>
      </w:pPr>
      <w:r>
        <w:rPr>
          <w:rFonts w:ascii="Times New Roman" w:cs="Times New Roman" w:eastAsia="Times New Roman" w:hAnsi="Times New Roman"/>
          <w:sz w:val="17"/>
          <w:szCs w:val="17"/>
          <w:i w:val="1"/>
          <w:iCs w:val="1"/>
          <w:color w:val="auto"/>
        </w:rPr>
        <w:t>The Risk Factors in Part I, Item 1A and disclosures under “Cautionary Note Regarding Forward-Looking Statements” within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of 1933, as amended, or the Securities Act, and Section 21E of the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 or contribute to such differences include, but are not limited to, those discussed in “Cautionary Note Regarding Forward-Looking Statements” and in the “Risk Factors” sections contained in Part I, Item 1A in this Annual Report on Form 10-K. Our operating results are not necessarily indicative of results that may occur for the full fiscal year or any other future period.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Madrigal Pharmaceuticals, Inc.</w:t>
      </w:r>
    </w:p>
    <w:p>
      <w:pPr>
        <w:spacing w:after="0" w:line="119" w:lineRule="exact"/>
        <w:rPr>
          <w:sz w:val="20"/>
          <w:szCs w:val="20"/>
          <w:color w:val="auto"/>
        </w:rPr>
      </w:pPr>
    </w:p>
    <w:p>
      <w:pPr>
        <w:jc w:val="both"/>
        <w:ind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Our Focus</w:t>
      </w:r>
      <w:r>
        <w:rPr>
          <w:rFonts w:ascii="Times New Roman" w:cs="Times New Roman" w:eastAsia="Times New Roman" w:hAnsi="Times New Roman"/>
          <w:sz w:val="18"/>
          <w:szCs w:val="18"/>
          <w:color w:val="auto"/>
        </w:rPr>
        <w:t>. We are a clinical-stage biopharmaceutical company pursuing novel therapeutics for nonalcoholic steatohepatitis, or NASH. Our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candidate, resmetirom, is a proprietary, liver-directed, selective thyroid hormone receptor-ß, or THR-ß, agonist being developed as a once-daily oral pill for the treatment of NASH.</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Patient Market Opportunity. </w:t>
      </w:r>
      <w:r>
        <w:rPr>
          <w:rFonts w:ascii="Times New Roman" w:cs="Times New Roman" w:eastAsia="Times New Roman" w:hAnsi="Times New Roman"/>
          <w:sz w:val="18"/>
          <w:szCs w:val="18"/>
          <w:color w:val="auto"/>
        </w:rPr>
        <w:t>NASH is a serious inflammatory form of nonalcoholic fatty liver disease, or NAFLD. NAFLD has become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the United States, NAFLD is estimated to affect approximately 25% of the population, and approximately 25% of those will progress from NAFLD to NASH. Current estimates place NASH prevalence at approximately 22 million people in the United States by 2024, with similar prevalence in Europe and Asia. The prevalence of NASH is also increasing in developing regions due to the adoption of a more sedentary lifestyle and a diet consisting of processed foods with high fat and fructose content.</w:t>
      </w:r>
    </w:p>
    <w:p>
      <w:pPr>
        <w:spacing w:after="0" w:line="18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Completed Studies. </w:t>
      </w:r>
      <w:r>
        <w:rPr>
          <w:rFonts w:ascii="Times New Roman" w:cs="Times New Roman" w:eastAsia="Times New Roman" w:hAnsi="Times New Roman"/>
          <w:sz w:val="18"/>
          <w:szCs w:val="18"/>
          <w:color w:val="auto"/>
        </w:rPr>
        <w:t>For NASH, we enrolled 125 patients in a Phase 2 clinical trial with resmetirom. We achieved the 12-week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endpoint for this Phase 2 clinical trial and reported the results in December 2017, and we reported positive topline 36-week results at the conclusion of the Phase 2 clinical trial in May 2018. We also completed a 36-week, open-label extension study in 31 participating NASH patients from our Phase 2 clinical trial, which included 14 patients who received placebo in the main study.</w:t>
      </w:r>
    </w:p>
    <w:p>
      <w:pPr>
        <w:spacing w:after="0" w:line="18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On December 18, 2019 the Company announced it had opened for enrollment MAESTRO-NAFLD-1, a 52-week, non-invasive, multi-center, double-blind, placebo-controlled Phase 3 clinical study of patients with biopsy-confirmed or presumed NASH recruited from sites in the U.S. Key endpoints are safety, including safety biomarkers. Secondary endpoints include LDL cholesterol, lipid biomarkers, MRI-PDFF, NASH and fibrosis biomarkers. Except for serial liver biopsies, the study protocol is similar to the MAESTRO-NASH study (discussed below under “—Our Ongoing and Planned Studies”), with resmetirom doses of 80 mg or 100 mg or placebo. Enrollment objectives for this study were exceeded, with approximately 1,300 patients enrolled overall. The MAESTRO-NAFLD-1 study will help support the adequacy of the safety database at the time of NDA submission for Subpart H approval for treatment of patients with NASH with fibrosis. In November of 2021, we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93" w:right="459" w:bottom="1440" w:gutter="0" w:footer="0" w:header="0"/>
        </w:sectPr>
      </w:pPr>
    </w:p>
    <w:bookmarkStart w:id="66" w:name="page67"/>
    <w:bookmarkEnd w:id="66"/>
    <w:p>
      <w:pPr>
        <w:ind w:right="6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reported data from the open label non-cirrhotic arm of MAESTRO-NAFLD-1, and in January 2022 we announced that we achieved primary and secondary endpoints for the double-blind portion of MAESTRO-NAFLD-1, as summarized in “- Key Developments” below.</w:t>
      </w:r>
    </w:p>
    <w:p>
      <w:pPr>
        <w:spacing w:after="0" w:line="16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Ongoing and Planned Studies. </w:t>
      </w:r>
      <w:r>
        <w:rPr>
          <w:rFonts w:ascii="Times New Roman" w:cs="Times New Roman" w:eastAsia="Times New Roman" w:hAnsi="Times New Roman"/>
          <w:sz w:val="18"/>
          <w:szCs w:val="18"/>
          <w:color w:val="auto"/>
        </w:rPr>
        <w:t>On March 28, 2019, the Company announced that it had initiated MAESTRO-NASH, a Phase 3 trial in NASH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its once daily, oral thyroid hormone receptor beta selective agonist, resmetirom. This double-blind, placebo-controlled study is being conducted at more than 220 sites in the United States and the rest of the world. MAESTRO-NASH is a multicenter, randomized, double-blind, placebo-controlled Phase 3 study of resmetirom in patients with liver biopsy-confirmed NASH and was initiated in March 2019. The subpart H portion of the study enrolled more than 1,000 patients with biopsy-proven NASH (at least half with F3 (advanced) fibrosis, the remainder F2 or F1B (moderate fibrosis) with a few earlier F1 patients), randomized 1:1:1 to receive once-daily resmetirom 80 mg, resmetirom 100 mg, or placebo. After 52 weeks of treatment, a second liver biopsy is performed. The dual primary surrogate endpoints on biopsy are NASH resolution with ≥2-point reduction in NAS (NAFLD Activity Score), and with no worsening of fibrosis OR a 1-point decrease in fibrosis with no worsening of NAS. Achievement of either primary endpoint is considered a successful trial outcome. A key secondary endpoint is lowering of LDL-C. All patients enrolled in the MAESTRO-NASH study (up to 2,000 in total) continue on therapy after the initial 52-week treatment period for up to 54 months to accrue and measure hepatic clinical outcome events including progression to cirrhosis on biopsy (52 weeks and 54 months) and hepatic decompensation events, as well as all-cause mortality. In December 2022, we reported topline results from the subpart H portion of the study: resmetirom achieved both primary endpoints with both daily oral doses, 80 mg and 100 mg, relative to placebo, as summarized in “- Key Developments” below.</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July 13, 2021 we announced first patient dosed in a planned 52-week open label active treatment extension study of MAESTRO-NAFLD-1, named MAESTRO-NAFLD-Open Label Extension (OLE). The OLE study allows patients who complete MAESTRO-NAFLD-1 to consent to 52 weeks of active treatment with resmetirom, making this treatment available to both patients who were assigned to placebo in MAESTRO-NAFLD-1 and patients who were on resmetirom in MAESTRO-NAFLD-1.</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In August 2022, Madrigal initiated MAESTRO-NASH-OUTCOMES, a randomized double-blind placebo-controlled study in approximately 700 patients with early NASH cirrhosis to allow for noninvasive monitoring of progression to liver decompensation events. A positive outcome is expected to support the full approval of resmetirom for noncirrhotic NASH, potentially accelerating the timeline to full approval. In addition, this study has the potential to support an additional indication for resmetirom in patients with well-compensated NASH cirrhosis.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In December 2022, Madrigal announced topline results from the pivotal Phase 3 MAESTRO-NASH biopsy study of resmetirom. Madrigal reported that resmetirom achieved both primary endpoints with both daily oral doses, 80 mg and 100 mg, relative to placebo. For additional details on these topline results and other recent developments, see: “Business: Key Developments.”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97" w:right="459" w:bottom="1440" w:gutter="0" w:footer="0" w:header="0"/>
        </w:sectPr>
      </w:pPr>
    </w:p>
    <w:bookmarkStart w:id="67" w:name="page68"/>
    <w:bookmarkEnd w:id="67"/>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w:t>
      </w:r>
    </w:p>
    <w:p>
      <w:pPr>
        <w:spacing w:after="0" w:line="131" w:lineRule="exact"/>
        <w:rPr>
          <w:sz w:val="20"/>
          <w:szCs w:val="20"/>
          <w:color w:val="auto"/>
        </w:rPr>
      </w:pPr>
    </w:p>
    <w:p>
      <w:pPr>
        <w:ind w:left="1420" w:hanging="331"/>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expense, including stock-based compensation;</w:t>
      </w:r>
    </w:p>
    <w:p>
      <w:pPr>
        <w:spacing w:after="0" w:line="130" w:lineRule="exact"/>
        <w:rPr>
          <w:rFonts w:ascii="Times New Roman" w:cs="Times New Roman" w:eastAsia="Times New Roman" w:hAnsi="Times New Roman"/>
          <w:sz w:val="18"/>
          <w:szCs w:val="18"/>
          <w:color w:val="auto"/>
        </w:rPr>
      </w:pPr>
    </w:p>
    <w:p>
      <w:pPr>
        <w:ind w:left="1420" w:right="320" w:hanging="331"/>
        <w:spacing w:after="0" w:line="282" w:lineRule="auto"/>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paid to clinical trial sites, contract research organizations, laboratories, database software and consultants that conduct clinical trials;</w:t>
      </w:r>
    </w:p>
    <w:p>
      <w:pPr>
        <w:spacing w:after="0" w:line="67" w:lineRule="exact"/>
        <w:rPr>
          <w:rFonts w:ascii="Times New Roman" w:cs="Times New Roman" w:eastAsia="Times New Roman" w:hAnsi="Times New Roman"/>
          <w:sz w:val="18"/>
          <w:szCs w:val="18"/>
          <w:color w:val="auto"/>
        </w:rPr>
      </w:pPr>
    </w:p>
    <w:p>
      <w:pPr>
        <w:ind w:left="1420" w:right="640" w:hanging="331"/>
        <w:spacing w:after="0" w:line="282" w:lineRule="auto"/>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development and the production of nonclinical and clinical trial supplies, including fees paid to contract manufacturers;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preclinical studies;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compliance with drug development regulatory requirements;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Our research and development expenses have increased year over year in each of 2020, 2021, and 2022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we expand our operating activities,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40"/>
          </w:cols>
          <w:pgMar w:left="440" w:top="297"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Critical Accounting Policies and Estimates</w:t>
      </w:r>
    </w:p>
    <w:p>
      <w:pPr>
        <w:spacing w:after="0" w:line="121"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expenses and the disclosure of contingent assets and liabilities at the date of the financial statements. On an ongoing basis, we evaluate our estimates and judgments, including those related to accrued research and development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milestones events per underlying agreements, invoices received and contracted costs when estimating the research and development costs to accrue in each reporting period. Actual results could differ from the Company’s estimates. The Company’s historical estimates for research and development costs have not been materially different from the actual costs.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9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93"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generate any revenue during the years ended December 31, 2022 and 2021,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comparative results of our operating expenses for the years ended December 31, 2022 and 2021 (in thousands):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21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4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142"/>
        </w:trPr>
        <w:tc>
          <w:tcPr>
            <w:tcW w:w="62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0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$245,441</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$205,164</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40,277</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48,130</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37,318</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10,812</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(2,185)</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(363)</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1,822</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3,964</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3,964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(273)</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(273)</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28"/>
        </w:trPr>
        <w:tc>
          <w:tcPr>
            <w:tcW w:w="6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$295,350</w:t>
            </w:r>
          </w:p>
        </w:tc>
        <w:tc>
          <w:tcPr>
            <w:tcW w:w="3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$241,846</w:t>
            </w:r>
          </w:p>
        </w:tc>
        <w:tc>
          <w:tcPr>
            <w:tcW w:w="3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53,504</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were $245.4 million for the year ended December 31, 2022 compared to $205.2 million for the year ended December 31, 2021. Research and development expenses increased by $40.3 million in the 2022 period due primarily to the additional activities related to our Phase 3 clinical trials, an increase in headcount, and an increase in stock compensation expense. We expect our research and development expenses to increase as we advance our clinical and preclinical development programs for resmetirom.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were $48.1 million for the year ended December 31, 2022 compared to $37.3 million for the year ended December 31, 2021. General and administrative expenses increased by $10.8 million in the 2022 period due primarily to increases in commercial preparation activities, including corresponding increase in headcount, and an increase in stock compensation expense. We believe our general and administrative expenses may increase over time as we advance our clinical and preclinical development programs for resmetirom, prepare for commercialization, and expand our operating activities, which will likely result in an increase in our headcount, consulting services, and related overhead needed to support those efforts.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Our interest income was $2.2 million for the year ended December 31, 2022 compared to $0.4 million for the year ended December 31, 2021. The increase in interest income was due primarily to a higher average principal balance in our investment account in 2022 and increased interest rates.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Our interest expense was $4.0 million for year ended December 31, 2022, compared to $0 million for the year ended December 31, 2021. The increase in interest expense was as a result of the Loan and Security Agreement (“Loan Facility”) we entered into with Hercules during the second quarter of 2022.</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440" w:top="293"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Comparison of the Years Ended December 31, 2021 and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generate any revenue during the years ended December 31, 2021 and 2020,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comparative results of our operating expenses for the years ended December 31, 2021 and 2020 (in thousands):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1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Increase / (Decrease)</w:t>
            </w:r>
          </w:p>
        </w:tc>
      </w:tr>
      <w:tr>
        <w:trPr>
          <w:trHeight w:val="142"/>
        </w:trPr>
        <w:tc>
          <w:tcPr>
            <w:tcW w:w="62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$205,164</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$184,809</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37,318</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21,864</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15,454</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(363)</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(4,329)</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(3,966)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(273)</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7"/>
        </w:trPr>
        <w:tc>
          <w:tcPr>
            <w:tcW w:w="6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$241,846</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$202,244</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39,602</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were $205.2 million for the year ended December 31, 2021 compared to $184.8 million for the year ended December 31, 2020. Research and development expenses increased by $20.4 million in the 2021 period due primarily to the additional activities related to our Phase 3 clinical trials, an increase in headcount, and an increase in stock compensation expense. We expect our research and development expenses to increase as we advance our clinical and preclinical development programs for resmetirom.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were $37.3 million for the year ended December 31, 2021 compared to $21.9 million for the year ended December 31, 2020. General and administrative expenses increased by $15.5 million in the 2021 period due primarily to increases in commercial activities, including a corresponding increase in headcount, and an increase in stock compensation expense. We believe our general and administrative expenses may increase over time as we advance our clinical and preclinical development programs for resmetirom, prepare for commercialization, and expand our operating activities, which will likely result in an increase in our headcount, consulting services, and related overhead needed to support those efforts.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Our interest income was $0.4 million for the year ended December 31, 2021 compared to $4.3 million for the year ended December 31, 2020. The decrease in interest income was due primarily to a lower average principal balance in our investment account in 2021 and decreased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we have funded our operations primarily through the issuance of convertible debt, the issuance of shares of our common stock and shares of our preferred stock, and the proceeds from the merger.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93" w:right="479" w:bottom="1440" w:gutter="0" w:footer="0" w:header="0"/>
        </w:sectPr>
      </w:pPr>
    </w:p>
    <w:bookmarkStart w:id="71" w:name="page72"/>
    <w:bookmarkEnd w:id="71"/>
    <w:p>
      <w:pPr>
        <w:ind w:right="48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As of December 31, 2022, we had cash, cash equivalents and marketable securities totaling $358.8 million compared to $270.3 million as of December 31, 2021, with the increase attributable to our fundraising activities, including net proceeds of $155.9 million from our $200 million at-the-market sales agreement entered into in June of 2021, with Cowen and Company, LLC (the “2021 Sales Agreement”), net proceeds of</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$99.5 million from our registered direct offering (“Registered Direct Offering”) of shares of our common stock and Series B Convertible Preferred Stock (“Series B Preferred Stock”) in December 2022, and $50.0 million drawn on our Loan Facility, partially offset by cash used in operating activities. Our cash and investment balances are held in a variety of interest-bearing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8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We anticipate continuing to incur operating losses for the foreseeable future. While our rate of cash usage will likely increase in the future, in particular to support our product development and clinical trial efforts, we believe our available cash resources as of December 31, 2022 will be sufficient to fund our operations past one year from the issuance of the financial statements contained herein. Our future long-term liquidity requirements will be substantial and will depend on many factors. To meet future long-term liquidity requirements, as well as maintain compliance with certain of our Loan Facility covenants, we will need to raise additional capital to fund our operations through equity or debt financings, collaborations, partnerships or other strategic transactions. We regularly consider fundraising opportunities and may decide, from time to time, to raise capital based on various factors, including market conditions and our plans of operation. Additional capital may not be available on terms acceptable to us, or at all. We also have the ability to delay certain research activities and related clinical expenses if necessary due to liquidity concerns until a date when those concerns are relieved.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net cash flow activity (in thousands):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$(224,857)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(183,917)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(157,561)</w:t>
            </w:r>
          </w:p>
        </w:tc>
        <w:tc>
          <w:tcPr>
            <w:tcW w:w="12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206,686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159,780</w:t>
            </w:r>
          </w:p>
        </w:tc>
        <w:tc>
          <w:tcPr>
            <w:tcW w:w="1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shd w:val="clear" w:color="auto" w:fill="CCEEFF"/>
          </w:tcPr>
          <w:p>
            <w:pPr>
              <w:spacing w:after="0"/>
              <w:rPr>
                <w:sz w:val="18"/>
                <w:szCs w:val="18"/>
                <w:color w:val="auto"/>
              </w:rPr>
            </w:pPr>
          </w:p>
        </w:tc>
      </w:tr>
      <w:tr>
        <w:trPr>
          <w:trHeight w:val="228"/>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$ 295,280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20" w:type="dxa"/>
            <w:vAlign w:val="bottom"/>
          </w:tcPr>
          <w:p>
            <w:pPr>
              <w:spacing w:after="0"/>
              <w:rPr>
                <w:sz w:val="19"/>
                <w:szCs w:val="19"/>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$224.9 million, $183.9 million, and $157.6 million for the years ended December 31, 2022, 2021 and 2020, respectively. The use of cash in these periods resulted primarily from our losses from operations, as adjusted for non-cash charges for stock-based compensation, and changes in our working capital accounts. Net cash used in the year ended December 31, 2022 increased from prior years predominately due to escalated clinical trial related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Net cash provided by investing activities was $206.7 million for the year ended December 31, 2022 and consisted primarily of $350.4 million from sales and maturities of marketable securities, partially offset by $ $143.5 million of purchase of marketable securities for our investment portfolio.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97" w:right="439" w:bottom="1440" w:gutter="0" w:footer="0" w:header="0"/>
        </w:sectPr>
      </w:pPr>
    </w:p>
    <w:bookmarkStart w:id="72" w:name="page73"/>
    <w:bookmarkEnd w:id="72"/>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Net cash used in investing activities was $5.1 million for the year ended December 31, 2021 and consisted primarily of $394.1 million of purchase of marketable securities for our investment portfolio, partially offset by $389.3 million from sales and maturities of marketable securities.</w:t>
      </w:r>
    </w:p>
    <w:p>
      <w:pPr>
        <w:spacing w:after="0" w:line="162" w:lineRule="exact"/>
        <w:rPr>
          <w:sz w:val="20"/>
          <w:szCs w:val="20"/>
          <w:color w:val="auto"/>
        </w:rPr>
      </w:pPr>
    </w:p>
    <w:p>
      <w:pPr>
        <w:ind w:right="240" w:firstLine="440"/>
        <w:spacing w:after="0" w:line="312" w:lineRule="auto"/>
        <w:rPr>
          <w:sz w:val="20"/>
          <w:szCs w:val="20"/>
          <w:color w:val="auto"/>
        </w:rPr>
      </w:pPr>
      <w:r>
        <w:rPr>
          <w:rFonts w:ascii="Times New Roman" w:cs="Times New Roman" w:eastAsia="Times New Roman" w:hAnsi="Times New Roman"/>
          <w:sz w:val="17"/>
          <w:szCs w:val="17"/>
          <w:color w:val="auto"/>
        </w:rPr>
        <w:t>Net cash provided by investing activities was $159.8 million for the year ended December 31, 2020 and consisted primarily of $489.5 million from sales and maturities of marketable securities, partially offset by $329.3 million of purchase of marketable securities for our investment portfolio.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$313.5 million for the year ended December 31, 2022 and consisted primarily of sales of our common stock under the 2021 Sales Agreement and Registered Direct Offering in December, and debt borrowings under our Loan Facility.</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$171.2 million for the year ended December 31, 2021 and consisted primarily of sales of our common stock under the 2021 Sales Agreement and the exercise of stock options.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$5.1 million for the year ended December 31, 2020 and consisted primarily of sales of our common stock under our at-the-market sales agreements with Cowen and Company, LLC and the exercise of stock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2022, we had contractual obligations and commercial commitments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84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78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38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1 - 3 Years</w:t>
            </w:r>
          </w:p>
        </w:tc>
        <w:tc>
          <w:tcPr>
            <w:tcW w:w="52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4 - 5 Years</w:t>
            </w:r>
          </w:p>
        </w:tc>
        <w:tc>
          <w:tcPr>
            <w:tcW w:w="52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Operating leases relate to our corporate headquarters facility located in West Conshohocken, Pennsylvania.</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May 2022 we entered into the $250.0 million Loan Facility with the several banks and other financial institutions or entities party thereto (each, a “Lender” and collectively referred to as the “Lenders”), and Hercules Capital, Inc. (“Hercules”), in its capacity as administrative agent and collateral agent for itself and the Lenders. As of December 31, 2022, we had drawn $50 million under the facility. We are scheduled to pay interest-only monthly payments of accrued interest under the Loan Facility through May 1, 2025, which period may be extended to May 1, 2026 and May 3, 2027 upon the achievement of our regulatory approval milestone and future revenue milestones, and subject to compliance with applicable covenants.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entered into customary contractual arrangements in support of the Phase 3 clinical trials.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have any off balance sheet arrangements as defined in Item 303(a)(4)(ii)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in the accompanying notes to the consolidated financial statements for a discussion of recent accounting pronouncements.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97" w:right="439" w:bottom="1440" w:gutter="0" w:footer="0" w:header="0"/>
        </w:sectPr>
      </w:pPr>
    </w:p>
    <w:bookmarkStart w:id="73" w:name="page74"/>
    <w:bookmarkEnd w:id="7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an effective duration in excess of twenty-four months, which we believe are subject to limited credit risk. We currently do not hedge interest rate exposure. Due to the short-term duration of our investment portfolio and the low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18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In May 2022 we entered into a Loan Facility that has an interest rate that is linked to the prime rate. We do not believe that we have any material exposure to interest rate risk given the current principal amount of the loan.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 Risk</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We currently have no product revenues and depend on funds raised through other sources. One source of funding is through future debt or equity offerings. Our ability to raise funds in this manner depends upon, among other things, capital market forces affecting our stock price.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Inflation has not had a material effect on our business, financial condition or results of operations during the years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or 2020.</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121"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8 is referred to in Item 15, listed in the Index to Financial Statements as a part of this Annual Report on Form 10-K, and is incorporated herein by this reference.</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Under the supervision of our principal executive officer and principal financial officer, we evaluated the effectiveness of our disclosure controls and procedures as of the end of the period covered by this Report. Based on that evaluation, our principal executive officer and principal financial officer have concluded that our disclosure controls and procedures were effective at the reasonable assurance level as of December 31, 2022.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0"/>
          </w:cols>
          <w:pgMar w:left="440" w:top="293"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Limitations on the Effectiveness of Controls and Procedures</w:t>
      </w:r>
    </w:p>
    <w:p>
      <w:pPr>
        <w:spacing w:after="0" w:line="1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for our company. Internal control over financial reporting is a process designed to provide reasonable assurance regarding the reliability of financial reporting and the preparation of financial statements for external purposes in accordance with GAAP.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our principal financial officer, assessed the effectiveness of our internal control over financial reporting as of December 31, 2022. In making this assessment, our management used the criteria set forth in the “Internal Control— Integrated Framework” issued by the Committee of Sponsoring Organizations of the Treadway Commission (2013 framework). Based on its assessment under that framework, our management concluded that our internal control over financial reporting was effective as of December 31, 2022.</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has audited the effectiveness of our internal control over financial reporting as of December 31, 2022, as stated in its report, which is included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December 31, 2022 that have materially affected, or are reasonably likely to materially affect our internal control over financial reporting.</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440" w:top="293" w:right="439" w:bottom="1440" w:gutter="0" w:footer="0" w:header="0"/>
        </w:sectPr>
      </w:pPr>
    </w:p>
    <w:bookmarkStart w:id="75" w:name="page76"/>
    <w:bookmarkEnd w:id="7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 III</w:t>
      </w:r>
    </w:p>
    <w:p>
      <w:pPr>
        <w:spacing w:after="0" w:line="229"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Certain information required by Part III is omitted from this Annual Report on Form 10-K because we intend to file our definitive Proxy Statement for our next Annual Meeting of Stockholders, pursuant to Regulation 14A of the Securities Exchange Act of 1934, as amended, or the 2023 Proxy Statement, no later than April 30, 2023, and certain information to be included in the 2023 Proxy Statement is incorporated herein by reference.</w:t>
      </w:r>
    </w:p>
    <w:p>
      <w:pPr>
        <w:spacing w:after="0" w:line="3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concerning our directors, executive officers, Section 16 compliance and corporate governance matters is incorporated by reference in our 2023 Proxy Statement.</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required by this item regarding executive compensation is incorporated by reference in our 2023 Proxy Statement.</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is incorporated by reference in our 2023 Proxy Statement. In addition, information about our equity compensation plans is incorporated herein by reference to our 2023 Proxy Statement.</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is incorporated by reference in our 2023 Proxy Statement.</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jc w:val="center"/>
        <w:ind w:left="880"/>
        <w:spacing w:after="0" w:line="454"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accounting fees and services is incorporated by reference in our 2023 Proxy Statement. 74</w:t>
      </w:r>
    </w:p>
    <w:p>
      <w:pPr>
        <w:sectPr>
          <w:pgSz w:w="11900" w:h="16838" w:orient="portrait"/>
          <w:cols w:equalWidth="0" w:num="1">
            <w:col w:w="10880"/>
          </w:cols>
          <w:pgMar w:left="440" w:top="293" w:right="579" w:bottom="1440" w:gutter="0" w:footer="0" w:header="0"/>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PART IV</w:t>
      </w:r>
    </w:p>
    <w:p>
      <w:pPr>
        <w:spacing w:after="0" w:line="252"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Item 15(a)</w:t>
      </w:r>
      <w:r>
        <w:rPr>
          <w:sz w:val="20"/>
          <w:szCs w:val="20"/>
          <w:color w:val="auto"/>
        </w:rPr>
        <w:tab/>
      </w:r>
      <w:r>
        <w:rPr>
          <w:rFonts w:ascii="Times New Roman" w:cs="Times New Roman" w:eastAsia="Times New Roman" w:hAnsi="Times New Roman"/>
          <w:sz w:val="17"/>
          <w:szCs w:val="17"/>
          <w:color w:val="auto"/>
        </w:rPr>
        <w:t>The following documents are filed as part of, or incorporated by reference into, this Annual Report on Form 10-K:</w:t>
      </w:r>
    </w:p>
    <w:p>
      <w:pPr>
        <w:spacing w:after="0" w:line="117"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Item 15(a)(1) and (2)</w:t>
      </w:r>
      <w:r>
        <w:rPr>
          <w:sz w:val="20"/>
          <w:szCs w:val="20"/>
          <w:color w:val="auto"/>
        </w:rPr>
        <w:tab/>
      </w:r>
      <w:r>
        <w:rPr>
          <w:rFonts w:ascii="Times New Roman" w:cs="Times New Roman" w:eastAsia="Times New Roman" w:hAnsi="Times New Roman"/>
          <w:sz w:val="17"/>
          <w:szCs w:val="17"/>
          <w:color w:val="auto"/>
        </w:rPr>
        <w:t>The Consolidated Financial Statements beginning on page F-1 are filed as part of this Annual Report on Form 10-K.</w:t>
      </w:r>
    </w:p>
    <w:p>
      <w:pPr>
        <w:spacing w:after="0" w:line="31" w:lineRule="exact"/>
        <w:rPr>
          <w:sz w:val="20"/>
          <w:szCs w:val="20"/>
          <w:color w:val="auto"/>
        </w:rPr>
      </w:pPr>
    </w:p>
    <w:p>
      <w:pPr>
        <w:ind w:left="2320" w:right="200"/>
        <w:spacing w:after="0" w:line="260" w:lineRule="auto"/>
        <w:rPr>
          <w:sz w:val="20"/>
          <w:szCs w:val="20"/>
          <w:color w:val="auto"/>
        </w:rPr>
      </w:pPr>
      <w:r>
        <w:rPr>
          <w:rFonts w:ascii="Times New Roman" w:cs="Times New Roman" w:eastAsia="Times New Roman" w:hAnsi="Times New Roman"/>
          <w:sz w:val="18"/>
          <w:szCs w:val="18"/>
          <w:color w:val="auto"/>
        </w:rPr>
        <w:t>Other financial statement schedules have been omitted because the information required to be presented in them is not applicable or is shown in the financial statements or related notes.</w:t>
      </w:r>
    </w:p>
    <w:p>
      <w:pPr>
        <w:spacing w:after="0" w:line="69"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Item 15(a)(3)</w:t>
      </w:r>
      <w:r>
        <w:rPr>
          <w:sz w:val="20"/>
          <w:szCs w:val="20"/>
          <w:color w:val="auto"/>
        </w:rPr>
        <w:tab/>
      </w:r>
      <w:r>
        <w:rPr>
          <w:rFonts w:ascii="Times New Roman" w:cs="Times New Roman" w:eastAsia="Times New Roman" w:hAnsi="Times New Roman"/>
          <w:sz w:val="17"/>
          <w:szCs w:val="17"/>
          <w:color w:val="auto"/>
        </w:rPr>
        <w:t>We have filed, or incorporated into this Annual Report on Form 10-K by reference, the exhibits listed on the</w:t>
      </w:r>
    </w:p>
    <w:p>
      <w:pPr>
        <w:spacing w:after="0" w:line="3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accompanying Exhibit Index.</w:t>
      </w:r>
    </w:p>
    <w:p>
      <w:pPr>
        <w:sectPr>
          <w:pgSz w:w="11900" w:h="16838" w:orient="portrait"/>
          <w:cols w:equalWidth="0" w:num="1">
            <w:col w:w="11020"/>
          </w:cols>
          <w:pgMar w:left="440" w:top="293" w:right="439" w:bottom="1440" w:gutter="0" w:footer="0" w:header="0"/>
        </w:sectPr>
      </w:pP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15(b)</w:t>
            </w:r>
          </w:p>
        </w:tc>
        <w:tc>
          <w:tcPr>
            <w:tcW w:w="5380" w:type="dxa"/>
            <w:vAlign w:val="bottom"/>
            <w:gridSpan w:val="7"/>
          </w:tcPr>
          <w:p>
            <w:pPr>
              <w:jc w:val="right"/>
              <w:ind w:right="2100"/>
              <w:spacing w:after="0"/>
              <w:rPr>
                <w:sz w:val="20"/>
                <w:szCs w:val="20"/>
                <w:color w:val="auto"/>
              </w:rPr>
            </w:pPr>
            <w:r>
              <w:rPr>
                <w:rFonts w:ascii="Times New Roman" w:cs="Times New Roman" w:eastAsia="Times New Roman" w:hAnsi="Times New Roman"/>
                <w:sz w:val="18"/>
                <w:szCs w:val="18"/>
                <w:color w:val="auto"/>
              </w:rPr>
              <w:t>See Item 15(a)(3) above.</w:t>
            </w:r>
          </w:p>
        </w:tc>
        <w:tc>
          <w:tcPr>
            <w:tcW w:w="0" w:type="dxa"/>
            <w:vAlign w:val="bottom"/>
          </w:tcPr>
          <w:p>
            <w:pPr>
              <w:spacing w:after="0"/>
              <w:rPr>
                <w:sz w:val="1"/>
                <w:szCs w:val="1"/>
                <w:color w:val="auto"/>
              </w:rPr>
            </w:pPr>
          </w:p>
        </w:tc>
      </w:tr>
      <w:tr>
        <w:trPr>
          <w:trHeight w:val="32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15(c)</w:t>
            </w:r>
          </w:p>
        </w:tc>
        <w:tc>
          <w:tcPr>
            <w:tcW w:w="5380" w:type="dxa"/>
            <w:vAlign w:val="bottom"/>
            <w:gridSpan w:val="7"/>
          </w:tcPr>
          <w:p>
            <w:pPr>
              <w:jc w:val="right"/>
              <w:ind w:right="2100"/>
              <w:spacing w:after="0"/>
              <w:rPr>
                <w:sz w:val="20"/>
                <w:szCs w:val="20"/>
                <w:color w:val="auto"/>
              </w:rPr>
            </w:pPr>
            <w:r>
              <w:rPr>
                <w:rFonts w:ascii="Times New Roman" w:cs="Times New Roman" w:eastAsia="Times New Roman" w:hAnsi="Times New Roman"/>
                <w:sz w:val="18"/>
                <w:szCs w:val="18"/>
                <w:color w:val="auto"/>
              </w:rPr>
              <w:t>See Item 15(a)(2) above.</w:t>
            </w:r>
          </w:p>
        </w:tc>
        <w:tc>
          <w:tcPr>
            <w:tcW w:w="0" w:type="dxa"/>
            <w:vAlign w:val="bottom"/>
          </w:tcPr>
          <w:p>
            <w:pPr>
              <w:spacing w:after="0"/>
              <w:rPr>
                <w:sz w:val="1"/>
                <w:szCs w:val="1"/>
                <w:color w:val="auto"/>
              </w:rPr>
            </w:pPr>
          </w:p>
        </w:tc>
      </w:tr>
      <w:tr>
        <w:trPr>
          <w:trHeight w:val="677"/>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380" w:type="dxa"/>
            <w:vAlign w:val="bottom"/>
            <w:gridSpan w:val="7"/>
            <w:vMerge w:val="restart"/>
          </w:tcPr>
          <w:p>
            <w:pPr>
              <w:jc w:val="right"/>
              <w:ind w:right="2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3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2"/>
                <w:szCs w:val="22"/>
                <w:color w:val="auto"/>
              </w:rPr>
            </w:pPr>
          </w:p>
        </w:tc>
        <w:tc>
          <w:tcPr>
            <w:tcW w:w="3940" w:type="dxa"/>
            <w:vAlign w:val="bottom"/>
            <w:tcBorders>
              <w:top w:val="single" w:sz="8" w:color="auto"/>
              <w:bottom w:val="single" w:sz="8" w:color="0000EE"/>
            </w:tcBorders>
            <w:gridSpan w:val="4"/>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Restated Certificate of Incorporation of the Registrant.</w:t>
              </w:r>
            </w:hyperlink>
          </w:p>
        </w:tc>
        <w:tc>
          <w:tcPr>
            <w:tcW w:w="1440" w:type="dxa"/>
            <w:vAlign w:val="bottom"/>
            <w:tcBorders>
              <w:top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5380" w:type="dxa"/>
            <w:vAlign w:val="bottom"/>
            <w:gridSpan w:val="7"/>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Certificate of Designation of Preferences, Rights and Limitations of</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Series A Convertible Preferred Stock.</w:t>
              </w:r>
            </w:hyperlink>
          </w:p>
        </w:tc>
        <w:tc>
          <w:tcPr>
            <w:tcW w:w="2160" w:type="dxa"/>
            <w:vAlign w:val="bottom"/>
            <w:tcBorders>
              <w:top w:val="single" w:sz="8" w:color="0000EE"/>
            </w:tcBorders>
            <w:gridSpan w:val="3"/>
          </w:tcPr>
          <w:p>
            <w:pPr>
              <w:spacing w:after="0"/>
              <w:rPr>
                <w:sz w:val="17"/>
                <w:szCs w:val="17"/>
                <w:color w:val="auto"/>
              </w:rPr>
            </w:pPr>
          </w:p>
        </w:tc>
        <w:tc>
          <w:tcPr>
            <w:tcW w:w="5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24"/>
                <w:szCs w:val="24"/>
                <w:color w:val="auto"/>
              </w:rPr>
            </w:pPr>
          </w:p>
        </w:tc>
        <w:tc>
          <w:tcPr>
            <w:tcW w:w="5380" w:type="dxa"/>
            <w:vAlign w:val="bottom"/>
            <w:gridSpan w:val="7"/>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Certificate of Designation of Preferences, Rights and Limitations of Series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3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B Convertible Preferred Stock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4"/>
                <w:szCs w:val="24"/>
                <w:color w:val="auto"/>
              </w:rPr>
            </w:pPr>
          </w:p>
        </w:tc>
        <w:tc>
          <w:tcPr>
            <w:tcW w:w="5380" w:type="dxa"/>
            <w:vAlign w:val="bottom"/>
            <w:gridSpan w:val="7"/>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Bylaws of the Registrant, as amended April 13, 2016.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SEC File /</w:t>
            </w:r>
          </w:p>
        </w:tc>
        <w:tc>
          <w:tcPr>
            <w:tcW w:w="0" w:type="dxa"/>
            <w:vAlign w:val="bottom"/>
          </w:tcPr>
          <w:p>
            <w:pPr>
              <w:spacing w:after="0"/>
              <w:rPr>
                <w:sz w:val="1"/>
                <w:szCs w:val="1"/>
                <w:color w:val="auto"/>
              </w:rPr>
            </w:pPr>
          </w:p>
        </w:tc>
      </w:tr>
      <w:tr>
        <w:trPr>
          <w:trHeight w:val="148"/>
        </w:trPr>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1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2"/>
                <w:szCs w:val="12"/>
                <w:color w:val="auto"/>
              </w:rPr>
            </w:pPr>
          </w:p>
        </w:tc>
        <w:tc>
          <w:tcPr>
            <w:tcW w:w="11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87"/>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8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10-K</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3/31/2017</w:t>
            </w: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001-33277</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6/21/2017</w:t>
            </w: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001-33277</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 (Exhibit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12/23/2022</w:t>
            </w: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001-33277</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DEFA14A;</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4/14/2016</w:t>
            </w: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001-33277</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3.1)</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ectPr>
          <w:pgSz w:w="11900" w:h="16838" w:orient="portrait"/>
          <w:cols w:equalWidth="0" w:num="2">
            <w:col w:w="6200" w:space="100"/>
            <w:col w:w="4720"/>
          </w:cols>
          <w:pgMar w:left="440" w:top="293" w:right="4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520" w:type="dxa"/>
            <w:vAlign w:val="bottom"/>
            <w:gridSpan w:val="9"/>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Warrant Agreement, dated May 9, 2022, between the Registrant</w:t>
              </w:r>
            </w:hyperlink>
          </w:p>
        </w:tc>
        <w:tc>
          <w:tcPr>
            <w:tcW w:w="2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Form 10-Q</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08/04/2022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r>
      <w:tr>
        <w:trPr>
          <w:trHeight w:val="196"/>
        </w:trPr>
        <w:tc>
          <w:tcPr>
            <w:tcW w:w="820" w:type="dxa"/>
            <w:vAlign w:val="bottom"/>
          </w:tcPr>
          <w:p>
            <w:pPr>
              <w:spacing w:after="0"/>
              <w:rPr>
                <w:sz w:val="17"/>
                <w:szCs w:val="17"/>
                <w:color w:val="auto"/>
              </w:rPr>
            </w:pPr>
          </w:p>
        </w:tc>
        <w:tc>
          <w:tcPr>
            <w:tcW w:w="29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and Hercules Capital, Inc. and affiliates.</w:t>
              </w:r>
            </w:hyperlink>
          </w:p>
        </w:tc>
        <w:tc>
          <w:tcPr>
            <w:tcW w:w="2320" w:type="dxa"/>
            <w:vAlign w:val="bottom"/>
            <w:tcBorders>
              <w:top w:val="single" w:sz="8" w:color="0000EE"/>
            </w:tcBorders>
            <w:gridSpan w:val="7"/>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Pr>
          <w:p>
            <w:pPr>
              <w:ind w:left="840"/>
              <w:spacing w:after="0" w:line="196" w:lineRule="exact"/>
              <w:rPr>
                <w:sz w:val="20"/>
                <w:szCs w:val="20"/>
                <w:color w:val="auto"/>
              </w:rPr>
            </w:pPr>
            <w:r>
              <w:rPr>
                <w:rFonts w:ascii="Times New Roman" w:cs="Times New Roman" w:eastAsia="Times New Roman" w:hAnsi="Times New Roman"/>
                <w:sz w:val="18"/>
                <w:szCs w:val="18"/>
                <w:color w:val="auto"/>
              </w:rPr>
              <w:t>(Exhibit 4.1)</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520" w:type="dxa"/>
            <w:vAlign w:val="bottom"/>
            <w:gridSpan w:val="9"/>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Tranche 2 Warrant Agreement, dated February 3, 2023, by and</w:t>
              </w:r>
            </w:hyperlink>
          </w:p>
        </w:tc>
        <w:tc>
          <w:tcPr>
            <w:tcW w:w="2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Form 8-K (Exhibit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r>
      <w:tr>
        <w:trPr>
          <w:trHeight w:val="196"/>
        </w:trPr>
        <w:tc>
          <w:tcPr>
            <w:tcW w:w="82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among the Registrant and Hercules Capital, Inc. and affiliates.</w:t>
              </w:r>
            </w:hyperlink>
          </w:p>
        </w:tc>
        <w:tc>
          <w:tcPr>
            <w:tcW w:w="660" w:type="dxa"/>
            <w:vAlign w:val="bottom"/>
            <w:tcBorders>
              <w:top w:val="single" w:sz="8" w:color="0000EE"/>
            </w:tcBorders>
            <w:gridSpan w:val="2"/>
          </w:tcPr>
          <w:p>
            <w:pPr>
              <w:spacing w:after="0"/>
              <w:rPr>
                <w:sz w:val="17"/>
                <w:szCs w:val="17"/>
                <w:color w:val="auto"/>
              </w:rPr>
            </w:pPr>
          </w:p>
        </w:tc>
        <w:tc>
          <w:tcPr>
            <w:tcW w:w="380" w:type="dxa"/>
            <w:vAlign w:val="bottom"/>
            <w:gridSpan w:val="3"/>
          </w:tcPr>
          <w:p>
            <w:pPr>
              <w:spacing w:after="0"/>
              <w:rPr>
                <w:sz w:val="17"/>
                <w:szCs w:val="17"/>
                <w:color w:val="auto"/>
              </w:rPr>
            </w:pPr>
          </w:p>
        </w:tc>
        <w:tc>
          <w:tcPr>
            <w:tcW w:w="2420" w:type="dxa"/>
            <w:vAlign w:val="bottom"/>
          </w:tcPr>
          <w:p>
            <w:pPr>
              <w:ind w:left="84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0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Description of Securities of the Registrant</w:t>
            </w:r>
          </w:p>
        </w:tc>
        <w:tc>
          <w:tcPr>
            <w:tcW w:w="2480" w:type="dxa"/>
            <w:vAlign w:val="bottom"/>
            <w:gridSpan w:val="7"/>
          </w:tcPr>
          <w:p>
            <w:pPr>
              <w:spacing w:after="0"/>
              <w:rPr>
                <w:sz w:val="24"/>
                <w:szCs w:val="24"/>
                <w:color w:val="auto"/>
              </w:rPr>
            </w:pPr>
          </w:p>
        </w:tc>
        <w:tc>
          <w:tcPr>
            <w:tcW w:w="2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5"/>
        </w:trPr>
        <w:tc>
          <w:tcPr>
            <w:tcW w:w="63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Agreements</w:t>
            </w: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1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Securities Purchase Agreement, dated June 20, 2017, by and among the</w:t>
              </w:r>
            </w:hyperlink>
          </w:p>
        </w:tc>
        <w:tc>
          <w:tcPr>
            <w:tcW w:w="360" w:type="dxa"/>
            <w:vAlign w:val="bottom"/>
            <w:gridSpan w:val="2"/>
          </w:tcPr>
          <w:p>
            <w:pPr>
              <w:spacing w:after="0"/>
              <w:rPr>
                <w:sz w:val="24"/>
                <w:szCs w:val="24"/>
                <w:color w:val="auto"/>
              </w:rPr>
            </w:pPr>
          </w:p>
        </w:tc>
        <w:tc>
          <w:tcPr>
            <w:tcW w:w="2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Form 8-K</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6/21/2017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r>
      <w:tr>
        <w:trPr>
          <w:trHeight w:val="196"/>
        </w:trPr>
        <w:tc>
          <w:tcPr>
            <w:tcW w:w="820" w:type="dxa"/>
            <w:vAlign w:val="bottom"/>
          </w:tcPr>
          <w:p>
            <w:pPr>
              <w:spacing w:after="0"/>
              <w:rPr>
                <w:sz w:val="17"/>
                <w:szCs w:val="17"/>
                <w:color w:val="auto"/>
              </w:rPr>
            </w:pPr>
          </w:p>
        </w:tc>
        <w:tc>
          <w:tcPr>
            <w:tcW w:w="5520" w:type="dxa"/>
            <w:vAlign w:val="bottom"/>
            <w:gridSpan w:val="9"/>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Registrant and the investors party thereto, including the Registration</w:t>
              </w:r>
            </w:hyperlink>
          </w:p>
        </w:tc>
        <w:tc>
          <w:tcPr>
            <w:tcW w:w="2420" w:type="dxa"/>
            <w:vAlign w:val="bottom"/>
          </w:tcPr>
          <w:p>
            <w:pPr>
              <w:ind w:left="840"/>
              <w:spacing w:after="0" w:line="196" w:lineRule="exact"/>
              <w:rPr>
                <w:sz w:val="20"/>
                <w:szCs w:val="20"/>
                <w:color w:val="auto"/>
              </w:rPr>
            </w:pPr>
            <w:r>
              <w:rPr>
                <w:rFonts w:ascii="Times New Roman" w:cs="Times New Roman" w:eastAsia="Times New Roman" w:hAnsi="Times New Roman"/>
                <w:sz w:val="18"/>
                <w:szCs w:val="18"/>
                <w:color w:val="auto"/>
              </w:rPr>
              <w:t>(Exhibit 10.1)</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820" w:type="dxa"/>
            <w:vAlign w:val="bottom"/>
          </w:tcPr>
          <w:p>
            <w:pPr>
              <w:spacing w:after="0"/>
              <w:rPr>
                <w:sz w:val="17"/>
                <w:szCs w:val="17"/>
                <w:color w:val="auto"/>
              </w:rPr>
            </w:pPr>
          </w:p>
        </w:tc>
        <w:tc>
          <w:tcPr>
            <w:tcW w:w="49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Rights Agreement attached as Exhibit B thereto.</w:t>
              </w:r>
            </w:hyperlink>
          </w:p>
        </w:tc>
        <w:tc>
          <w:tcPr>
            <w:tcW w:w="600" w:type="dxa"/>
            <w:vAlign w:val="bottom"/>
            <w:gridSpan w:val="4"/>
          </w:tcPr>
          <w:p>
            <w:pPr>
              <w:spacing w:after="0"/>
              <w:rPr>
                <w:sz w:val="17"/>
                <w:szCs w:val="17"/>
                <w:color w:val="auto"/>
              </w:rPr>
            </w:pPr>
          </w:p>
        </w:tc>
        <w:tc>
          <w:tcPr>
            <w:tcW w:w="2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85"/>
        </w:trPr>
        <w:tc>
          <w:tcPr>
            <w:tcW w:w="820" w:type="dxa"/>
            <w:vAlign w:val="bottom"/>
          </w:tcPr>
          <w:p>
            <w:pPr>
              <w:spacing w:after="0"/>
              <w:rPr>
                <w:sz w:val="24"/>
                <w:szCs w:val="24"/>
                <w:color w:val="auto"/>
              </w:rPr>
            </w:pPr>
          </w:p>
        </w:tc>
        <w:tc>
          <w:tcPr>
            <w:tcW w:w="3480" w:type="dxa"/>
            <w:vAlign w:val="bottom"/>
            <w:tcBorders>
              <w:top w:val="single" w:sz="8" w:color="0000EE"/>
            </w:tcBorders>
            <w:gridSpan w:val="3"/>
          </w:tcPr>
          <w:p>
            <w:pPr>
              <w:spacing w:after="0"/>
              <w:rPr>
                <w:sz w:val="24"/>
                <w:szCs w:val="2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type w:val="continuous"/>
        </w:sectPr>
      </w:pPr>
    </w:p>
    <w:bookmarkStart w:id="77" w:name="page78"/>
    <w:bookmarkEnd w:id="77"/>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tcPr>
          <w:p>
            <w:pPr>
              <w:spacing w:after="0"/>
              <w:rPr>
                <w:sz w:val="13"/>
                <w:szCs w:val="13"/>
                <w:color w:val="auto"/>
              </w:rPr>
            </w:pPr>
          </w:p>
        </w:tc>
        <w:tc>
          <w:tcPr>
            <w:tcW w:w="3580" w:type="dxa"/>
            <w:vAlign w:val="bottom"/>
            <w:gridSpan w:val="9"/>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00" w:type="dxa"/>
            <w:vAlign w:val="bottom"/>
          </w:tcPr>
          <w:p>
            <w:pPr>
              <w:spacing w:after="0"/>
              <w:rPr>
                <w:sz w:val="15"/>
                <w:szCs w:val="15"/>
                <w:color w:val="auto"/>
              </w:rPr>
            </w:pPr>
          </w:p>
        </w:tc>
        <w:tc>
          <w:tcPr>
            <w:tcW w:w="358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8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w w:val="95"/>
              </w:rPr>
              <w:t>10.2</w:t>
            </w:r>
          </w:p>
        </w:tc>
        <w:tc>
          <w:tcPr>
            <w:tcW w:w="220" w:type="dxa"/>
            <w:vAlign w:val="bottom"/>
          </w:tcPr>
          <w:p>
            <w:pPr>
              <w:spacing w:after="0"/>
              <w:rPr>
                <w:sz w:val="22"/>
                <w:szCs w:val="22"/>
                <w:color w:val="auto"/>
              </w:rPr>
            </w:pPr>
          </w:p>
        </w:tc>
        <w:tc>
          <w:tcPr>
            <w:tcW w:w="4960" w:type="dxa"/>
            <w:vAlign w:val="bottom"/>
            <w:tcBorders>
              <w:top w:val="single" w:sz="8" w:color="auto"/>
              <w:bottom w:val="single" w:sz="8" w:color="0000EE"/>
            </w:tcBorders>
            <w:gridSpan w:val="8"/>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Amendment No. 2, dated December 22, 2022, to Securities Purchase</w:t>
              </w:r>
            </w:hyperlink>
          </w:p>
        </w:tc>
        <w:tc>
          <w:tcPr>
            <w:tcW w:w="320" w:type="dxa"/>
            <w:vAlign w:val="bottom"/>
            <w:tcBorders>
              <w:top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gridSpan w:val="10"/>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Agreement, dated June 20, 2017, by and among the Registrant and the</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investors listed on the signature pages thereto.</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w w:val="95"/>
              </w:rPr>
              <w:t>10.3</w:t>
            </w:r>
          </w:p>
        </w:tc>
        <w:tc>
          <w:tcPr>
            <w:tcW w:w="220" w:type="dxa"/>
            <w:vAlign w:val="bottom"/>
          </w:tcPr>
          <w:p>
            <w:pPr>
              <w:spacing w:after="0"/>
              <w:rPr>
                <w:sz w:val="24"/>
                <w:szCs w:val="24"/>
                <w:color w:val="auto"/>
              </w:rPr>
            </w:pPr>
          </w:p>
        </w:tc>
        <w:tc>
          <w:tcPr>
            <w:tcW w:w="46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Sales Agreement, dated June 1, 2021, by and between Madrigal</w:t>
              </w:r>
            </w:hyperlink>
          </w:p>
        </w:tc>
        <w:tc>
          <w:tcPr>
            <w:tcW w:w="6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gridSpan w:val="10"/>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Pharmaceuticals, Inc. and Cowen and Company, LLC (concerning</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at-the-market offerings of Madrigal common stock).</w:t>
              </w:r>
            </w:hyperlink>
          </w:p>
        </w:tc>
        <w:tc>
          <w:tcPr>
            <w:tcW w:w="1000" w:type="dxa"/>
            <w:vAlign w:val="bottom"/>
            <w:tcBorders>
              <w:top w:val="single" w:sz="8" w:color="0000EE"/>
            </w:tcBorders>
            <w:gridSpan w:val="4"/>
          </w:tcPr>
          <w:p>
            <w:pPr>
              <w:spacing w:after="0"/>
              <w:rPr>
                <w:sz w:val="17"/>
                <w:szCs w:val="17"/>
                <w:color w:val="auto"/>
              </w:rPr>
            </w:pPr>
          </w:p>
        </w:tc>
        <w:tc>
          <w:tcPr>
            <w:tcW w:w="5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w w:val="95"/>
              </w:rPr>
              <w:t>10.4</w:t>
            </w:r>
          </w:p>
        </w:tc>
        <w:tc>
          <w:tcPr>
            <w:tcW w:w="220" w:type="dxa"/>
            <w:vAlign w:val="bottom"/>
          </w:tcPr>
          <w:p>
            <w:pPr>
              <w:spacing w:after="0"/>
              <w:rPr>
                <w:sz w:val="24"/>
                <w:szCs w:val="24"/>
                <w:color w:val="auto"/>
              </w:rPr>
            </w:pPr>
          </w:p>
        </w:tc>
        <w:tc>
          <w:tcPr>
            <w:tcW w:w="5280" w:type="dxa"/>
            <w:vAlign w:val="bottom"/>
            <w:gridSpan w:val="10"/>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Securities Purchase Agreement, dated December 21, 2022, by and</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among the Registrant and the institutional investors listed on the</w:t>
              </w:r>
            </w:hyperlink>
          </w:p>
        </w:tc>
        <w:tc>
          <w:tcPr>
            <w:tcW w:w="120" w:type="dxa"/>
            <w:vAlign w:val="bottom"/>
            <w:tcBorders>
              <w:top w:val="single" w:sz="8" w:color="0000EE"/>
            </w:tcBorders>
          </w:tcPr>
          <w:p>
            <w:pPr>
              <w:spacing w:after="0"/>
              <w:rPr>
                <w:sz w:val="17"/>
                <w:szCs w:val="17"/>
                <w:color w:val="auto"/>
              </w:rPr>
            </w:pPr>
          </w:p>
        </w:tc>
        <w:tc>
          <w:tcPr>
            <w:tcW w:w="5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gridSpan w:val="10"/>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signature pages thereto.</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Agreements</w:t>
      </w:r>
    </w:p>
    <w:p>
      <w:pPr>
        <w:spacing w:after="0" w:line="121" w:lineRule="exact"/>
        <w:rPr>
          <w:sz w:val="20"/>
          <w:szCs w:val="20"/>
          <w:color w:val="auto"/>
        </w:rPr>
      </w:pPr>
    </w:p>
    <w:p>
      <w:pPr>
        <w:ind w:left="800" w:right="200" w:hanging="809"/>
        <w:spacing w:after="0" w:line="261"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07">
        <w:r>
          <w:rPr>
            <w:rFonts w:ascii="Times New Roman" w:cs="Times New Roman" w:eastAsia="Times New Roman" w:hAnsi="Times New Roman"/>
            <w:sz w:val="18"/>
            <w:szCs w:val="18"/>
            <w:u w:val="single" w:color="auto"/>
            <w:color w:val="0000EE"/>
          </w:rPr>
          <w:t>Loan and Security Agreement, dated May 9, 2022, by and among the</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Registrant, Canticle Pharmaceuticals, Inc., the several banks and other</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financial institutions or entities from time to time party thereto and</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Hercules Capital, Inc.</w:t>
        </w:r>
      </w:hyperlink>
    </w:p>
    <w:p>
      <w:pPr>
        <w:spacing w:after="0" w:line="72" w:lineRule="exact"/>
        <w:rPr>
          <w:rFonts w:ascii="Times New Roman" w:cs="Times New Roman" w:eastAsia="Times New Roman" w:hAnsi="Times New Roman"/>
          <w:sz w:val="18"/>
          <w:szCs w:val="18"/>
          <w:u w:val="single" w:color="auto"/>
          <w:color w:val="0000EE"/>
        </w:rPr>
      </w:pPr>
    </w:p>
    <w:p>
      <w:pPr>
        <w:ind w:left="800" w:right="160" w:hanging="809"/>
        <w:spacing w:after="0" w:line="258"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08">
        <w:r>
          <w:rPr>
            <w:rFonts w:ascii="Times New Roman" w:cs="Times New Roman" w:eastAsia="Times New Roman" w:hAnsi="Times New Roman"/>
            <w:sz w:val="18"/>
            <w:szCs w:val="18"/>
            <w:u w:val="single" w:color="auto"/>
            <w:color w:val="0000EE"/>
          </w:rPr>
          <w:t>Loan and Security Agreement, dated May 9, 2022, as amended by the</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First Amendment to Loan and Security Agreement, dated February 3,</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2023, by and among the Registrant, Canticle Pharmaceuticals, Inc., the</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several banks and other financial institutions or entities from time to</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time party thereto and Hercules Capital, Inc.</w:t>
        </w:r>
      </w:hyperlink>
    </w:p>
    <w:p>
      <w:pPr>
        <w:spacing w:after="0" w:line="7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Respect to Collaborations, Licenses, Research and Development</w:t>
      </w:r>
    </w:p>
    <w:p>
      <w:pPr>
        <w:spacing w:after="0" w:line="121" w:lineRule="exact"/>
        <w:rPr>
          <w:rFonts w:ascii="Times New Roman" w:cs="Times New Roman" w:eastAsia="Times New Roman" w:hAnsi="Times New Roman"/>
          <w:sz w:val="18"/>
          <w:szCs w:val="18"/>
          <w:u w:val="single" w:color="auto"/>
          <w:color w:val="0000EE"/>
        </w:rPr>
      </w:pPr>
    </w:p>
    <w:p>
      <w:pPr>
        <w:jc w:val="both"/>
        <w:ind w:left="800" w:right="500" w:hanging="809"/>
        <w:spacing w:after="0" w:line="266"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09">
        <w:r>
          <w:rPr>
            <w:rFonts w:ascii="Times New Roman" w:cs="Times New Roman" w:eastAsia="Times New Roman" w:hAnsi="Times New Roman"/>
            <w:sz w:val="18"/>
            <w:szCs w:val="18"/>
            <w:u w:val="single" w:color="auto"/>
            <w:color w:val="0000EE"/>
          </w:rPr>
          <w:t>Research, Development and Commercialization Agreement, dated</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December 18, 2008, by and between Hoffmann-La Roche, Inc., F.</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Hoffmann-La Roche Ltd and the Registrant.†</w:t>
        </w:r>
      </w:hyperlink>
    </w:p>
    <w:p>
      <w:pPr>
        <w:spacing w:after="0" w:line="64"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Plans</w:t>
      </w:r>
    </w:p>
    <w:p>
      <w:pPr>
        <w:spacing w:after="0" w:line="121"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10">
        <w:r>
          <w:rPr>
            <w:rFonts w:ascii="Times New Roman" w:cs="Times New Roman" w:eastAsia="Times New Roman" w:hAnsi="Times New Roman"/>
            <w:sz w:val="18"/>
            <w:szCs w:val="18"/>
            <w:u w:val="single" w:color="auto"/>
            <w:color w:val="0000EE"/>
          </w:rPr>
          <w:t>Amended 2015 Stock Plan</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365" w:lineRule="exact"/>
        <w:rPr>
          <w:rFonts w:ascii="Times New Roman" w:cs="Times New Roman" w:eastAsia="Times New Roman" w:hAnsi="Times New Roman"/>
          <w:sz w:val="18"/>
          <w:szCs w:val="18"/>
          <w:u w:val="single" w:color="auto"/>
          <w:color w:val="0000EE"/>
        </w:rPr>
      </w:pPr>
    </w:p>
    <w:p>
      <w:pPr>
        <w:ind w:left="800" w:right="80" w:hanging="809"/>
        <w:spacing w:after="0" w:line="282"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11">
        <w:r>
          <w:rPr>
            <w:rFonts w:ascii="Times New Roman" w:cs="Times New Roman" w:eastAsia="Times New Roman" w:hAnsi="Times New Roman"/>
            <w:sz w:val="18"/>
            <w:szCs w:val="18"/>
            <w:u w:val="single" w:color="auto"/>
            <w:color w:val="0000EE"/>
          </w:rPr>
          <w:t>Form of Incentive Stock Option Agreement under Amended 2015 Stock</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Plan.</w:t>
        </w:r>
      </w:hyperlink>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 /</w:t>
            </w:r>
          </w:p>
        </w:tc>
        <w:tc>
          <w:tcPr>
            <w:tcW w:w="0" w:type="dxa"/>
            <w:vAlign w:val="bottom"/>
          </w:tcPr>
          <w:p>
            <w:pPr>
              <w:spacing w:after="0"/>
              <w:rPr>
                <w:sz w:val="1"/>
                <w:szCs w:val="1"/>
                <w:color w:val="auto"/>
              </w:rPr>
            </w:pPr>
          </w:p>
        </w:tc>
      </w:tr>
      <w:tr>
        <w:trPr>
          <w:trHeight w:val="148"/>
        </w:trPr>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10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87"/>
        </w:trPr>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86"/>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8-K (Exhibit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6/1/2021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1.1)</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8-K (Exhibit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10-Q</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10-Q</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11/14/2016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10.5)</w:t>
            </w: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84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Definitive</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4/30/2021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Proxy</w:t>
            </w: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Statement</w:t>
            </w: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(Annex A)</w:t>
            </w: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0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3/31/2017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001-33277</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(Exhibit 10.10)</w:t>
            </w: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ectPr>
          <w:pgSz w:w="11900" w:h="16838" w:orient="portrait"/>
          <w:cols w:equalWidth="0" w:num="2">
            <w:col w:w="6080" w:space="120"/>
            <w:col w:w="4820"/>
          </w:cols>
          <w:pgMar w:left="440" w:top="278" w:right="439" w:bottom="1440" w:gutter="0" w:footer="0" w:header="0"/>
        </w:sectPr>
      </w:pPr>
    </w:p>
    <w:bookmarkStart w:id="78" w:name="page79"/>
    <w:bookmarkEnd w:id="78"/>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3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jc w:val="right"/>
              <w:ind w:right="216"/>
              <w:spacing w:after="0" w:line="169" w:lineRule="exact"/>
              <w:rPr>
                <w:sz w:val="20"/>
                <w:szCs w:val="20"/>
                <w:color w:val="auto"/>
              </w:rPr>
            </w:pPr>
            <w:r>
              <w:rPr>
                <w:rFonts w:ascii="Times New Roman" w:cs="Times New Roman" w:eastAsia="Times New Roman" w:hAnsi="Times New Roman"/>
                <w:sz w:val="18"/>
                <w:szCs w:val="18"/>
                <w:color w:val="auto"/>
                <w:w w:val="96"/>
              </w:rPr>
              <w:t>10.10*</w:t>
            </w:r>
          </w:p>
        </w:tc>
        <w:tc>
          <w:tcPr>
            <w:tcW w:w="120" w:type="dxa"/>
            <w:vAlign w:val="bottom"/>
          </w:tcPr>
          <w:p>
            <w:pPr>
              <w:spacing w:after="0"/>
              <w:rPr>
                <w:sz w:val="14"/>
                <w:szCs w:val="14"/>
                <w:color w:val="auto"/>
              </w:rPr>
            </w:pPr>
          </w:p>
        </w:tc>
        <w:tc>
          <w:tcPr>
            <w:tcW w:w="5280" w:type="dxa"/>
            <w:vAlign w:val="bottom"/>
            <w:tcBorders>
              <w:top w:val="single" w:sz="8" w:color="auto"/>
            </w:tcBorders>
            <w:gridSpan w:val="8"/>
          </w:tcPr>
          <w:p>
            <w:pPr>
              <w:spacing w:after="0" w:line="169"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of Nonqualified Stock Option Agreement under Amended 2015</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13">
              <w:r>
                <w:rPr>
                  <w:rFonts w:ascii="Times New Roman" w:cs="Times New Roman" w:eastAsia="Times New Roman" w:hAnsi="Times New Roman"/>
                  <w:sz w:val="18"/>
                  <w:szCs w:val="18"/>
                  <w:color w:val="0000EE"/>
                  <w:w w:val="97"/>
                </w:rPr>
                <w:t>Stock Plan.</w:t>
              </w:r>
            </w:hyperlink>
          </w:p>
        </w:tc>
        <w:tc>
          <w:tcPr>
            <w:tcW w:w="4200" w:type="dxa"/>
            <w:vAlign w:val="bottom"/>
            <w:tcBorders>
              <w:top w:val="single" w:sz="8" w:color="0000EE"/>
            </w:tcBorders>
            <w:gridSpan w:val="4"/>
          </w:tcPr>
          <w:p>
            <w:pPr>
              <w:spacing w:after="0"/>
              <w:rPr>
                <w:sz w:val="17"/>
                <w:szCs w:val="17"/>
                <w:color w:val="auto"/>
              </w:rPr>
            </w:pPr>
          </w:p>
        </w:tc>
        <w:tc>
          <w:tcPr>
            <w:tcW w:w="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92"/>
              </w:rPr>
              <w:t>10.11*</w:t>
            </w:r>
          </w:p>
        </w:tc>
        <w:tc>
          <w:tcPr>
            <w:tcW w:w="120" w:type="dxa"/>
            <w:vAlign w:val="bottom"/>
          </w:tcPr>
          <w:p>
            <w:pPr>
              <w:spacing w:after="0"/>
              <w:rPr>
                <w:sz w:val="24"/>
                <w:szCs w:val="24"/>
                <w:color w:val="auto"/>
              </w:rPr>
            </w:pPr>
          </w:p>
        </w:tc>
        <w:tc>
          <w:tcPr>
            <w:tcW w:w="5280" w:type="dxa"/>
            <w:vAlign w:val="bottom"/>
            <w:gridSpan w:val="8"/>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Nonqualified Stock Option Agreement for Directors under</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Amended 2015 Stock Plan.</w:t>
              </w:r>
            </w:hyperlink>
          </w:p>
        </w:tc>
        <w:tc>
          <w:tcPr>
            <w:tcW w:w="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96"/>
              </w:rPr>
              <w:t>10.12*</w:t>
            </w:r>
          </w:p>
        </w:tc>
        <w:tc>
          <w:tcPr>
            <w:tcW w:w="120" w:type="dxa"/>
            <w:vAlign w:val="bottom"/>
          </w:tcPr>
          <w:p>
            <w:pPr>
              <w:spacing w:after="0"/>
              <w:rPr>
                <w:sz w:val="24"/>
                <w:szCs w:val="24"/>
                <w:color w:val="auto"/>
              </w:rPr>
            </w:pPr>
          </w:p>
        </w:tc>
        <w:tc>
          <w:tcPr>
            <w:tcW w:w="50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Form of Restricted Stock Unit Agreement under Amended 2015 Stock</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3"/>
              </w:rPr>
              <w:t>Plan.</w:t>
            </w:r>
          </w:p>
        </w:tc>
        <w:tc>
          <w:tcPr>
            <w:tcW w:w="49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96"/>
              </w:rPr>
              <w:t>10.13*</w:t>
            </w:r>
          </w:p>
        </w:tc>
        <w:tc>
          <w:tcPr>
            <w:tcW w:w="120" w:type="dxa"/>
            <w:vAlign w:val="bottom"/>
          </w:tcPr>
          <w:p>
            <w:pPr>
              <w:spacing w:after="0"/>
              <w:rPr>
                <w:sz w:val="24"/>
                <w:szCs w:val="24"/>
                <w:color w:val="auto"/>
              </w:rPr>
            </w:pPr>
          </w:p>
        </w:tc>
        <w:tc>
          <w:tcPr>
            <w:tcW w:w="38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Non-Employee Director Equity Compensation Policy</w:t>
              </w:r>
            </w:hyperlink>
          </w:p>
        </w:tc>
        <w:tc>
          <w:tcPr>
            <w:tcW w:w="1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Executive Officers and Directors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1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Form of Indemnification Agreement between the Registrant and certain</w:t>
              </w:r>
            </w:hyperlink>
          </w:p>
        </w:tc>
        <w:tc>
          <w:tcPr>
            <w:tcW w:w="10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3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directors and executive officers.</w:t>
              </w:r>
            </w:hyperlink>
          </w:p>
        </w:tc>
        <w:tc>
          <w:tcPr>
            <w:tcW w:w="2960" w:type="dxa"/>
            <w:vAlign w:val="bottom"/>
            <w:gridSpan w:val="11"/>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0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Letter Agreement, dated April 13, 2016, by and between the Company</w:t>
              </w:r>
            </w:hyperlink>
          </w:p>
        </w:tc>
        <w:tc>
          <w:tcPr>
            <w:tcW w:w="18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260" w:type="dxa"/>
            <w:vAlign w:val="bottom"/>
            <w:gridSpan w:val="16"/>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and Paul A. Friedman, M.D.</w:t>
              </w:r>
            </w:hyperlink>
          </w:p>
        </w:tc>
      </w:tr>
      <w:tr>
        <w:trPr>
          <w:trHeight w:val="20"/>
        </w:trPr>
        <w:tc>
          <w:tcPr>
            <w:tcW w:w="9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0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Letter Agreement, dated April 13, 2016, by and between the Company</w:t>
              </w:r>
            </w:hyperlink>
          </w:p>
        </w:tc>
        <w:tc>
          <w:tcPr>
            <w:tcW w:w="18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18">
              <w:r>
                <w:rPr>
                  <w:rFonts w:ascii="Times New Roman" w:cs="Times New Roman" w:eastAsia="Times New Roman" w:hAnsi="Times New Roman"/>
                  <w:sz w:val="18"/>
                  <w:szCs w:val="18"/>
                  <w:color w:val="0000EE"/>
                  <w:w w:val="97"/>
                </w:rPr>
                <w:t>and Rebecca Taub, M.D.</w:t>
              </w:r>
            </w:hyperlink>
          </w:p>
        </w:tc>
        <w:tc>
          <w:tcPr>
            <w:tcW w:w="3480" w:type="dxa"/>
            <w:vAlign w:val="bottom"/>
            <w:gridSpan w:val="13"/>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List of Subsidiaries.</w:t>
            </w:r>
          </w:p>
        </w:tc>
        <w:tc>
          <w:tcPr>
            <w:tcW w:w="3820" w:type="dxa"/>
            <w:vAlign w:val="bottom"/>
            <w:gridSpan w:val="14"/>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2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 LLP, Independent Registered Public</w:t>
            </w:r>
          </w:p>
        </w:tc>
      </w:tr>
      <w:tr>
        <w:trPr>
          <w:trHeight w:val="196"/>
        </w:trPr>
        <w:tc>
          <w:tcPr>
            <w:tcW w:w="92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Accounting Firm.</w:t>
            </w:r>
          </w:p>
        </w:tc>
        <w:tc>
          <w:tcPr>
            <w:tcW w:w="3980" w:type="dxa"/>
            <w:vAlign w:val="bottom"/>
            <w:gridSpan w:val="15"/>
          </w:tcPr>
          <w:p>
            <w:pPr>
              <w:spacing w:after="0"/>
              <w:rPr>
                <w:sz w:val="17"/>
                <w:szCs w:val="17"/>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1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required by Rule 13a-14(a)</w:t>
            </w:r>
          </w:p>
        </w:tc>
        <w:tc>
          <w:tcPr>
            <w:tcW w:w="14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or Rule 15d-14(a) of the Securities Exchange Act of 1934, as adopted</w:t>
            </w:r>
          </w:p>
        </w:tc>
        <w:tc>
          <w:tcPr>
            <w:tcW w:w="24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2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 13a-14(a) or</w:t>
            </w:r>
          </w:p>
        </w:tc>
      </w:tr>
      <w:tr>
        <w:trPr>
          <w:trHeight w:val="196"/>
        </w:trPr>
        <w:tc>
          <w:tcPr>
            <w:tcW w:w="920" w:type="dxa"/>
            <w:vAlign w:val="bottom"/>
          </w:tcPr>
          <w:p>
            <w:pPr>
              <w:spacing w:after="0"/>
              <w:rPr>
                <w:sz w:val="17"/>
                <w:szCs w:val="17"/>
                <w:color w:val="auto"/>
              </w:rPr>
            </w:pPr>
          </w:p>
        </w:tc>
        <w:tc>
          <w:tcPr>
            <w:tcW w:w="48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15d-14(a) of the Securities Exchange Act of 1934, as adopted</w:t>
            </w:r>
          </w:p>
        </w:tc>
        <w:tc>
          <w:tcPr>
            <w:tcW w:w="42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2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3460" w:type="dxa"/>
            <w:vAlign w:val="bottom"/>
            <w:gridSpan w:val="6"/>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Certifications of Principal Executive Officer and Principal Financial</w:t>
            </w:r>
          </w:p>
        </w:tc>
      </w:tr>
      <w:tr>
        <w:trPr>
          <w:trHeight w:val="196"/>
        </w:trPr>
        <w:tc>
          <w:tcPr>
            <w:tcW w:w="920" w:type="dxa"/>
            <w:vAlign w:val="bottom"/>
          </w:tcPr>
          <w:p>
            <w:pPr>
              <w:spacing w:after="0"/>
              <w:rPr>
                <w:sz w:val="17"/>
                <w:szCs w:val="17"/>
                <w:color w:val="auto"/>
              </w:rPr>
            </w:pPr>
          </w:p>
        </w:tc>
        <w:tc>
          <w:tcPr>
            <w:tcW w:w="49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18 U.S.C. Section 1350, as adopted pursuant to</w:t>
            </w:r>
          </w:p>
        </w:tc>
        <w:tc>
          <w:tcPr>
            <w:tcW w:w="36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1340" w:type="dxa"/>
            <w:vAlign w:val="bottom"/>
            <w:tcBorders>
              <w:top w:val="single" w:sz="8" w:color="0000EE"/>
            </w:tcBorders>
            <w:gridSpan w:val="2"/>
          </w:tcPr>
          <w:p>
            <w:pPr>
              <w:spacing w:after="0"/>
              <w:rPr>
                <w:sz w:val="17"/>
                <w:szCs w:val="17"/>
                <w:color w:val="auto"/>
              </w:rPr>
            </w:pPr>
          </w:p>
        </w:tc>
        <w:tc>
          <w:tcPr>
            <w:tcW w:w="460" w:type="dxa"/>
            <w:vAlign w:val="bottom"/>
            <w:gridSpan w:val="8"/>
          </w:tcPr>
          <w:p>
            <w:pPr>
              <w:spacing w:after="0"/>
              <w:rPr>
                <w:sz w:val="17"/>
                <w:szCs w:val="17"/>
                <w:color w:val="auto"/>
              </w:rPr>
            </w:pPr>
          </w:p>
        </w:tc>
      </w:tr>
      <w:tr>
        <w:trPr>
          <w:trHeight w:val="3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4"/>
        </w:trPr>
        <w:tc>
          <w:tcPr>
            <w:tcW w:w="920" w:type="dxa"/>
            <w:vAlign w:val="bottom"/>
          </w:tcPr>
          <w:p>
            <w:pPr>
              <w:spacing w:after="0"/>
              <w:rPr>
                <w:sz w:val="24"/>
                <w:szCs w:val="24"/>
                <w:color w:val="auto"/>
              </w:rPr>
            </w:pPr>
          </w:p>
        </w:tc>
        <w:tc>
          <w:tcPr>
            <w:tcW w:w="4800" w:type="dxa"/>
            <w:vAlign w:val="bottom"/>
            <w:gridSpan w:val="8"/>
          </w:tcPr>
          <w:p>
            <w:pPr>
              <w:ind w:left="450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SEC File /</w:t>
            </w:r>
          </w:p>
        </w:tc>
        <w:tc>
          <w:tcPr>
            <w:tcW w:w="0" w:type="dxa"/>
            <w:vAlign w:val="bottom"/>
          </w:tcPr>
          <w:p>
            <w:pPr>
              <w:spacing w:after="0"/>
              <w:rPr>
                <w:sz w:val="1"/>
                <w:szCs w:val="1"/>
                <w:color w:val="auto"/>
              </w:rPr>
            </w:pPr>
          </w:p>
        </w:tc>
      </w:tr>
      <w:tr>
        <w:trPr>
          <w:trHeight w:val="148"/>
        </w:trPr>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87"/>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100" w:type="dxa"/>
            <w:vAlign w:val="bottom"/>
            <w:gridSpan w:val="2"/>
            <w:vMerge w:val="continue"/>
          </w:tcPr>
          <w:p>
            <w:pPr>
              <w:spacing w:after="0"/>
              <w:rPr>
                <w:sz w:val="16"/>
                <w:szCs w:val="16"/>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91"/>
        </w:trPr>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Form 10-K</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3/31/2017</w:t>
            </w:r>
          </w:p>
        </w:tc>
        <w:tc>
          <w:tcPr>
            <w:tcW w:w="100" w:type="dxa"/>
            <w:vAlign w:val="bottom"/>
          </w:tcPr>
          <w:p>
            <w:pPr>
              <w:spacing w:after="0"/>
              <w:rPr>
                <w:sz w:val="16"/>
                <w:szCs w:val="16"/>
                <w:color w:val="auto"/>
              </w:rPr>
            </w:pPr>
          </w:p>
        </w:tc>
        <w:tc>
          <w:tcPr>
            <w:tcW w:w="1100" w:type="dxa"/>
            <w:vAlign w:val="bottom"/>
            <w:tcBorders>
              <w:top w:val="single" w:sz="8" w:color="auto"/>
            </w:tcBorders>
          </w:tcPr>
          <w:p>
            <w:pPr>
              <w:ind w:left="320"/>
              <w:spacing w:after="0" w:line="191" w:lineRule="exact"/>
              <w:rPr>
                <w:sz w:val="20"/>
                <w:szCs w:val="20"/>
                <w:color w:val="auto"/>
              </w:rPr>
            </w:pPr>
            <w:r>
              <w:rPr>
                <w:rFonts w:ascii="Times New Roman" w:cs="Times New Roman" w:eastAsia="Times New Roman" w:hAnsi="Times New Roman"/>
                <w:sz w:val="18"/>
                <w:szCs w:val="18"/>
                <w:color w:val="auto"/>
                <w:w w:val="97"/>
              </w:rPr>
              <w:t>001-33277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10-K</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3/31/2017</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001-33277</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10.13)</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5/6/2021</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001-33277</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7/22/2016</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001-33277</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10.2)</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7/22/2016</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001-33277</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10.3)</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7/22/2016</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001-33277</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200" w:space="100"/>
            <w:col w:w="4720"/>
          </w:cols>
          <w:pgMar w:left="440" w:top="278" w:right="439" w:bottom="1440" w:gutter="0" w:footer="0" w:header="0"/>
        </w:sectPr>
      </w:pPr>
    </w:p>
    <w:bookmarkStart w:id="79" w:name="page80"/>
    <w:bookmarkEnd w:id="79"/>
    <w:tbl>
      <w:tblPr>
        <w:tblLayout w:type="fixed"/>
        <w:tblInd w:w="4"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 /</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Exhibit</w:t>
            </w:r>
          </w:p>
        </w:tc>
        <w:tc>
          <w:tcPr>
            <w:tcW w:w="5160" w:type="dxa"/>
            <w:vAlign w:val="bottom"/>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vMerge w:val="restart"/>
          </w:tcPr>
          <w:p>
            <w:pPr>
              <w:spacing w:after="0"/>
              <w:rPr>
                <w:sz w:val="13"/>
                <w:szCs w:val="13"/>
                <w:color w:val="auto"/>
              </w:rPr>
            </w:pPr>
          </w:p>
        </w:tc>
        <w:tc>
          <w:tcPr>
            <w:tcW w:w="880" w:type="dxa"/>
            <w:vAlign w:val="bottom"/>
            <w:gridSpan w:val="2"/>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Filed</w:t>
            </w:r>
          </w:p>
        </w:tc>
        <w:tc>
          <w:tcPr>
            <w:tcW w:w="15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from Form or</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6"/>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5"/>
                <w:szCs w:val="15"/>
                <w:color w:val="auto"/>
              </w:rPr>
            </w:pPr>
          </w:p>
        </w:tc>
        <w:tc>
          <w:tcPr>
            <w:tcW w:w="51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for the cover page of this Annual Report on Form 10-K,</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included in the Exhibit 101 Inline XBRL Document Set.</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compensatory plan or arrangement.</w:t>
      </w:r>
    </w:p>
    <w:p>
      <w:pPr>
        <w:spacing w:after="0" w:line="27"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Annual Report on Form 10-K are not deemed filed with the SEC and are not to be</w:t>
      </w:r>
    </w:p>
    <w:p>
      <w:pPr>
        <w:spacing w:after="0" w:line="9" w:lineRule="exact"/>
        <w:rPr>
          <w:sz w:val="20"/>
          <w:szCs w:val="20"/>
          <w:color w:val="auto"/>
        </w:rPr>
      </w:pPr>
    </w:p>
    <w:p>
      <w:pPr>
        <w:ind w:left="424" w:right="20"/>
        <w:spacing w:after="0" w:line="250" w:lineRule="auto"/>
        <w:rPr>
          <w:sz w:val="20"/>
          <w:szCs w:val="20"/>
          <w:color w:val="auto"/>
        </w:rPr>
      </w:pPr>
      <w:r>
        <w:rPr>
          <w:rFonts w:ascii="Times New Roman" w:cs="Times New Roman" w:eastAsia="Times New Roman" w:hAnsi="Times New Roman"/>
          <w:sz w:val="18"/>
          <w:szCs w:val="18"/>
          <w:color w:val="auto"/>
        </w:rPr>
        <w:t>incorporated by reference into any filing of the registrant under the Securities Act of 1933, as amended, or the Securities Exchange Act of 1934, as amended, whether made before or after the date of this Annual Report on Form 10-K, regardless of any general incorporation language contained in any filing.</w:t>
      </w:r>
    </w:p>
    <w:p>
      <w:pPr>
        <w:spacing w:after="0" w:line="1" w:lineRule="exact"/>
        <w:rPr>
          <w:sz w:val="20"/>
          <w:szCs w:val="20"/>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Item 601(b)(10)(iv) of Regulation S-K.</w:t>
      </w:r>
    </w:p>
    <w:p>
      <w:pPr>
        <w:spacing w:after="0" w:line="351"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24"/>
          </w:cols>
          <w:pgMar w:left="436" w:top="278" w:right="4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2023</w:t>
            </w: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PAUL A. FRIEDMAN, M.D.</w:t>
            </w:r>
          </w:p>
        </w:tc>
      </w:tr>
      <w:tr>
        <w:trPr>
          <w:trHeight w:val="203"/>
        </w:trPr>
        <w:tc>
          <w:tcPr>
            <w:tcW w:w="36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08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Paul A. Friedman, M.D.</w:t>
            </w:r>
          </w:p>
        </w:tc>
      </w:tr>
      <w:tr>
        <w:trPr>
          <w:trHeight w:val="216"/>
        </w:trPr>
        <w:tc>
          <w:tcPr>
            <w:tcW w:w="3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3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hereby constitutes and appoints Paul A. Friedman, M.D., Alex G. Howarth and Brian J. Lynch, and each or either of them, acting individually, as his or her true and lawful attorney-in-fact and agent, with full power of substitution and resubstitution for him or her and in his or her name, place and stead, in any and all capacities, to sign any and all amendments to this Report, and to file the same, with all exhibits thereto and other documents in connection therewith, with the SEC, granting unto said attorney-in-fact and agent,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any of them, or their or his or her substitutes, may lawfully do or cause to be done or by virtue hereof.</w:t>
      </w:r>
    </w:p>
    <w:p>
      <w:pPr>
        <w:spacing w:after="0" w:line="189"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as amended,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40" w:type="dxa"/>
            <w:vAlign w:val="bottom"/>
          </w:tcPr>
          <w:p>
            <w:pPr>
              <w:spacing w:after="0"/>
              <w:rPr>
                <w:sz w:val="16"/>
                <w:szCs w:val="16"/>
                <w:color w:val="auto"/>
              </w:rPr>
            </w:pPr>
          </w:p>
        </w:tc>
        <w:tc>
          <w:tcPr>
            <w:tcW w:w="526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A. FRIEDMAN, M.D.</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Paul A. Friedman, M.D.</w:t>
            </w:r>
          </w:p>
        </w:tc>
        <w:tc>
          <w:tcPr>
            <w:tcW w:w="240" w:type="dxa"/>
            <w:vAlign w:val="bottom"/>
          </w:tcPr>
          <w:p>
            <w:pPr>
              <w:spacing w:after="0"/>
              <w:rPr>
                <w:sz w:val="19"/>
                <w:szCs w:val="19"/>
                <w:color w:val="auto"/>
              </w:rPr>
            </w:pPr>
          </w:p>
        </w:tc>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ALEX G. HOWARTH</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 (Principal Accounting and Financial Officer)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Alex G. Howarth</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REBECCA TAUB, M.D.</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Rebecca Taub, M.D.</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FRED B. CRAVES, PH.D.</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Fred B. Craves, Ph.D.</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KENNETH M. BATE</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Kenneth M. Bate</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KEITH R. GOLLUST</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Keith R. Gollust</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0"/>
        </w:trPr>
        <w:tc>
          <w:tcPr>
            <w:tcW w:w="3640" w:type="dxa"/>
            <w:vAlign w:val="bottom"/>
          </w:tcPr>
          <w:p>
            <w:pPr>
              <w:spacing w:after="0"/>
              <w:rPr>
                <w:sz w:val="24"/>
                <w:szCs w:val="24"/>
                <w:color w:val="auto"/>
              </w:rPr>
            </w:pPr>
          </w:p>
        </w:tc>
        <w:tc>
          <w:tcPr>
            <w:tcW w:w="55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81" w:name="page82"/>
    <w:bookmarkEnd w:id="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240" w:type="dxa"/>
            <w:vAlign w:val="bottom"/>
          </w:tcPr>
          <w:p>
            <w:pPr>
              <w:spacing w:after="0"/>
              <w:rPr>
                <w:sz w:val="16"/>
                <w:szCs w:val="16"/>
                <w:color w:val="auto"/>
              </w:rPr>
            </w:pPr>
          </w:p>
        </w:tc>
        <w:tc>
          <w:tcPr>
            <w:tcW w:w="5260" w:type="dxa"/>
            <w:vAlign w:val="bottom"/>
            <w:tcBorders>
              <w:bottom w:val="single" w:sz="8" w:color="auto"/>
            </w:tcBorders>
          </w:tcPr>
          <w:p>
            <w:pPr>
              <w:jc w:val="right"/>
              <w:ind w:right="2408"/>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MILLIGAN, PH.D.</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Milligan, Ph.D.</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S. LEVY, M.D.</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S. Levy, M.D.</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M. DALY</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M. Daly</w:t>
            </w:r>
          </w:p>
        </w:tc>
        <w:tc>
          <w:tcPr>
            <w:tcW w:w="2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0"/>
        </w:trPr>
        <w:tc>
          <w:tcPr>
            <w:tcW w:w="3640" w:type="dxa"/>
            <w:vAlign w:val="bottom"/>
          </w:tcPr>
          <w:p>
            <w:pPr>
              <w:spacing w:after="0"/>
              <w:rPr>
                <w:sz w:val="24"/>
                <w:szCs w:val="24"/>
                <w:color w:val="auto"/>
              </w:rPr>
            </w:pPr>
          </w:p>
        </w:tc>
        <w:tc>
          <w:tcPr>
            <w:tcW w:w="5500" w:type="dxa"/>
            <w:vAlign w:val="bottom"/>
            <w:gridSpan w:val="2"/>
          </w:tcPr>
          <w:p>
            <w:pPr>
              <w:jc w:val="right"/>
              <w:ind w:right="3468"/>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90" w:right="43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80" w:type="dxa"/>
            <w:vAlign w:val="bottom"/>
            <w:vMerge w:val="restart"/>
          </w:tcPr>
          <w:p>
            <w:pPr>
              <w:spacing w:after="0"/>
              <w:rPr>
                <w:sz w:val="15"/>
                <w:szCs w:val="15"/>
                <w:color w:val="auto"/>
              </w:rPr>
            </w:pPr>
          </w:p>
        </w:tc>
        <w:tc>
          <w:tcPr>
            <w:tcW w:w="5760" w:type="dxa"/>
            <w:vAlign w:val="bottom"/>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4220" w:type="dxa"/>
            <w:vAlign w:val="bottom"/>
            <w:tcBorders>
              <w:bottom w:val="single" w:sz="8" w:color="0000EE"/>
            </w:tcBorders>
            <w:gridSpan w:val="6"/>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5760" w:type="dxa"/>
            <w:vAlign w:val="bottom"/>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80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5760" w:type="dxa"/>
            <w:vAlign w:val="bottom"/>
          </w:tcPr>
          <w:p>
            <w:pPr>
              <w:spacing w:after="0"/>
              <w:rPr>
                <w:sz w:val="16"/>
                <w:szCs w:val="16"/>
                <w:color w:val="auto"/>
              </w:rPr>
            </w:pPr>
          </w:p>
        </w:tc>
        <w:tc>
          <w:tcPr>
            <w:tcW w:w="42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57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Loss</w:t>
            </w:r>
          </w:p>
        </w:tc>
        <w:tc>
          <w:tcPr>
            <w:tcW w:w="1260" w:type="dxa"/>
            <w:vAlign w:val="bottom"/>
            <w:gridSpan w:val="2"/>
          </w:tcPr>
          <w:p>
            <w:pPr>
              <w:spacing w:after="0"/>
              <w:rPr>
                <w:sz w:val="17"/>
                <w:szCs w:val="17"/>
                <w:color w:val="auto"/>
              </w:rPr>
            </w:pPr>
          </w:p>
        </w:tc>
        <w:tc>
          <w:tcPr>
            <w:tcW w:w="57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48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57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1260" w:type="dxa"/>
            <w:vAlign w:val="bottom"/>
            <w:gridSpan w:val="2"/>
          </w:tcPr>
          <w:p>
            <w:pPr>
              <w:spacing w:after="0"/>
              <w:rPr>
                <w:sz w:val="17"/>
                <w:szCs w:val="17"/>
                <w:color w:val="auto"/>
              </w:rPr>
            </w:pPr>
          </w:p>
        </w:tc>
        <w:tc>
          <w:tcPr>
            <w:tcW w:w="57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57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0960"/>
          </w:cols>
          <w:pgMar w:left="440" w:top="293"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Board of Directors and Stockholders of Madrigal Pharmaceuticals,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left="120" w:right="220" w:firstLine="44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Madrigal Pharmaceuticals, Inc. and its subsidiaries (the “Company”) as of December 31, 2022 and 2021, and the related consolidated statements of operations, of comprehensive loss, of stockholders’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Internal Control—Integrated Framework (2013) issued by the Committee of Sponsoring Organizations of the Treadway Commission (COSO).</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Integrated Framework (2013) issued by the COSO.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82"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discussed in Note 3 to the consolidated financial statements, the Company will require additional financing to fund future operations.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Management’s evaluation of the events and conditions and plans to mitigate this matter are also described in Note 3.</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Research and Development Costs</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described in Notes 2 and 5 to the consolidated financial statements, management uses significant judgment in estimating the amount of research and development costs recognized in each reporting period. Management analyzes and estimates the progress of its preclinical studies and clinical trials, completion of milestone events per underlying agreements, invoices received and contracted costs when estimating the research and development costs to accrue in each reporting period. Total research and development costs incurred during the year ended December 31, 2022 were $245.4 million and research and development costs accrued were $53.1 million as of December 31, 2022. The principal considerations for our determination that performing procedures relating to research and development costs is a critical audit matter are (i) the significant judgment by management when estimating: the costs incurred for services performed by vendors that have not yet been invoiced, the completion of milestone events per underlying agreements, and invoices received and contracted costs, in estimating the research and development costs to accrue in the reporting period; and (ii) the high degree of auditor judgment, subjectivity and effort in evaluating management’s significant assumption related to using contracted costs applied to the number of patients screened for and enrolled in the trials to reasonably estimate costs incurred that have not been invoiced.</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40"/>
          </w:cols>
          <w:pgMar w:left="320" w:top="482" w:right="5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86" w:name="page87"/>
    <w:bookmarkEnd w:id="86"/>
    <w:p>
      <w:pPr>
        <w:ind w:firstLine="440"/>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over management’s process relating to accruing research and development costs, including controls over estimating the costs incurred for services performed by vendors that have not yet been invoiced. These procedures also included, among others, testing management’s process for estimating the research and development costs to accrue in the reporting period, evaluating the completeness and accuracy of underlying data used in management’s estimate by testing for consistency with a sample of contracts and invoices, testing the number of patients screened for and enrolled in the trial, testing the mathematical accuracy of the calculation of the accrual for research and development costs incurred, and evaluating the reasonableness of assumptions used in the estimate. Evaluating the reasonableness of assumptions used in the estimate involved assessing management’s ability to reasonably estimate costs incurred that have not been invoiced by performing a comparison of the estimated accrual to contracted costs applied to the number of patients screened for and enrolled in the trials.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00"/>
          </w:cols>
          <w:pgMar w:left="440" w:top="121"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331,549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36,269</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27,225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234,077</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361,369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362,572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273,332</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23,831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21,380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91,461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55,048</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115,894</w:t>
            </w:r>
          </w:p>
        </w:tc>
        <w:tc>
          <w:tcPr>
            <w:tcW w:w="4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76,838</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 payable, net of discount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49,289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49,289</w:t>
            </w:r>
          </w:p>
        </w:tc>
        <w:tc>
          <w:tcPr>
            <w:tcW w:w="4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165,183</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par value $0.0001 per share authorized: 5,000,000 shares at December 31, 2022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2021; 2,369,797 and 1,969,797 shares issued and outstanding at December 31, 2022 and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100" w:type="dxa"/>
            <w:vAlign w:val="bottom"/>
          </w:tcPr>
          <w:p>
            <w:pPr>
              <w:spacing w:after="0"/>
              <w:rPr>
                <w:sz w:val="20"/>
                <w:szCs w:val="20"/>
                <w:color w:val="auto"/>
              </w:rPr>
            </w:pPr>
          </w:p>
        </w:tc>
        <w:tc>
          <w:tcPr>
            <w:tcW w:w="11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authorized: 200,000,000 at December 31, 2022 and December 31,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2021; 18,102,523 and 17,103,395 shares issued and outstanding at December 31, 2022 and December 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2021, respectively</w:t>
            </w:r>
          </w:p>
        </w:tc>
        <w:tc>
          <w:tcPr>
            <w:tcW w:w="1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1,160,079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863,495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(962,660)</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(667,310)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196,107</w:t>
            </w:r>
          </w:p>
        </w:tc>
        <w:tc>
          <w:tcPr>
            <w:tcW w:w="0" w:type="dxa"/>
            <w:vAlign w:val="bottom"/>
          </w:tcPr>
          <w:p>
            <w:pPr>
              <w:spacing w:after="0"/>
              <w:rPr>
                <w:sz w:val="1"/>
                <w:szCs w:val="1"/>
                <w:color w:val="auto"/>
              </w:rPr>
            </w:pPr>
          </w:p>
        </w:tc>
      </w:tr>
      <w:tr>
        <w:trPr>
          <w:trHeight w:val="22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362,572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245,441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205,164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184,809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48,130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37,318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21,864</w:t>
            </w:r>
          </w:p>
        </w:tc>
        <w:tc>
          <w:tcPr>
            <w:tcW w:w="0" w:type="dxa"/>
            <w:vAlign w:val="bottom"/>
          </w:tcPr>
          <w:p>
            <w:pPr>
              <w:spacing w:after="0"/>
              <w:rPr>
                <w:sz w:val="1"/>
                <w:szCs w:val="1"/>
                <w:color w:val="auto"/>
              </w:rPr>
            </w:pPr>
          </w:p>
        </w:tc>
      </w:tr>
      <w:tr>
        <w:trPr>
          <w:trHeight w:val="230"/>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293,571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242,482</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(293,571)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(242,482)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(206,673)</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(3,964)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(295,350)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(241,846)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(202,244)</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number of common shares outstanding</w:t>
            </w: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17,137,201</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8"/>
              </w:rPr>
              <w:t>16,535,188</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15,446,638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gridSpan w:val="8"/>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center"/>
              <w:ind w:left="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r>
      <w:tr>
        <w:trPr>
          <w:trHeight w:val="209"/>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(295,350)</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(241,846)</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(202,244)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9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12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 xml:space="preserve"> (295,302</w:t>
            </w: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(241,973</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(202,413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48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1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82" w:right="47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1"/>
                <w:szCs w:val="11"/>
                <w:color w:val="auto"/>
              </w:rPr>
            </w:pPr>
          </w:p>
        </w:tc>
        <w:tc>
          <w:tcPr>
            <w:tcW w:w="7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88"/>
        </w:trPr>
        <w:tc>
          <w:tcPr>
            <w:tcW w:w="4100" w:type="dxa"/>
            <w:vAlign w:val="bottom"/>
          </w:tcPr>
          <w:p>
            <w:pPr>
              <w:spacing w:after="0"/>
              <w:rPr>
                <w:sz w:val="7"/>
                <w:szCs w:val="7"/>
                <w:color w:val="auto"/>
              </w:rPr>
            </w:pPr>
          </w:p>
        </w:tc>
        <w:tc>
          <w:tcPr>
            <w:tcW w:w="1100" w:type="dxa"/>
            <w:vAlign w:val="bottom"/>
            <w:tcBorders>
              <w:bottom w:val="single" w:sz="8" w:color="auto"/>
            </w:tcBorders>
            <w:gridSpan w:val="4"/>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94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7"/>
                <w:szCs w:val="7"/>
                <w:color w:val="auto"/>
              </w:rPr>
            </w:pPr>
          </w:p>
        </w:tc>
        <w:tc>
          <w:tcPr>
            <w:tcW w:w="880" w:type="dxa"/>
            <w:vAlign w:val="bottom"/>
            <w:gridSpan w:val="2"/>
            <w:vMerge w:val="restart"/>
          </w:tcPr>
          <w:p>
            <w:pPr>
              <w:jc w:val="right"/>
              <w:ind w:right="81"/>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60" w:type="dxa"/>
            <w:vAlign w:val="bottom"/>
          </w:tcPr>
          <w:p>
            <w:pPr>
              <w:spacing w:after="0"/>
              <w:rPr>
                <w:sz w:val="7"/>
                <w:szCs w:val="7"/>
                <w:color w:val="auto"/>
              </w:rPr>
            </w:pPr>
          </w:p>
        </w:tc>
        <w:tc>
          <w:tcPr>
            <w:tcW w:w="86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4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80" w:type="dxa"/>
            <w:vAlign w:val="bottom"/>
          </w:tcPr>
          <w:p>
            <w:pPr>
              <w:spacing w:after="0"/>
              <w:rPr>
                <w:sz w:val="13"/>
                <w:szCs w:val="13"/>
                <w:color w:val="auto"/>
              </w:rPr>
            </w:pPr>
          </w:p>
        </w:tc>
        <w:tc>
          <w:tcPr>
            <w:tcW w:w="880" w:type="dxa"/>
            <w:vAlign w:val="bottom"/>
            <w:gridSpan w:val="2"/>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1,969,797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15,429,154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70"/>
              </w:rPr>
              <w:t>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639,567</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6"/>
              </w:rPr>
              <w:t>216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$(223,220)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$ 416,565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shares in equity offering,</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excluding to related parties, net of transaction</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costs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39,607</w:t>
            </w:r>
          </w:p>
        </w:tc>
        <w:tc>
          <w:tcPr>
            <w:tcW w:w="14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4,421</w:t>
            </w:r>
          </w:p>
        </w:tc>
        <w:tc>
          <w:tcPr>
            <w:tcW w:w="18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 of common shares to related parties and</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exercise of common stock options, net of</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transaction costs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39,385</w:t>
            </w: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667</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198"/>
        </w:trPr>
        <w:tc>
          <w:tcPr>
            <w:tcW w:w="41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 stock options for</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services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20,730</w:t>
            </w:r>
          </w:p>
        </w:tc>
        <w:tc>
          <w:tcPr>
            <w:tcW w:w="18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20,730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(202,244)</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(202,244)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1,969,797</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15,508,146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665,385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9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$(425,464)</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$ 239,970</w:t>
            </w:r>
          </w:p>
        </w:tc>
        <w:tc>
          <w:tcPr>
            <w:tcW w:w="0" w:type="dxa"/>
            <w:vAlign w:val="bottom"/>
          </w:tcPr>
          <w:p>
            <w:pPr>
              <w:spacing w:after="0"/>
              <w:rPr>
                <w:sz w:val="1"/>
                <w:szCs w:val="1"/>
                <w:color w:val="auto"/>
              </w:rPr>
            </w:pPr>
          </w:p>
        </w:tc>
      </w:tr>
      <w:tr>
        <w:trPr>
          <w:trHeight w:val="198"/>
        </w:trPr>
        <w:tc>
          <w:tcPr>
            <w:tcW w:w="41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shares in equity offering,</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excluding to related parties, net of transaction</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costs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1,584,169</w:t>
            </w:r>
          </w:p>
        </w:tc>
        <w:tc>
          <w:tcPr>
            <w:tcW w:w="14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170,207</w:t>
            </w:r>
          </w:p>
        </w:tc>
        <w:tc>
          <w:tcPr>
            <w:tcW w:w="18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170,207</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 of common shares to related parties and</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exercise of common stock options, net of</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transaction costs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11,080</w:t>
            </w: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1,030</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198"/>
        </w:trPr>
        <w:tc>
          <w:tcPr>
            <w:tcW w:w="41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 stock options for</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services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26,873</w:t>
            </w:r>
          </w:p>
        </w:tc>
        <w:tc>
          <w:tcPr>
            <w:tcW w:w="18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26,873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(241,846)</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(241,846)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1,969,797</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17,103,395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863,495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9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$(667,310)</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$ 196,107</w:t>
            </w:r>
          </w:p>
        </w:tc>
        <w:tc>
          <w:tcPr>
            <w:tcW w:w="0" w:type="dxa"/>
            <w:vAlign w:val="bottom"/>
          </w:tcPr>
          <w:p>
            <w:pPr>
              <w:spacing w:after="0"/>
              <w:rPr>
                <w:sz w:val="1"/>
                <w:szCs w:val="1"/>
                <w:color w:val="auto"/>
              </w:rPr>
            </w:pPr>
          </w:p>
        </w:tc>
      </w:tr>
      <w:tr>
        <w:trPr>
          <w:trHeight w:val="198"/>
        </w:trPr>
        <w:tc>
          <w:tcPr>
            <w:tcW w:w="41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and preferred shares in</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equity offerings, excluding to related parties,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of transaction costs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783,344</w:t>
            </w:r>
          </w:p>
        </w:tc>
        <w:tc>
          <w:tcPr>
            <w:tcW w:w="14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255,382</w:t>
            </w:r>
          </w:p>
        </w:tc>
        <w:tc>
          <w:tcPr>
            <w:tcW w:w="18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255,382</w:t>
            </w:r>
          </w:p>
        </w:tc>
        <w:tc>
          <w:tcPr>
            <w:tcW w:w="0" w:type="dxa"/>
            <w:vAlign w:val="bottom"/>
          </w:tcPr>
          <w:p>
            <w:pPr>
              <w:spacing w:after="0"/>
              <w:rPr>
                <w:sz w:val="1"/>
                <w:szCs w:val="1"/>
                <w:color w:val="auto"/>
              </w:rPr>
            </w:pPr>
          </w:p>
        </w:tc>
      </w:tr>
      <w:tr>
        <w:trPr>
          <w:trHeight w:val="198"/>
        </w:trPr>
        <w:tc>
          <w:tcPr>
            <w:tcW w:w="41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 of common shares to related parties and</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exercise of common stock options, net of</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transaction costs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215,784</w:t>
            </w: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8,955</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8,955</w:t>
            </w:r>
          </w:p>
        </w:tc>
        <w:tc>
          <w:tcPr>
            <w:tcW w:w="0" w:type="dxa"/>
            <w:vAlign w:val="bottom"/>
          </w:tcPr>
          <w:p>
            <w:pPr>
              <w:spacing w:after="0"/>
              <w:rPr>
                <w:sz w:val="1"/>
                <w:szCs w:val="1"/>
                <w:color w:val="auto"/>
              </w:rPr>
            </w:pPr>
          </w:p>
        </w:tc>
      </w:tr>
      <w:tr>
        <w:trPr>
          <w:trHeight w:val="198"/>
        </w:trPr>
        <w:tc>
          <w:tcPr>
            <w:tcW w:w="41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 stock options for</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services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31,625</w:t>
            </w:r>
          </w:p>
        </w:tc>
        <w:tc>
          <w:tcPr>
            <w:tcW w:w="18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31,625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Hercules warrant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(295,350)</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(295,350)</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18,102,523</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w w:val="70"/>
              </w:rPr>
              <w:t>2</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1,160,079</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(962,660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$ 197,389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9"/>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9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(295,350)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(241,846)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(202,244)</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26,873</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20,730</w:t>
            </w: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7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20,363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9,826</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21,585</w:t>
            </w:r>
          </w:p>
        </w:tc>
      </w:tr>
      <w:tr>
        <w:trPr>
          <w:trHeight w:val="216"/>
        </w:trPr>
        <w:tc>
          <w:tcPr>
            <w:tcW w:w="7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interest, net of interest received on maturity of investments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w:t>
            </w:r>
          </w:p>
        </w:tc>
      </w:tr>
      <w:tr>
        <w:trPr>
          <w:trHeight w:val="230"/>
        </w:trPr>
        <w:tc>
          <w:tcPr>
            <w:tcW w:w="7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(224,857)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(183,917)</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(157,561)</w:t>
            </w:r>
          </w:p>
        </w:tc>
        <w:tc>
          <w:tcPr>
            <w:tcW w:w="100" w:type="dxa"/>
            <w:vAlign w:val="bottom"/>
          </w:tcPr>
          <w:p>
            <w:pPr>
              <w:spacing w:after="0"/>
              <w:rPr>
                <w:sz w:val="20"/>
                <w:szCs w:val="20"/>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(143,478)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(394,120)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(329,342)</w:t>
            </w: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350,381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389,274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489,456</w:t>
            </w: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 net of disposals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r>
      <w:tr>
        <w:trPr>
          <w:trHeight w:val="27"/>
        </w:trPr>
        <w:tc>
          <w:tcPr>
            <w:tcW w:w="7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206,686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159,780</w:t>
            </w: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issuances of stock, excluding related parties, net of transaction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255,382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170,207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4,421</w:t>
            </w:r>
          </w:p>
        </w:tc>
      </w:tr>
      <w:tr>
        <w:trPr>
          <w:trHeight w:val="198"/>
        </w:trPr>
        <w:tc>
          <w:tcPr>
            <w:tcW w:w="79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Proceeds from the sale of related party stock and exercise of common stock options, net of transaction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8,955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r>
      <w:tr>
        <w:trPr>
          <w:trHeight w:val="216"/>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loan payable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313,451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shd w:val="clear" w:color="auto" w:fill="CCEEFF"/>
          </w:tcPr>
          <w:p>
            <w:pPr>
              <w:spacing w:after="0"/>
              <w:rPr>
                <w:sz w:val="18"/>
                <w:szCs w:val="18"/>
                <w:color w:val="auto"/>
              </w:rPr>
            </w:pPr>
          </w:p>
        </w:tc>
      </w:tr>
      <w:tr>
        <w:trPr>
          <w:trHeight w:val="223"/>
        </w:trPr>
        <w:tc>
          <w:tcPr>
            <w:tcW w:w="79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295,280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tcPr>
          <w:p>
            <w:pPr>
              <w:spacing w:after="0"/>
              <w:rPr>
                <w:sz w:val="19"/>
                <w:szCs w:val="19"/>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36,269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46,697</w:t>
            </w: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331,549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54,004</w:t>
            </w:r>
          </w:p>
        </w:tc>
        <w:tc>
          <w:tcPr>
            <w:tcW w:w="100" w:type="dxa"/>
            <w:vAlign w:val="bottom"/>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Obtaining a right-of-use asset in exchange for a lease liability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00"/>
          </w:cols>
          <w:pgMar w:left="320" w:top="482"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120" w:right="7060" w:hanging="4"/>
        <w:spacing w:after="0" w:line="377" w:lineRule="auto"/>
        <w:tabs>
          <w:tab w:leader="none" w:pos="3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spacing w:after="0" w:line="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Madrigal Pharmaceuticals, Inc. (the “Company” or “Madrigal”) is a clinical-stage pharmaceutical company developing novel, high-quality, small-molecule drugs addressing major unmet needs in cardiovascular, metabolic, and liver diseases. The Company’s lead compound, resmetirom, is being advanced for non-alcoholic steatohepatitis (“NASH”), a liver disease that commonly affects people with metabolic diseases such as obesity and diabetes, and non-alcoholic fatty liver disease (“NAFLD”). The Company initiated two Phase 3 studies of resmetirom in NASH in 2019 that are ongoing. The Company announced certain topline results from the MAESTRO-NAFLD-1 safety study of resmetirom in January 2022 and the MAESTRO-NASH study in December 2022. In August 2022, Madrigal initiated a third study, MAESTRO-NASH-OUTCOMES.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align with current period presentation.</w:t>
      </w:r>
    </w:p>
    <w:p>
      <w:pPr>
        <w:spacing w:after="0" w:line="329" w:lineRule="exact"/>
        <w:rPr>
          <w:sz w:val="20"/>
          <w:szCs w:val="20"/>
          <w:color w:val="auto"/>
        </w:rPr>
      </w:pPr>
    </w:p>
    <w:p>
      <w:pPr>
        <w:ind w:left="120" w:right="7440" w:hanging="4"/>
        <w:spacing w:after="0" w:line="378" w:lineRule="auto"/>
        <w:tabs>
          <w:tab w:leader="none" w:pos="3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 of Consolidation</w:t>
      </w: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wholly owned subsidiaries. All significant intercompany balances and transactions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82"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years ended December 31, 2022, 2021 and 2020, the Company determined it did not have any securities that were impaired or that required an allowance for credit losses.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years ended December 31, 2022, 2021 and 2020, the Company did not have any realized gains or losses on marketable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Level 3—unobservable inputs that reflect the Company’s own assumptions about the assumptions market participants would use in pricing the asset or liability.</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2022 and 2021, the Company’s financial assets valued based on Level 1 inputs consisted of cash and cash equivalents in a money market fund and its financial assets valued based on Level 2 inputs consisted of high-grade corporate bonds and commercial paper. During the years ended December 31, 2022, 2021 and 2020, the Company did not have any transfers of financials assets between Levels 1 and 2. As of December 31, 2022 and 2021, the Company did not have any financial liabilities that were recorded at fair value on a recurring basis on the balance sheet.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are comprised of costs incurred in performing research and development activities, including internal costs (including</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00"/>
          </w:cols>
          <w:pgMar w:left="320" w:top="482" w:right="5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milestones events per underlying agreements, invoices received and contracted costs when estimating the research and development costs to accrue in each reporting period. Actual results could differ from the Company’s estimates. The Company’s historical estimates for research and development costs have not been materially different from the actual costs.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Costs to secure and defend patents are expensed as incurred and are classified as general and administrative expense in the Company’s statements of operations. Patent expenses were approximately $0.5 million, $0.5 million and $0.4 million for the years ended December 31, 2022, 2021 and 2020,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82"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and Diluted Loss Per Common Share</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years ended December 31, 2022, 2021 and 2020, diluted net loss per share is the same as basic net loss per share because the inclusion of common stock issuable upon the exercise of stock options or warrants, and common stock issuable upon the conversion of preferred stock would be anti-dilutive. The following table summarizes outstanding securities not included in the computation of diluted net loss per common share as their inclusion would be anti-dilutive:</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9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18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98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2,857,054</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2,301,574</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1,837,540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1,969,797</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1,969,797</w:t>
            </w:r>
          </w:p>
        </w:tc>
        <w:tc>
          <w:tcPr>
            <w:tcW w:w="6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Liquidity and Uncertainties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has incurred losses since inception, including approximately $295.4 million for the year ended December 31, 2022, resulting in an accumulated deficit of approximately $962.7 million and $667.3 million as of December 31, 2022 and 2021, respectively. Management expects to incur losses for the foreseeable future. To date, the Company has funded its operations primarily through proceeds from sales of the Company’s capital stock. The Company believes that its cash, cash equivalents and marketable securities at December 31, 2022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82"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Cash, Cash Equivalents and Marketable Securities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summary of cash, cash equivalents and available-for-sale marketable securities held by the Company as of December 31, 2022 and 2021 is as follows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60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15,100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316,449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316,449</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331,549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331,549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27,257</w:t>
            </w:r>
          </w:p>
        </w:tc>
        <w:tc>
          <w:tcPr>
            <w:tcW w:w="12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358,806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358,774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600" w:type="dxa"/>
            <w:vAlign w:val="bottom"/>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18,877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17,392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36,269</w:t>
            </w:r>
          </w:p>
        </w:tc>
        <w:tc>
          <w:tcPr>
            <w:tcW w:w="520" w:type="dxa"/>
            <w:vAlign w:val="bottom"/>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228,348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228,288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debt securities due within 1 to 2 years of date of purchase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5,809</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5,789</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270,426</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w w:val="70"/>
              </w:rPr>
              <w:t>6</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73"/>
              </w:rPr>
              <w:t>(86)</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270,346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Accrued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liabilities as of December 31, 2022 and 2021 consisted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research organization costs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53,119</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38,349</w:t>
            </w:r>
          </w:p>
        </w:tc>
        <w:tc>
          <w:tcPr>
            <w:tcW w:w="4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clinical study related costs</w:t>
            </w:r>
          </w:p>
        </w:tc>
        <w:tc>
          <w:tcPr>
            <w:tcW w:w="18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6,582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3,957</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drug supply</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11,262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3,239</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14,864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6,769</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4,867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2,455</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767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w:t>
            </w:r>
          </w:p>
        </w:tc>
      </w:tr>
      <w:tr>
        <w:trPr>
          <w:trHeight w:val="27"/>
        </w:trPr>
        <w:tc>
          <w:tcPr>
            <w:tcW w:w="5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91,461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55,048</w:t>
            </w:r>
          </w:p>
        </w:tc>
      </w:tr>
      <w:tr>
        <w:trPr>
          <w:trHeight w:val="20"/>
        </w:trPr>
        <w:tc>
          <w:tcPr>
            <w:tcW w:w="5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Long Term Debt</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May 2022 the Company and its wholly-owned subsidiary, Canticle Pharmaceuticals, Inc., entered into the $250.0 million Loan Facility (the “Loan Facility”) with the several banks and other financial institutions or entities party thereto (each, a “Lender” and collectively referred to as the “Lenders”), and Hercules Capital, Inc.</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0920"/>
          </w:cols>
          <w:pgMar w:left="320" w:top="482" w:right="6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(“Hercules”), in its capacity as administrative agent and collateral agent for itself and the Lenders. Under the terms of the Loan Facility, the first $50.0 million tranche was drawn at closing. The Company may also draw up to an additional $125.0 million in two separate tranches upon achievement of certain resmetirom clinical and regulatory milestones. A fourth tranche of $75.0 million may be drawn by the Company, subject to the approval of Hercules.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Loan Facility had a minimum interest rate of 7.45% and adjusted with changes in the prime rate. The Company will pay interest-only monthly payments of accrued interest under the Loan Facility through May 1, 2025, for a period of 36 months, which period may be extended to May 1, 2026 and May 3, 2027, upon the achievement of regulatory approval milestones and future revenue covenants, subject to compliance with applicable covenants. The Loan Facility matures in May 2026 and may be extended an additional year upon the achievement of certain regulatory milestones. The Loan Facility is secured by a security interest in substantially all of the Company’s assets, other than intellectual property. It includes an end of term charge of 5.35% of the aggregate principal amount, which is accounted for in the loan discount. In connection with the first tranche drawn at closing, the Company issued Hercules a warrant to purchase 14,899 shares of Company common stock, which had a Black-Scholes value of $0.6 million.</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Loan Facility includes affirmative and restrictive financial covenants commencing on January 1, 2023, including maintenance of a minimum cash, cash equivalents and liquid funds covenant of $35.0 million, which may decrease in certain circumstances if the Company achieves certain clinical milestones and a revenue milestone, and a revenue-based covenant that could apply commencing at or after the time that financial reporting is due for the quarter ending September 30, 2024. The Loan Facility contains event of default provisions for: the Company’s failure to make required payments or maintain compliance with covenants under the Loan Facility; the Company’s breach of certain representations or default under certain obligations outside the Loan Facility; insolvency, attachment or judgment events affecting the Company; and any circumstance which has occurred or could reasonably be expected to have a material adverse effect on the Company, provided that, any failure to achieve approval or certain other milestones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19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2022, the outstanding principal under the Loan Facility was $50.0 million. The interest rate as of December 31, 2022 was 11.45%. As of December 31, 2022, the Company was in compliance with all loan covenants and provisions.</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Future minimum payments, including interest and principal, under the loans payable outstanding as of December 31, 2022 are as follows (in thousands):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6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 Ending December 31, 2022:</w:t>
            </w: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3"/>
        </w:trPr>
        <w:tc>
          <w:tcPr>
            <w:tcW w:w="216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2023</w:t>
            </w:r>
          </w:p>
        </w:tc>
        <w:tc>
          <w:tcPr>
            <w:tcW w:w="4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5,795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5,820</w:t>
            </w:r>
          </w:p>
        </w:tc>
        <w:tc>
          <w:tcPr>
            <w:tcW w:w="80" w:type="dxa"/>
            <w:vAlign w:val="bottom"/>
          </w:tcPr>
          <w:p>
            <w:pPr>
              <w:spacing w:after="0"/>
              <w:rPr>
                <w:sz w:val="18"/>
                <w:szCs w:val="18"/>
                <w:color w:val="auto"/>
              </w:rPr>
            </w:pPr>
          </w:p>
        </w:tc>
      </w:tr>
      <w:tr>
        <w:trPr>
          <w:trHeight w:val="216"/>
        </w:trPr>
        <w:tc>
          <w:tcPr>
            <w:tcW w:w="2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34,788</w:t>
            </w:r>
          </w:p>
        </w:tc>
        <w:tc>
          <w:tcPr>
            <w:tcW w:w="80" w:type="dxa"/>
            <w:vAlign w:val="bottom"/>
            <w:shd w:val="clear" w:color="auto" w:fill="CCEEFF"/>
          </w:tcPr>
          <w:p>
            <w:pPr>
              <w:spacing w:after="0"/>
              <w:rPr>
                <w:sz w:val="18"/>
                <w:szCs w:val="18"/>
                <w:color w:val="auto"/>
              </w:rPr>
            </w:pPr>
          </w:p>
        </w:tc>
      </w:tr>
      <w:tr>
        <w:trPr>
          <w:trHeight w:val="223"/>
        </w:trPr>
        <w:tc>
          <w:tcPr>
            <w:tcW w:w="6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1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69,675</w:t>
            </w:r>
          </w:p>
        </w:tc>
        <w:tc>
          <w:tcPr>
            <w:tcW w:w="80" w:type="dxa"/>
            <w:vAlign w:val="bottom"/>
            <w:shd w:val="clear" w:color="auto" w:fill="CCEEFF"/>
          </w:tcPr>
          <w:p>
            <w:pPr>
              <w:spacing w:after="0"/>
              <w:rPr>
                <w:sz w:val="18"/>
                <w:szCs w:val="18"/>
                <w:color w:val="auto"/>
              </w:rPr>
            </w:pPr>
          </w:p>
        </w:tc>
      </w:tr>
      <w:tr>
        <w:trPr>
          <w:trHeight w:val="216"/>
        </w:trPr>
        <w:tc>
          <w:tcPr>
            <w:tcW w:w="6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(17,000)</w:t>
            </w:r>
          </w:p>
        </w:tc>
      </w:tr>
      <w:tr>
        <w:trPr>
          <w:trHeight w:val="216"/>
        </w:trPr>
        <w:tc>
          <w:tcPr>
            <w:tcW w:w="6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(3,386)</w:t>
            </w: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payable, net of discount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1"/>
        <w:spacing w:after="0" w:line="282" w:lineRule="auto"/>
        <w:rPr>
          <w:sz w:val="20"/>
          <w:szCs w:val="20"/>
          <w:color w:val="auto"/>
        </w:rPr>
      </w:pPr>
      <w:r>
        <w:rPr>
          <w:rFonts w:ascii="Times New Roman" w:cs="Times New Roman" w:eastAsia="Times New Roman" w:hAnsi="Times New Roman"/>
          <w:sz w:val="18"/>
          <w:szCs w:val="18"/>
          <w:color w:val="auto"/>
        </w:rPr>
        <w:t>See Footnote 13 for a description of certain amended terms set forth in the First Amendment to this Loan Facility, which was entered into during the first quarter of 2023.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9200" w:hanging="4"/>
        <w:spacing w:after="0" w:line="378" w:lineRule="auto"/>
        <w:tabs>
          <w:tab w:leader="none" w:pos="3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never declared cash dividends on its common stock and does not expect to do so in the foreseeable future.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Series A and B Preferred Stock have a par value of $0.0001 per share and are convertible into shares of the common stock at a one-to-one ratio, subject to adjustment as provided in the Certificates of Designation of Preferences, Rights and Limitations of Series A Preferred Stock and Series B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pari passu 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December 2022 Registered Direct Offering</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In December 2022, the Company entered into a Securities Purchase Agreement (the “Purchase Agreement”) with a group of institutional accredited investors, who were existing, non-controlling stockholders of the Company, pursuant to which the Company sold securities to the Investors in an offering that was registered under the Company’s existing shelf registration statement (the “2022 Registered Direct Offering”). Under the terms of the Purchase Agreement, the Company sold 44,444 shares of its common stock at a price of $225 per share, and 400,000 shares of its Series B Convertible Preferred Stock at a price of $225 per share. The 2022 Registered Direct Offering resulted in gross proceeds to the Company of approximately</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million, and net proceeds to the Company of approximately $99.5 million. The 2022 Registered Direct Offering closed on December 23, 2022.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At-The-Market Issuance Sales Agreement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November 2020, the Company entered into an at-the-market sales agreement (the “2020 Sales Agreement”), with Cowen and Company, LLC (“Cowen”), pursuant to which the Company could, from time to time, issue and sell shares of its common stock. The 2020 Sales Agreement authorized an aggregate offering of up to $200 million in shares of our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The 2020 Sales Agreement was terminated in June 2021 when the Company filed a new shelf registration statement.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82"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2020 Sales Agreement the Company sold 1,126,733 shares for an aggregate of approximately $137.4 million in gross proceeds, with net proceeds to the Company of approximately $134.8 million after deducting commissions and other transaction costs. Of those shares sold, 1,087,126 were sold in 2021, and 39,607 were sold in 2020.</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June 2021, the Company entered into an at-the-market sales agreement (the “2021 Sales Agreement”) with Cowen and Company, LLC (“Cowen”), pursuant to which the Company could, from time to time, issue and sell shares of its common stock. The 2021 Sales Agreement authorized an aggregate offering of up to $200 million in shares of our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2021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imposed).The 2021 Sales Agreement replaced the 2020 Sales Agreement.</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December 2022, the Company sold 738,900 shares under the 2021 Sales Agreement for an aggregate of $159.1 million in gross proceeds, with net proceeds to the Company of $155.9 million after deducting commissions and other transaction costs.</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total, under the 2021 Sales Agreement the Company sold 1,235,943 shares for an aggregate of $199.9 million in gross proceeds, with net proceeds to the Company of approximately $195.8 million after deducting commissions and other transaction costs. Of those shares sold, 738,900 were sold in 2022, and 497,043 were sold in 2021. All shares were sold pursuant to the Company’s effective shelf registration statement and the prospectus supplement relating thereto. As of December 31, 2022, no amounts remained reserved and available for sale under the 2021 Sales Agreement and the related prospectus supplement.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2015 Stock Plan, as amended, is our primary plan through which equity based grants are awarded. We ceased making new awards under the 2006 Stock Plan upon adoption of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December 31, 2022, the Company had options outstanding to purchase 2,857,054 shares of its common stock. As of December 31, 2022, 890,029 shares were available for future issuance.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twelve months ended December 31, 2022:</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0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5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2,301,574</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78.90</w:t>
            </w:r>
          </w:p>
        </w:tc>
        <w:tc>
          <w:tcPr>
            <w:tcW w:w="6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860,795</w:t>
            </w:r>
          </w:p>
        </w:tc>
        <w:tc>
          <w:tcPr>
            <w:tcW w:w="140" w:type="dxa"/>
            <w:vAlign w:val="bottom"/>
          </w:tcPr>
          <w:p>
            <w:pPr>
              <w:spacing w:after="0"/>
              <w:rPr>
                <w:sz w:val="18"/>
                <w:szCs w:val="18"/>
                <w:color w:val="auto"/>
              </w:rPr>
            </w:pP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81.39</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(215,784)</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41.50</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(89,531)</w:t>
            </w:r>
          </w:p>
        </w:tc>
        <w:tc>
          <w:tcPr>
            <w:tcW w:w="140" w:type="dxa"/>
            <w:vAlign w:val="bottom"/>
          </w:tcPr>
          <w:p>
            <w:pPr>
              <w:spacing w:after="0"/>
              <w:rPr>
                <w:sz w:val="18"/>
                <w:szCs w:val="18"/>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100.71</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2,857,054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81.78</w:t>
            </w:r>
          </w:p>
        </w:tc>
        <w:tc>
          <w:tcPr>
            <w:tcW w:w="15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596,279</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46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1,610,185</w:t>
            </w:r>
          </w:p>
        </w:tc>
        <w:tc>
          <w:tcPr>
            <w:tcW w:w="7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3"/>
              </w:rPr>
              <w:t>76.31</w:t>
            </w:r>
          </w:p>
        </w:tc>
        <w:tc>
          <w:tcPr>
            <w:tcW w:w="66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4.90</w:t>
            </w:r>
          </w:p>
        </w:tc>
        <w:tc>
          <w:tcPr>
            <w:tcW w:w="6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F-17</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total cash received by the Company as a result of stock option exercises was $9.0 million, $1.0 million and $0.7 million for the years ended December 31, 2022, 2021, and 2020. The total intrinsic value of options exercised was $47.3 million $0.1 million and $4.1 million for the years ended December 31, 2022, 2021, and 2020. The weighted-average grant date fair values, based on the Black-Scholes option model, of options granted during the year ended December 31, 2022, 2021 and 2020 was $54.68, $73.29, and $68.07,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Stock-based compensation expense during the years ended December 31, 2022, 2021 and 2020 was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by type of award:</w:t>
            </w:r>
          </w:p>
        </w:tc>
        <w:tc>
          <w:tcPr>
            <w:tcW w:w="1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31,625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26,873</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31,625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26,873</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 of stock-based compensation expense by line item:</w:t>
            </w:r>
          </w:p>
        </w:tc>
        <w:tc>
          <w:tcPr>
            <w:tcW w:w="1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17,749</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11,897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 included in net loss</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31,625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26,873</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expense on stock options as of December 31, 2022 was $58.7 million with a weighted average remaining period of 2.57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2019, the Company entered into an operating lease for office space, which was renewed and extended in 2020. We adopted ASU 2016-02, “Leases,” on January 1, 2019 requiring, among other changes, operating and finance leases with terms exceeding twelve months to be recognized as a right-of-use asset (or “ROU”) and lease liabilities on the balance sheet. Operating lease ROU assets and operating lease liabilities are recognized based on the present value of the future minimum lease payments over the lease term at the commencement date. The lease term is determined to be the non-cancelable period including any lessee renewal options that are considered reasonably certain of exercise. The interest rate implicit in lease contracts is typically not readily determinable. As such, the Company used judgment to determine an appropriate incremental borrowing rate, which is the rate incurred to borrow on a collateralized basis over a similar term in a similar economic environment.</w:t>
      </w:r>
    </w:p>
    <w:p>
      <w:pPr>
        <w:spacing w:after="0" w:line="18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Future minimum payments under the Company’s operating leases related to the ROU asset and lease liability as of December 31, 2022 was as follows (in thousand):</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2022, the weighted average remaining operating lease term was 0.7 years and the weighted average discount rate used to determine the operating lease liabilities was 6.72%. Cash paid related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82"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lease liability was $0.7 and $0.4 million for years ended December 31, 2022 and 2021 respectively. Operating lease costs were $0.8 and $0.4 million for years ended December 31, 2022 and 2021 respectively. Rent, short term and variable leases costs were immaterial during the years ended December 31, 2022, 2021 and 2020.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agreement requires future milestone payments to Roche. In 2019, the Company commenced a Phase 3 study in Non-Alcoholic Steatohepatitis (NASH), which triggered a $2 million milestone payment under the agreement. Remaining milestones under the agreement total $8 million and are earned by achieving specified objectives related to future regulatory approval in the United States and Europe of a product developed from resmetirom. A single-digit royalty payment range is based on net sales of products developed from resmetirom, subject to certain reductions. Except as described above, the Company has not achieved any additional product development or regulatory milestones and had no Licensed Product sales for the years ended December 31, 2022, 2021 and 2020.</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entered into customary contractual arrangements and letters of intent in preparation for and in support of the clinical trials.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At December 31, 2022, the Company had federal net operating loss (“NOL”) carryforwards of approximately $275.5 million available to reduce future taxable income, of which $40.4 million will expire between 2031 and 2037. The Company also has state operating loss carryforwards of approximately $264.2 million, available to reduce future taxable income, which expire between 2031 and 2041. The Company has unused federal research and development carryforwards of approximately $33.1 million which will begin to expire in 2031.</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Internal Revenue Code (“IRC”) limits the amounts of NOL carryforwards that a Company may use in any one year in the event of certain cumulative changes in ownership over a three-year period as described in Section 382 of the IRC. Such change in ownership could limit the Company’s utilization of the NOL, and could be triggered by subsequent sales of securities by the Company or stockholders. The deferred tax asset related to the NOL reflected on the financial statements could be affected by this limitation. Although a formal analysis has not been completed, the Company has determined that an ownership change likely occurred for Madrigal during the year ended December 31, 2017.</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of the deferred tax assets will not be realized. The ultimate realization of deferred tax assets is dependent upon the generation of future taxable income during the periods in which those temporary differences become deductible. As there is no assurance of future taxable income, a full valuation allowance has been established to offset the deferred tax assets. The valuation allowance increased $59.5 million for the year ended December 31, 2022. Changes in the deferred tax asset will be recorded as an income tax benefit or expense on the accompanying consolidated statements of operations.</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Entities are also required to evaluate, measure, recognize and disclose any uncertain income tax provisions taken on their income tax returns. The Company has analyzed its tax positions and has concluded that as of December 31, 2022 there were no uncertain positions. The 2018 through 2022 tax returns are open to review by the IRS and state taxing authorities. Interest and penalties, if any, as they relate to income taxes assessed, are included in the income tax provision. There was no income tax related interest and penalties included in the income tax provision for 2022.</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82"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Temporary differences that give rise to deferred tax assets and liabilities are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r>
      <w:tr>
        <w:trPr>
          <w:trHeight w:val="223"/>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Charitable contributions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compensation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on investment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R&amp;D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137,328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R&amp;D credit</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271,108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211,642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132,398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(271,108)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6"/>
              </w:rPr>
              <w:t>(211,642)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(132,384)</w:t>
            </w:r>
          </w:p>
        </w:tc>
      </w:tr>
      <w:tr>
        <w:trPr>
          <w:trHeight w:val="230"/>
        </w:trPr>
        <w:tc>
          <w:tcPr>
            <w:tcW w:w="20" w:type="dxa"/>
            <w:vAlign w:val="bottom"/>
          </w:tcPr>
          <w:p>
            <w:pPr>
              <w:spacing w:after="0"/>
              <w:rPr>
                <w:sz w:val="20"/>
                <w:szCs w:val="20"/>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Differences between the effective income tax rate and the US statutory rate were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gridSpan w:val="10"/>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at U.S. federal statutory rate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(62,023)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(50,788)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(17,629)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162M limitation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 benefit before valuation allowance, net of federal benefit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domestic valuation allowance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79,258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tcPr>
          <w:p>
            <w:pPr>
              <w:ind w:left="4440"/>
              <w:spacing w:after="0"/>
              <w:rPr>
                <w:sz w:val="20"/>
                <w:szCs w:val="20"/>
                <w:color w:val="auto"/>
              </w:rPr>
            </w:pPr>
            <w:r>
              <w:rPr>
                <w:rFonts w:ascii="Times New Roman" w:cs="Times New Roman" w:eastAsia="Times New Roman" w:hAnsi="Times New Roman"/>
                <w:sz w:val="18"/>
                <w:szCs w:val="18"/>
                <w:color w:val="auto"/>
              </w:rPr>
              <w:t>F-20</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82" w:right="1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Quarterly Financial Data (unaudited)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tables present a summary of quarterly results of operations for 2022 and 2021 (in thousands, except shares and per share data):</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2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6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47,929</w:t>
            </w:r>
          </w:p>
        </w:tc>
        <w:tc>
          <w:tcPr>
            <w:tcW w:w="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58,499</w:t>
            </w:r>
          </w:p>
        </w:tc>
        <w:tc>
          <w:tcPr>
            <w:tcW w:w="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68,271</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70,742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9,658</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11,774</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12,141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14,557</w:t>
            </w:r>
          </w:p>
        </w:tc>
        <w:tc>
          <w:tcPr>
            <w:tcW w:w="0" w:type="dxa"/>
            <w:vAlign w:val="bottom"/>
          </w:tcPr>
          <w:p>
            <w:pPr>
              <w:spacing w:after="0"/>
              <w:rPr>
                <w:sz w:val="1"/>
                <w:szCs w:val="1"/>
                <w:color w:val="auto"/>
              </w:rPr>
            </w:pPr>
          </w:p>
        </w:tc>
      </w:tr>
      <w:tr>
        <w:trPr>
          <w:trHeight w:val="23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57,587</w:t>
            </w: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70,273</w:t>
            </w:r>
          </w:p>
        </w:tc>
        <w:tc>
          <w:tcPr>
            <w:tcW w:w="7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80,412</w:t>
            </w:r>
          </w:p>
        </w:tc>
        <w:tc>
          <w:tcPr>
            <w:tcW w:w="7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(57,587)</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(70,273)</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(80,412)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(85,299)</w:t>
            </w: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(1,502)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(57,518)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(70,730)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(81,197)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(85,905)</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number of</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17,103,395</w:t>
            </w:r>
          </w:p>
        </w:tc>
        <w:tc>
          <w:tcPr>
            <w:tcW w:w="80" w:type="dxa"/>
            <w:vAlign w:val="bottom"/>
          </w:tcPr>
          <w:p>
            <w:pPr>
              <w:spacing w:after="0"/>
              <w:rPr>
                <w:sz w:val="20"/>
                <w:szCs w:val="20"/>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8"/>
              </w:rPr>
              <w:t>17,103,395</w:t>
            </w:r>
          </w:p>
        </w:tc>
        <w:tc>
          <w:tcPr>
            <w:tcW w:w="80" w:type="dxa"/>
            <w:vAlign w:val="bottom"/>
          </w:tcPr>
          <w:p>
            <w:pPr>
              <w:spacing w:after="0"/>
              <w:rPr>
                <w:sz w:val="20"/>
                <w:szCs w:val="20"/>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8"/>
              </w:rPr>
              <w:t>17,103,395</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17,237,517</w:t>
            </w:r>
          </w:p>
        </w:tc>
        <w:tc>
          <w:tcPr>
            <w:tcW w:w="0" w:type="dxa"/>
            <w:vAlign w:val="bottom"/>
          </w:tcPr>
          <w:p>
            <w:pPr>
              <w:spacing w:after="0"/>
              <w:rPr>
                <w:sz w:val="1"/>
                <w:szCs w:val="1"/>
                <w:color w:val="auto"/>
              </w:rPr>
            </w:pPr>
          </w:p>
        </w:tc>
      </w:tr>
      <w:tr>
        <w:trPr>
          <w:trHeight w:val="392"/>
        </w:trPr>
        <w:tc>
          <w:tcPr>
            <w:tcW w:w="3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620" w:type="dxa"/>
            <w:vAlign w:val="bottom"/>
            <w:gridSpan w:val="3"/>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6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6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45,770</w:t>
            </w:r>
          </w:p>
        </w:tc>
        <w:tc>
          <w:tcPr>
            <w:tcW w:w="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51,632</w:t>
            </w:r>
          </w:p>
        </w:tc>
        <w:tc>
          <w:tcPr>
            <w:tcW w:w="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54,873</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52,889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7,209</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10,110</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8,287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11,712</w:t>
            </w:r>
          </w:p>
        </w:tc>
        <w:tc>
          <w:tcPr>
            <w:tcW w:w="0" w:type="dxa"/>
            <w:vAlign w:val="bottom"/>
          </w:tcPr>
          <w:p>
            <w:pPr>
              <w:spacing w:after="0"/>
              <w:rPr>
                <w:sz w:val="1"/>
                <w:szCs w:val="1"/>
                <w:color w:val="auto"/>
              </w:rPr>
            </w:pPr>
          </w:p>
        </w:tc>
      </w:tr>
      <w:tr>
        <w:trPr>
          <w:trHeight w:val="23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52,979</w:t>
            </w: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61,742</w:t>
            </w:r>
          </w:p>
        </w:tc>
        <w:tc>
          <w:tcPr>
            <w:tcW w:w="7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63,160</w:t>
            </w:r>
          </w:p>
        </w:tc>
        <w:tc>
          <w:tcPr>
            <w:tcW w:w="7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(52,979)</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(61,742)</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(63,160)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(64,601)</w:t>
            </w: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(52,546)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(61,651)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(63,100)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(64,549)</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198"/>
        </w:trPr>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weighted average number of</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15,840,401</w:t>
            </w:r>
          </w:p>
        </w:tc>
        <w:tc>
          <w:tcPr>
            <w:tcW w:w="80" w:type="dxa"/>
            <w:vAlign w:val="bottom"/>
          </w:tcPr>
          <w:p>
            <w:pPr>
              <w:spacing w:after="0"/>
              <w:rPr>
                <w:sz w:val="20"/>
                <w:szCs w:val="20"/>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8"/>
              </w:rPr>
              <w:t>16,571,322</w:t>
            </w:r>
          </w:p>
        </w:tc>
        <w:tc>
          <w:tcPr>
            <w:tcW w:w="80" w:type="dxa"/>
            <w:vAlign w:val="bottom"/>
          </w:tcPr>
          <w:p>
            <w:pPr>
              <w:spacing w:after="0"/>
              <w:rPr>
                <w:sz w:val="20"/>
                <w:szCs w:val="20"/>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8"/>
              </w:rPr>
              <w:t>16,639,776</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17,074,543</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Subsequent Event</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February 3, 2023, the Company entered into the First Amendment (the “Amendment”) to the Loan Facility described in Footnote 6 (as amended, the “Amended Loan Facility”). Under the terms of the Loan</w:t>
      </w:r>
    </w:p>
    <w:p>
      <w:pPr>
        <w:spacing w:after="0" w:line="9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0740"/>
          </w:cols>
          <w:pgMar w:left="320" w:top="482" w:right="8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Facility, the first $50.0 million tranche was drawn at closing in May 2022. Under the Amended Loan Facility, an additional $35.0 million was</w:t>
      </w:r>
    </w:p>
    <w:p>
      <w:pPr>
        <w:spacing w:after="0" w:line="27"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drawn under a second, expanded, $65.0 million tranche (“Tranche 2”) in February of 2023 following the Company’s achievement of the Phase 3 clinical development milestone. The Company has the ability to draw an additional $15.0 million under Tranche 2 by June 19, 2023 and an additional</w:t>
      </w:r>
    </w:p>
    <w:p>
      <w:pPr>
        <w:spacing w:after="0" w:line="1" w:lineRule="exact"/>
        <w:rPr>
          <w:sz w:val="20"/>
          <w:szCs w:val="20"/>
          <w:color w:val="auto"/>
        </w:rPr>
      </w:pPr>
    </w:p>
    <w:p>
      <w:pPr>
        <w:ind w:left="120" w:right="220"/>
        <w:spacing w:after="0" w:line="265" w:lineRule="auto"/>
        <w:rPr>
          <w:sz w:val="20"/>
          <w:szCs w:val="20"/>
          <w:color w:val="auto"/>
        </w:rPr>
      </w:pPr>
      <w:r>
        <w:rPr>
          <w:rFonts w:ascii="Times New Roman" w:cs="Times New Roman" w:eastAsia="Times New Roman" w:hAnsi="Times New Roman"/>
          <w:sz w:val="17"/>
          <w:szCs w:val="17"/>
          <w:color w:val="auto"/>
        </w:rPr>
        <w:t>$15.0 million under Tranche 2 by September 30, 2023 (for a total of $30.0 million in additional committed Tranche 2 capacity). The third tranche (“Tranche 3”) of $75.0 million remains unchanged by the Amendment, and such borrowings are available subject to the Company obtaining a certain FDA approval for resmetirom. Coincident with the expansion of Tranche 2 borrowing capacity by $15 million, the Amendment reduced the fourth tranche under the Loan Facility (“Tranche 4”) by $15.0 million to $60.0 million , which amount is available subject to Hercules’ sole discretion. In connection with the $35.0 million drawn under the second tranche at the closing of the Amendment, the Company issued to Hercules and</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affiliates Tranche 2 Warrants to purchase 2,453 shares of common stock at an exercise price of $285.31 per share. The Amendment reduced the interest rate under the Amended Loan Facility to the greater of (i) the prime rate as reported in The Wall Street Journal plus 2.45% and (ii) 8.25%. The Amendment and the Amended Loan Facility summary terms were disclosed in the Company’s Current Report on Form 8-K filed with the Securities and Exchange Commission on February 9, 2023.</w:t>
      </w:r>
    </w:p>
    <w:p>
      <w:pPr>
        <w:spacing w:after="0" w:line="3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80"/>
          </w:cols>
          <w:pgMar w:left="320" w:top="482" w:right="49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OF THE REGISTRANT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is a summary of all material characteristics of our capital stock as set forth in our restated certificate of incorporation, our restated bylaws, our Certificate of Designation of Preferences, Rights and Limitations of Series A Convertible Preferred Stock and our Certificate of Designation of Preferences, Rights and Limitations of Series B Convertible Preferred Stock. Our common stock is the only class of our securities registered under Section 12 of the Securities Exchange Act of 1934, as amended, and is listed on The Nasdaq Stock Market LLC. The summary does not purport to be complete and is qualified in its entirety by reference to our certificate of incorporation and bylaws, copies of which have been filed as exhibits to our previous SEC filings.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authorized to issue 200,000,000 shares of common stock, par value $0.0001 per share. The following summary of certain provisions of our common stock does not purport to be complete. You should refer to our restated certificate of incorporation and our restated bylaws, both of which have been filed with the SEC. The summary below is also qualified by provisions of applicable law.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whose address is Meidinger Tower, 462 South 4th Street, Louisville, KY 40202 and whose telephone number is (502) 301-6088.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for quotation on The Nasdaq Global Select Market under the symbol “MDGL.”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have never declared any cash dividends on our common stock and we do not anticipate paying any cash dividends on our common stock in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authorized to issue 5,000,000 shares of preferred stock, par value $0.0001 per share. As of December 31, 2022, we had (i) 1,969,797 shares of preferred stock, designated Series A Convertible Preferred Stock, outstanding held by two stockholders of record, and (ii) 400,000 shares of preferred stock, designated Series B Convertible Preferred Stock, outstanding held by two stockholders of record. No other shares of our preferred stock were outstanding or designated. The following summary of certain provisions of our preferred stock does not purport to be complete. You should refer to our restated certificate of incorporation, our restated bylaws, our Certificate of Designation of Preferences, Rights and Limitations of Series A Convertible Preferred Stock and our Certificate of Designation of Preferences, Rights and Limitations of Series B Convertible Preferred Stock, each of which have been filed with the SEC. The summary below is also qualified by provisions of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Convertible Preferred Stock</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Each share of the Series A Convertible Preferred Stock is convertible into shares of the common stock at any time at the holder’s option at a one-to-one ratio, subject to adjustment. A holder of Series A Convertible Preferred Stock, however, will be prohibited from converting shares of the Series A Convertible Preferred Stock into shares of our common stock if, as a result of such conversion, the holder, together with its affiliates, would own more than 4.99% of the shares of our common stock or any other class of any equity security of ours (other than an exempted security) that is registered pursuant to Section 12 of the Securities Exchange Act of 1934 (the “Exchange Act”), which may be increased or decreased to any other percentage at the holder’s election on 61 days’ notice delivered to the Company.</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our liquidation, dissolution or winding-up, whether voluntary or involuntary, after the satisfaction in full of our debts and the payment of any liquidation preference owed to the holders of shares of our capital stock ranking prior to the Series A Convertible Preferred Stock upon liquidation, the holders of the Series A Convertible Preferred Stock shall participate pari passu with the holders of our common stock and the holders of our Series B Convertible Preferred Stock (on an as-if-converted-to-common-stock basis) in our net assets. Shares of the Series A Convertible Preferred Stock will generally have no voting rights, except as required by law. Shares of the Series A Convertible Preferred Stock will be entitled to receive dividends pari passu with the shares of the Series B Convertible Preferred Stock, and before shares of any other class or series of our capital stock (other than dividends in the form of our common stock) equal to the dividend payable on each share of our common stock, on an as-converted basis.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Convertible Preferred Stock</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share of the Series B Convertible Preferred Stock is convertible into shares of the common stock at any time at the holder’s option at a one-to-one ratio, subject to adjustment as provided in the Certificate of Designation of Preferences, Rights and Limitations of Series B Convertible Preferred Stock. A holder of Series B Convertible Preferred Stock, however, will be prohibited from converting shares of the Series B Convertible Preferred Stock into shares of our common stock if, as a result of such conversion, the holder, together with its affiliates, would own more than 4.99% of the shares of our common stock or any other class of any equity security of ours (other than an exempted security) that is registered pursuant to Section 12 of the Exchange Act, which may be increased or decreased up to 19.99% at the holder’s election on 61 days’ notice delivered to the Company.</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Upon our liquidation, dissolution or winding-up, whether voluntary or involuntary, after the satisfaction in full of our debts and the payment of any liquidation preference owed to the holders of shares of our capital stock ranking prior to the Series B Convertible Preferred Stock upon liquidation, the holders of the Series B Convertible Preferred Stock shall participate pari passu with the holders of our common stock and the holders of the Series A Convertible Preferred Stock (on an as-if-converted-to-common-stock basis) in our net assets. Shares of the Series B Convertible Preferred Stock will generally have no voting rights, except as required by law. Shares of the Series B Convertible Preferred Stock will be entitled to receive dividends pari passu with the shares of the Series A Convertible Preferred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sectPr>
      </w:pPr>
    </w:p>
    <w:bookmarkStart w:id="107" w:name="page108"/>
    <w:bookmarkEnd w:id="107"/>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and before shares of any other class or series of capital stock of the Company (other than dividends in the form of the Common Stock) equal to the dividend payable on each share of our common stock, on an as-converted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of our Certificate of Incorporation and Bylaws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to the board of directors’ ability to issue shares of preferred stock, our restated certificate of incorporation and restated bylaws contain other provisions that are intended to enhance the likelihood of continuity and stability in the composition of the board of directors and which may have the effect of delaying, deferring or preventing a future takeover or change in control of our company unless such takeover or change in control is approved by our board of directors.</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Classified board of directors; removal of directors for cause. </w:t>
      </w:r>
      <w:r>
        <w:rPr>
          <w:rFonts w:ascii="Times New Roman" w:cs="Times New Roman" w:eastAsia="Times New Roman" w:hAnsi="Times New Roman"/>
          <w:sz w:val="18"/>
          <w:szCs w:val="18"/>
          <w:color w:val="auto"/>
        </w:rPr>
        <w:t>Our restated certificate of incorporation and restated bylaws provide for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be divided into three classes serving staggered terms. At each annual meeting of stockholders, directors elected to succeed those directors whose terms have expired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also is empowered to fill vacancies on the board of directors occurring for any reason for the remainder of the term of the class of directors in which the vacancy occurred. Members of the board of directors may only be removed for cause and only by the affirmative vote of 80% of our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Advance notice provisions for stockholder proposals. </w:t>
      </w:r>
      <w:r>
        <w:rPr>
          <w:rFonts w:ascii="Times New Roman" w:cs="Times New Roman" w:eastAsia="Times New Roman" w:hAnsi="Times New Roman"/>
          <w:sz w:val="18"/>
          <w:szCs w:val="18"/>
          <w:color w:val="auto"/>
        </w:rPr>
        <w:t>Our restated bylaws establish an advance notice procedure for stockholder proposals to be brought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an annual meeting of our stockholders, including proposed nominations of persons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our bylaws do not give our board of directors the power to approve or disapprove stockholder nominations of candidates or proposals regarding other business to be conducted at a special or annual meeting, our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us.</w:t>
      </w:r>
    </w:p>
    <w:p>
      <w:pPr>
        <w:spacing w:after="0" w:line="18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Special meetings of the stockholders may be called only by our board of directors pursuant to a resolution adopted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majority of the total number of authorized directors. Stockholders are not permitted to call a special meeting or to require our board of directors to call a special meeting.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8" w:name="page109"/>
    <w:bookmarkEnd w:id="108"/>
    <w:p>
      <w:pPr>
        <w:ind w:right="160"/>
        <w:spacing w:after="0" w:line="315"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stockholder action by written consent. </w:t>
      </w:r>
      <w:r>
        <w:rPr>
          <w:rFonts w:ascii="Times New Roman" w:cs="Times New Roman" w:eastAsia="Times New Roman" w:hAnsi="Times New Roman"/>
          <w:sz w:val="17"/>
          <w:szCs w:val="17"/>
          <w:color w:val="auto"/>
        </w:rPr>
        <w:t>Our restated certificate of incorporation and restated bylaws do not permit our stockholders to act by written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consent. As a result, any action to be effected by our stockholders must be effected at a duly called annual or special meeting of the stockholders.</w:t>
      </w:r>
    </w:p>
    <w:p>
      <w:pPr>
        <w:spacing w:after="0" w:line="13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Super-majority stockholder vote required for certain actions. </w:t>
      </w:r>
      <w:r>
        <w:rPr>
          <w:rFonts w:ascii="Times New Roman" w:cs="Times New Roman" w:eastAsia="Times New Roman" w:hAnsi="Times New Roman"/>
          <w:sz w:val="17"/>
          <w:szCs w:val="17"/>
          <w:color w:val="auto"/>
        </w:rPr>
        <w:t>The Delaware General Corporation Law, or DGCL, provides generally that the affirmative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of Delaware Law Governing Business Combinations</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are subject to the “business combination” provisions of Section 203 of the DGCL.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81" w:lineRule="exact"/>
        <w:rPr>
          <w:sz w:val="20"/>
          <w:szCs w:val="20"/>
          <w:color w:val="auto"/>
        </w:rPr>
      </w:pPr>
    </w:p>
    <w:p>
      <w:pPr>
        <w:ind w:left="960" w:right="280" w:hanging="42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date, the board of directors approved either the “business combination” or the transaction which resulted in the “interested stockholder” obtaining such status; or</w:t>
      </w:r>
    </w:p>
    <w:p>
      <w:pPr>
        <w:spacing w:after="0" w:line="67"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by the affirmative vote of at least 662/3% of the outstanding voting stock which is not owned by the “interested stockholder.”</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8" w:right="45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2015 STOCK PLAN</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RESTRICTED STOCK UNIT AWARD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GRANT NOTICE</w:t>
      </w:r>
    </w:p>
    <w:p>
      <w:pPr>
        <w:spacing w:after="0" w:line="234" w:lineRule="exact"/>
        <w:rPr>
          <w:sz w:val="20"/>
          <w:szCs w:val="20"/>
          <w:color w:val="auto"/>
        </w:rPr>
      </w:pPr>
    </w:p>
    <w:p>
      <w:pPr>
        <w:ind w:left="564" w:hanging="564"/>
        <w:spacing w:after="0"/>
        <w:tabs>
          <w:tab w:leader="none" w:pos="5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Participant:</w:t>
      </w:r>
    </w:p>
    <w:p>
      <w:pPr>
        <w:spacing w:after="0" w:line="144" w:lineRule="exact"/>
        <w:rPr>
          <w:rFonts w:ascii="Times New Roman" w:cs="Times New Roman" w:eastAsia="Times New Roman" w:hAnsi="Times New Roman"/>
          <w:sz w:val="18"/>
          <w:szCs w:val="18"/>
          <w:color w:val="auto"/>
        </w:rPr>
      </w:pPr>
    </w:p>
    <w:p>
      <w:pPr>
        <w:ind w:left="564" w:right="8740" w:hanging="564"/>
        <w:spacing w:after="0" w:line="312" w:lineRule="auto"/>
        <w:tabs>
          <w:tab w:leader="none" w:pos="56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Date of the RSUs (the “Grant Date”):</w:t>
      </w:r>
    </w:p>
    <w:p>
      <w:pPr>
        <w:spacing w:after="0" w:line="45" w:lineRule="exact"/>
        <w:rPr>
          <w:rFonts w:ascii="Times New Roman" w:cs="Times New Roman" w:eastAsia="Times New Roman" w:hAnsi="Times New Roman"/>
          <w:sz w:val="17"/>
          <w:szCs w:val="17"/>
          <w:color w:val="auto"/>
        </w:rPr>
      </w:pPr>
    </w:p>
    <w:p>
      <w:pPr>
        <w:ind w:left="564" w:hanging="564"/>
        <w:spacing w:after="0"/>
        <w:tabs>
          <w:tab w:leader="none" w:pos="5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RSUs:</w:t>
      </w:r>
    </w:p>
    <w:p>
      <w:pPr>
        <w:spacing w:after="0" w:line="140" w:lineRule="exact"/>
        <w:rPr>
          <w:rFonts w:ascii="Times New Roman" w:cs="Times New Roman" w:eastAsia="Times New Roman" w:hAnsi="Times New Roman"/>
          <w:sz w:val="18"/>
          <w:szCs w:val="18"/>
          <w:color w:val="auto"/>
        </w:rPr>
      </w:pPr>
    </w:p>
    <w:p>
      <w:pPr>
        <w:ind w:left="564" w:right="360" w:hanging="564"/>
        <w:spacing w:after="0" w:line="259" w:lineRule="auto"/>
        <w:tabs>
          <w:tab w:leader="none" w:pos="5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of Award: </w:t>
      </w:r>
      <w:r>
        <w:rPr>
          <w:rFonts w:ascii="Times New Roman" w:cs="Times New Roman" w:eastAsia="Times New Roman" w:hAnsi="Times New Roman"/>
          <w:sz w:val="18"/>
          <w:szCs w:val="18"/>
          <w:color w:val="auto"/>
        </w:rPr>
        <w:t>Subject to the Participant’s continuous employment or other service relationship with or to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as an Employee, director, and/or Consultant from the Grant Date through each of the following applicable dates (each such date,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the RSUs shall vest twenty-five percent (25%) of the Number of RSUs above on each of the first, second, third, and fourth anniversaries of the Grant Date. Any terms used and not defined herein have the meanings ascribed to such terms in the Madrigal Pharmaceuticals, Inc. Amended 2015 Stock Plan (as it has been and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-1354455</wp:posOffset>
            </wp:positionV>
            <wp:extent cx="32143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3780155</wp:posOffset>
            </wp:positionH>
            <wp:positionV relativeFrom="paragraph">
              <wp:posOffset>-1003300</wp:posOffset>
            </wp:positionV>
            <wp:extent cx="32143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3780155</wp:posOffset>
            </wp:positionH>
            <wp:positionV relativeFrom="paragraph">
              <wp:posOffset>-780415</wp:posOffset>
            </wp:positionV>
            <wp:extent cx="32143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59" w:lineRule="exact"/>
        <w:rPr>
          <w:sz w:val="20"/>
          <w:szCs w:val="20"/>
          <w:color w:val="auto"/>
        </w:rPr>
      </w:pPr>
    </w:p>
    <w:p>
      <w:pPr>
        <w:ind w:left="4" w:right="160" w:firstLine="551"/>
        <w:spacing w:after="0" w:line="259" w:lineRule="auto"/>
        <w:rPr>
          <w:sz w:val="20"/>
          <w:szCs w:val="20"/>
          <w:color w:val="auto"/>
        </w:rPr>
      </w:pPr>
      <w:r>
        <w:rPr>
          <w:rFonts w:ascii="Times New Roman" w:cs="Times New Roman" w:eastAsia="Times New Roman" w:hAnsi="Times New Roman"/>
          <w:sz w:val="18"/>
          <w:szCs w:val="18"/>
          <w:b w:val="1"/>
          <w:bCs w:val="1"/>
          <w:color w:val="auto"/>
        </w:rPr>
        <w:t>By signing this Grant Notice or by electronic acknowledgment of this Grant Notice, the Participant acknowledges receipt of and agrees to all the terms and conditions described in this Restricted Stock Unit Award Grant Notice, the attached Restricted Stock Unit Agreement (including the Restrictive Covenants Agreement attached thereto), and the Plan. The Participant acknowledges that he or she has carefully reviewed the Plan and agrees that the Plan will control in the event any provision of the Agreement should appear to be inconsistent with the Plan.</w:t>
      </w:r>
    </w:p>
    <w:p>
      <w:pPr>
        <w:spacing w:after="0" w:line="20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17145</wp:posOffset>
            </wp:positionV>
            <wp:extent cx="2425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2425700" cy="889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308610</wp:posOffset>
            </wp:positionV>
            <wp:extent cx="27946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ATTACHMENT</w:t>
      </w:r>
      <w:r>
        <w:rPr>
          <w:rFonts w:ascii="Times New Roman" w:cs="Times New Roman" w:eastAsia="Times New Roman" w:hAnsi="Times New Roman"/>
          <w:sz w:val="18"/>
          <w:szCs w:val="18"/>
          <w:color w:val="auto"/>
        </w:rPr>
        <w:t>: Restricted Stock Unit Agreement &amp; Restrictive Covenants Agreement</w:t>
      </w:r>
    </w:p>
    <w:p>
      <w:pPr>
        <w:sectPr>
          <w:pgSz w:w="11900" w:h="16838" w:orient="portrait"/>
          <w:cols w:equalWidth="0" w:num="1">
            <w:col w:w="11024"/>
          </w:cols>
          <w:pgMar w:left="436" w:top="117" w:right="439" w:bottom="1440" w:gutter="0" w:footer="0" w:header="0"/>
        </w:sectPr>
      </w:pPr>
    </w:p>
    <w:bookmarkStart w:id="110" w:name="page111"/>
    <w:bookmarkEnd w:id="110"/>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MADRIGAL PHARMACEUTICALS, INC.</w:t>
      </w:r>
    </w:p>
    <w:p>
      <w:pPr>
        <w:spacing w:after="0" w:line="3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AMENDED 2015 STOCK PLAN</w:t>
      </w:r>
    </w:p>
    <w:p>
      <w:pPr>
        <w:spacing w:after="0" w:line="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3" w:lineRule="exact"/>
        <w:rPr>
          <w:sz w:val="20"/>
          <w:szCs w:val="20"/>
          <w:color w:val="auto"/>
        </w:rPr>
      </w:pPr>
    </w:p>
    <w:p>
      <w:pPr>
        <w:ind w:left="4" w:right="400" w:firstLine="440"/>
        <w:spacing w:after="0" w:line="268" w:lineRule="auto"/>
        <w:rPr>
          <w:sz w:val="20"/>
          <w:szCs w:val="20"/>
          <w:color w:val="auto"/>
        </w:rPr>
      </w:pPr>
      <w:r>
        <w:rPr>
          <w:rFonts w:ascii="Times New Roman" w:cs="Times New Roman" w:eastAsia="Times New Roman" w:hAnsi="Times New Roman"/>
          <w:sz w:val="18"/>
          <w:szCs w:val="18"/>
          <w:color w:val="auto"/>
        </w:rPr>
        <w:t>This RESTRICTED STOCK UNIT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the “Grant Date” set forth in the Restricted Stock Unit Award Grant Notice (“</w:t>
      </w:r>
      <w:r>
        <w:rPr>
          <w:rFonts w:ascii="Times New Roman" w:cs="Times New Roman" w:eastAsia="Times New Roman" w:hAnsi="Times New Roman"/>
          <w:sz w:val="18"/>
          <w:szCs w:val="18"/>
          <w:b w:val="1"/>
          <w:bCs w:val="1"/>
          <w:color w:val="auto"/>
        </w:rPr>
        <w:t>Grant Notice</w:t>
      </w:r>
      <w:r>
        <w:rPr>
          <w:rFonts w:ascii="Times New Roman" w:cs="Times New Roman" w:eastAsia="Times New Roman" w:hAnsi="Times New Roman"/>
          <w:sz w:val="18"/>
          <w:szCs w:val="18"/>
          <w:color w:val="auto"/>
        </w:rPr>
        <w:t>”) between MADRIGAL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Delaware corporation, and the individual whose name appears on the Restricted Stock Unit Award Grant Notice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has adopted the Madrigal Pharmaceuticals, Inc. Amended 2015 Stock Plan (as it has been and may be amended and/or restated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to promote the interests of the Company by providing an incentive for Employees, directors, and Consultants of the Company and its Affiliates;</w:t>
      </w:r>
    </w:p>
    <w:p>
      <w:pPr>
        <w:spacing w:after="0" w:line="176" w:lineRule="exact"/>
        <w:rPr>
          <w:sz w:val="20"/>
          <w:szCs w:val="20"/>
          <w:color w:val="auto"/>
        </w:rPr>
      </w:pPr>
    </w:p>
    <w:p>
      <w:pPr>
        <w:ind w:left="4" w:right="240" w:firstLine="440"/>
        <w:spacing w:after="0" w:line="261" w:lineRule="auto"/>
        <w:rPr>
          <w:sz w:val="20"/>
          <w:szCs w:val="20"/>
          <w:color w:val="auto"/>
        </w:rPr>
      </w:pPr>
      <w:r>
        <w:rPr>
          <w:rFonts w:ascii="Times New Roman" w:cs="Times New Roman" w:eastAsia="Times New Roman" w:hAnsi="Times New Roman"/>
          <w:sz w:val="18"/>
          <w:szCs w:val="18"/>
          <w:color w:val="auto"/>
        </w:rPr>
        <w:t>WHEREAS, pursuant to the provisions of the Plan, and in consideration for the Participant’s past and future services to the Company and for compliance with certain Restrictive Covenants Agreement (as defined below) restrictions set forth herein, the Company desires to grant to the Participant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related to the Company’s common stock, $0.0001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in accordance with the provisions of the Plan, all on the terms and conditions hereinafter set forth; and</w:t>
      </w:r>
    </w:p>
    <w:p>
      <w:pPr>
        <w:spacing w:after="0" w:line="180"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and the Participant understand and agree that any terms used and not defined herein have the meanings ascribed to such terms in the Plan.</w:t>
      </w:r>
    </w:p>
    <w:p>
      <w:pPr>
        <w:spacing w:after="0" w:line="16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67" w:lineRule="exact"/>
        <w:rPr>
          <w:sz w:val="20"/>
          <w:szCs w:val="20"/>
          <w:color w:val="auto"/>
        </w:rPr>
      </w:pPr>
    </w:p>
    <w:p>
      <w:pPr>
        <w:jc w:val="both"/>
        <w:ind w:left="424" w:right="140" w:hanging="424"/>
        <w:spacing w:after="0" w:line="266"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w:t>
      </w:r>
      <w:r>
        <w:rPr>
          <w:rFonts w:ascii="Times New Roman" w:cs="Times New Roman" w:eastAsia="Times New Roman" w:hAnsi="Times New Roman"/>
          <w:sz w:val="18"/>
          <w:szCs w:val="18"/>
          <w:color w:val="auto"/>
        </w:rPr>
        <w:t>. The Company hereby grants to the Participant a Stock-Based Award for the number of RSUs set forth in the Grant Notice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Each RSU represents a contingent entitlement of the Participant to receive one share of Common Stock, on the terms and conditions and subject to all the limitations set forth herein, in the Grant Notice, and in the Plan, which are incorporated herein by reference.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Award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and the Plan: (i) the Award shall vest as set forth in the Grant Notice and is subject to the other terms and conditions of this Agreement and the Plan; and (ii) upon vesting, the Participant shall be entitled to receive such number of shares of Common Stock equivalent to the number of such vested RSUs.</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4"/>
          </w:cols>
          <w:pgMar w:left="436" w:top="266" w:right="539" w:bottom="1440" w:gutter="0" w:footer="0" w:header="0"/>
        </w:sectPr>
      </w:pPr>
    </w:p>
    <w:bookmarkStart w:id="111" w:name="page112"/>
    <w:bookmarkEnd w:id="111"/>
    <w:p>
      <w:pPr>
        <w:ind w:left="964" w:right="20" w:hanging="532"/>
        <w:spacing w:after="0" w:line="266"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the Grant Notice or this Agreement, any fractional Shares resulting from the vesting schedule set forth in the Grant Notice will be rounded to the nearest whole Share and shall be rounded up or down as necessary as of the last Vesting Date; provided, in all cases, the Participant cannot vest in more than the number of RSUs set forth in the Grant Notice.</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Unvested RSUs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40" w:hanging="532"/>
        <w:spacing w:after="0" w:line="258" w:lineRule="auto"/>
        <w:tabs>
          <w:tab w:leader="none" w:pos="9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this Agreement, the Grant Notice, the Plan, or a separate agreement between Participant and the Company, if the Participant ceases his or her continuous employment or other service relationship with or to the Company or any of its Affiliates as an Employee, director, and/or Consultant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then all then-unvested RSUs shall automatically and immediately be forfeited to the Company as of such Termination, and this Agreement and the Grant Notice shall automatically and immediately terminate and be of no further force or effect.</w:t>
      </w:r>
    </w:p>
    <w:p>
      <w:pPr>
        <w:spacing w:after="0" w:line="88" w:lineRule="exact"/>
        <w:rPr>
          <w:rFonts w:ascii="Times New Roman" w:cs="Times New Roman" w:eastAsia="Times New Roman" w:hAnsi="Times New Roman"/>
          <w:sz w:val="18"/>
          <w:szCs w:val="18"/>
          <w:color w:val="auto"/>
        </w:rPr>
      </w:pPr>
    </w:p>
    <w:p>
      <w:pPr>
        <w:ind w:left="964" w:hanging="532"/>
        <w:spacing w:after="0" w:line="254" w:lineRule="auto"/>
        <w:tabs>
          <w:tab w:leader="none" w:pos="9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Participant’s continuous employment or other service relationship with or to the Company or any of its Affiliates as an Employee, director, and/or Consultant does not terminate when the Participant goes on a bona fide leave of absence that was approved by the Administrator in writing, if the terms of the leave provide for continued service crediting, or when continued service crediting is required by applicable law. The Participant’s continuous employment or other service relationship with or to the Company or any of its Affiliates as an Employee, director, and/or Consultant terminates in any event when the approved leave ends unless the Participant immediately returns to active work. The Administrator may determine, in its discretion, which leaves count for this purpose and when the Participant’s continuous employment or other service relationship with or to the Company or any of its Affiliates as an Employee, director, and/or Consultant terminates for all purposes under the Plan in accordance with the provisions of the Plan.</w:t>
      </w:r>
    </w:p>
    <w:p>
      <w:pPr>
        <w:spacing w:after="0" w:line="97" w:lineRule="exact"/>
        <w:rPr>
          <w:rFonts w:ascii="Times New Roman" w:cs="Times New Roman" w:eastAsia="Times New Roman" w:hAnsi="Times New Roman"/>
          <w:sz w:val="18"/>
          <w:szCs w:val="18"/>
          <w:color w:val="auto"/>
        </w:rPr>
      </w:pPr>
    </w:p>
    <w:p>
      <w:pPr>
        <w:ind w:left="964" w:right="80" w:hanging="532"/>
        <w:spacing w:after="0" w:line="256" w:lineRule="auto"/>
        <w:tabs>
          <w:tab w:leader="none" w:pos="9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Award is expressly granted as consideration for the Participant’s agreement to comply with the Confidentiality and Inventions and Restrictive Covenants Agreement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Restrictive Covenants Agreement</w:t>
      </w:r>
      <w:r>
        <w:rPr>
          <w:rFonts w:ascii="Times New Roman" w:cs="Times New Roman" w:eastAsia="Times New Roman" w:hAnsi="Times New Roman"/>
          <w:sz w:val="18"/>
          <w:szCs w:val="18"/>
          <w:color w:val="auto"/>
        </w:rPr>
        <w:t xml:space="preserve">”). Therefore, notwithstanding anything to the contrary contained in this Agreement, in the event that the Participant materially breaches the terms of the Restrictive Covenants Agreement, all of the Unvested RSUs then held by the Participant and all Common Stock issued upon the vesting of RSUs that are outstanding and held by the Participant shall be forfeited to the Company immediately upon written notice by the Company. No other awards granted to the Participant under the Plan shall be subject to the forfeiture and repayment obligation set forth in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12" w:name="page113"/>
    <w:bookmarkEnd w:id="112"/>
    <w:p>
      <w:pPr>
        <w:ind w:left="424" w:right="200" w:hanging="424"/>
        <w:spacing w:after="0" w:line="261"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Award; Evidence of Issuance</w:t>
      </w:r>
      <w:r>
        <w:rPr>
          <w:rFonts w:ascii="Times New Roman" w:cs="Times New Roman" w:eastAsia="Times New Roman" w:hAnsi="Times New Roman"/>
          <w:sz w:val="18"/>
          <w:szCs w:val="18"/>
          <w:color w:val="auto"/>
        </w:rPr>
        <w:t>. Delivery of the Shares represented by the Participant’s vested RSUs shall be made as soon as practicable after the applicable Vesting Date and, in any event, by no later than sixty (60) days following each applicable Vesting Date. The issuance of the Shares represented by the Participant’s vested RSUs shall be evidenced in such a manner as the Administrator, in its discretion, deems appropriate, including, without limitation, by (i) book-entry registration or (ii) issuance of one or more share certificates.</w:t>
      </w:r>
    </w:p>
    <w:p>
      <w:pPr>
        <w:spacing w:after="0" w:line="85"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Prohibitions on Transfer and Sale</w:t>
      </w:r>
      <w:r>
        <w:rPr>
          <w:rFonts w:ascii="Times New Roman" w:cs="Times New Roman" w:eastAsia="Times New Roman" w:hAnsi="Times New Roman"/>
          <w:sz w:val="18"/>
          <w:szCs w:val="18"/>
          <w:color w:val="auto"/>
        </w:rPr>
        <w:t xml:space="preserve">. This Award (including any additional RSUs received by the Participant as a result of stock dividends, stock splits, or any other similar transaction affecting the Company’s securities without receipt of consideration) shall not be transferable, without the prior approval of the Administrator, by the Participant, by the Participant, other than by will or by the laws of descent and distribution. Except as provided in the previous sentence, the Shares to be issued pursuant to this Agreement shall be issued, during the Participant’s lifetime, only to the Participant (or, in the event of legal incapacity or incompetence, to the Participant’s guardian or representative), and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or the levy of any attachment or similar process upon this Award, shall be null and void.</w:t>
      </w:r>
    </w:p>
    <w:p>
      <w:pPr>
        <w:spacing w:after="0" w:line="97"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The Plan contains provisions covering the treatment of RSUs and Shares in a number of contingencies, such as stock splits and Corporate Transactions. Provisions in the Plan for adjustment with respect to this Award and the related provisions with respect to successors to the business of the Company are hereby made applicable hereunder and are incorporated herein by reference.</w:t>
      </w:r>
    </w:p>
    <w:p>
      <w:pPr>
        <w:spacing w:after="0" w:line="81" w:lineRule="exact"/>
        <w:rPr>
          <w:rFonts w:ascii="Times New Roman" w:cs="Times New Roman" w:eastAsia="Times New Roman" w:hAnsi="Times New Roman"/>
          <w:sz w:val="18"/>
          <w:szCs w:val="18"/>
          <w:color w:val="auto"/>
        </w:rPr>
      </w:pPr>
    </w:p>
    <w:p>
      <w:pPr>
        <w:ind w:left="424" w:hanging="424"/>
        <w:spacing w:after="0" w:line="277" w:lineRule="auto"/>
        <w:tabs>
          <w:tab w:leader="none" w:pos="42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 Law Compliance</w:t>
      </w:r>
      <w:r>
        <w:rPr>
          <w:rFonts w:ascii="Times New Roman" w:cs="Times New Roman" w:eastAsia="Times New Roman" w:hAnsi="Times New Roman"/>
          <w:sz w:val="17"/>
          <w:szCs w:val="17"/>
          <w:color w:val="auto"/>
        </w:rPr>
        <w:t>. The Participant specifically acknowledges and agrees that any sales of Shares shall be made in accordance with the requirements of the Securities Act. The Company currently has an effective registration statement on file with the United States Securities and Exchange Commission with respect to the Shares to be granted hereunder. Despite registration, applicable securities laws may restrict the ability of the Participant to sell his or her Shares, including due to the Participant’s affiliation with the Company. The Company shall not be obligated to either issue the Shares or permit the resale of any Shares if such issuance or resale would violate any applicable securities law, rule, or regulation.</w:t>
      </w:r>
    </w:p>
    <w:p>
      <w:pPr>
        <w:spacing w:after="0" w:line="100"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4"/>
          </w:cols>
          <w:pgMar w:left="436" w:top="270" w:right="559" w:bottom="1440" w:gutter="0" w:footer="0" w:header="0"/>
        </w:sectPr>
      </w:pPr>
    </w:p>
    <w:bookmarkStart w:id="113" w:name="page114"/>
    <w:bookmarkEnd w:id="113"/>
    <w:p>
      <w:pPr>
        <w:ind w:left="424" w:right="240" w:hanging="424"/>
        <w:spacing w:after="0" w:line="256"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as a Stockholder</w:t>
      </w:r>
      <w:r>
        <w:rPr>
          <w:rFonts w:ascii="Times New Roman" w:cs="Times New Roman" w:eastAsia="Times New Roman" w:hAnsi="Times New Roman"/>
          <w:sz w:val="18"/>
          <w:szCs w:val="18"/>
          <w:color w:val="auto"/>
        </w:rPr>
        <w:t>. The Participant shall have no rights as a stockholder, including voting and dividend rights, with respect to the RSUs subject to this Agreement, unless and until Shares represented by the Participant’s vested RSUs have been issued to the Participant and either a certificate evidencing the Shares has been issued or an appropriate entry has been made on the Company’s books. No adjustments to Shares represented by the Participant’s vested RSUs shall be made for dividends, distributions, or other rights on or with respect to the Common Stock generally if the applicable record date for any such dividend, distribution, or right occurs before the Participant’s certificate is issued or an appropriate book entry is made, except as otherwise described in the Plan.</w:t>
      </w:r>
    </w:p>
    <w:p>
      <w:pPr>
        <w:spacing w:after="0" w:line="92" w:lineRule="exact"/>
        <w:rPr>
          <w:rFonts w:ascii="Times New Roman" w:cs="Times New Roman" w:eastAsia="Times New Roman" w:hAnsi="Times New Roman"/>
          <w:sz w:val="18"/>
          <w:szCs w:val="18"/>
          <w:color w:val="auto"/>
        </w:rPr>
      </w:pPr>
    </w:p>
    <w:p>
      <w:pPr>
        <w:ind w:left="424" w:right="160" w:hanging="424"/>
        <w:spacing w:after="0" w:line="254"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the Plan; Clawback</w:t>
      </w:r>
      <w:r>
        <w:rPr>
          <w:rFonts w:ascii="Times New Roman" w:cs="Times New Roman" w:eastAsia="Times New Roman" w:hAnsi="Times New Roman"/>
          <w:sz w:val="18"/>
          <w:szCs w:val="18"/>
          <w:color w:val="auto"/>
        </w:rPr>
        <w:t>. The Participant specifically understands and agrees that the RSUs and the Shares to be issued under the Agreement will be issued to the Participant pursuant to the Plan, a copy of which Plan the Participant acknowledges he or she has received, has read, and understands and by which Plan he or she agrees to be bound. The provisions of the Plan are incorporated herein by reference. In addition, the RSUs (and any compensation paid or Shares issued pursuant to this Agreement) is subject to recoupment in accordance with The Sarbanes-Oxley Act,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resign for “good reason” or for a “constructive termination” (or similar terms) under any agreement between the Participant and the Company or any Affiliate.</w:t>
      </w:r>
    </w:p>
    <w:p>
      <w:pPr>
        <w:spacing w:after="0" w:line="97"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Liability of the Participant and Payment of Taxes</w:t>
      </w:r>
      <w:r>
        <w:rPr>
          <w:rFonts w:ascii="Times New Roman" w:cs="Times New Roman" w:eastAsia="Times New Roman" w:hAnsi="Times New Roman"/>
          <w:sz w:val="18"/>
          <w:szCs w:val="18"/>
          <w:color w:val="auto"/>
        </w:rPr>
        <w:t>. The Participant acknowledges and agrees that any income or other taxes due from the Participant with respect to this Award or the Shares to be issued pursuant to this Agreement or otherwise sold shall be the Participant’s responsibility. In the event that the Company or an Affiliate determines that any federal, state, local, or foreign tax or withholding payment is required relating to the RSUs, or the delivery of Shares with respect to this Award, the Company or any Affiliate, subject to the proviso below, will have the right to withhold the delivery of vested Shares otherwise deliverable under this Agreement to meet such obligations, provided that, to the extent required to avoid adverse accounting consequences to the Company, the Shares so withheld will have an aggregate Fair Market Value not exceeding the minimum amount of tax required to be withheld by applicable laws and fractional Shares will not be retained to satisfy any portion of the Company’s withholding obligation (such process, “</w:t>
      </w:r>
      <w:r>
        <w:rPr>
          <w:rFonts w:ascii="Times New Roman" w:cs="Times New Roman" w:eastAsia="Times New Roman" w:hAnsi="Times New Roman"/>
          <w:sz w:val="18"/>
          <w:szCs w:val="18"/>
          <w:b w:val="1"/>
          <w:bCs w:val="1"/>
          <w:color w:val="auto"/>
        </w:rPr>
        <w:t>Net Settlement</w:t>
      </w:r>
      <w:r>
        <w:rPr>
          <w:rFonts w:ascii="Times New Roman" w:cs="Times New Roman" w:eastAsia="Times New Roman" w:hAnsi="Times New Roman"/>
          <w:sz w:val="18"/>
          <w:szCs w:val="18"/>
          <w:color w:val="auto"/>
        </w:rPr>
        <w:t>”); provided, however, the Administrator shall have the discretion to override Net Settlement, (i) provided ninety (90) days’ advance notice is given prior to a Vesting Date from the Company to the Participant, in which case such withholding shall be through a “same day sale” commitment with a broker-dealer that is a member of the Financial Industry Regulatory Authority (a “</w:t>
      </w:r>
      <w:r>
        <w:rPr>
          <w:rFonts w:ascii="Times New Roman" w:cs="Times New Roman" w:eastAsia="Times New Roman" w:hAnsi="Times New Roman"/>
          <w:sz w:val="18"/>
          <w:szCs w:val="18"/>
          <w:b w:val="1"/>
          <w:bCs w:val="1"/>
          <w:color w:val="auto"/>
        </w:rPr>
        <w:t>FINRA Dealer</w:t>
      </w:r>
      <w:r>
        <w:rPr>
          <w:rFonts w:ascii="Times New Roman" w:cs="Times New Roman" w:eastAsia="Times New Roman" w:hAnsi="Times New Roman"/>
          <w:sz w:val="18"/>
          <w:szCs w:val="18"/>
          <w:color w:val="auto"/>
        </w:rPr>
        <w:t>”), whereby the Participant irrevocably elects to sell a portion of the Shares to be delivered in connection with the RSUs to satisfy</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14" w:name="page115"/>
    <w:bookmarkEnd w:id="114"/>
    <w:p>
      <w:pPr>
        <w:ind w:left="424" w:right="2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withholding obligations and whereby the FINRA Dealer irrevocably commits to forward the proceeds necessary to satisfy the withholding obligations directly to the Company or any Affiliate (“</w:t>
      </w:r>
      <w:r>
        <w:rPr>
          <w:rFonts w:ascii="Times New Roman" w:cs="Times New Roman" w:eastAsia="Times New Roman" w:hAnsi="Times New Roman"/>
          <w:sz w:val="18"/>
          <w:szCs w:val="18"/>
          <w:b w:val="1"/>
          <w:bCs w:val="1"/>
          <w:color w:val="auto"/>
        </w:rPr>
        <w:t>Sell to Cover</w:t>
      </w:r>
      <w:r>
        <w:rPr>
          <w:rFonts w:ascii="Times New Roman" w:cs="Times New Roman" w:eastAsia="Times New Roman" w:hAnsi="Times New Roman"/>
          <w:sz w:val="18"/>
          <w:szCs w:val="18"/>
          <w:color w:val="auto"/>
        </w:rPr>
        <w:t>”) or (ii)(A) in lieu of withholding (under Net Settlement) or selling (under Sell to Cover) a fractional vested Share or (B) in connection with withholding obligations arising outside the ordinary course, such as outside annual Vesting Dates of the RSUs, and in each case under (A) or (B) such withholding may be through deduction from payments of any kind otherwise due to the Participant.</w:t>
      </w:r>
    </w:p>
    <w:p>
      <w:pPr>
        <w:spacing w:after="0" w:line="71" w:lineRule="exact"/>
        <w:rPr>
          <w:sz w:val="20"/>
          <w:szCs w:val="20"/>
          <w:color w:val="auto"/>
        </w:rPr>
      </w:pPr>
    </w:p>
    <w:p>
      <w:pPr>
        <w:ind w:left="444" w:right="60"/>
        <w:spacing w:after="0" w:line="262" w:lineRule="auto"/>
        <w:rPr>
          <w:sz w:val="20"/>
          <w:szCs w:val="20"/>
          <w:color w:val="auto"/>
        </w:rPr>
      </w:pPr>
      <w:r>
        <w:rPr>
          <w:rFonts w:ascii="Times New Roman" w:cs="Times New Roman" w:eastAsia="Times New Roman" w:hAnsi="Times New Roman"/>
          <w:sz w:val="18"/>
          <w:szCs w:val="18"/>
          <w:b w:val="1"/>
          <w:bCs w:val="1"/>
          <w:color w:val="auto"/>
        </w:rPr>
        <w:t>The Participant hereby (i) agrees that the Company or any Affiliate shall be entitled to use the foregoing methods to recover such taxes and (ii) acknowledges that, absent further action by the Administrator, in the event that the Company or an Affiliate determines that any federal, state, local, or foreign tax or withholding payment is required relating to the RSUs, or the delivery of Shares with respect to this Award, the Company or any Affiliate will utilize Net Settlement.</w:t>
      </w:r>
    </w:p>
    <w:p>
      <w:pPr>
        <w:spacing w:after="0" w:line="72" w:lineRule="exact"/>
        <w:rPr>
          <w:sz w:val="20"/>
          <w:szCs w:val="20"/>
          <w:color w:val="auto"/>
        </w:rPr>
      </w:pPr>
    </w:p>
    <w:p>
      <w:pPr>
        <w:ind w:left="444" w:right="200"/>
        <w:spacing w:after="0" w:line="282" w:lineRule="auto"/>
        <w:rPr>
          <w:sz w:val="20"/>
          <w:szCs w:val="20"/>
          <w:color w:val="auto"/>
        </w:rPr>
      </w:pPr>
      <w:r>
        <w:rPr>
          <w:rFonts w:ascii="Times New Roman" w:cs="Times New Roman" w:eastAsia="Times New Roman" w:hAnsi="Times New Roman"/>
          <w:sz w:val="18"/>
          <w:szCs w:val="18"/>
          <w:color w:val="auto"/>
        </w:rPr>
        <w:t>The Participant further agrees that the Administrator may, as it reasonably considers necessary, amend or vary this Agreement due to changes in tax laws to facilitate such recovery of taxes.</w:t>
      </w:r>
    </w:p>
    <w:p>
      <w:pPr>
        <w:spacing w:after="0" w:line="67"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Acknowledgements and Authorizations</w:t>
      </w:r>
      <w:r>
        <w:rPr>
          <w:rFonts w:ascii="Times New Roman" w:cs="Times New Roman" w:eastAsia="Times New Roman" w:hAnsi="Times New Roman"/>
          <w:sz w:val="18"/>
          <w:szCs w:val="18"/>
          <w:color w:val="auto"/>
        </w:rPr>
        <w:t>. The Participant hereby acknowledges the following:</w:t>
      </w:r>
    </w:p>
    <w:p>
      <w:pPr>
        <w:spacing w:after="0" w:line="130" w:lineRule="exact"/>
        <w:rPr>
          <w:rFonts w:ascii="Times New Roman" w:cs="Times New Roman" w:eastAsia="Times New Roman" w:hAnsi="Times New Roman"/>
          <w:sz w:val="18"/>
          <w:szCs w:val="18"/>
          <w:color w:val="auto"/>
        </w:rPr>
      </w:pPr>
    </w:p>
    <w:p>
      <w:pPr>
        <w:ind w:left="964" w:right="140" w:hanging="532"/>
        <w:spacing w:after="0" w:line="261" w:lineRule="auto"/>
        <w:tabs>
          <w:tab w:leader="none" w:pos="9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Affiliate is, by the Plan or this Award, obligated to continue the Participant as an Employee, director, or Consultant of the Company or an Affiliate. Unless otherwise specified in a written employment or other written compensatory agreement between the Participant and the Company or an Affiliate, the Company or any Affiliate, as applicable, reserves the right to terminate the Participant’s employment or other service relationship with the Company or an Affiliate at any time and for any reason.</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discretionary in nature and may be suspended or terminated by the Company at any time.</w:t>
      </w:r>
    </w:p>
    <w:p>
      <w:pPr>
        <w:spacing w:after="0" w:line="130" w:lineRule="exact"/>
        <w:rPr>
          <w:rFonts w:ascii="Times New Roman" w:cs="Times New Roman" w:eastAsia="Times New Roman" w:hAnsi="Times New Roman"/>
          <w:sz w:val="18"/>
          <w:szCs w:val="18"/>
          <w:color w:val="auto"/>
        </w:rPr>
      </w:pPr>
    </w:p>
    <w:p>
      <w:pPr>
        <w:ind w:left="964" w:right="180" w:hanging="532"/>
        <w:spacing w:after="0" w:line="282" w:lineRule="auto"/>
        <w:tabs>
          <w:tab w:leader="none" w:pos="9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this Award is considered a one-time benefit and does not create a contractual or other right to receive any other award under the Plan, benefits in lieu of awards, or any other benefits in the future.</w:t>
      </w:r>
    </w:p>
    <w:p>
      <w:pPr>
        <w:spacing w:after="0" w:line="67"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15" w:name="page116"/>
    <w:bookmarkEnd w:id="115"/>
    <w:p>
      <w:pPr>
        <w:ind w:left="964" w:right="220" w:hanging="532"/>
        <w:spacing w:after="0" w:line="261" w:lineRule="auto"/>
        <w:tabs>
          <w:tab w:leader="none" w:pos="96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value of this Award is an extraordinary item of compensation outside of the scope of the Participant’s employment or consulting contract, agreement, or arrangement. As such, the Award is not part of normal or expected compensation for purposes of calculating any severance, resignation, redundancy, end of service payments, bonuses, long-service awards, pension or retirement benefits, or similar payments. The future value of the shares of Common Stock is unknown and cannot be predicted with certainty.</w:t>
      </w:r>
    </w:p>
    <w:p>
      <w:pPr>
        <w:spacing w:after="0" w:line="85" w:lineRule="exact"/>
        <w:rPr>
          <w:rFonts w:ascii="Times New Roman" w:cs="Times New Roman" w:eastAsia="Times New Roman" w:hAnsi="Times New Roman"/>
          <w:sz w:val="18"/>
          <w:szCs w:val="18"/>
          <w:color w:val="auto"/>
        </w:rPr>
      </w:pPr>
    </w:p>
    <w:p>
      <w:pPr>
        <w:ind w:left="964" w:right="20" w:hanging="532"/>
        <w:spacing w:after="0" w:line="261" w:lineRule="auto"/>
        <w:tabs>
          <w:tab w:leader="none" w:pos="96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pacing w:after="0" w:line="85"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deliver Shares pursuant to this Award constitutes an unfunded and unsecured obligation of the Company. Until Shares are delivered, the Participant shall have no rights under this Agreement or the Plan, other than those of a general unsecured creditor of the Company. No assets of the Company shall be set aside for the settlement of the RSUs.</w:t>
      </w:r>
    </w:p>
    <w:p>
      <w:pPr>
        <w:spacing w:after="0" w:line="81" w:lineRule="exact"/>
        <w:rPr>
          <w:rFonts w:ascii="Times New Roman" w:cs="Times New Roman" w:eastAsia="Times New Roman" w:hAnsi="Times New Roman"/>
          <w:sz w:val="18"/>
          <w:szCs w:val="18"/>
          <w:color w:val="auto"/>
        </w:rPr>
      </w:pPr>
    </w:p>
    <w:p>
      <w:pPr>
        <w:ind w:left="424" w:right="20" w:hanging="424"/>
        <w:spacing w:after="0" w:line="261"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By accepting the Award, the Participant agrees that notices may be given to the Participant in writing either at the Participant’s home or mailing address as shown in the records of the Company or an Affiliate or by electronic transmission (including e-mail or reference to a website or other URL) sent to the Participant through the normal process employed by the Company or the Affiliate, as applicable, for communicating electronically with its employees or other service providers.</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Successors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220" w:hanging="532"/>
        <w:spacing w:after="0" w:line="266" w:lineRule="auto"/>
        <w:tabs>
          <w:tab w:leader="none" w:pos="9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personal to the Participant and, without the prior approval of the Administrator, shall not be assignable by the Participant, other than by will or the laws of descent and distribution. This Agreement shall inure to the benefit of and be enforceable by the Participant’s legal representatives and beneficiaries.</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binding upon the Company and its successors and assigns.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16" w:name="page117"/>
    <w:bookmarkEnd w:id="116"/>
    <w:p>
      <w:pPr>
        <w:ind w:left="424" w:hanging="424"/>
        <w:spacing w:after="0" w:line="258"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Agreement shall be construed and enforced in accordance with the laws of the State of Delaware, without giving effect to the conflict of law principles thereof; provided that, for the avoidance of doubt, the Restrictive Covenants Agreement shall continue to be governed solely by Pennsylvania law. For the purpose of litigating any dispute that arises under this Agreement, whether at law or in equity, the parties hereby consent to exclusive jurisdiction in the Commonwealth of Pennsylvania and agree that such litigation shall be conducted in the state courts of the Commonwealth of Pennsylvania or the federal courts of the United States for the Eastern District of Pennsylvania.</w:t>
      </w:r>
    </w:p>
    <w:p>
      <w:pPr>
        <w:spacing w:after="0" w:line="88" w:lineRule="exact"/>
        <w:rPr>
          <w:rFonts w:ascii="Times New Roman" w:cs="Times New Roman" w:eastAsia="Times New Roman" w:hAnsi="Times New Roman"/>
          <w:sz w:val="18"/>
          <w:szCs w:val="18"/>
          <w:color w:val="auto"/>
        </w:rPr>
      </w:pPr>
    </w:p>
    <w:p>
      <w:pPr>
        <w:ind w:left="424" w:right="60" w:hanging="424"/>
        <w:spacing w:after="0" w:line="261"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85" w:lineRule="exact"/>
        <w:rPr>
          <w:rFonts w:ascii="Times New Roman" w:cs="Times New Roman" w:eastAsia="Times New Roman" w:hAnsi="Times New Roman"/>
          <w:sz w:val="18"/>
          <w:szCs w:val="18"/>
          <w:color w:val="auto"/>
        </w:rPr>
      </w:pPr>
    </w:p>
    <w:p>
      <w:pPr>
        <w:ind w:left="424" w:right="60" w:hanging="424"/>
        <w:spacing w:after="0" w:line="256"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Grant Notice, the Restrictive Covenants Agreement, and the Plan, constitutes the entire agreement and understanding between the parties hereto with respect to the subject matter hereof and supersedes all prior oral or written agreements and understandings relating to the subject matter hereof, including without limitation any offer letter provision related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92" w:lineRule="exact"/>
        <w:rPr>
          <w:rFonts w:ascii="Times New Roman" w:cs="Times New Roman" w:eastAsia="Times New Roman" w:hAnsi="Times New Roman"/>
          <w:sz w:val="18"/>
          <w:szCs w:val="18"/>
          <w:color w:val="auto"/>
        </w:rPr>
      </w:pPr>
    </w:p>
    <w:p>
      <w:pPr>
        <w:ind w:left="424" w:right="60" w:hanging="424"/>
        <w:spacing w:after="0" w:line="256"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and Amendments; Waivers and Consents</w:t>
      </w:r>
      <w:r>
        <w:rPr>
          <w:rFonts w:ascii="Times New Roman" w:cs="Times New Roman" w:eastAsia="Times New Roman" w:hAnsi="Times New Roman"/>
          <w:sz w:val="18"/>
          <w:szCs w:val="18"/>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92" w:lineRule="exact"/>
        <w:rPr>
          <w:rFonts w:ascii="Times New Roman" w:cs="Times New Roman" w:eastAsia="Times New Roman" w:hAnsi="Times New Roman"/>
          <w:sz w:val="18"/>
          <w:szCs w:val="18"/>
          <w:color w:val="auto"/>
        </w:rPr>
      </w:pPr>
    </w:p>
    <w:p>
      <w:pPr>
        <w:ind w:left="424" w:right="40" w:hanging="424"/>
        <w:spacing w:after="0" w:line="256"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The Award of RSUs evidenced by this Agreement is intended to be exempt from the nonqualified deferred compensation rules of Code Section 409A as a “short-term deferral” within the meaning of Code Section 409A and, to the maximum extent permitted, shall be construed accordingly. Notwithstanding anything to the contrary in the Plan or this Agreement, none of the Company, its Affiliates, the Board of Directors, the Administrator, or any of their respective agents or delegates will have any obligation to take any action to prevent the assessment of any excise tax or penalty on the Participant under Code Section 409A, and none of the Company, its Affiliates, the Board of Directors, the Administrator, or any of their respective agents or delegates will have any liability to the Participant or any other person for such tax or penalty.</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117" w:name="page118"/>
    <w:bookmarkEnd w:id="11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the RSUs constitute “deferred compensation” under Code Section 409A, a termination of Service occurs only upon an event that would be a “separation from service” within the meaning of Code Section 409A. If, at the time of the Participant’s “separation from service,” (i) the Participant is a “specified employee” within the meaning of Code Section 409A (and as applied according to procedures of the Company and its Affiliates), and (ii) the Administrator makes a good faith determination that an amount payable under this Agreement on account of the Participant’s separation from service constitutes deferred compensation (within the meaning of Code Section 409A), the payment of which is required to be delayed pursuant to the six (6)-month delay rule set forth in Code Section 409A to avoid taxes or penalties under Code</w:t>
      </w:r>
    </w:p>
    <w:p>
      <w:pPr>
        <w:spacing w:after="0" w:line="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Section 409A (the “</w:t>
      </w:r>
      <w:r>
        <w:rPr>
          <w:rFonts w:ascii="Times New Roman" w:cs="Times New Roman" w:eastAsia="Times New Roman" w:hAnsi="Times New Roman"/>
          <w:sz w:val="18"/>
          <w:szCs w:val="18"/>
          <w:b w:val="1"/>
          <w:bCs w:val="1"/>
          <w:color w:val="auto"/>
        </w:rPr>
        <w:t>Delay Period</w:t>
      </w:r>
      <w:r>
        <w:rPr>
          <w:rFonts w:ascii="Times New Roman" w:cs="Times New Roman" w:eastAsia="Times New Roman" w:hAnsi="Times New Roman"/>
          <w:sz w:val="18"/>
          <w:szCs w:val="18"/>
          <w:color w:val="auto"/>
        </w:rPr>
        <w:t>”), then the Company will not pay such amount on the otherwise scheduled payment date but will instead pay it in a lump sum on the first business day after the Delay Period (or upon the Participant’s death, if earlier), without interest. Each installment of RSUs that vest under this Agreement (if there is more than one installment) will be considered one of a series of separate payments for purposes of Code Section 409A.</w:t>
      </w:r>
    </w:p>
    <w:p>
      <w:pPr>
        <w:spacing w:after="0" w:line="18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Restrictive Covenants Agreement</w:t>
      </w:r>
    </w:p>
    <w:p>
      <w:pPr>
        <w:sectPr>
          <w:pgSz w:w="11900" w:h="16838" w:orient="portrait"/>
          <w:cols w:equalWidth="0" w:num="1">
            <w:col w:w="9019"/>
          </w:cols>
          <w:pgMar w:left="1440" w:top="270"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SUBSIDIARIES OF MADRIGAL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Madrigal Pharmaceuticals EU Limited, an Ireland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Synta Limited Incorporated, a United Kingdom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Canticle Pharmaceuticals, Inc., a Delaware corporation</w:t>
      </w:r>
    </w:p>
    <w:p>
      <w:pPr>
        <w:sectPr>
          <w:pgSz w:w="11900" w:h="16838" w:orient="portrait"/>
          <w:cols w:equalWidth="0" w:num="1">
            <w:col w:w="11020"/>
          </w:cols>
          <w:pgMar w:left="440" w:top="117" w:right="4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333-256666 and 333-219304) and Form S-8 (Nos. 333-141903, 333-152824, 333-173862, 333-181117, 333-187243, 333-194477, 333-202680, 333-206128, 333-212615, 333-224503, 333-249866 and 333-257506) of Madrigal Pharmaceuticals, Inc. of our report dated February 24, 2022 relating to the financial statements and the effectiveness of internal control over financial reporting, which appears in this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ectPr>
          <w:pgSz w:w="11900" w:h="16838" w:orient="portrait"/>
          <w:cols w:equalWidth="0" w:num="1">
            <w:col w:w="11020"/>
          </w:cols>
          <w:pgMar w:left="440" w:top="117" w:right="4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6"/>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SECURITIES EXCHANGE ACT RULES 13A-14(a) AND 15D-14(a) AS ADOPTED PURSUANT TO SECTION 302 OF THE SARBANES-OXLEY ACT OF 2002</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Paul A. Friedman, M.D., certify that:</w:t>
      </w:r>
    </w:p>
    <w:p>
      <w:pPr>
        <w:spacing w:after="0" w:line="117" w:lineRule="exact"/>
        <w:rPr>
          <w:sz w:val="20"/>
          <w:szCs w:val="20"/>
          <w:color w:val="auto"/>
        </w:rPr>
      </w:pPr>
    </w:p>
    <w:p>
      <w:pPr>
        <w:ind w:left="184" w:hanging="184"/>
        <w:spacing w:after="0"/>
        <w:tabs>
          <w:tab w:leader="none" w:pos="184"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 have reviewed this Annual Report on Form 10-K of Madrigal Pharmaceuticals, Inc.;</w:t>
      </w:r>
    </w:p>
    <w:p>
      <w:pPr>
        <w:spacing w:after="0" w:line="225" w:lineRule="exact"/>
        <w:rPr>
          <w:rFonts w:ascii="Times New Roman" w:cs="Times New Roman" w:eastAsia="Times New Roman" w:hAnsi="Times New Roman"/>
          <w:sz w:val="18"/>
          <w:szCs w:val="18"/>
          <w:i w:val="1"/>
          <w:iCs w:val="1"/>
          <w:color w:val="auto"/>
        </w:rPr>
      </w:pPr>
    </w:p>
    <w:p>
      <w:pPr>
        <w:ind w:left="4" w:right="60" w:hanging="4"/>
        <w:spacing w:after="0" w:line="312" w:lineRule="auto"/>
        <w:tabs>
          <w:tab w:leader="none" w:pos="184"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i w:val="1"/>
          <w:iCs w:val="1"/>
          <w:color w:val="auto"/>
        </w:rPr>
      </w:pPr>
    </w:p>
    <w:p>
      <w:pPr>
        <w:ind w:left="4" w:right="340" w:hanging="4"/>
        <w:spacing w:after="0" w:line="282" w:lineRule="auto"/>
        <w:tabs>
          <w:tab w:leader="none" w:pos="184"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i w:val="1"/>
          <w:iCs w:val="1"/>
          <w:color w:val="auto"/>
        </w:rPr>
      </w:pPr>
    </w:p>
    <w:p>
      <w:pPr>
        <w:ind w:left="4" w:right="140" w:hanging="4"/>
        <w:spacing w:after="0" w:line="266" w:lineRule="auto"/>
        <w:tabs>
          <w:tab w:leader="none" w:pos="184"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i w:val="1"/>
          <w:iCs w:val="1"/>
          <w:color w:val="auto"/>
        </w:rPr>
      </w:pPr>
    </w:p>
    <w:p>
      <w:pPr>
        <w:ind w:left="444" w:right="120" w:hanging="4"/>
        <w:spacing w:after="0" w:line="266" w:lineRule="auto"/>
        <w:tabs>
          <w:tab w:leader="none" w:pos="699" w:val="left"/>
        </w:tabs>
        <w:numPr>
          <w:ilvl w:val="1"/>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i w:val="1"/>
          <w:iCs w:val="1"/>
          <w:color w:val="auto"/>
        </w:rPr>
      </w:pPr>
    </w:p>
    <w:p>
      <w:pPr>
        <w:ind w:left="444" w:right="60" w:hanging="4"/>
        <w:spacing w:after="0" w:line="266" w:lineRule="auto"/>
        <w:tabs>
          <w:tab w:leader="none" w:pos="699" w:val="left"/>
        </w:tabs>
        <w:numPr>
          <w:ilvl w:val="1"/>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i w:val="1"/>
          <w:iCs w:val="1"/>
          <w:color w:val="auto"/>
        </w:rPr>
      </w:pPr>
    </w:p>
    <w:p>
      <w:pPr>
        <w:ind w:left="444" w:right="640" w:hanging="4"/>
        <w:spacing w:after="0" w:line="312" w:lineRule="auto"/>
        <w:tabs>
          <w:tab w:leader="none" w:pos="689" w:val="left"/>
        </w:tabs>
        <w:numPr>
          <w:ilvl w:val="1"/>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i w:val="1"/>
          <w:iCs w:val="1"/>
          <w:color w:val="auto"/>
        </w:rPr>
      </w:pPr>
    </w:p>
    <w:p>
      <w:pPr>
        <w:jc w:val="both"/>
        <w:ind w:left="444" w:right="80" w:hanging="4"/>
        <w:spacing w:after="0" w:line="266" w:lineRule="auto"/>
        <w:tabs>
          <w:tab w:leader="none" w:pos="699" w:val="left"/>
        </w:tabs>
        <w:numPr>
          <w:ilvl w:val="1"/>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i w:val="1"/>
          <w:iCs w:val="1"/>
          <w:color w:val="auto"/>
        </w:rPr>
      </w:pPr>
    </w:p>
    <w:p>
      <w:pPr>
        <w:ind w:left="4" w:right="80" w:hanging="4"/>
        <w:spacing w:after="0" w:line="282" w:lineRule="auto"/>
        <w:tabs>
          <w:tab w:leader="none" w:pos="184"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i w:val="1"/>
          <w:iCs w:val="1"/>
          <w:color w:val="auto"/>
        </w:rPr>
      </w:pPr>
    </w:p>
    <w:p>
      <w:pPr>
        <w:ind w:left="444" w:right="20" w:hanging="4"/>
        <w:spacing w:after="0" w:line="282" w:lineRule="auto"/>
        <w:tabs>
          <w:tab w:leader="none" w:pos="699" w:val="left"/>
        </w:tabs>
        <w:numPr>
          <w:ilvl w:val="1"/>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i w:val="1"/>
          <w:iCs w:val="1"/>
          <w:color w:val="auto"/>
        </w:rPr>
      </w:pPr>
    </w:p>
    <w:p>
      <w:pPr>
        <w:ind w:left="444" w:right="540" w:hanging="4"/>
        <w:spacing w:after="0" w:line="282" w:lineRule="auto"/>
        <w:tabs>
          <w:tab w:leader="none" w:pos="699" w:val="left"/>
        </w:tabs>
        <w:numPr>
          <w:ilvl w:val="1"/>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 of the Board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February 23, 2023</w:t>
      </w:r>
    </w:p>
    <w:p>
      <w:pPr>
        <w:sectPr>
          <w:pgSz w:w="11900" w:h="16838" w:orient="portrait"/>
          <w:cols w:equalWidth="0" w:num="1">
            <w:col w:w="11024"/>
          </w:cols>
          <w:pgMar w:left="436" w:top="117" w:right="4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6"/>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SECURITIES EXCHANGE ACT RULES 13A-14(a) AND 15D-14(a) AS ADOPTED PURSUANT TO SECTION 302 OF THE SARBANES-OXLEY ACT OF 2002</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Alex G. Howarth, certify that:</w:t>
      </w:r>
    </w:p>
    <w:p>
      <w:pPr>
        <w:spacing w:after="0" w:line="117" w:lineRule="exact"/>
        <w:rPr>
          <w:sz w:val="20"/>
          <w:szCs w:val="20"/>
          <w:color w:val="auto"/>
        </w:rPr>
      </w:pPr>
    </w:p>
    <w:p>
      <w:pPr>
        <w:ind w:left="184" w:hanging="184"/>
        <w:spacing w:after="0"/>
        <w:tabs>
          <w:tab w:leader="none" w:pos="184"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 have reviewed this Annual Report on Form 10-K of Madrigal Pharmaceuticals, Inc.;</w:t>
      </w:r>
    </w:p>
    <w:p>
      <w:pPr>
        <w:spacing w:after="0" w:line="225" w:lineRule="exact"/>
        <w:rPr>
          <w:rFonts w:ascii="Times New Roman" w:cs="Times New Roman" w:eastAsia="Times New Roman" w:hAnsi="Times New Roman"/>
          <w:sz w:val="18"/>
          <w:szCs w:val="18"/>
          <w:i w:val="1"/>
          <w:iCs w:val="1"/>
          <w:color w:val="auto"/>
        </w:rPr>
      </w:pPr>
    </w:p>
    <w:p>
      <w:pPr>
        <w:ind w:left="4" w:right="60" w:hanging="4"/>
        <w:spacing w:after="0" w:line="312" w:lineRule="auto"/>
        <w:tabs>
          <w:tab w:leader="none" w:pos="184" w:val="left"/>
        </w:tabs>
        <w:numPr>
          <w:ilvl w:val="0"/>
          <w:numId w:val="4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i w:val="1"/>
          <w:iCs w:val="1"/>
          <w:color w:val="auto"/>
        </w:rPr>
      </w:pPr>
    </w:p>
    <w:p>
      <w:pPr>
        <w:ind w:left="4" w:right="340" w:hanging="4"/>
        <w:spacing w:after="0" w:line="282" w:lineRule="auto"/>
        <w:tabs>
          <w:tab w:leader="none" w:pos="184"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i w:val="1"/>
          <w:iCs w:val="1"/>
          <w:color w:val="auto"/>
        </w:rPr>
      </w:pPr>
    </w:p>
    <w:p>
      <w:pPr>
        <w:ind w:left="4" w:right="140" w:hanging="4"/>
        <w:spacing w:after="0" w:line="266" w:lineRule="auto"/>
        <w:tabs>
          <w:tab w:leader="none" w:pos="184"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i w:val="1"/>
          <w:iCs w:val="1"/>
          <w:color w:val="auto"/>
        </w:rPr>
      </w:pPr>
    </w:p>
    <w:p>
      <w:pPr>
        <w:ind w:left="444" w:right="120" w:hanging="4"/>
        <w:spacing w:after="0" w:line="266" w:lineRule="auto"/>
        <w:tabs>
          <w:tab w:leader="none" w:pos="699" w:val="left"/>
        </w:tabs>
        <w:numPr>
          <w:ilvl w:val="1"/>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i w:val="1"/>
          <w:iCs w:val="1"/>
          <w:color w:val="auto"/>
        </w:rPr>
      </w:pPr>
    </w:p>
    <w:p>
      <w:pPr>
        <w:ind w:left="444" w:right="60" w:hanging="4"/>
        <w:spacing w:after="0" w:line="266" w:lineRule="auto"/>
        <w:tabs>
          <w:tab w:leader="none" w:pos="699" w:val="left"/>
        </w:tabs>
        <w:numPr>
          <w:ilvl w:val="1"/>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i w:val="1"/>
          <w:iCs w:val="1"/>
          <w:color w:val="auto"/>
        </w:rPr>
      </w:pPr>
    </w:p>
    <w:p>
      <w:pPr>
        <w:ind w:left="444" w:right="640" w:hanging="4"/>
        <w:spacing w:after="0" w:line="312" w:lineRule="auto"/>
        <w:tabs>
          <w:tab w:leader="none" w:pos="689" w:val="left"/>
        </w:tabs>
        <w:numPr>
          <w:ilvl w:val="1"/>
          <w:numId w:val="4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i w:val="1"/>
          <w:iCs w:val="1"/>
          <w:color w:val="auto"/>
        </w:rPr>
      </w:pPr>
    </w:p>
    <w:p>
      <w:pPr>
        <w:jc w:val="both"/>
        <w:ind w:left="444" w:right="80" w:hanging="4"/>
        <w:spacing w:after="0" w:line="266" w:lineRule="auto"/>
        <w:tabs>
          <w:tab w:leader="none" w:pos="699" w:val="left"/>
        </w:tabs>
        <w:numPr>
          <w:ilvl w:val="1"/>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i w:val="1"/>
          <w:iCs w:val="1"/>
          <w:color w:val="auto"/>
        </w:rPr>
      </w:pPr>
    </w:p>
    <w:p>
      <w:pPr>
        <w:ind w:left="4" w:right="80" w:hanging="4"/>
        <w:spacing w:after="0" w:line="282" w:lineRule="auto"/>
        <w:tabs>
          <w:tab w:leader="none" w:pos="184"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i w:val="1"/>
          <w:iCs w:val="1"/>
          <w:color w:val="auto"/>
        </w:rPr>
      </w:pPr>
    </w:p>
    <w:p>
      <w:pPr>
        <w:ind w:left="444" w:right="20" w:hanging="4"/>
        <w:spacing w:after="0" w:line="282" w:lineRule="auto"/>
        <w:tabs>
          <w:tab w:leader="none" w:pos="699" w:val="left"/>
        </w:tabs>
        <w:numPr>
          <w:ilvl w:val="1"/>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i w:val="1"/>
          <w:iCs w:val="1"/>
          <w:color w:val="auto"/>
        </w:rPr>
      </w:pPr>
    </w:p>
    <w:p>
      <w:pPr>
        <w:ind w:left="444" w:right="540" w:hanging="4"/>
        <w:spacing w:after="0" w:line="282" w:lineRule="auto"/>
        <w:tabs>
          <w:tab w:leader="none" w:pos="699" w:val="left"/>
        </w:tabs>
        <w:numPr>
          <w:ilvl w:val="1"/>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Alex G. Howarth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February 23, 2023</w:t>
      </w:r>
    </w:p>
    <w:p>
      <w:pPr>
        <w:sectPr>
          <w:pgSz w:w="11900" w:h="16838" w:orient="portrait"/>
          <w:cols w:equalWidth="0" w:num="1">
            <w:col w:w="11024"/>
          </w:cols>
          <w:pgMar w:left="436" w:top="117" w:right="4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68"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Annual Report on Form 10-K for the fiscal year ended December 31, 2022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3" w:lineRule="exact"/>
        <w:rPr>
          <w:sz w:val="20"/>
          <w:szCs w:val="20"/>
          <w:color w:val="auto"/>
        </w:rPr>
      </w:pPr>
    </w:p>
    <w:p>
      <w:pPr>
        <w:spacing w:after="0"/>
        <w:tabs>
          <w:tab w:leader="none" w:pos="6600" w:val="left"/>
        </w:tabs>
        <w:rPr>
          <w:sz w:val="20"/>
          <w:szCs w:val="20"/>
          <w:color w:val="auto"/>
        </w:rPr>
      </w:pPr>
      <w:r>
        <w:rPr>
          <w:rFonts w:ascii="Times New Roman" w:cs="Times New Roman" w:eastAsia="Times New Roman" w:hAnsi="Times New Roman"/>
          <w:sz w:val="18"/>
          <w:szCs w:val="18"/>
          <w:color w:val="auto"/>
        </w:rPr>
        <w:t>Dated February 23, 2023</w:t>
      </w:r>
      <w:r>
        <w:rPr>
          <w:sz w:val="20"/>
          <w:szCs w:val="20"/>
          <w:color w:val="auto"/>
        </w:rPr>
        <w:tab/>
      </w:r>
      <w:r>
        <w:rPr>
          <w:rFonts w:ascii="Times New Roman" w:cs="Times New Roman" w:eastAsia="Times New Roman" w:hAnsi="Times New Roman"/>
          <w:sz w:val="17"/>
          <w:szCs w:val="17"/>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 of the Board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tabs>
          <w:tab w:leader="none" w:pos="6600" w:val="left"/>
        </w:tabs>
        <w:rPr>
          <w:sz w:val="20"/>
          <w:szCs w:val="20"/>
          <w:color w:val="auto"/>
        </w:rPr>
      </w:pPr>
      <w:r>
        <w:rPr>
          <w:rFonts w:ascii="Times New Roman" w:cs="Times New Roman" w:eastAsia="Times New Roman" w:hAnsi="Times New Roman"/>
          <w:sz w:val="18"/>
          <w:szCs w:val="18"/>
          <w:color w:val="auto"/>
        </w:rPr>
        <w:t>Dated: February 23, 2023</w:t>
      </w:r>
      <w:r>
        <w:rPr>
          <w:sz w:val="20"/>
          <w:szCs w:val="20"/>
          <w:color w:val="auto"/>
        </w:rPr>
        <w:tab/>
      </w:r>
      <w:r>
        <w:rPr>
          <w:rFonts w:ascii="Times New Roman" w:cs="Times New Roman" w:eastAsia="Times New Roman" w:hAnsi="Times New Roman"/>
          <w:sz w:val="17"/>
          <w:szCs w:val="17"/>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Alex G. Howarth</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20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A signed original of this written statement required by Rule 13a-14(b) of the Securities Exchange Act of 1934, as amended, and Section 1350 of Chapter 63 of Title 18 of the United States Code (18 U.S.C. Section 1350), has been provided to the Company and will be retained by the Company and furnished to the Securities and Exchange Commission or its staff upon request. These certifications accompany the Form 10-K,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2"/>
    </w:lvl>
  </w:abstractNum>
  <w:abstractNum w:abstractNumId="35">
    <w:nsid w:val="6A2342EC"/>
    <w:multiLevelType w:val="hybridMultilevel"/>
    <w:lvl w:ilvl="0">
      <w:lvlJc w:val="left"/>
      <w:lvlText w:val="%1."/>
      <w:numFmt w:val="decimal"/>
      <w:start w:val="7"/>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lvl w:ilvl="1">
      <w:lvlJc w:val="left"/>
      <w:lvlText w:val="%2."/>
      <w:numFmt w:val="lowerLetter"/>
      <w:start w:val="1"/>
    </w:lvl>
  </w:abstractNum>
  <w:abstractNum w:abstractNumId="39">
    <w:nsid w:val="2CD89A32"/>
    <w:multiLevelType w:val="hybridMultilevel"/>
    <w:lvl w:ilvl="0">
      <w:lvlJc w:val="left"/>
      <w:lvlText w:val="%1"/>
      <w:numFmt w:val="decimal"/>
      <w:start w:val="1"/>
    </w:lvl>
    <w:lvl w:ilvl="1">
      <w:lvlJc w:val="left"/>
      <w:lvlText w:val="%2."/>
      <w:numFmt w:val="lowerLetter"/>
      <w:start w:val="2"/>
    </w:lvl>
  </w:abstractNum>
  <w:abstractNum w:abstractNumId="40">
    <w:nsid w:val="57E4CCAF"/>
    <w:multiLevelType w:val="hybridMultilevel"/>
    <w:lvl w:ilvl="0">
      <w:lvlJc w:val="left"/>
      <w:lvlText w:val="%1."/>
      <w:numFmt w:val="decimal"/>
      <w:start w:val="3"/>
    </w:lvl>
    <w:lvl w:ilvl="1">
      <w:lvlJc w:val="left"/>
      <w:lvlText w:val="%2."/>
      <w:numFmt w:val="lowerLetter"/>
      <w:start w:val="1"/>
    </w:lvl>
  </w:abstractNum>
  <w:abstractNum w:abstractNumId="41">
    <w:nsid w:val="7A6D8D3C"/>
    <w:multiLevelType w:val="hybridMultilevel"/>
    <w:lvl w:ilvl="0">
      <w:lvlJc w:val="left"/>
      <w:lvlText w:val="%1."/>
      <w:numFmt w:val="decimal"/>
      <w:start w:val="4"/>
    </w:lvl>
  </w:abstractNum>
  <w:abstractNum w:abstractNumId="42">
    <w:nsid w:val="4B588F54"/>
    <w:multiLevelType w:val="hybridMultilevel"/>
    <w:lvl w:ilvl="0">
      <w:lvlJc w:val="left"/>
      <w:lvlText w:val="%1."/>
      <w:numFmt w:val="decimal"/>
      <w:start w:val="8"/>
    </w:lvl>
  </w:abstractNum>
  <w:abstractNum w:abstractNumId="43">
    <w:nsid w:val="542289EC"/>
    <w:multiLevelType w:val="hybridMultilevel"/>
    <w:lvl w:ilvl="0">
      <w:lvlJc w:val="left"/>
      <w:lvlText w:val="%1."/>
      <w:numFmt w:val="decimal"/>
      <w:start w:val="11"/>
    </w:lvl>
    <w:lvl w:ilvl="1">
      <w:lvlJc w:val="left"/>
      <w:lvlText w:val="%2."/>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5"/>
    </w:lvl>
  </w:abstractNum>
  <w:abstractNum w:abstractNumId="45">
    <w:nsid w:val="38437FDB"/>
    <w:multiLevelType w:val="hybridMultilevel"/>
    <w:lvl w:ilvl="0">
      <w:lvlJc w:val="left"/>
      <w:lvlText w:val="%1."/>
      <w:numFmt w:val="decimal"/>
      <w:start w:val="12"/>
    </w:lvl>
    <w:lvl w:ilvl="1">
      <w:lvlJc w:val="left"/>
      <w:lvlText w:val="%2."/>
      <w:numFmt w:val="lowerLetter"/>
      <w:start w:val="1"/>
    </w:lvl>
  </w:abstractNum>
  <w:abstractNum w:abstractNumId="46">
    <w:nsid w:val="7644A45C"/>
    <w:multiLevelType w:val="hybridMultilevel"/>
    <w:lvl w:ilvl="0">
      <w:lvlJc w:val="left"/>
      <w:lvlText w:val="%1."/>
      <w:numFmt w:val="decimal"/>
      <w:start w:val="14"/>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3" Type="http://schemas.openxmlformats.org/officeDocument/2006/relationships/image" Target="media/image89.png"/><Relationship Id="rId112"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96" Type="http://schemas.openxmlformats.org/officeDocument/2006/relationships/hyperlink" Target="http://www.sec.gov/Archives/edgar/data/1157601/000104746917002260/a2231593zex-3_1.htm" TargetMode="External"/><Relationship Id="rId97" Type="http://schemas.openxmlformats.org/officeDocument/2006/relationships/hyperlink" Target="http://www.sec.gov/Archives/edgar/data/1157601/000110465917040552/a17-15516_1ex3d1.htm" TargetMode="External"/><Relationship Id="rId98" Type="http://schemas.openxmlformats.org/officeDocument/2006/relationships/hyperlink" Target="http://www.sec.gov/Archives/edgar/data/1157601/000119312522311537/d434336dex31.htm" TargetMode="External"/><Relationship Id="rId99" Type="http://schemas.openxmlformats.org/officeDocument/2006/relationships/hyperlink" Target="http://www.sec.gov/Archives/edgar/data/1157601/000110465916111348/a16-8380_1ex3d1.htm" TargetMode="External"/><Relationship Id="rId100" Type="http://schemas.openxmlformats.org/officeDocument/2006/relationships/hyperlink" Target="http://www.sec.gov/Archives/edgar/data/1157601/000119312522211757/d235479dex41.htm" TargetMode="External"/><Relationship Id="rId101" Type="http://schemas.openxmlformats.org/officeDocument/2006/relationships/hyperlink" Target="http://www.sec.gov/Archives/edgar/data/1157601/000119312523030281/d457771dex41.htm" TargetMode="External"/><Relationship Id="rId102" Type="http://schemas.openxmlformats.org/officeDocument/2006/relationships/hyperlink" Target="http://www.sec.gov/Archives/edgar/data/1157601/000110465917040552/a17-15516_1ex10d1.htm" TargetMode="External"/><Relationship Id="rId104" Type="http://schemas.openxmlformats.org/officeDocument/2006/relationships/hyperlink" Target="http://www.sec.gov/Archives/edgar/data/1157601/000119312522311537/d434336dex102.htm" TargetMode="External"/><Relationship Id="rId105" Type="http://schemas.openxmlformats.org/officeDocument/2006/relationships/hyperlink" Target="http://www.sec.gov/Archives/edgar/data/1157601/000119312521177871/d190382dex11.htm" TargetMode="External"/><Relationship Id="rId106" Type="http://schemas.openxmlformats.org/officeDocument/2006/relationships/hyperlink" Target="http://www.sec.gov/Archives/edgar/data/1157601/000119312522311537/d434336dex101.htm" TargetMode="External"/><Relationship Id="rId107" Type="http://schemas.openxmlformats.org/officeDocument/2006/relationships/hyperlink" Target="http://www.sec.gov/Archives/edgar/data/1157601/000119312522211757/d235479dex101.htm" TargetMode="External"/><Relationship Id="rId108" Type="http://schemas.openxmlformats.org/officeDocument/2006/relationships/hyperlink" Target="http://www.sec.gov/Archives/edgar/data/1157601/000119312523030281/d457771dex101.htm" TargetMode="External"/><Relationship Id="rId109" Type="http://schemas.openxmlformats.org/officeDocument/2006/relationships/hyperlink" Target="http://www.sec.gov/Archives/edgar/data/1157601/000110465916156989/a16-17137_1ex10d5.htm" TargetMode="External"/><Relationship Id="rId110" Type="http://schemas.openxmlformats.org/officeDocument/2006/relationships/hyperlink" Target="http://www.sec.gov/Archives/edgar/data/1157601/000119312521144922/d107927ddef14a.htm#toc" TargetMode="External"/><Relationship Id="rId111" Type="http://schemas.openxmlformats.org/officeDocument/2006/relationships/hyperlink" Target="http://www.sec.gov/Archives/edgar/data/1157601/000104746917002260/a2231593zex-10_10.htm" TargetMode="External"/><Relationship Id="rId113" Type="http://schemas.openxmlformats.org/officeDocument/2006/relationships/hyperlink" Target="http://www.sec.gov/Archives/edgar/data/1157601/000104746917002260/a2231593zex-10_11.htm" TargetMode="External"/><Relationship Id="rId114" Type="http://schemas.openxmlformats.org/officeDocument/2006/relationships/hyperlink" Target="http://www.sec.gov/Archives/edgar/data/1157601/000104746917002260/a2231593zex-10_13.htm" TargetMode="External"/><Relationship Id="rId115" Type="http://schemas.openxmlformats.org/officeDocument/2006/relationships/hyperlink" Target="http://www.sec.gov/Archives/edgar/data/1157601/000119312521152386/d168724dex101.htm" TargetMode="External"/><Relationship Id="rId116" Type="http://schemas.openxmlformats.org/officeDocument/2006/relationships/hyperlink" Target="http://www.sec.gov/Archives/edgar/data/1157601/000110465916133914/a16-15258_1ex10d2.htm" TargetMode="External"/><Relationship Id="rId117" Type="http://schemas.openxmlformats.org/officeDocument/2006/relationships/hyperlink" Target="http://www.sec.gov/Archives/edgar/data/1157601/000110465916133914/a16-15258_1ex10d3.htm" TargetMode="External"/><Relationship Id="rId118" Type="http://schemas.openxmlformats.org/officeDocument/2006/relationships/hyperlink" Target="http://www.sec.gov/Archives/edgar/data/1157601/000110465916133914/a16-15258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2023-02-23T05:41:09Z</dcterms:created>
  <dcterms:modified xsi:type="dcterms:W3CDTF">2023-02-23T05:41:09Z</dcterms:modified>
</cp:coreProperties>
</file>